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02" w:rsidRPr="00ED0867" w:rsidRDefault="00A81902" w:rsidP="00ED0867">
      <w:pPr>
        <w:framePr w:w="6841" w:h="898" w:hSpace="180" w:wrap="around" w:vAnchor="text" w:hAnchor="page" w:x="3676" w:y="-29"/>
        <w:shd w:val="clear" w:color="auto" w:fill="FFFFFF" w:themeFill="background1"/>
        <w:autoSpaceDE w:val="0"/>
        <w:autoSpaceDN w:val="0"/>
        <w:adjustRightInd w:val="0"/>
        <w:spacing w:after="0" w:line="240" w:lineRule="auto"/>
        <w:ind w:left="180" w:right="-900"/>
        <w:rPr>
          <w:rFonts w:ascii="Times New Roman" w:hAnsi="Times New Roman"/>
          <w:b/>
          <w:bCs/>
          <w:caps/>
          <w:color w:val="000000"/>
          <w:sz w:val="32"/>
          <w:szCs w:val="32"/>
        </w:rPr>
      </w:pPr>
      <w:bookmarkStart w:id="0" w:name="_GoBack"/>
      <w:bookmarkEnd w:id="0"/>
      <w:r w:rsidRPr="00ED0867">
        <w:rPr>
          <w:rFonts w:ascii="Times New Roman" w:hAnsi="Times New Roman"/>
          <w:b/>
          <w:bCs/>
          <w:caps/>
          <w:color w:val="000000"/>
          <w:sz w:val="32"/>
          <w:szCs w:val="32"/>
        </w:rPr>
        <w:t>Project Identification Form (PIF)</w:t>
      </w:r>
      <w:r w:rsidRPr="00ED0867">
        <w:rPr>
          <w:rStyle w:val="FootnoteReference"/>
          <w:rFonts w:ascii="Times New Roman" w:hAnsi="Times New Roman"/>
          <w:b/>
          <w:bCs/>
          <w:caps/>
          <w:color w:val="000000"/>
          <w:sz w:val="32"/>
          <w:szCs w:val="32"/>
        </w:rPr>
        <w:t xml:space="preserve"> </w:t>
      </w:r>
    </w:p>
    <w:p w:rsidR="00A81902" w:rsidRPr="00ED0867" w:rsidRDefault="00A81902" w:rsidP="00ED0867">
      <w:pPr>
        <w:framePr w:w="6841" w:h="898" w:hSpace="180" w:wrap="around" w:vAnchor="text" w:hAnchor="page" w:x="3676" w:y="-29"/>
        <w:shd w:val="clear" w:color="auto" w:fill="FFFFFF" w:themeFill="background1"/>
        <w:autoSpaceDE w:val="0"/>
        <w:autoSpaceDN w:val="0"/>
        <w:adjustRightInd w:val="0"/>
        <w:spacing w:after="0" w:line="240" w:lineRule="auto"/>
        <w:ind w:left="180"/>
        <w:rPr>
          <w:rFonts w:ascii="Times New Roman" w:hAnsi="Times New Roman"/>
          <w:bCs/>
          <w:color w:val="000000"/>
          <w:sz w:val="24"/>
          <w:szCs w:val="24"/>
        </w:rPr>
      </w:pPr>
      <w:bookmarkStart w:id="1" w:name="Dropdown7"/>
      <w:r w:rsidRPr="00ED0867">
        <w:rPr>
          <w:rFonts w:ascii="Times New Roman" w:hAnsi="Times New Roman"/>
          <w:b/>
          <w:bCs/>
          <w:smallCaps/>
          <w:color w:val="000000"/>
          <w:sz w:val="24"/>
          <w:szCs w:val="24"/>
        </w:rPr>
        <w:t xml:space="preserve">Project Type: </w:t>
      </w:r>
      <w:bookmarkStart w:id="2" w:name="projectType"/>
      <w:bookmarkEnd w:id="1"/>
      <w:r w:rsidR="00036E5B" w:rsidRPr="00ED0867">
        <w:rPr>
          <w:rFonts w:ascii="Times New Roman" w:hAnsi="Times New Roman"/>
          <w:b/>
          <w:bCs/>
          <w:smallCaps/>
          <w:color w:val="000000"/>
          <w:sz w:val="24"/>
          <w:szCs w:val="24"/>
        </w:rPr>
        <w:fldChar w:fldCharType="begin">
          <w:ffData>
            <w:name w:val="projectType"/>
            <w:enabled/>
            <w:calcOnExit w:val="0"/>
            <w:ddList>
              <w:result w:val="1"/>
              <w:listEntry w:val="(choose project type)"/>
              <w:listEntry w:val="Full-sized Project"/>
              <w:listEntry w:val="Medium-sized Project"/>
            </w:ddList>
          </w:ffData>
        </w:fldChar>
      </w:r>
      <w:r w:rsidRPr="00ED0867">
        <w:rPr>
          <w:rFonts w:ascii="Times New Roman" w:hAnsi="Times New Roman"/>
          <w:b/>
          <w:bCs/>
          <w:smallCaps/>
          <w:color w:val="000000"/>
          <w:sz w:val="24"/>
          <w:szCs w:val="24"/>
        </w:rPr>
        <w:instrText xml:space="preserve"> FORMDROPDOWN </w:instrText>
      </w:r>
      <w:r w:rsidR="00036E5B" w:rsidRPr="00ED0867">
        <w:rPr>
          <w:rFonts w:ascii="Times New Roman" w:hAnsi="Times New Roman"/>
          <w:b/>
          <w:bCs/>
          <w:smallCaps/>
          <w:color w:val="000000"/>
          <w:sz w:val="24"/>
          <w:szCs w:val="24"/>
        </w:rPr>
      </w:r>
      <w:r w:rsidR="00036E5B" w:rsidRPr="00ED0867">
        <w:rPr>
          <w:rFonts w:ascii="Times New Roman" w:hAnsi="Times New Roman"/>
          <w:b/>
          <w:bCs/>
          <w:smallCaps/>
          <w:color w:val="000000"/>
          <w:sz w:val="24"/>
          <w:szCs w:val="24"/>
        </w:rPr>
        <w:fldChar w:fldCharType="end"/>
      </w:r>
      <w:bookmarkEnd w:id="2"/>
      <w:r w:rsidRPr="00ED0867">
        <w:rPr>
          <w:rFonts w:ascii="Times New Roman" w:hAnsi="Times New Roman"/>
          <w:bCs/>
          <w:smallCaps/>
          <w:color w:val="000000"/>
          <w:sz w:val="24"/>
          <w:szCs w:val="24"/>
        </w:rPr>
        <w:t xml:space="preserve"> </w:t>
      </w:r>
    </w:p>
    <w:p w:rsidR="00A81902" w:rsidRPr="00ED0867" w:rsidRDefault="00A81902" w:rsidP="00ED0867">
      <w:pPr>
        <w:framePr w:w="6841" w:h="898" w:hSpace="180" w:wrap="around" w:vAnchor="text" w:hAnchor="page" w:x="3676" w:y="-29"/>
        <w:shd w:val="clear" w:color="auto" w:fill="FFFFFF" w:themeFill="background1"/>
        <w:autoSpaceDE w:val="0"/>
        <w:autoSpaceDN w:val="0"/>
        <w:adjustRightInd w:val="0"/>
        <w:spacing w:after="0" w:line="240" w:lineRule="auto"/>
        <w:ind w:left="180"/>
        <w:rPr>
          <w:rFonts w:ascii="Times New Roman" w:hAnsi="Times New Roman"/>
          <w:b/>
          <w:bCs/>
          <w:sz w:val="24"/>
          <w:szCs w:val="24"/>
        </w:rPr>
      </w:pPr>
      <w:r w:rsidRPr="00ED0867">
        <w:rPr>
          <w:rFonts w:ascii="Times New Roman" w:hAnsi="Times New Roman"/>
          <w:b/>
          <w:bCs/>
          <w:smallCaps/>
          <w:sz w:val="24"/>
          <w:szCs w:val="24"/>
        </w:rPr>
        <w:t>Type of Trust Fund:</w:t>
      </w:r>
      <w:r w:rsidR="00036E5B" w:rsidRPr="00ED0867">
        <w:rPr>
          <w:rFonts w:ascii="Times New Roman" w:hAnsi="Times New Roman"/>
          <w:b/>
          <w:bCs/>
          <w:smallCaps/>
          <w:sz w:val="24"/>
          <w:szCs w:val="24"/>
        </w:rPr>
        <w:fldChar w:fldCharType="begin">
          <w:ffData>
            <w:name w:val=""/>
            <w:enabled/>
            <w:calcOnExit w:val="0"/>
            <w:ddList>
              <w:result w:val="1"/>
              <w:listEntry w:val="(choose fund type)"/>
              <w:listEntry w:val="GEF Trust Fund"/>
              <w:listEntry w:val="LDCF"/>
              <w:listEntry w:val="SCCF"/>
              <w:listEntry w:val="Multi-Trust Fund"/>
            </w:ddList>
          </w:ffData>
        </w:fldChar>
      </w:r>
      <w:r w:rsidRPr="00ED0867">
        <w:rPr>
          <w:rFonts w:ascii="Times New Roman" w:hAnsi="Times New Roman"/>
          <w:b/>
          <w:bCs/>
          <w:smallCaps/>
          <w:sz w:val="24"/>
          <w:szCs w:val="24"/>
        </w:rPr>
        <w:instrText xml:space="preserve"> FORMDROPDOWN </w:instrText>
      </w:r>
      <w:r w:rsidR="00036E5B" w:rsidRPr="00ED0867">
        <w:rPr>
          <w:rFonts w:ascii="Times New Roman" w:hAnsi="Times New Roman"/>
          <w:b/>
          <w:bCs/>
          <w:smallCaps/>
          <w:sz w:val="24"/>
          <w:szCs w:val="24"/>
        </w:rPr>
      </w:r>
      <w:r w:rsidR="00036E5B" w:rsidRPr="00ED0867">
        <w:rPr>
          <w:rFonts w:ascii="Times New Roman" w:hAnsi="Times New Roman"/>
          <w:b/>
          <w:bCs/>
          <w:smallCaps/>
          <w:sz w:val="24"/>
          <w:szCs w:val="24"/>
        </w:rPr>
        <w:fldChar w:fldCharType="end"/>
      </w:r>
    </w:p>
    <w:p w:rsidR="00A81902" w:rsidRPr="00ED0867" w:rsidRDefault="00D97D98" w:rsidP="00ED0867">
      <w:pPr>
        <w:pStyle w:val="Footer"/>
        <w:shd w:val="clear" w:color="auto" w:fill="FFFFFF" w:themeFill="background1"/>
        <w:tabs>
          <w:tab w:val="clear" w:pos="4320"/>
          <w:tab w:val="clear" w:pos="8640"/>
        </w:tabs>
        <w:ind w:left="180"/>
        <w:rPr>
          <w:sz w:val="22"/>
          <w:szCs w:val="22"/>
        </w:rPr>
      </w:pPr>
      <w:r w:rsidRPr="00ED0867">
        <w:rPr>
          <w:noProof/>
        </w:rPr>
        <w:drawing>
          <wp:anchor distT="0" distB="0" distL="114300" distR="114300" simplePos="0" relativeHeight="251658240" behindDoc="0" locked="0" layoutInCell="1" allowOverlap="1">
            <wp:simplePos x="0" y="0"/>
            <wp:positionH relativeFrom="column">
              <wp:posOffset>723900</wp:posOffset>
            </wp:positionH>
            <wp:positionV relativeFrom="paragraph">
              <wp:posOffset>-171450</wp:posOffset>
            </wp:positionV>
            <wp:extent cx="889635" cy="914400"/>
            <wp:effectExtent l="19050" t="0" r="571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89635" cy="914400"/>
                    </a:xfrm>
                    <a:prstGeom prst="rect">
                      <a:avLst/>
                    </a:prstGeom>
                    <a:noFill/>
                  </pic:spPr>
                </pic:pic>
              </a:graphicData>
            </a:graphic>
          </wp:anchor>
        </w:drawing>
      </w:r>
    </w:p>
    <w:p w:rsidR="00A81902" w:rsidRPr="00ED0867" w:rsidRDefault="00A81902" w:rsidP="00ED0867">
      <w:pPr>
        <w:pStyle w:val="Footer"/>
        <w:shd w:val="clear" w:color="auto" w:fill="FFFFFF" w:themeFill="background1"/>
        <w:tabs>
          <w:tab w:val="clear" w:pos="4320"/>
          <w:tab w:val="clear" w:pos="8640"/>
        </w:tabs>
        <w:ind w:left="180"/>
        <w:rPr>
          <w:sz w:val="22"/>
          <w:szCs w:val="22"/>
        </w:rPr>
      </w:pPr>
    </w:p>
    <w:p w:rsidR="00A81902" w:rsidRPr="00ED0867" w:rsidRDefault="00A81902" w:rsidP="00ED0867">
      <w:pPr>
        <w:pStyle w:val="Footer"/>
        <w:shd w:val="clear" w:color="auto" w:fill="FFFFFF" w:themeFill="background1"/>
        <w:tabs>
          <w:tab w:val="clear" w:pos="4320"/>
          <w:tab w:val="clear" w:pos="8640"/>
        </w:tabs>
        <w:ind w:left="180"/>
        <w:rPr>
          <w:sz w:val="22"/>
          <w:szCs w:val="22"/>
        </w:rPr>
      </w:pPr>
    </w:p>
    <w:p w:rsidR="00A81902" w:rsidRPr="00ED0867" w:rsidRDefault="00A81902" w:rsidP="00ED0867">
      <w:pPr>
        <w:pStyle w:val="Footer"/>
        <w:shd w:val="clear" w:color="auto" w:fill="FFFFFF" w:themeFill="background1"/>
        <w:tabs>
          <w:tab w:val="clear" w:pos="4320"/>
          <w:tab w:val="clear" w:pos="8640"/>
        </w:tabs>
        <w:ind w:left="180"/>
        <w:rPr>
          <w:sz w:val="22"/>
          <w:szCs w:val="22"/>
        </w:rPr>
      </w:pPr>
    </w:p>
    <w:p w:rsidR="00A81902" w:rsidRPr="00ED0867" w:rsidRDefault="00A81902" w:rsidP="00ED0867">
      <w:pPr>
        <w:pStyle w:val="Footer"/>
        <w:shd w:val="clear" w:color="auto" w:fill="FFFFFF" w:themeFill="background1"/>
        <w:tabs>
          <w:tab w:val="clear" w:pos="4320"/>
          <w:tab w:val="clear" w:pos="8640"/>
        </w:tabs>
        <w:ind w:left="180"/>
        <w:rPr>
          <w:sz w:val="22"/>
          <w:szCs w:val="22"/>
        </w:rPr>
      </w:pPr>
    </w:p>
    <w:p w:rsidR="00A81902" w:rsidRPr="00ED0867" w:rsidRDefault="00A81902" w:rsidP="00ED0867">
      <w:pPr>
        <w:shd w:val="clear" w:color="auto" w:fill="FFFFFF" w:themeFill="background1"/>
        <w:spacing w:after="0" w:line="240" w:lineRule="auto"/>
        <w:ind w:left="180" w:right="-187"/>
        <w:rPr>
          <w:rFonts w:ascii="Times New Roman" w:hAnsi="Times New Roman"/>
          <w:b/>
          <w:caps/>
          <w:u w:val="single"/>
        </w:rPr>
      </w:pPr>
      <w:r w:rsidRPr="00ED0867">
        <w:rPr>
          <w:rFonts w:ascii="Times New Roman" w:hAnsi="Times New Roman"/>
          <w:b/>
          <w:caps/>
          <w:u w:val="single"/>
        </w:rPr>
        <w:t>PART I: Project Identification</w:t>
      </w:r>
    </w:p>
    <w:tbl>
      <w:tblPr>
        <w:tblW w:w="497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3"/>
        <w:gridCol w:w="4116"/>
        <w:gridCol w:w="2252"/>
        <w:gridCol w:w="1991"/>
      </w:tblGrid>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Project Title:</w:t>
            </w:r>
          </w:p>
        </w:tc>
        <w:tc>
          <w:tcPr>
            <w:tcW w:w="3816" w:type="pct"/>
            <w:gridSpan w:val="3"/>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 xml:space="preserve">Integrated approach to management of forests in </w:t>
            </w:r>
            <w:smartTag w:uri="urn:schemas-microsoft-com:office:smarttags" w:element="country-region">
              <w:smartTag w:uri="urn:schemas-microsoft-com:office:smarttags" w:element="place">
                <w:r w:rsidRPr="00ED0867">
                  <w:rPr>
                    <w:rFonts w:ascii="Times New Roman" w:hAnsi="Times New Roman"/>
                    <w:sz w:val="20"/>
                    <w:szCs w:val="20"/>
                  </w:rPr>
                  <w:t>Turkey</w:t>
                </w:r>
              </w:smartTag>
            </w:smartTag>
            <w:r w:rsidRPr="00ED0867">
              <w:rPr>
                <w:rFonts w:ascii="Times New Roman" w:hAnsi="Times New Roman"/>
                <w:sz w:val="20"/>
                <w:szCs w:val="20"/>
              </w:rPr>
              <w:t>, with demonstration in high conservation value forests in the Mediterranean</w:t>
            </w:r>
            <w:r w:rsidRPr="004D044A">
              <w:rPr>
                <w:rFonts w:ascii="Times New Roman" w:hAnsi="Times New Roman"/>
                <w:sz w:val="20"/>
                <w:szCs w:val="20"/>
                <w:shd w:val="clear" w:color="auto" w:fill="FFFFFF" w:themeFill="background1"/>
              </w:rPr>
              <w:t xml:space="preserve"> region</w:t>
            </w:r>
          </w:p>
        </w:tc>
      </w:tr>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Country(</w:t>
            </w:r>
            <w:proofErr w:type="spellStart"/>
            <w:r w:rsidRPr="00ED0867">
              <w:rPr>
                <w:rFonts w:ascii="Times New Roman" w:hAnsi="Times New Roman"/>
                <w:sz w:val="20"/>
                <w:szCs w:val="20"/>
              </w:rPr>
              <w:t>ies</w:t>
            </w:r>
            <w:proofErr w:type="spellEnd"/>
            <w:r w:rsidRPr="00ED0867">
              <w:rPr>
                <w:rFonts w:ascii="Times New Roman" w:hAnsi="Times New Roman"/>
                <w:sz w:val="20"/>
                <w:szCs w:val="20"/>
              </w:rPr>
              <w:t>):</w:t>
            </w:r>
          </w:p>
        </w:tc>
        <w:tc>
          <w:tcPr>
            <w:tcW w:w="1879"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smartTag w:uri="urn:schemas-microsoft-com:office:smarttags" w:element="country-region">
              <w:smartTag w:uri="urn:schemas-microsoft-com:office:smarttags" w:element="place">
                <w:r w:rsidRPr="00ED0867">
                  <w:rPr>
                    <w:rFonts w:ascii="Times New Roman" w:hAnsi="Times New Roman"/>
                    <w:sz w:val="20"/>
                    <w:szCs w:val="20"/>
                  </w:rPr>
                  <w:t>Turkey</w:t>
                </w:r>
              </w:smartTag>
            </w:smartTag>
          </w:p>
        </w:tc>
        <w:tc>
          <w:tcPr>
            <w:tcW w:w="1028"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GEF Project ID:</w:t>
            </w:r>
          </w:p>
        </w:tc>
        <w:tc>
          <w:tcPr>
            <w:tcW w:w="909"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p>
        </w:tc>
      </w:tr>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GEF Agency(</w:t>
            </w:r>
            <w:proofErr w:type="spellStart"/>
            <w:r w:rsidRPr="00ED0867">
              <w:rPr>
                <w:rFonts w:ascii="Times New Roman" w:hAnsi="Times New Roman"/>
                <w:sz w:val="20"/>
                <w:szCs w:val="20"/>
              </w:rPr>
              <w:t>ies</w:t>
            </w:r>
            <w:proofErr w:type="spellEnd"/>
            <w:r w:rsidRPr="00ED0867">
              <w:rPr>
                <w:rFonts w:ascii="Times New Roman" w:hAnsi="Times New Roman"/>
                <w:sz w:val="20"/>
                <w:szCs w:val="20"/>
              </w:rPr>
              <w:t>):</w:t>
            </w:r>
          </w:p>
        </w:tc>
        <w:tc>
          <w:tcPr>
            <w:tcW w:w="1879"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bookmarkStart w:id="3" w:name="GEF_IA_01"/>
            <w:r w:rsidRPr="00ED0867">
              <w:rPr>
                <w:rFonts w:ascii="Times New Roman" w:hAnsi="Times New Roman"/>
                <w:sz w:val="20"/>
                <w:szCs w:val="20"/>
              </w:rPr>
              <w:t>UNDP</w:t>
            </w:r>
            <w:bookmarkEnd w:id="3"/>
          </w:p>
        </w:tc>
        <w:tc>
          <w:tcPr>
            <w:tcW w:w="1028"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GEF Agency Project ID:</w:t>
            </w:r>
          </w:p>
        </w:tc>
        <w:tc>
          <w:tcPr>
            <w:tcW w:w="909" w:type="pct"/>
          </w:tcPr>
          <w:p w:rsidR="00A81902" w:rsidRPr="00ED0867" w:rsidRDefault="00A81902" w:rsidP="00ED0867">
            <w:pPr>
              <w:shd w:val="clear" w:color="auto" w:fill="FFFFFF" w:themeFill="background1"/>
              <w:spacing w:after="0" w:line="240" w:lineRule="auto"/>
              <w:ind w:left="-18"/>
              <w:jc w:val="center"/>
              <w:rPr>
                <w:rFonts w:ascii="Times New Roman" w:hAnsi="Times New Roman"/>
                <w:sz w:val="20"/>
                <w:szCs w:val="20"/>
              </w:rPr>
            </w:pPr>
            <w:r w:rsidRPr="00ED0867">
              <w:rPr>
                <w:rFonts w:ascii="Times New Roman" w:hAnsi="Times New Roman"/>
                <w:sz w:val="20"/>
                <w:szCs w:val="20"/>
              </w:rPr>
              <w:t>4434</w:t>
            </w:r>
          </w:p>
        </w:tc>
      </w:tr>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Other Executing Partner(s):</w:t>
            </w:r>
          </w:p>
        </w:tc>
        <w:tc>
          <w:tcPr>
            <w:tcW w:w="1879"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General Directorate of Forestry, Ministry of Environment and Forestry</w:t>
            </w:r>
          </w:p>
        </w:tc>
        <w:tc>
          <w:tcPr>
            <w:tcW w:w="1028"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Resubmission Date:</w:t>
            </w:r>
          </w:p>
        </w:tc>
        <w:tc>
          <w:tcPr>
            <w:tcW w:w="909" w:type="pct"/>
          </w:tcPr>
          <w:p w:rsidR="00A81902" w:rsidRPr="00ED0867" w:rsidRDefault="00D97D98" w:rsidP="00ED0867">
            <w:pPr>
              <w:shd w:val="clear" w:color="auto" w:fill="FFFFFF" w:themeFill="background1"/>
              <w:spacing w:after="0" w:line="240" w:lineRule="auto"/>
              <w:ind w:left="-18"/>
              <w:jc w:val="center"/>
              <w:rPr>
                <w:rFonts w:ascii="Times New Roman" w:hAnsi="Times New Roman"/>
                <w:sz w:val="20"/>
                <w:szCs w:val="20"/>
              </w:rPr>
            </w:pPr>
            <w:r w:rsidRPr="00ED0867">
              <w:rPr>
                <w:rFonts w:ascii="Times New Roman" w:hAnsi="Times New Roman"/>
                <w:sz w:val="20"/>
                <w:szCs w:val="20"/>
              </w:rPr>
              <w:t>March 18, 2011</w:t>
            </w:r>
          </w:p>
        </w:tc>
      </w:tr>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GEF Focal Area (s):</w:t>
            </w:r>
          </w:p>
        </w:tc>
        <w:bookmarkStart w:id="4" w:name="focalArea"/>
        <w:tc>
          <w:tcPr>
            <w:tcW w:w="1879" w:type="pct"/>
          </w:tcPr>
          <w:p w:rsidR="00A81902" w:rsidRPr="00ED0867" w:rsidRDefault="00036E5B"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fldChar w:fldCharType="begin">
                <w:ffData>
                  <w:name w:val="focalArea"/>
                  <w:enabled/>
                  <w:calcOnExit w:val="0"/>
                  <w:exitMacro w:val="depDropFA"/>
                  <w:ddList>
                    <w:result w:val="7"/>
                    <w:listEntry w:val="(Select)"/>
                    <w:listEntry w:val="Bio Diversity"/>
                    <w:listEntry w:val="Climate Change"/>
                    <w:listEntry w:val="International Waters"/>
                    <w:listEntry w:val="Land Degradation"/>
                    <w:listEntry w:val="Ozone Depletion Substances"/>
                    <w:listEntry w:val="Persistent Organic Pollutants"/>
                    <w:listEntry w:val="MULTI FOCAL AREA"/>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bookmarkEnd w:id="4"/>
          </w:p>
        </w:tc>
        <w:tc>
          <w:tcPr>
            <w:tcW w:w="1028"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Project Duration:</w:t>
            </w:r>
          </w:p>
        </w:tc>
        <w:tc>
          <w:tcPr>
            <w:tcW w:w="909" w:type="pct"/>
          </w:tcPr>
          <w:p w:rsidR="00A81902" w:rsidRPr="00ED0867" w:rsidRDefault="00A81902" w:rsidP="00ED0867">
            <w:pPr>
              <w:shd w:val="clear" w:color="auto" w:fill="FFFFFF" w:themeFill="background1"/>
              <w:spacing w:after="0" w:line="240" w:lineRule="auto"/>
              <w:ind w:left="-18"/>
              <w:jc w:val="center"/>
              <w:rPr>
                <w:rFonts w:ascii="Times New Roman" w:hAnsi="Times New Roman"/>
                <w:sz w:val="20"/>
                <w:szCs w:val="20"/>
              </w:rPr>
            </w:pPr>
            <w:r w:rsidRPr="00ED0867">
              <w:rPr>
                <w:rFonts w:ascii="Times New Roman" w:hAnsi="Times New Roman"/>
                <w:sz w:val="20"/>
                <w:szCs w:val="20"/>
              </w:rPr>
              <w:t>60 months</w:t>
            </w:r>
          </w:p>
        </w:tc>
      </w:tr>
      <w:tr w:rsidR="00A81902" w:rsidRPr="00ED0867" w:rsidTr="00C24CF1">
        <w:tc>
          <w:tcPr>
            <w:tcW w:w="1184" w:type="pct"/>
          </w:tcPr>
          <w:p w:rsidR="00A81902" w:rsidRPr="00ED0867" w:rsidRDefault="00A81902" w:rsidP="00ED0867">
            <w:pPr>
              <w:shd w:val="clear" w:color="auto" w:fill="FFFFFF" w:themeFill="background1"/>
              <w:spacing w:after="0" w:line="240" w:lineRule="auto"/>
              <w:ind w:left="-18" w:right="-109"/>
              <w:rPr>
                <w:rFonts w:ascii="Times New Roman" w:hAnsi="Times New Roman"/>
                <w:sz w:val="20"/>
                <w:szCs w:val="20"/>
              </w:rPr>
            </w:pPr>
            <w:r w:rsidRPr="00ED0867">
              <w:rPr>
                <w:rFonts w:ascii="Times New Roman" w:hAnsi="Times New Roman"/>
                <w:sz w:val="20"/>
                <w:szCs w:val="20"/>
              </w:rPr>
              <w:t>Name of parent program:</w:t>
            </w:r>
          </w:p>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 xml:space="preserve">For SFM/REDD+ </w:t>
            </w:r>
            <w:bookmarkStart w:id="5" w:name="CheckSFM"/>
            <w:r w:rsidR="00036E5B" w:rsidRPr="00ED0867">
              <w:rPr>
                <w:rFonts w:ascii="Times New Roman" w:hAnsi="Times New Roman"/>
                <w:sz w:val="20"/>
                <w:szCs w:val="20"/>
              </w:rPr>
              <w:fldChar w:fldCharType="begin">
                <w:ffData>
                  <w:name w:val="CheckSFM"/>
                  <w:enabled/>
                  <w:calcOnExit w:val="0"/>
                  <w:checkBox>
                    <w:sizeAuto/>
                    <w:default w:val="1"/>
                  </w:checkBox>
                </w:ffData>
              </w:fldChar>
            </w:r>
            <w:r w:rsidRPr="00ED0867">
              <w:rPr>
                <w:rFonts w:ascii="Times New Roman" w:hAnsi="Times New Roman"/>
                <w:sz w:val="20"/>
                <w:szCs w:val="20"/>
              </w:rPr>
              <w:instrText xml:space="preserve"> FORMCHECKBOX </w:instrText>
            </w:r>
            <w:r w:rsidR="00036E5B" w:rsidRPr="00ED0867">
              <w:rPr>
                <w:rFonts w:ascii="Times New Roman" w:hAnsi="Times New Roman"/>
                <w:sz w:val="20"/>
                <w:szCs w:val="20"/>
              </w:rPr>
            </w:r>
            <w:r w:rsidR="00036E5B" w:rsidRPr="00ED0867">
              <w:rPr>
                <w:rFonts w:ascii="Times New Roman" w:hAnsi="Times New Roman"/>
                <w:sz w:val="20"/>
                <w:szCs w:val="20"/>
              </w:rPr>
              <w:fldChar w:fldCharType="end"/>
            </w:r>
            <w:bookmarkEnd w:id="5"/>
          </w:p>
        </w:tc>
        <w:tc>
          <w:tcPr>
            <w:tcW w:w="1879"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p>
        </w:tc>
        <w:tc>
          <w:tcPr>
            <w:tcW w:w="1028" w:type="pct"/>
          </w:tcPr>
          <w:p w:rsidR="00A81902" w:rsidRPr="00ED0867" w:rsidRDefault="00A81902" w:rsidP="00ED0867">
            <w:pPr>
              <w:shd w:val="clear" w:color="auto" w:fill="FFFFFF" w:themeFill="background1"/>
              <w:spacing w:after="0" w:line="240" w:lineRule="auto"/>
              <w:ind w:left="-18"/>
              <w:rPr>
                <w:rFonts w:ascii="Times New Roman" w:hAnsi="Times New Roman"/>
                <w:sz w:val="20"/>
                <w:szCs w:val="20"/>
              </w:rPr>
            </w:pPr>
            <w:r w:rsidRPr="00ED0867">
              <w:rPr>
                <w:rFonts w:ascii="Times New Roman" w:hAnsi="Times New Roman"/>
                <w:sz w:val="20"/>
                <w:szCs w:val="20"/>
              </w:rPr>
              <w:t>Agency Fee:</w:t>
            </w:r>
          </w:p>
        </w:tc>
        <w:tc>
          <w:tcPr>
            <w:tcW w:w="909" w:type="pct"/>
          </w:tcPr>
          <w:p w:rsidR="00A81902" w:rsidRPr="00ED0867" w:rsidRDefault="00A81902" w:rsidP="00ED0867">
            <w:pPr>
              <w:shd w:val="clear" w:color="auto" w:fill="FFFFFF" w:themeFill="background1"/>
              <w:spacing w:after="0" w:line="240" w:lineRule="auto"/>
              <w:ind w:left="-18"/>
              <w:jc w:val="center"/>
              <w:rPr>
                <w:rFonts w:ascii="Times New Roman" w:hAnsi="Times New Roman"/>
                <w:sz w:val="20"/>
                <w:szCs w:val="20"/>
              </w:rPr>
            </w:pPr>
            <w:r w:rsidRPr="00ED0867">
              <w:rPr>
                <w:rFonts w:ascii="Times New Roman" w:hAnsi="Times New Roman"/>
                <w:sz w:val="20"/>
                <w:szCs w:val="20"/>
              </w:rPr>
              <w:t>US$ 712,000</w:t>
            </w:r>
          </w:p>
        </w:tc>
      </w:tr>
    </w:tbl>
    <w:p w:rsidR="00A81902" w:rsidRPr="00ED0867" w:rsidRDefault="00A81902" w:rsidP="00ED0867">
      <w:pPr>
        <w:pStyle w:val="Footer"/>
        <w:numPr>
          <w:ilvl w:val="0"/>
          <w:numId w:val="1"/>
        </w:numPr>
        <w:shd w:val="clear" w:color="auto" w:fill="FFFFFF" w:themeFill="background1"/>
        <w:tabs>
          <w:tab w:val="clear" w:pos="720"/>
          <w:tab w:val="clear" w:pos="4320"/>
          <w:tab w:val="clear" w:pos="8640"/>
          <w:tab w:val="num" w:pos="-90"/>
          <w:tab w:val="left" w:pos="270"/>
        </w:tabs>
        <w:spacing w:before="120"/>
        <w:ind w:left="180" w:firstLine="0"/>
        <w:rPr>
          <w:b/>
          <w:smallCaps/>
          <w:sz w:val="22"/>
          <w:szCs w:val="22"/>
        </w:rPr>
      </w:pPr>
      <w:r w:rsidRPr="00ED0867">
        <w:rPr>
          <w:b/>
          <w:smallCaps/>
          <w:sz w:val="22"/>
          <w:szCs w:val="22"/>
        </w:rPr>
        <w:t xml:space="preserve"> Focal Area  strategy Framework:</w:t>
      </w:r>
    </w:p>
    <w:tbl>
      <w:tblPr>
        <w:tblW w:w="531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2059"/>
        <w:gridCol w:w="1891"/>
        <w:gridCol w:w="1032"/>
        <w:gridCol w:w="2478"/>
        <w:gridCol w:w="2337"/>
      </w:tblGrid>
      <w:tr w:rsidR="00A81902" w:rsidRPr="00ED0867" w:rsidTr="00641654">
        <w:trPr>
          <w:trHeight w:val="260"/>
        </w:trPr>
        <w:tc>
          <w:tcPr>
            <w:tcW w:w="813" w:type="pct"/>
            <w:shd w:val="clear" w:color="auto" w:fill="FFFFFF"/>
          </w:tcPr>
          <w:p w:rsidR="00A81902" w:rsidRPr="00ED0867" w:rsidRDefault="00A81902" w:rsidP="00ED0867">
            <w:pPr>
              <w:pStyle w:val="Heading3"/>
              <w:shd w:val="clear" w:color="auto" w:fill="FFFFFF" w:themeFill="background1"/>
              <w:ind w:left="-18" w:right="-107"/>
              <w:rPr>
                <w:bCs w:val="0"/>
                <w:iCs/>
                <w:color w:val="000000"/>
                <w:sz w:val="18"/>
                <w:szCs w:val="18"/>
              </w:rPr>
            </w:pPr>
            <w:r w:rsidRPr="00ED0867">
              <w:rPr>
                <w:bCs w:val="0"/>
                <w:iCs/>
                <w:color w:val="000000"/>
                <w:sz w:val="18"/>
                <w:szCs w:val="18"/>
              </w:rPr>
              <w:t>Focal Area Objectives</w:t>
            </w:r>
          </w:p>
        </w:tc>
        <w:tc>
          <w:tcPr>
            <w:tcW w:w="880" w:type="pct"/>
            <w:shd w:val="clear" w:color="auto" w:fill="FFFFFF"/>
          </w:tcPr>
          <w:p w:rsidR="00A81902" w:rsidRPr="00ED0867" w:rsidRDefault="00A81902" w:rsidP="00ED0867">
            <w:pPr>
              <w:pStyle w:val="Heading3"/>
              <w:shd w:val="clear" w:color="auto" w:fill="FFFFFF" w:themeFill="background1"/>
              <w:ind w:left="-18" w:right="-101"/>
              <w:rPr>
                <w:bCs w:val="0"/>
                <w:iCs/>
                <w:color w:val="000000"/>
                <w:sz w:val="18"/>
                <w:szCs w:val="18"/>
              </w:rPr>
            </w:pPr>
            <w:r w:rsidRPr="00ED0867">
              <w:rPr>
                <w:bCs w:val="0"/>
                <w:iCs/>
                <w:color w:val="000000"/>
                <w:sz w:val="18"/>
                <w:szCs w:val="18"/>
              </w:rPr>
              <w:t>Expected FA Outcomes</w:t>
            </w:r>
          </w:p>
        </w:tc>
        <w:tc>
          <w:tcPr>
            <w:tcW w:w="808" w:type="pct"/>
            <w:shd w:val="clear" w:color="auto" w:fill="FFFFFF"/>
          </w:tcPr>
          <w:p w:rsidR="00A81902" w:rsidRPr="00ED0867" w:rsidRDefault="00A81902" w:rsidP="00ED0867">
            <w:pPr>
              <w:pStyle w:val="Heading3"/>
              <w:shd w:val="clear" w:color="auto" w:fill="FFFFFF" w:themeFill="background1"/>
              <w:ind w:left="-18" w:right="-115"/>
              <w:rPr>
                <w:bCs w:val="0"/>
                <w:iCs/>
                <w:color w:val="000000"/>
                <w:sz w:val="18"/>
                <w:szCs w:val="18"/>
              </w:rPr>
            </w:pPr>
            <w:r w:rsidRPr="00ED0867">
              <w:rPr>
                <w:bCs w:val="0"/>
                <w:iCs/>
                <w:color w:val="000000"/>
                <w:sz w:val="18"/>
                <w:szCs w:val="18"/>
              </w:rPr>
              <w:t>Expected FA Outputs</w:t>
            </w:r>
          </w:p>
        </w:tc>
        <w:tc>
          <w:tcPr>
            <w:tcW w:w="441" w:type="pct"/>
            <w:shd w:val="clear" w:color="auto" w:fill="FFFFFF"/>
          </w:tcPr>
          <w:p w:rsidR="00A81902" w:rsidRPr="00ED0867" w:rsidRDefault="00A81902" w:rsidP="00ED0867">
            <w:pPr>
              <w:pStyle w:val="Heading3"/>
              <w:shd w:val="clear" w:color="auto" w:fill="FFFFFF" w:themeFill="background1"/>
              <w:ind w:left="-18" w:right="-107"/>
              <w:jc w:val="center"/>
              <w:rPr>
                <w:bCs w:val="0"/>
                <w:iCs/>
                <w:color w:val="000000"/>
                <w:sz w:val="18"/>
                <w:szCs w:val="18"/>
              </w:rPr>
            </w:pPr>
            <w:r w:rsidRPr="00ED0867">
              <w:rPr>
                <w:bCs w:val="0"/>
                <w:iCs/>
                <w:color w:val="000000"/>
                <w:sz w:val="18"/>
                <w:szCs w:val="18"/>
              </w:rPr>
              <w:t>Trust Fund</w:t>
            </w:r>
          </w:p>
        </w:tc>
        <w:tc>
          <w:tcPr>
            <w:tcW w:w="1059" w:type="pct"/>
            <w:shd w:val="clear" w:color="auto" w:fill="FFFFFF"/>
          </w:tcPr>
          <w:p w:rsidR="00A81902" w:rsidRPr="00ED0867" w:rsidRDefault="00A81902" w:rsidP="00ED0867">
            <w:pPr>
              <w:pStyle w:val="Heading3"/>
              <w:shd w:val="clear" w:color="auto" w:fill="FFFFFF" w:themeFill="background1"/>
              <w:ind w:left="180" w:right="-108"/>
              <w:jc w:val="center"/>
              <w:rPr>
                <w:bCs w:val="0"/>
                <w:iCs/>
                <w:color w:val="000000"/>
                <w:sz w:val="18"/>
                <w:szCs w:val="18"/>
              </w:rPr>
            </w:pPr>
            <w:r w:rsidRPr="00ED0867">
              <w:rPr>
                <w:bCs w:val="0"/>
                <w:iCs/>
                <w:color w:val="000000"/>
                <w:sz w:val="18"/>
                <w:szCs w:val="18"/>
              </w:rPr>
              <w:t xml:space="preserve">Indicative grant amount ($) </w:t>
            </w:r>
          </w:p>
        </w:tc>
        <w:tc>
          <w:tcPr>
            <w:tcW w:w="999" w:type="pct"/>
            <w:shd w:val="clear" w:color="auto" w:fill="FFFFFF"/>
          </w:tcPr>
          <w:p w:rsidR="00A81902" w:rsidRPr="00ED0867" w:rsidRDefault="00A81902" w:rsidP="00ED0867">
            <w:pPr>
              <w:pStyle w:val="Heading3"/>
              <w:shd w:val="clear" w:color="auto" w:fill="FFFFFF" w:themeFill="background1"/>
              <w:ind w:left="180" w:right="-114"/>
              <w:rPr>
                <w:bCs w:val="0"/>
                <w:iCs/>
                <w:color w:val="000000"/>
                <w:sz w:val="18"/>
                <w:szCs w:val="18"/>
              </w:rPr>
            </w:pPr>
            <w:r w:rsidRPr="00ED0867">
              <w:rPr>
                <w:bCs w:val="0"/>
                <w:iCs/>
                <w:color w:val="000000"/>
                <w:sz w:val="18"/>
                <w:szCs w:val="18"/>
              </w:rPr>
              <w:t>Indicative co-financing ($)</w:t>
            </w:r>
          </w:p>
        </w:tc>
      </w:tr>
      <w:tr w:rsidR="00A81902" w:rsidRPr="00ED0867" w:rsidTr="00641654">
        <w:tc>
          <w:tcPr>
            <w:tcW w:w="813" w:type="pct"/>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bookmarkStart w:id="6" w:name="_Hlk288235709"/>
            <w:r w:rsidRPr="00ED0867">
              <w:rPr>
                <w:rFonts w:ascii="Times New Roman" w:hAnsi="Times New Roman"/>
                <w:sz w:val="18"/>
                <w:szCs w:val="18"/>
              </w:rPr>
              <w:t>BD-1</w:t>
            </w:r>
          </w:p>
        </w:tc>
        <w:tc>
          <w:tcPr>
            <w:tcW w:w="880" w:type="pct"/>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Outcome 1.1</w:t>
            </w:r>
          </w:p>
        </w:tc>
        <w:tc>
          <w:tcPr>
            <w:tcW w:w="808" w:type="pct"/>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Outputs 1.1., 1.2</w:t>
            </w:r>
          </w:p>
        </w:tc>
        <w:tc>
          <w:tcPr>
            <w:tcW w:w="441" w:type="pct"/>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915,730</w:t>
            </w:r>
          </w:p>
        </w:tc>
        <w:tc>
          <w:tcPr>
            <w:tcW w:w="99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2,500,000</w:t>
            </w:r>
          </w:p>
        </w:tc>
      </w:tr>
      <w:tr w:rsidR="00A81902" w:rsidRPr="00ED0867" w:rsidTr="00ED0867">
        <w:tc>
          <w:tcPr>
            <w:tcW w:w="813" w:type="pct"/>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bookmarkStart w:id="7" w:name="focalAreaObj_02"/>
            <w:r w:rsidRPr="00ED0867">
              <w:rPr>
                <w:rFonts w:ascii="Times New Roman" w:hAnsi="Times New Roman"/>
                <w:sz w:val="18"/>
                <w:szCs w:val="18"/>
              </w:rPr>
              <w:t>CCM-5</w:t>
            </w:r>
          </w:p>
        </w:tc>
        <w:tc>
          <w:tcPr>
            <w:tcW w:w="880"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Outcome 5.2</w:t>
            </w:r>
          </w:p>
        </w:tc>
        <w:tc>
          <w:tcPr>
            <w:tcW w:w="808"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Output  5.2</w:t>
            </w:r>
          </w:p>
        </w:tc>
        <w:tc>
          <w:tcPr>
            <w:tcW w:w="441" w:type="pct"/>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3,974,270</w:t>
            </w:r>
          </w:p>
        </w:tc>
        <w:tc>
          <w:tcPr>
            <w:tcW w:w="99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12,630,400</w:t>
            </w:r>
          </w:p>
        </w:tc>
      </w:tr>
      <w:tr w:rsidR="00A81902" w:rsidRPr="00ED0867" w:rsidTr="00ED0867">
        <w:tc>
          <w:tcPr>
            <w:tcW w:w="813" w:type="pct"/>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CCM-3</w:t>
            </w:r>
          </w:p>
        </w:tc>
        <w:tc>
          <w:tcPr>
            <w:tcW w:w="880"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Outcome 3.2</w:t>
            </w:r>
          </w:p>
        </w:tc>
        <w:tc>
          <w:tcPr>
            <w:tcW w:w="808"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Output 3.2</w:t>
            </w:r>
          </w:p>
        </w:tc>
        <w:tc>
          <w:tcPr>
            <w:tcW w:w="441" w:type="pct"/>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0</w:t>
            </w:r>
          </w:p>
        </w:tc>
        <w:tc>
          <w:tcPr>
            <w:tcW w:w="99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1,250,000</w:t>
            </w:r>
          </w:p>
        </w:tc>
      </w:tr>
      <w:tr w:rsidR="00A81902" w:rsidRPr="00ED0867" w:rsidTr="00ED0867">
        <w:tc>
          <w:tcPr>
            <w:tcW w:w="813" w:type="pct"/>
            <w:shd w:val="clear" w:color="auto" w:fill="FFFF00"/>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SFM REDD-1</w:t>
            </w:r>
          </w:p>
        </w:tc>
        <w:tc>
          <w:tcPr>
            <w:tcW w:w="880"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Outcome 1.3</w:t>
            </w:r>
          </w:p>
        </w:tc>
        <w:tc>
          <w:tcPr>
            <w:tcW w:w="808"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Output 1.3</w:t>
            </w:r>
          </w:p>
        </w:tc>
        <w:tc>
          <w:tcPr>
            <w:tcW w:w="441" w:type="pct"/>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850,000</w:t>
            </w:r>
          </w:p>
        </w:tc>
        <w:tc>
          <w:tcPr>
            <w:tcW w:w="99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1,000,000</w:t>
            </w:r>
          </w:p>
        </w:tc>
      </w:tr>
      <w:tr w:rsidR="00A81902" w:rsidRPr="00ED0867" w:rsidTr="00ED0867">
        <w:tc>
          <w:tcPr>
            <w:tcW w:w="813" w:type="pct"/>
            <w:shd w:val="clear" w:color="auto" w:fill="FFFF00"/>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SFM REDD-2</w:t>
            </w:r>
          </w:p>
        </w:tc>
        <w:tc>
          <w:tcPr>
            <w:tcW w:w="880"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Outcome 2.1</w:t>
            </w:r>
          </w:p>
        </w:tc>
        <w:tc>
          <w:tcPr>
            <w:tcW w:w="808" w:type="pct"/>
            <w:shd w:val="clear" w:color="auto" w:fill="FFFFFF" w:themeFill="background1"/>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Output 2.2</w:t>
            </w:r>
          </w:p>
        </w:tc>
        <w:tc>
          <w:tcPr>
            <w:tcW w:w="441" w:type="pct"/>
            <w:shd w:val="clear" w:color="auto" w:fill="FFFF00"/>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shd w:val="clear" w:color="auto" w:fill="FFFF00"/>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780,000</w:t>
            </w:r>
          </w:p>
        </w:tc>
        <w:tc>
          <w:tcPr>
            <w:tcW w:w="999" w:type="pct"/>
            <w:shd w:val="clear" w:color="auto" w:fill="FFFF00"/>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2,030,000</w:t>
            </w:r>
          </w:p>
        </w:tc>
      </w:tr>
      <w:tr w:rsidR="00A81902" w:rsidRPr="00ED0867" w:rsidTr="00641654">
        <w:tc>
          <w:tcPr>
            <w:tcW w:w="2501" w:type="pct"/>
            <w:gridSpan w:val="3"/>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Sub-total</w:t>
            </w:r>
          </w:p>
        </w:tc>
        <w:tc>
          <w:tcPr>
            <w:tcW w:w="441" w:type="pct"/>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p>
        </w:tc>
        <w:tc>
          <w:tcPr>
            <w:tcW w:w="105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6,520,000</w:t>
            </w:r>
          </w:p>
        </w:tc>
        <w:tc>
          <w:tcPr>
            <w:tcW w:w="999" w:type="pct"/>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19,410,400</w:t>
            </w:r>
          </w:p>
        </w:tc>
      </w:tr>
      <w:bookmarkEnd w:id="7"/>
      <w:tr w:rsidR="00A81902" w:rsidRPr="00ED0867" w:rsidTr="00641654">
        <w:tc>
          <w:tcPr>
            <w:tcW w:w="2501" w:type="pct"/>
            <w:gridSpan w:val="3"/>
            <w:tcBorders>
              <w:top w:val="double" w:sz="4" w:space="0" w:color="auto"/>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sz w:val="18"/>
                <w:szCs w:val="18"/>
              </w:rPr>
            </w:pPr>
            <w:r w:rsidRPr="00ED0867">
              <w:rPr>
                <w:rFonts w:ascii="Times New Roman" w:hAnsi="Times New Roman"/>
                <w:sz w:val="18"/>
                <w:szCs w:val="18"/>
              </w:rPr>
              <w:t>Project management cost (drawing 8.43% of each focal area)</w:t>
            </w:r>
          </w:p>
        </w:tc>
        <w:tc>
          <w:tcPr>
            <w:tcW w:w="441" w:type="pct"/>
            <w:tcBorders>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sz w:val="18"/>
                <w:szCs w:val="18"/>
              </w:rPr>
            </w:pPr>
            <w:r w:rsidRPr="00ED0867">
              <w:rPr>
                <w:rFonts w:ascii="Times New Roman" w:hAnsi="Times New Roman"/>
                <w:sz w:val="18"/>
                <w:szCs w:val="18"/>
              </w:rPr>
              <w:t>GEFTF</w:t>
            </w:r>
          </w:p>
        </w:tc>
        <w:tc>
          <w:tcPr>
            <w:tcW w:w="1059" w:type="pct"/>
            <w:tcBorders>
              <w:bottom w:val="double" w:sz="4" w:space="0" w:color="auto"/>
            </w:tcBorders>
            <w:shd w:val="clear" w:color="auto" w:fill="FFFFFF"/>
            <w:vAlign w:val="center"/>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600,000</w:t>
            </w:r>
          </w:p>
        </w:tc>
        <w:tc>
          <w:tcPr>
            <w:tcW w:w="999" w:type="pct"/>
            <w:tcBorders>
              <w:bottom w:val="double" w:sz="4" w:space="0" w:color="auto"/>
            </w:tcBorders>
            <w:shd w:val="clear" w:color="auto" w:fill="FFFFFF"/>
            <w:vAlign w:val="center"/>
          </w:tcPr>
          <w:p w:rsidR="00A81902" w:rsidRPr="00ED0867" w:rsidRDefault="00A81902" w:rsidP="00ED0867">
            <w:pPr>
              <w:shd w:val="clear" w:color="auto" w:fill="FFFFFF" w:themeFill="background1"/>
              <w:spacing w:after="0" w:line="240" w:lineRule="auto"/>
              <w:ind w:left="180"/>
              <w:jc w:val="right"/>
              <w:rPr>
                <w:rFonts w:ascii="Times New Roman" w:hAnsi="Times New Roman"/>
                <w:sz w:val="18"/>
                <w:szCs w:val="18"/>
              </w:rPr>
            </w:pPr>
            <w:r w:rsidRPr="00ED0867">
              <w:rPr>
                <w:rFonts w:ascii="Times New Roman" w:hAnsi="Times New Roman"/>
                <w:sz w:val="18"/>
                <w:szCs w:val="18"/>
              </w:rPr>
              <w:t>1,769,600</w:t>
            </w:r>
          </w:p>
        </w:tc>
      </w:tr>
      <w:tr w:rsidR="00A81902" w:rsidRPr="00ED0867" w:rsidTr="00641654">
        <w:tc>
          <w:tcPr>
            <w:tcW w:w="2501" w:type="pct"/>
            <w:gridSpan w:val="3"/>
            <w:tcBorders>
              <w:top w:val="double" w:sz="4" w:space="0" w:color="auto"/>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
              <w:rPr>
                <w:rFonts w:ascii="Times New Roman" w:hAnsi="Times New Roman"/>
                <w:b/>
                <w:sz w:val="18"/>
                <w:szCs w:val="18"/>
              </w:rPr>
            </w:pPr>
            <w:r w:rsidRPr="00ED0867">
              <w:rPr>
                <w:rFonts w:ascii="Times New Roman" w:hAnsi="Times New Roman"/>
                <w:b/>
                <w:sz w:val="18"/>
                <w:szCs w:val="18"/>
              </w:rPr>
              <w:t>Total project cost</w:t>
            </w:r>
          </w:p>
        </w:tc>
        <w:tc>
          <w:tcPr>
            <w:tcW w:w="441" w:type="pct"/>
            <w:tcBorders>
              <w:top w:val="double" w:sz="4" w:space="0" w:color="auto"/>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
              <w:jc w:val="right"/>
              <w:rPr>
                <w:rFonts w:ascii="Times New Roman" w:hAnsi="Times New Roman"/>
                <w:b/>
                <w:sz w:val="18"/>
                <w:szCs w:val="18"/>
              </w:rPr>
            </w:pPr>
          </w:p>
        </w:tc>
        <w:tc>
          <w:tcPr>
            <w:tcW w:w="1059" w:type="pct"/>
            <w:tcBorders>
              <w:top w:val="double" w:sz="4" w:space="0" w:color="auto"/>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b/>
                <w:sz w:val="18"/>
                <w:szCs w:val="18"/>
              </w:rPr>
            </w:pPr>
            <w:r w:rsidRPr="00ED0867">
              <w:rPr>
                <w:rFonts w:ascii="Times New Roman" w:hAnsi="Times New Roman"/>
                <w:b/>
                <w:sz w:val="18"/>
                <w:szCs w:val="18"/>
              </w:rPr>
              <w:t>7,120,000</w:t>
            </w:r>
          </w:p>
        </w:tc>
        <w:tc>
          <w:tcPr>
            <w:tcW w:w="999" w:type="pct"/>
            <w:tcBorders>
              <w:top w:val="double" w:sz="4" w:space="0" w:color="auto"/>
              <w:bottom w:val="double" w:sz="4" w:space="0" w:color="auto"/>
            </w:tcBorders>
            <w:shd w:val="clear" w:color="auto" w:fill="FFFFFF"/>
          </w:tcPr>
          <w:p w:rsidR="00A81902" w:rsidRPr="00ED0867" w:rsidRDefault="00A81902" w:rsidP="00ED0867">
            <w:pPr>
              <w:shd w:val="clear" w:color="auto" w:fill="FFFFFF" w:themeFill="background1"/>
              <w:spacing w:after="0" w:line="240" w:lineRule="auto"/>
              <w:ind w:left="180"/>
              <w:jc w:val="right"/>
              <w:rPr>
                <w:rFonts w:ascii="Times New Roman" w:hAnsi="Times New Roman"/>
                <w:b/>
                <w:sz w:val="18"/>
                <w:szCs w:val="18"/>
              </w:rPr>
            </w:pPr>
            <w:r w:rsidRPr="00ED0867">
              <w:rPr>
                <w:rFonts w:ascii="Times New Roman" w:hAnsi="Times New Roman"/>
                <w:b/>
                <w:sz w:val="18"/>
                <w:szCs w:val="18"/>
              </w:rPr>
              <w:t>21,180,000</w:t>
            </w:r>
          </w:p>
        </w:tc>
      </w:tr>
    </w:tbl>
    <w:bookmarkEnd w:id="6"/>
    <w:p w:rsidR="00A81902" w:rsidRPr="00ED0867" w:rsidRDefault="00A81902" w:rsidP="00ED0867">
      <w:pPr>
        <w:pStyle w:val="Footer"/>
        <w:numPr>
          <w:ilvl w:val="0"/>
          <w:numId w:val="1"/>
        </w:numPr>
        <w:shd w:val="clear" w:color="auto" w:fill="FFFFFF" w:themeFill="background1"/>
        <w:tabs>
          <w:tab w:val="clear" w:pos="720"/>
          <w:tab w:val="clear" w:pos="4320"/>
          <w:tab w:val="clear" w:pos="8640"/>
          <w:tab w:val="num" w:pos="-90"/>
          <w:tab w:val="left" w:pos="270"/>
        </w:tabs>
        <w:spacing w:before="120"/>
        <w:ind w:left="180" w:firstLine="0"/>
        <w:rPr>
          <w:b/>
          <w:smallCaps/>
          <w:sz w:val="22"/>
          <w:szCs w:val="22"/>
        </w:rPr>
      </w:pPr>
      <w:r w:rsidRPr="00ED0867">
        <w:rPr>
          <w:b/>
          <w:smallCaps/>
          <w:sz w:val="22"/>
          <w:szCs w:val="22"/>
        </w:rPr>
        <w:t>Project Framework:</w:t>
      </w:r>
    </w:p>
    <w:tbl>
      <w:tblPr>
        <w:tblW w:w="11880" w:type="dxa"/>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1350"/>
        <w:gridCol w:w="470"/>
        <w:gridCol w:w="2590"/>
        <w:gridCol w:w="4230"/>
        <w:gridCol w:w="720"/>
        <w:gridCol w:w="1350"/>
        <w:gridCol w:w="1170"/>
      </w:tblGrid>
      <w:tr w:rsidR="00A81902" w:rsidRPr="00ED0867" w:rsidTr="00937A56">
        <w:trPr>
          <w:trHeight w:val="413"/>
        </w:trPr>
        <w:tc>
          <w:tcPr>
            <w:tcW w:w="11880" w:type="dxa"/>
            <w:gridSpan w:val="7"/>
          </w:tcPr>
          <w:p w:rsidR="00A81902" w:rsidRPr="00ED0867" w:rsidRDefault="00A81902" w:rsidP="00ED0867">
            <w:pPr>
              <w:pStyle w:val="Footer"/>
              <w:keepNext/>
              <w:shd w:val="clear" w:color="auto" w:fill="FFFFFF" w:themeFill="background1"/>
              <w:tabs>
                <w:tab w:val="clear" w:pos="4320"/>
                <w:tab w:val="clear" w:pos="8640"/>
                <w:tab w:val="num" w:pos="-90"/>
              </w:tabs>
              <w:ind w:left="180"/>
              <w:rPr>
                <w:b/>
                <w:bCs/>
                <w:sz w:val="18"/>
                <w:szCs w:val="18"/>
              </w:rPr>
            </w:pPr>
            <w:r w:rsidRPr="00ED0867">
              <w:rPr>
                <w:b/>
                <w:bCs/>
                <w:sz w:val="18"/>
                <w:szCs w:val="18"/>
              </w:rPr>
              <w:t xml:space="preserve">Project Objective: To promote an integrated approach to management of forests in </w:t>
            </w:r>
            <w:smartTag w:uri="urn:schemas-microsoft-com:office:smarttags" w:element="country-region">
              <w:smartTag w:uri="urn:schemas-microsoft-com:office:smarttags" w:element="place">
                <w:r w:rsidRPr="00ED0867">
                  <w:rPr>
                    <w:b/>
                    <w:bCs/>
                    <w:sz w:val="18"/>
                    <w:szCs w:val="18"/>
                  </w:rPr>
                  <w:t>Turkey</w:t>
                </w:r>
              </w:smartTag>
            </w:smartTag>
            <w:r w:rsidRPr="00ED0867">
              <w:rPr>
                <w:b/>
                <w:bCs/>
                <w:sz w:val="18"/>
                <w:szCs w:val="18"/>
              </w:rPr>
              <w:t>, demonstrating multiple environmental benefits in high conservation value forests in the Mediterranean forest region</w:t>
            </w:r>
          </w:p>
        </w:tc>
      </w:tr>
      <w:tr w:rsidR="00A81902" w:rsidRPr="00ED0867" w:rsidTr="00794537">
        <w:trPr>
          <w:trHeight w:val="547"/>
        </w:trPr>
        <w:tc>
          <w:tcPr>
            <w:tcW w:w="1350" w:type="dxa"/>
            <w:shd w:val="clear" w:color="auto" w:fill="FFFFFF"/>
            <w:tcMar>
              <w:top w:w="0" w:type="dxa"/>
              <w:left w:w="108" w:type="dxa"/>
              <w:bottom w:w="0" w:type="dxa"/>
              <w:right w:w="108" w:type="dxa"/>
            </w:tcMar>
            <w:vAlign w:val="center"/>
          </w:tcPr>
          <w:p w:rsidR="00A81902" w:rsidRPr="00ED0867" w:rsidRDefault="00A81902" w:rsidP="00ED0867">
            <w:pPr>
              <w:keepNext/>
              <w:shd w:val="clear" w:color="auto" w:fill="FFFFFF" w:themeFill="background1"/>
              <w:spacing w:after="0" w:line="240" w:lineRule="auto"/>
              <w:ind w:right="-108"/>
              <w:jc w:val="center"/>
              <w:rPr>
                <w:rFonts w:ascii="Times New Roman" w:hAnsi="Times New Roman"/>
                <w:b/>
                <w:bCs/>
                <w:color w:val="000000"/>
                <w:sz w:val="18"/>
                <w:szCs w:val="18"/>
                <w:lang w:val="ru-RU"/>
              </w:rPr>
            </w:pPr>
            <w:bookmarkStart w:id="8" w:name="OLE_LINK1"/>
            <w:r w:rsidRPr="00ED0867">
              <w:rPr>
                <w:rFonts w:ascii="Times New Roman" w:hAnsi="Times New Roman"/>
                <w:b/>
                <w:bCs/>
                <w:color w:val="000000"/>
                <w:sz w:val="18"/>
                <w:szCs w:val="18"/>
                <w:lang w:val="ru-RU"/>
              </w:rPr>
              <w:t>Project Component</w:t>
            </w:r>
          </w:p>
        </w:tc>
        <w:tc>
          <w:tcPr>
            <w:tcW w:w="470" w:type="dxa"/>
            <w:shd w:val="clear" w:color="auto" w:fill="FFFFFF"/>
            <w:tcMar>
              <w:top w:w="0" w:type="dxa"/>
              <w:left w:w="108" w:type="dxa"/>
              <w:bottom w:w="0" w:type="dxa"/>
              <w:right w:w="108" w:type="dxa"/>
            </w:tcMar>
            <w:vAlign w:val="center"/>
          </w:tcPr>
          <w:p w:rsidR="00A81902" w:rsidRPr="00ED0867" w:rsidRDefault="00A81902" w:rsidP="00ED0867">
            <w:pPr>
              <w:keepNext/>
              <w:shd w:val="clear" w:color="auto" w:fill="FFFFFF" w:themeFill="background1"/>
              <w:spacing w:after="0" w:line="240" w:lineRule="auto"/>
              <w:ind w:left="-108" w:right="-108"/>
              <w:jc w:val="center"/>
              <w:rPr>
                <w:rFonts w:ascii="Times New Roman" w:hAnsi="Times New Roman"/>
                <w:b/>
                <w:bCs/>
                <w:color w:val="000000"/>
                <w:sz w:val="18"/>
                <w:szCs w:val="18"/>
                <w:lang w:val="ru-RU"/>
              </w:rPr>
            </w:pPr>
            <w:r w:rsidRPr="00ED0867">
              <w:rPr>
                <w:rFonts w:ascii="Times New Roman" w:hAnsi="Times New Roman"/>
                <w:b/>
                <w:bCs/>
                <w:color w:val="000000"/>
                <w:sz w:val="18"/>
                <w:szCs w:val="18"/>
                <w:lang w:val="ru-RU"/>
              </w:rPr>
              <w:t>Grant type</w:t>
            </w:r>
          </w:p>
        </w:tc>
        <w:tc>
          <w:tcPr>
            <w:tcW w:w="259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lang w:val="ru-RU"/>
              </w:rPr>
            </w:pPr>
            <w:r w:rsidRPr="00ED0867">
              <w:rPr>
                <w:rFonts w:ascii="Times New Roman" w:hAnsi="Times New Roman"/>
                <w:b/>
                <w:bCs/>
                <w:sz w:val="18"/>
                <w:szCs w:val="18"/>
                <w:lang w:val="ru-RU"/>
              </w:rPr>
              <w:t>Expected Outcomes</w:t>
            </w:r>
          </w:p>
        </w:tc>
        <w:tc>
          <w:tcPr>
            <w:tcW w:w="4230" w:type="dxa"/>
            <w:shd w:val="clear" w:color="auto" w:fill="FFFFFF"/>
            <w:tcMar>
              <w:top w:w="0" w:type="dxa"/>
              <w:left w:w="108" w:type="dxa"/>
              <w:bottom w:w="0" w:type="dxa"/>
              <w:right w:w="108" w:type="dxa"/>
            </w:tcMar>
            <w:vAlign w:val="center"/>
          </w:tcPr>
          <w:p w:rsidR="00A81902" w:rsidRPr="00ED0867" w:rsidRDefault="00A81902" w:rsidP="00ED0867">
            <w:pPr>
              <w:keepNext/>
              <w:shd w:val="clear" w:color="auto" w:fill="FFFFFF" w:themeFill="background1"/>
              <w:spacing w:after="0" w:line="240" w:lineRule="auto"/>
              <w:ind w:left="180"/>
              <w:jc w:val="center"/>
              <w:rPr>
                <w:rFonts w:ascii="Times New Roman" w:hAnsi="Times New Roman"/>
                <w:color w:val="000000"/>
                <w:sz w:val="18"/>
                <w:szCs w:val="18"/>
                <w:lang w:val="ru-RU"/>
              </w:rPr>
            </w:pPr>
            <w:r w:rsidRPr="00ED0867">
              <w:rPr>
                <w:rFonts w:ascii="Times New Roman" w:hAnsi="Times New Roman"/>
                <w:b/>
                <w:bCs/>
                <w:color w:val="000000"/>
                <w:sz w:val="18"/>
                <w:szCs w:val="18"/>
                <w:lang w:val="ru-RU"/>
              </w:rPr>
              <w:t>Expected Outputs</w:t>
            </w:r>
          </w:p>
        </w:tc>
        <w:tc>
          <w:tcPr>
            <w:tcW w:w="720" w:type="dxa"/>
            <w:shd w:val="clear" w:color="auto" w:fill="FFFFFF"/>
            <w:tcMar>
              <w:top w:w="0" w:type="dxa"/>
              <w:left w:w="108" w:type="dxa"/>
              <w:bottom w:w="0" w:type="dxa"/>
              <w:right w:w="108" w:type="dxa"/>
            </w:tcMar>
          </w:tcPr>
          <w:p w:rsidR="00A81902" w:rsidRPr="00ED0867" w:rsidRDefault="00A81902" w:rsidP="00ED0867">
            <w:pPr>
              <w:keepNext/>
              <w:shd w:val="clear" w:color="auto" w:fill="FFFFFF" w:themeFill="background1"/>
              <w:spacing w:after="0" w:line="240" w:lineRule="auto"/>
              <w:ind w:left="-108" w:right="-108"/>
              <w:jc w:val="center"/>
              <w:rPr>
                <w:rFonts w:ascii="Times New Roman" w:hAnsi="Times New Roman"/>
                <w:b/>
                <w:bCs/>
                <w:color w:val="000000"/>
                <w:sz w:val="18"/>
                <w:szCs w:val="18"/>
              </w:rPr>
            </w:pPr>
            <w:r w:rsidRPr="00ED0867">
              <w:rPr>
                <w:rFonts w:ascii="Times New Roman" w:hAnsi="Times New Roman"/>
                <w:b/>
                <w:bCs/>
                <w:color w:val="000000"/>
                <w:sz w:val="18"/>
                <w:szCs w:val="18"/>
              </w:rPr>
              <w:t>Trust Fund</w:t>
            </w:r>
          </w:p>
        </w:tc>
        <w:tc>
          <w:tcPr>
            <w:tcW w:w="1350" w:type="dxa"/>
            <w:shd w:val="clear" w:color="auto" w:fill="FFFFFF"/>
            <w:tcMar>
              <w:top w:w="0" w:type="dxa"/>
              <w:left w:w="108" w:type="dxa"/>
              <w:bottom w:w="0" w:type="dxa"/>
              <w:right w:w="108" w:type="dxa"/>
            </w:tcMar>
          </w:tcPr>
          <w:p w:rsidR="00A81902" w:rsidRPr="00ED0867" w:rsidRDefault="00A81902" w:rsidP="00ED0867">
            <w:pPr>
              <w:keepNext/>
              <w:shd w:val="clear" w:color="auto" w:fill="FFFFFF" w:themeFill="background1"/>
              <w:spacing w:after="0" w:line="240" w:lineRule="auto"/>
              <w:ind w:left="-108" w:right="-108"/>
              <w:jc w:val="center"/>
              <w:rPr>
                <w:rFonts w:ascii="Times New Roman" w:hAnsi="Times New Roman"/>
                <w:b/>
                <w:bCs/>
                <w:color w:val="000000"/>
                <w:sz w:val="18"/>
                <w:szCs w:val="18"/>
                <w:lang w:val="ru-RU"/>
              </w:rPr>
            </w:pPr>
            <w:r w:rsidRPr="00ED0867">
              <w:rPr>
                <w:rFonts w:ascii="Times New Roman" w:hAnsi="Times New Roman"/>
                <w:b/>
                <w:bCs/>
                <w:color w:val="000000"/>
                <w:sz w:val="18"/>
                <w:szCs w:val="18"/>
                <w:lang w:val="ru-RU"/>
              </w:rPr>
              <w:t>Financing from relevant TF, ($)</w:t>
            </w:r>
          </w:p>
        </w:tc>
        <w:tc>
          <w:tcPr>
            <w:tcW w:w="117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08" w:right="-108"/>
              <w:jc w:val="center"/>
              <w:rPr>
                <w:rFonts w:ascii="Times New Roman" w:hAnsi="Times New Roman"/>
                <w:color w:val="000000"/>
                <w:sz w:val="18"/>
                <w:szCs w:val="18"/>
                <w:lang w:val="ru-RU"/>
              </w:rPr>
            </w:pPr>
            <w:r w:rsidRPr="00ED0867">
              <w:rPr>
                <w:rFonts w:ascii="Times New Roman" w:hAnsi="Times New Roman"/>
                <w:b/>
                <w:bCs/>
                <w:color w:val="000000"/>
                <w:sz w:val="18"/>
                <w:szCs w:val="18"/>
                <w:lang w:val="ru-RU"/>
              </w:rPr>
              <w:t>Indicative co-financing, ($)</w:t>
            </w:r>
          </w:p>
        </w:tc>
      </w:tr>
      <w:tr w:rsidR="00A81902" w:rsidRPr="00ED0867" w:rsidTr="00794537">
        <w:trPr>
          <w:trHeight w:val="314"/>
        </w:trPr>
        <w:tc>
          <w:tcPr>
            <w:tcW w:w="135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right="-108"/>
              <w:rPr>
                <w:rFonts w:ascii="Times New Roman" w:hAnsi="Times New Roman"/>
                <w:sz w:val="18"/>
                <w:szCs w:val="18"/>
              </w:rPr>
            </w:pPr>
            <w:r w:rsidRPr="00ED0867">
              <w:rPr>
                <w:rFonts w:ascii="Times New Roman" w:hAnsi="Times New Roman"/>
                <w:sz w:val="18"/>
                <w:szCs w:val="18"/>
              </w:rPr>
              <w:t>1. Policy and institutional framework for integrated forest management within landscape</w:t>
            </w:r>
          </w:p>
        </w:tc>
        <w:tc>
          <w:tcPr>
            <w:tcW w:w="47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right="-108"/>
              <w:jc w:val="center"/>
              <w:rPr>
                <w:rFonts w:ascii="Times New Roman" w:hAnsi="Times New Roman"/>
                <w:sz w:val="18"/>
                <w:szCs w:val="18"/>
                <w:lang w:val="ru-RU"/>
              </w:rPr>
            </w:pPr>
            <w:r w:rsidRPr="00ED0867">
              <w:rPr>
                <w:rFonts w:ascii="Times New Roman" w:hAnsi="Times New Roman"/>
                <w:sz w:val="18"/>
                <w:szCs w:val="18"/>
                <w:lang w:val="ru-RU"/>
              </w:rPr>
              <w:t>TA</w:t>
            </w:r>
          </w:p>
        </w:tc>
        <w:tc>
          <w:tcPr>
            <w:tcW w:w="2590" w:type="dxa"/>
            <w:shd w:val="clear" w:color="auto" w:fill="FFFFFF"/>
            <w:tcMar>
              <w:top w:w="0" w:type="dxa"/>
              <w:left w:w="108" w:type="dxa"/>
              <w:bottom w:w="0" w:type="dxa"/>
              <w:right w:w="108" w:type="dxa"/>
            </w:tcMar>
          </w:tcPr>
          <w:p w:rsidR="00A81902" w:rsidRPr="00ED0867" w:rsidRDefault="00A81902" w:rsidP="00ED0867">
            <w:pPr>
              <w:pStyle w:val="B"/>
              <w:shd w:val="clear" w:color="auto" w:fill="FFFFFF" w:themeFill="background1"/>
              <w:spacing w:before="0" w:after="80"/>
            </w:pPr>
            <w:r w:rsidRPr="00ED0867">
              <w:t xml:space="preserve">Enabling policy environment and capacitated institutions for multiple-use forest management ensuring enhanced protection of biodiversity, conservation of carbon pools and forest-based sequestration of GHG. </w:t>
            </w:r>
          </w:p>
          <w:p w:rsidR="00A81902" w:rsidRPr="00ED0867" w:rsidRDefault="00A81902" w:rsidP="00ED0867">
            <w:pPr>
              <w:pStyle w:val="B"/>
              <w:shd w:val="clear" w:color="auto" w:fill="FFFFFF" w:themeFill="background1"/>
              <w:spacing w:before="0" w:after="80"/>
            </w:pPr>
            <w:r w:rsidRPr="00ED0867">
              <w:t xml:space="preserve">This will have an immediate bearing on </w:t>
            </w:r>
            <w:smartTag w:uri="urn:schemas-microsoft-com:office:smarttags" w:element="country-region">
              <w:r w:rsidRPr="00ED0867">
                <w:t>Turkey</w:t>
              </w:r>
            </w:smartTag>
            <w:r w:rsidRPr="00ED0867">
              <w:t xml:space="preserve">’s Mediterranean forest landscape (&gt;0.45 </w:t>
            </w:r>
            <w:proofErr w:type="spellStart"/>
            <w:r w:rsidRPr="00ED0867">
              <w:t>mln</w:t>
            </w:r>
            <w:proofErr w:type="spellEnd"/>
            <w:r w:rsidRPr="00ED0867">
              <w:t xml:space="preserve"> ha), and catalytic effect on all high nature value forests in </w:t>
            </w:r>
            <w:smartTag w:uri="urn:schemas-microsoft-com:office:smarttags" w:element="country-region">
              <w:smartTag w:uri="urn:schemas-microsoft-com:office:smarttags" w:element="place">
                <w:r w:rsidRPr="00ED0867">
                  <w:t>Turkey</w:t>
                </w:r>
              </w:smartTag>
            </w:smartTag>
            <w:r w:rsidRPr="00ED0867">
              <w:t xml:space="preserve"> (21.2 </w:t>
            </w:r>
            <w:proofErr w:type="spellStart"/>
            <w:r w:rsidRPr="00ED0867">
              <w:t>mln</w:t>
            </w:r>
            <w:proofErr w:type="spellEnd"/>
            <w:r w:rsidRPr="00ED0867">
              <w:t xml:space="preserve"> ha).</w:t>
            </w:r>
          </w:p>
          <w:p w:rsidR="00A81902" w:rsidRPr="00ED0867" w:rsidRDefault="00A81902" w:rsidP="00ED0867">
            <w:pPr>
              <w:pStyle w:val="B"/>
              <w:shd w:val="clear" w:color="auto" w:fill="FFFFFF" w:themeFill="background1"/>
              <w:spacing w:before="0" w:after="80"/>
              <w:rPr>
                <w:lang w:val="ru-RU"/>
              </w:rPr>
            </w:pPr>
            <w:r w:rsidRPr="00ED0867">
              <w:rPr>
                <w:lang w:val="ru-RU"/>
              </w:rPr>
              <w:t>SFM benefits:</w:t>
            </w:r>
          </w:p>
          <w:p w:rsidR="00A81902" w:rsidRPr="00ED0867" w:rsidRDefault="00A81902" w:rsidP="00ED0867">
            <w:pPr>
              <w:pStyle w:val="ListParagraph"/>
              <w:numPr>
                <w:ilvl w:val="1"/>
                <w:numId w:val="21"/>
              </w:numPr>
              <w:shd w:val="clear" w:color="auto" w:fill="FFFFFF" w:themeFill="background1"/>
              <w:tabs>
                <w:tab w:val="clear" w:pos="900"/>
                <w:tab w:val="num" w:pos="232"/>
              </w:tabs>
              <w:ind w:left="0" w:firstLine="0"/>
              <w:rPr>
                <w:sz w:val="18"/>
              </w:rPr>
            </w:pPr>
            <w:r w:rsidRPr="00ED0867">
              <w:rPr>
                <w:sz w:val="18"/>
              </w:rPr>
              <w:t xml:space="preserve">Raised readiness of country for trading forest emissions reduction in markets. </w:t>
            </w:r>
          </w:p>
          <w:p w:rsidR="00A81902" w:rsidRPr="00ED0867" w:rsidRDefault="00A81902" w:rsidP="00ED0867">
            <w:pPr>
              <w:pStyle w:val="ListParagraph"/>
              <w:numPr>
                <w:ilvl w:val="1"/>
                <w:numId w:val="21"/>
              </w:numPr>
              <w:shd w:val="clear" w:color="auto" w:fill="FFFFFF" w:themeFill="background1"/>
              <w:tabs>
                <w:tab w:val="clear" w:pos="900"/>
                <w:tab w:val="num" w:pos="232"/>
              </w:tabs>
              <w:ind w:left="0" w:firstLine="0"/>
              <w:rPr>
                <w:sz w:val="18"/>
              </w:rPr>
            </w:pPr>
            <w:r w:rsidRPr="00ED0867">
              <w:rPr>
                <w:sz w:val="18"/>
              </w:rPr>
              <w:t xml:space="preserve">MRV for forest-based mitigation and sequestration in </w:t>
            </w:r>
            <w:smartTag w:uri="urn:schemas-microsoft-com:office:smarttags" w:element="country-region">
              <w:smartTag w:uri="urn:schemas-microsoft-com:office:smarttags" w:element="place">
                <w:r w:rsidRPr="00ED0867">
                  <w:rPr>
                    <w:sz w:val="18"/>
                  </w:rPr>
                  <w:t>Turkey</w:t>
                </w:r>
              </w:smartTag>
            </w:smartTag>
            <w:r w:rsidRPr="00ED0867">
              <w:rPr>
                <w:sz w:val="18"/>
              </w:rPr>
              <w:t xml:space="preserve"> is developed (the product of outputs 1.2, 1.3, and 1.4). </w:t>
            </w:r>
          </w:p>
        </w:tc>
        <w:tc>
          <w:tcPr>
            <w:tcW w:w="4230" w:type="dxa"/>
            <w:shd w:val="clear" w:color="auto" w:fill="FFFFFF"/>
            <w:tcMar>
              <w:top w:w="0" w:type="dxa"/>
              <w:left w:w="108" w:type="dxa"/>
              <w:bottom w:w="0" w:type="dxa"/>
              <w:right w:w="108" w:type="dxa"/>
            </w:tcMar>
          </w:tcPr>
          <w:p w:rsidR="00A81902" w:rsidRPr="00ED0867" w:rsidRDefault="00A81902" w:rsidP="00ED0867">
            <w:pPr>
              <w:pStyle w:val="B"/>
              <w:numPr>
                <w:ilvl w:val="1"/>
                <w:numId w:val="14"/>
              </w:numPr>
              <w:shd w:val="clear" w:color="auto" w:fill="FFFFFF" w:themeFill="background1"/>
              <w:spacing w:before="0" w:after="80"/>
              <w:ind w:left="342" w:hanging="342"/>
            </w:pPr>
            <w:r w:rsidRPr="00ED0867">
              <w:t xml:space="preserve">Regulation and methodology on accounting for multiple benefits covering </w:t>
            </w:r>
            <w:smartTag w:uri="urn:schemas-microsoft-com:office:smarttags" w:element="country-region">
              <w:smartTag w:uri="urn:schemas-microsoft-com:office:smarttags" w:element="place">
                <w:r w:rsidRPr="00ED0867">
                  <w:t>Turkey</w:t>
                </w:r>
              </w:smartTag>
            </w:smartTag>
            <w:r w:rsidRPr="00ED0867">
              <w:t xml:space="preserve">'s high-conservation value forests. </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Set of policies and standards for Nationally Appropriate Mitigation Action in the forest sector: GHG emission reference levels set, biodiversity standards, stakeholder participation; revenue-sharing mechanism (details described in B.2). Passed through rounds of consultations with NGOs and communities and submitted to approval by Government.</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Scientifically-backed methodology and protocols for measuring carbon stocks and fluxes designed for Turkish forests, tailored on the basis of the world’s advanced measurement methods (Eddie Covariance, vegetation proxy, aerial photo analysis of crown cover using, etc.). Validated in the Mediterranean region through Output 2.5. Quality control procedures for carbon accounting developed.</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 xml:space="preserve">LULUCF-REDD data-base, feeding on data gathered using methods developed under Output 1.3, enabling decision-making on: (1) baseline </w:t>
            </w:r>
            <w:r w:rsidRPr="00ED0867">
              <w:rPr>
                <w:lang w:val="en-GB" w:eastAsia="de-DE"/>
              </w:rPr>
              <w:t xml:space="preserve">GHG emissions from LULUCF sectors, with allowance for uncertainty of </w:t>
            </w:r>
            <w:r w:rsidRPr="00ED0867">
              <w:rPr>
                <w:lang w:val="en-GB"/>
              </w:rPr>
              <w:t>calculations;</w:t>
            </w:r>
            <w:r w:rsidRPr="00ED0867">
              <w:t xml:space="preserve"> (2) potential for GHG mitigation and carbon sequestration at LULUCF forest and non-forest ecosystems; (3) location and design of mitigation and sequestration projects, (4) state of biodiversity, leakage and permanence at REDD+ sites before and after REDD+ project </w:t>
            </w:r>
            <w:r w:rsidRPr="00ED0867">
              <w:lastRenderedPageBreak/>
              <w:t>implementation.</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 xml:space="preserve">LULUCF-REDD unit at General Directorate of Forestry has the capacity and tools to design and manage forest-based mitigation and sequestration projects. </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Training Government and field foresters on LULUCF, REDD+, carbon monitoring and accounting.</w:t>
            </w:r>
          </w:p>
          <w:p w:rsidR="00A81902" w:rsidRPr="00ED0867" w:rsidRDefault="00A81902" w:rsidP="00ED0867">
            <w:pPr>
              <w:pStyle w:val="B"/>
              <w:numPr>
                <w:ilvl w:val="1"/>
                <w:numId w:val="14"/>
              </w:numPr>
              <w:shd w:val="clear" w:color="auto" w:fill="FFFFFF" w:themeFill="background1"/>
              <w:spacing w:before="0" w:after="80"/>
              <w:ind w:left="342" w:hanging="342"/>
            </w:pPr>
            <w:r w:rsidRPr="00ED0867">
              <w:t>Pipeline of mitigation and sequestration projects advertised to potential buyers, integrating results of demonstration projects from Component 2.</w:t>
            </w: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rPr>
            </w:pPr>
            <w:r w:rsidRPr="00ED0867">
              <w:rPr>
                <w:rFonts w:ascii="Times New Roman" w:hAnsi="Times New Roman"/>
                <w:sz w:val="18"/>
                <w:szCs w:val="18"/>
              </w:rPr>
              <w:lastRenderedPageBreak/>
              <w:t>GEFTF</w:t>
            </w:r>
          </w:p>
        </w:tc>
        <w:tc>
          <w:tcPr>
            <w:tcW w:w="135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lang w:val="ru-RU"/>
              </w:rPr>
              <w:t>SFM</w:t>
            </w:r>
            <w:r w:rsidRPr="00ED0867">
              <w:rPr>
                <w:rFonts w:ascii="Times New Roman" w:hAnsi="Times New Roman"/>
                <w:sz w:val="18"/>
                <w:szCs w:val="18"/>
              </w:rPr>
              <w:t>-2</w:t>
            </w:r>
            <w:r w:rsidRPr="00ED0867">
              <w:rPr>
                <w:rFonts w:ascii="Times New Roman" w:hAnsi="Times New Roman"/>
                <w:sz w:val="18"/>
                <w:szCs w:val="18"/>
                <w:lang w:val="ru-RU"/>
              </w:rPr>
              <w:t xml:space="preserve">: </w:t>
            </w:r>
            <w:r w:rsidRPr="00ED0867">
              <w:rPr>
                <w:rFonts w:ascii="Times New Roman" w:hAnsi="Times New Roman"/>
                <w:sz w:val="18"/>
                <w:szCs w:val="18"/>
              </w:rPr>
              <w:t>7</w:t>
            </w:r>
            <w:r w:rsidRPr="00ED0867">
              <w:rPr>
                <w:rFonts w:ascii="Times New Roman" w:hAnsi="Times New Roman"/>
                <w:sz w:val="18"/>
                <w:szCs w:val="18"/>
                <w:lang w:val="ru-RU"/>
              </w:rPr>
              <w:t>80,000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rPr>
              <w:t>2</w:t>
            </w:r>
            <w:r w:rsidRPr="00ED0867">
              <w:rPr>
                <w:rFonts w:ascii="Times New Roman" w:hAnsi="Times New Roman"/>
                <w:sz w:val="18"/>
                <w:szCs w:val="18"/>
                <w:lang w:val="ru-RU"/>
              </w:rPr>
              <w:t>,</w:t>
            </w:r>
            <w:r w:rsidRPr="00ED0867">
              <w:rPr>
                <w:rFonts w:ascii="Times New Roman" w:hAnsi="Times New Roman"/>
                <w:sz w:val="18"/>
                <w:szCs w:val="18"/>
              </w:rPr>
              <w:t>03</w:t>
            </w:r>
            <w:r w:rsidRPr="00ED0867">
              <w:rPr>
                <w:rFonts w:ascii="Times New Roman" w:hAnsi="Times New Roman"/>
                <w:sz w:val="18"/>
                <w:szCs w:val="18"/>
                <w:lang w:val="ru-RU"/>
              </w:rPr>
              <w:t>0,000</w:t>
            </w:r>
          </w:p>
        </w:tc>
      </w:tr>
      <w:tr w:rsidR="00A81902" w:rsidRPr="00ED0867" w:rsidTr="00794537">
        <w:trPr>
          <w:trHeight w:val="233"/>
        </w:trPr>
        <w:tc>
          <w:tcPr>
            <w:tcW w:w="135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rPr>
                <w:rFonts w:ascii="Times New Roman" w:hAnsi="Times New Roman"/>
                <w:sz w:val="18"/>
                <w:szCs w:val="18"/>
              </w:rPr>
            </w:pPr>
            <w:r w:rsidRPr="00ED0867">
              <w:rPr>
                <w:rFonts w:ascii="Times New Roman" w:hAnsi="Times New Roman"/>
                <w:sz w:val="18"/>
                <w:szCs w:val="18"/>
              </w:rPr>
              <w:lastRenderedPageBreak/>
              <w:t>2. Implementation of forest-based GHG mitigation and carbon sequestration tools within landscape</w:t>
            </w:r>
          </w:p>
        </w:tc>
        <w:tc>
          <w:tcPr>
            <w:tcW w:w="47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right="-108"/>
              <w:jc w:val="center"/>
              <w:rPr>
                <w:rFonts w:ascii="Times New Roman" w:hAnsi="Times New Roman"/>
                <w:sz w:val="18"/>
                <w:szCs w:val="18"/>
                <w:lang w:val="ru-RU"/>
              </w:rPr>
            </w:pPr>
            <w:r w:rsidRPr="00ED0867">
              <w:rPr>
                <w:rFonts w:ascii="Times New Roman" w:hAnsi="Times New Roman"/>
                <w:sz w:val="18"/>
                <w:szCs w:val="18"/>
                <w:lang w:val="ru-RU"/>
              </w:rPr>
              <w:t>Inv</w:t>
            </w:r>
          </w:p>
        </w:tc>
        <w:tc>
          <w:tcPr>
            <w:tcW w:w="2590" w:type="dxa"/>
            <w:shd w:val="clear" w:color="auto" w:fill="FFFFFF"/>
            <w:tcMar>
              <w:top w:w="0" w:type="dxa"/>
              <w:left w:w="108" w:type="dxa"/>
              <w:bottom w:w="0" w:type="dxa"/>
              <w:right w:w="108" w:type="dxa"/>
            </w:tcMar>
          </w:tcPr>
          <w:p w:rsidR="00A81902" w:rsidRPr="00ED0867" w:rsidRDefault="00A81902" w:rsidP="00ED0867">
            <w:pPr>
              <w:pStyle w:val="B"/>
              <w:shd w:val="clear" w:color="auto" w:fill="FFFFFF" w:themeFill="background1"/>
              <w:spacing w:before="0" w:after="80"/>
            </w:pPr>
            <w:r w:rsidRPr="00ED0867">
              <w:t xml:space="preserve">Demonstrated innovative mitigation and sequestration approaches implemented at pre-selected forest sites in the Mediterranean forest landscape (0.45 </w:t>
            </w:r>
            <w:proofErr w:type="spellStart"/>
            <w:r w:rsidRPr="00ED0867">
              <w:t>mln</w:t>
            </w:r>
            <w:proofErr w:type="spellEnd"/>
            <w:r w:rsidRPr="00ED0867">
              <w:t xml:space="preserve"> ha). </w:t>
            </w:r>
          </w:p>
          <w:p w:rsidR="00A81902" w:rsidRPr="00ED0867" w:rsidRDefault="00A81902" w:rsidP="00ED0867">
            <w:pPr>
              <w:shd w:val="clear" w:color="auto" w:fill="FFFFFF" w:themeFill="background1"/>
              <w:spacing w:after="80" w:line="240" w:lineRule="auto"/>
              <w:rPr>
                <w:rFonts w:ascii="Times New Roman" w:hAnsi="Times New Roman"/>
                <w:sz w:val="18"/>
                <w:szCs w:val="18"/>
                <w:lang w:val="ru-RU"/>
              </w:rPr>
            </w:pPr>
            <w:r w:rsidRPr="00ED0867">
              <w:rPr>
                <w:rFonts w:ascii="Times New Roman" w:hAnsi="Times New Roman"/>
                <w:sz w:val="18"/>
                <w:szCs w:val="18"/>
                <w:lang w:val="ru-RU"/>
              </w:rPr>
              <w:t xml:space="preserve">CC benefits: </w:t>
            </w:r>
          </w:p>
          <w:p w:rsidR="00A81902" w:rsidRPr="00ED0867" w:rsidRDefault="00A81902" w:rsidP="00ED0867">
            <w:pPr>
              <w:pStyle w:val="ListParagraph"/>
              <w:numPr>
                <w:ilvl w:val="1"/>
                <w:numId w:val="22"/>
              </w:numPr>
              <w:shd w:val="clear" w:color="auto" w:fill="FFFFFF" w:themeFill="background1"/>
              <w:tabs>
                <w:tab w:val="clear" w:pos="900"/>
                <w:tab w:val="num" w:pos="232"/>
              </w:tabs>
              <w:ind w:left="0" w:firstLine="0"/>
              <w:rPr>
                <w:sz w:val="18"/>
              </w:rPr>
            </w:pPr>
            <w:r w:rsidRPr="00ED0867">
              <w:rPr>
                <w:sz w:val="18"/>
              </w:rPr>
              <w:t>Avoiding 123,591 tCO2/y,</w:t>
            </w:r>
          </w:p>
          <w:p w:rsidR="00A81902" w:rsidRPr="00ED0867" w:rsidRDefault="00A81902" w:rsidP="00ED0867">
            <w:pPr>
              <w:pStyle w:val="ListParagraph"/>
              <w:numPr>
                <w:ilvl w:val="1"/>
                <w:numId w:val="22"/>
              </w:numPr>
              <w:shd w:val="clear" w:color="auto" w:fill="FFFFFF" w:themeFill="background1"/>
              <w:tabs>
                <w:tab w:val="clear" w:pos="900"/>
                <w:tab w:val="num" w:pos="232"/>
              </w:tabs>
              <w:ind w:left="0" w:firstLine="0"/>
              <w:rPr>
                <w:sz w:val="18"/>
              </w:rPr>
            </w:pPr>
            <w:r w:rsidRPr="00ED0867">
              <w:rPr>
                <w:sz w:val="18"/>
              </w:rPr>
              <w:t xml:space="preserve">Increased sequestration equivalent </w:t>
            </w:r>
            <w:proofErr w:type="gramStart"/>
            <w:r w:rsidRPr="00ED0867">
              <w:rPr>
                <w:sz w:val="18"/>
              </w:rPr>
              <w:t>to 7,340 tCO2/y (</w:t>
            </w:r>
            <w:r w:rsidRPr="00ED0867">
              <w:rPr>
                <w:sz w:val="18"/>
                <w:lang w:val="ru-RU"/>
              </w:rPr>
              <w:t>с</w:t>
            </w:r>
            <w:proofErr w:type="spellStart"/>
            <w:r w:rsidRPr="00ED0867">
              <w:rPr>
                <w:sz w:val="18"/>
              </w:rPr>
              <w:t>alculations</w:t>
            </w:r>
            <w:proofErr w:type="spellEnd"/>
            <w:r w:rsidRPr="00ED0867">
              <w:rPr>
                <w:sz w:val="18"/>
              </w:rPr>
              <w:t xml:space="preserve"> explained further in the text)</w:t>
            </w:r>
            <w:proofErr w:type="gramEnd"/>
            <w:r w:rsidRPr="00ED0867">
              <w:rPr>
                <w:sz w:val="18"/>
              </w:rPr>
              <w:t>.</w:t>
            </w:r>
          </w:p>
        </w:tc>
        <w:tc>
          <w:tcPr>
            <w:tcW w:w="4230" w:type="dxa"/>
            <w:shd w:val="clear" w:color="auto" w:fill="FFFFFF"/>
            <w:tcMar>
              <w:top w:w="0" w:type="dxa"/>
              <w:left w:w="108" w:type="dxa"/>
              <w:bottom w:w="0" w:type="dxa"/>
              <w:right w:w="108" w:type="dxa"/>
            </w:tcMar>
          </w:tcPr>
          <w:p w:rsidR="00A81902" w:rsidRPr="00ED0867" w:rsidRDefault="00A81902" w:rsidP="00ED0867">
            <w:pPr>
              <w:pStyle w:val="B"/>
              <w:numPr>
                <w:ilvl w:val="1"/>
                <w:numId w:val="16"/>
              </w:numPr>
              <w:shd w:val="clear" w:color="auto" w:fill="FFFFFF" w:themeFill="background1"/>
              <w:spacing w:before="0" w:after="80"/>
              <w:ind w:left="342"/>
            </w:pPr>
            <w:r w:rsidRPr="00ED0867">
              <w:t>Integrated district-level forest fire prevention systems, embedding early warning and hazard risk data in daily forest management, streamlined collaboration between emergency and forestry officers.</w:t>
            </w:r>
          </w:p>
          <w:p w:rsidR="00A81902" w:rsidRPr="00ED0867" w:rsidRDefault="00A81902" w:rsidP="00ED0867">
            <w:pPr>
              <w:pStyle w:val="B"/>
              <w:numPr>
                <w:ilvl w:val="1"/>
                <w:numId w:val="16"/>
              </w:numPr>
              <w:shd w:val="clear" w:color="auto" w:fill="FFFFFF" w:themeFill="background1"/>
              <w:spacing w:before="0" w:after="80"/>
              <w:ind w:left="342"/>
            </w:pPr>
            <w:r w:rsidRPr="00ED0867">
              <w:t>Improved tree species management using indigenous species, resulting in increase in carbon build-up potential compared to traditional forest management practices.</w:t>
            </w:r>
          </w:p>
          <w:p w:rsidR="00A81902" w:rsidRPr="00ED0867" w:rsidRDefault="00A81902" w:rsidP="00ED0867">
            <w:pPr>
              <w:pStyle w:val="B"/>
              <w:numPr>
                <w:ilvl w:val="1"/>
                <w:numId w:val="16"/>
              </w:numPr>
              <w:shd w:val="clear" w:color="auto" w:fill="FFFFFF" w:themeFill="background1"/>
              <w:spacing w:before="0" w:after="80"/>
              <w:ind w:left="342"/>
            </w:pPr>
            <w:r w:rsidRPr="00ED0867">
              <w:t>Micro-crediting program to support access to solar water heating in demonstration areas as a means to avoid illicit cutting of native forests (100% co-financed. Further details are found in Section B.2)</w:t>
            </w:r>
          </w:p>
          <w:p w:rsidR="00A81902" w:rsidRPr="00ED0867" w:rsidRDefault="00A81902" w:rsidP="00ED0867">
            <w:pPr>
              <w:pStyle w:val="B"/>
              <w:numPr>
                <w:ilvl w:val="1"/>
                <w:numId w:val="16"/>
              </w:numPr>
              <w:shd w:val="clear" w:color="auto" w:fill="FFFFFF" w:themeFill="background1"/>
              <w:spacing w:before="0" w:after="80"/>
              <w:ind w:left="342"/>
            </w:pPr>
            <w:r w:rsidRPr="00ED0867">
              <w:rPr>
                <w:lang w:val="en-GB"/>
              </w:rPr>
              <w:t xml:space="preserve">Two pest early warning </w:t>
            </w:r>
            <w:proofErr w:type="spellStart"/>
            <w:r w:rsidRPr="00ED0867">
              <w:rPr>
                <w:lang w:val="en-GB"/>
              </w:rPr>
              <w:t>centers</w:t>
            </w:r>
            <w:proofErr w:type="spellEnd"/>
            <w:r w:rsidRPr="00ED0867">
              <w:rPr>
                <w:lang w:val="en-GB"/>
              </w:rPr>
              <w:t xml:space="preserve"> set up in the Mediterranean region, equipped with technologies for distant and field observations and early problem identification; a laboratory dedicated to research on predator insects set up at each </w:t>
            </w:r>
            <w:proofErr w:type="spellStart"/>
            <w:r w:rsidRPr="00ED0867">
              <w:rPr>
                <w:lang w:val="en-GB"/>
              </w:rPr>
              <w:t>center</w:t>
            </w:r>
            <w:proofErr w:type="spellEnd"/>
            <w:r w:rsidRPr="00ED0867">
              <w:rPr>
                <w:lang w:val="en-GB"/>
              </w:rPr>
              <w:t>. Piloting predator insects as a response measure.</w:t>
            </w:r>
          </w:p>
          <w:p w:rsidR="00A81902" w:rsidRPr="00ED0867" w:rsidRDefault="00A81902" w:rsidP="00ED0867">
            <w:pPr>
              <w:pStyle w:val="B"/>
              <w:numPr>
                <w:ilvl w:val="1"/>
                <w:numId w:val="16"/>
              </w:numPr>
              <w:shd w:val="clear" w:color="auto" w:fill="FFFFFF" w:themeFill="background1"/>
              <w:spacing w:before="0" w:after="80"/>
              <w:ind w:left="342"/>
            </w:pPr>
            <w:r w:rsidRPr="00ED0867">
              <w:rPr>
                <w:rFonts w:ascii="Calibri" w:hAnsi="Calibri"/>
                <w:sz w:val="22"/>
                <w:szCs w:val="22"/>
              </w:rPr>
              <w:t>C</w:t>
            </w:r>
            <w:r w:rsidRPr="00ED0867">
              <w:t>arbon stock and flux measurements taken at pre-selected monitoring sites within the demonstration areas and at protected areas, using the methodology designed in Output 1.3. Carbon protocols completed before, during and after the implementation of mitigation projects (Outputs 2.1-2.4). Data transferred to the centralized LULUCF-REDD data-base (Output 1.4). Precision of carbon benefits produced of the project is improved every time the measurements are taken.</w:t>
            </w:r>
          </w:p>
          <w:p w:rsidR="00A81902" w:rsidRPr="00ED0867" w:rsidRDefault="00A81902" w:rsidP="00ED0867">
            <w:pPr>
              <w:pStyle w:val="B"/>
              <w:numPr>
                <w:ilvl w:val="1"/>
                <w:numId w:val="16"/>
              </w:numPr>
              <w:shd w:val="clear" w:color="auto" w:fill="FFFFFF" w:themeFill="background1"/>
              <w:spacing w:before="0" w:after="80"/>
              <w:ind w:left="342"/>
            </w:pPr>
            <w:r w:rsidRPr="00ED0867">
              <w:t>Permanence addressed through modification of forest user plans, establishing special protection regime for the pilot areas and stipulating conditions for continued carbon monitoring and non-deterioration of carbon stocks.</w:t>
            </w: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rPr>
            </w:pPr>
            <w:r w:rsidRPr="00ED0867">
              <w:rPr>
                <w:rFonts w:ascii="Times New Roman" w:hAnsi="Times New Roman"/>
                <w:sz w:val="18"/>
                <w:szCs w:val="18"/>
              </w:rPr>
              <w:t>GEFTF</w:t>
            </w:r>
          </w:p>
        </w:tc>
        <w:tc>
          <w:tcPr>
            <w:tcW w:w="135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lang w:val="ru-RU"/>
              </w:rPr>
              <w:t>CC: 3,</w:t>
            </w:r>
            <w:r w:rsidRPr="00ED0867">
              <w:rPr>
                <w:rFonts w:ascii="Times New Roman" w:hAnsi="Times New Roman"/>
                <w:sz w:val="18"/>
                <w:szCs w:val="18"/>
              </w:rPr>
              <w:t>974</w:t>
            </w:r>
            <w:r w:rsidRPr="00ED0867">
              <w:rPr>
                <w:rFonts w:ascii="Times New Roman" w:hAnsi="Times New Roman"/>
                <w:sz w:val="18"/>
                <w:szCs w:val="18"/>
                <w:lang w:val="ru-RU"/>
              </w:rPr>
              <w:t>,</w:t>
            </w:r>
            <w:r w:rsidRPr="00ED0867">
              <w:rPr>
                <w:rFonts w:ascii="Times New Roman" w:hAnsi="Times New Roman"/>
                <w:sz w:val="18"/>
                <w:szCs w:val="18"/>
              </w:rPr>
              <w:t>270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lang w:val="ru-RU"/>
              </w:rPr>
              <w:t>1</w:t>
            </w:r>
            <w:r w:rsidRPr="00ED0867">
              <w:rPr>
                <w:rFonts w:ascii="Times New Roman" w:hAnsi="Times New Roman"/>
                <w:sz w:val="18"/>
                <w:szCs w:val="18"/>
              </w:rPr>
              <w:t>3</w:t>
            </w:r>
            <w:r w:rsidRPr="00ED0867">
              <w:rPr>
                <w:rFonts w:ascii="Times New Roman" w:hAnsi="Times New Roman"/>
                <w:sz w:val="18"/>
                <w:szCs w:val="18"/>
                <w:lang w:val="ru-RU"/>
              </w:rPr>
              <w:t>,</w:t>
            </w:r>
            <w:r w:rsidRPr="00ED0867">
              <w:rPr>
                <w:rFonts w:ascii="Times New Roman" w:hAnsi="Times New Roman"/>
                <w:sz w:val="18"/>
                <w:szCs w:val="18"/>
              </w:rPr>
              <w:t>880</w:t>
            </w:r>
            <w:r w:rsidRPr="00ED0867">
              <w:rPr>
                <w:rFonts w:ascii="Times New Roman" w:hAnsi="Times New Roman"/>
                <w:sz w:val="18"/>
                <w:szCs w:val="18"/>
                <w:lang w:val="ru-RU"/>
              </w:rPr>
              <w:t>,</w:t>
            </w:r>
            <w:r w:rsidRPr="00ED0867">
              <w:rPr>
                <w:rFonts w:ascii="Times New Roman" w:hAnsi="Times New Roman"/>
                <w:sz w:val="18"/>
                <w:szCs w:val="18"/>
              </w:rPr>
              <w:t>4</w:t>
            </w:r>
            <w:r w:rsidRPr="00ED0867">
              <w:rPr>
                <w:rFonts w:ascii="Times New Roman" w:hAnsi="Times New Roman"/>
                <w:sz w:val="18"/>
                <w:szCs w:val="18"/>
                <w:lang w:val="ru-RU"/>
              </w:rPr>
              <w:t>00</w:t>
            </w:r>
          </w:p>
        </w:tc>
      </w:tr>
      <w:tr w:rsidR="00A81902" w:rsidRPr="00ED0867" w:rsidTr="00ED0867">
        <w:trPr>
          <w:trHeight w:val="584"/>
        </w:trPr>
        <w:tc>
          <w:tcPr>
            <w:tcW w:w="135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rPr>
                <w:rFonts w:ascii="Times New Roman" w:hAnsi="Times New Roman"/>
                <w:sz w:val="18"/>
                <w:szCs w:val="18"/>
              </w:rPr>
            </w:pPr>
            <w:r w:rsidRPr="00ED0867">
              <w:rPr>
                <w:rFonts w:ascii="Times New Roman" w:hAnsi="Times New Roman"/>
                <w:sz w:val="18"/>
                <w:szCs w:val="18"/>
              </w:rPr>
              <w:t>3. Strengthening protection of key conservation value forests in Mediterranean landscape</w:t>
            </w:r>
          </w:p>
        </w:tc>
        <w:tc>
          <w:tcPr>
            <w:tcW w:w="47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right="-108"/>
              <w:jc w:val="center"/>
              <w:rPr>
                <w:rFonts w:ascii="Times New Roman" w:hAnsi="Times New Roman"/>
                <w:sz w:val="18"/>
                <w:szCs w:val="18"/>
                <w:lang w:val="ru-RU"/>
              </w:rPr>
            </w:pPr>
            <w:r w:rsidRPr="00ED0867">
              <w:rPr>
                <w:rFonts w:ascii="Times New Roman" w:hAnsi="Times New Roman"/>
                <w:sz w:val="18"/>
                <w:szCs w:val="18"/>
              </w:rPr>
              <w:t>Inv.</w:t>
            </w:r>
          </w:p>
        </w:tc>
        <w:tc>
          <w:tcPr>
            <w:tcW w:w="2590" w:type="dxa"/>
            <w:shd w:val="clear" w:color="auto" w:fill="FFFFFF" w:themeFill="background1"/>
            <w:tcMar>
              <w:top w:w="0" w:type="dxa"/>
              <w:left w:w="108" w:type="dxa"/>
              <w:bottom w:w="0" w:type="dxa"/>
              <w:right w:w="108" w:type="dxa"/>
            </w:tcMar>
          </w:tcPr>
          <w:p w:rsidR="00A81902" w:rsidRPr="00ED0867" w:rsidRDefault="00A81902" w:rsidP="00ED0867">
            <w:pPr>
              <w:shd w:val="clear" w:color="auto" w:fill="FFFFFF" w:themeFill="background1"/>
              <w:spacing w:after="80" w:line="240" w:lineRule="auto"/>
              <w:rPr>
                <w:rFonts w:ascii="Times New Roman" w:hAnsi="Times New Roman"/>
                <w:sz w:val="18"/>
                <w:szCs w:val="18"/>
              </w:rPr>
            </w:pPr>
            <w:r w:rsidRPr="00ED0867">
              <w:rPr>
                <w:rFonts w:ascii="Times New Roman" w:hAnsi="Times New Roman"/>
                <w:sz w:val="18"/>
                <w:szCs w:val="18"/>
              </w:rPr>
              <w:t>Effective protection extended to 79,960 ha of under-represented Mediterranean forest habitats. All PAs have a minimum METT score of 40 (baselines and targets to be verified during project preparation)</w:t>
            </w:r>
          </w:p>
          <w:p w:rsidR="00A81902" w:rsidRPr="00ED0867" w:rsidRDefault="00A81902" w:rsidP="00ED0867">
            <w:pPr>
              <w:shd w:val="clear" w:color="auto" w:fill="FFFFFF" w:themeFill="background1"/>
              <w:spacing w:after="80" w:line="240" w:lineRule="auto"/>
              <w:rPr>
                <w:rFonts w:ascii="Times New Roman" w:hAnsi="Times New Roman"/>
                <w:sz w:val="18"/>
                <w:szCs w:val="18"/>
              </w:rPr>
            </w:pPr>
            <w:r w:rsidRPr="00ED0867">
              <w:rPr>
                <w:rFonts w:ascii="Times New Roman" w:hAnsi="Times New Roman"/>
                <w:sz w:val="18"/>
                <w:szCs w:val="18"/>
              </w:rPr>
              <w:t>Species indicators: stability of endemic conifers (</w:t>
            </w:r>
            <w:proofErr w:type="spellStart"/>
            <w:r w:rsidRPr="00ED0867">
              <w:rPr>
                <w:rFonts w:ascii="Times New Roman" w:hAnsi="Times New Roman"/>
                <w:i/>
                <w:sz w:val="18"/>
                <w:szCs w:val="18"/>
                <w:lang w:val="en-GB"/>
              </w:rPr>
              <w:t>Abies</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cilicica</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Cupressus</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sempervirens</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Pinus</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pinea</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Pinus</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nigra</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subsp</w:t>
            </w:r>
            <w:proofErr w:type="spellEnd"/>
            <w:r w:rsidRPr="00ED0867">
              <w:rPr>
                <w:rFonts w:ascii="Times New Roman" w:hAnsi="Times New Roman"/>
                <w:i/>
                <w:sz w:val="18"/>
                <w:szCs w:val="18"/>
                <w:lang w:val="en-GB"/>
              </w:rPr>
              <w:t xml:space="preserve"> </w:t>
            </w:r>
            <w:proofErr w:type="spellStart"/>
            <w:r w:rsidRPr="00ED0867">
              <w:rPr>
                <w:rFonts w:ascii="Times New Roman" w:hAnsi="Times New Roman"/>
                <w:i/>
                <w:sz w:val="18"/>
                <w:szCs w:val="18"/>
                <w:lang w:val="en-GB"/>
              </w:rPr>
              <w:t>pallasiana</w:t>
            </w:r>
            <w:proofErr w:type="spellEnd"/>
            <w:r w:rsidRPr="00ED0867">
              <w:rPr>
                <w:rFonts w:ascii="Times New Roman" w:hAnsi="Times New Roman"/>
                <w:sz w:val="18"/>
                <w:szCs w:val="18"/>
              </w:rPr>
              <w:t xml:space="preserve">) &amp; </w:t>
            </w:r>
            <w:proofErr w:type="spellStart"/>
            <w:r w:rsidRPr="00ED0867">
              <w:rPr>
                <w:rFonts w:ascii="Times New Roman" w:hAnsi="Times New Roman"/>
                <w:sz w:val="18"/>
                <w:szCs w:val="18"/>
              </w:rPr>
              <w:t>dediduous</w:t>
            </w:r>
            <w:proofErr w:type="spellEnd"/>
            <w:r w:rsidRPr="00ED0867">
              <w:rPr>
                <w:rFonts w:ascii="Times New Roman" w:hAnsi="Times New Roman"/>
                <w:sz w:val="18"/>
                <w:szCs w:val="18"/>
              </w:rPr>
              <w:t xml:space="preserve"> sp. (</w:t>
            </w:r>
            <w:proofErr w:type="spellStart"/>
            <w:r w:rsidRPr="00ED0867">
              <w:rPr>
                <w:rFonts w:ascii="Times New Roman" w:hAnsi="Times New Roman"/>
                <w:i/>
                <w:iCs/>
                <w:sz w:val="18"/>
                <w:szCs w:val="18"/>
              </w:rPr>
              <w:t>Quercus</w:t>
            </w:r>
            <w:proofErr w:type="spellEnd"/>
            <w:r w:rsidRPr="00ED0867">
              <w:rPr>
                <w:rFonts w:ascii="Times New Roman" w:hAnsi="Times New Roman"/>
                <w:i/>
                <w:iCs/>
                <w:sz w:val="18"/>
                <w:szCs w:val="18"/>
              </w:rPr>
              <w:t xml:space="preserve"> </w:t>
            </w:r>
            <w:proofErr w:type="spellStart"/>
            <w:r w:rsidRPr="00ED0867">
              <w:rPr>
                <w:rFonts w:ascii="Times New Roman" w:hAnsi="Times New Roman"/>
                <w:i/>
                <w:iCs/>
                <w:sz w:val="18"/>
                <w:szCs w:val="18"/>
              </w:rPr>
              <w:t>euboica</w:t>
            </w:r>
            <w:proofErr w:type="spellEnd"/>
            <w:r w:rsidRPr="00ED0867">
              <w:rPr>
                <w:rFonts w:ascii="Times New Roman" w:hAnsi="Times New Roman"/>
                <w:i/>
                <w:iCs/>
                <w:sz w:val="18"/>
                <w:szCs w:val="18"/>
              </w:rPr>
              <w:t xml:space="preserve">, </w:t>
            </w:r>
            <w:proofErr w:type="spellStart"/>
            <w:r w:rsidRPr="00ED0867">
              <w:rPr>
                <w:rFonts w:ascii="Times New Roman" w:hAnsi="Times New Roman"/>
                <w:i/>
                <w:iCs/>
                <w:sz w:val="18"/>
                <w:szCs w:val="18"/>
              </w:rPr>
              <w:t>Q.aucher</w:t>
            </w:r>
            <w:r w:rsidRPr="00ED0867">
              <w:rPr>
                <w:rFonts w:ascii="Times New Roman" w:hAnsi="Times New Roman"/>
                <w:sz w:val="18"/>
                <w:szCs w:val="18"/>
              </w:rPr>
              <w:t>i</w:t>
            </w:r>
            <w:proofErr w:type="spellEnd"/>
            <w:r w:rsidRPr="00ED0867">
              <w:rPr>
                <w:rFonts w:ascii="Times New Roman" w:hAnsi="Times New Roman"/>
                <w:sz w:val="18"/>
                <w:szCs w:val="18"/>
              </w:rPr>
              <w:t xml:space="preserve">)], bird &amp; mammal sp. </w:t>
            </w:r>
          </w:p>
          <w:p w:rsidR="00A81902" w:rsidRPr="00ED0867" w:rsidRDefault="00A81902" w:rsidP="00ED0867">
            <w:pPr>
              <w:shd w:val="clear" w:color="auto" w:fill="FFFFFF" w:themeFill="background1"/>
              <w:spacing w:after="80" w:line="240" w:lineRule="auto"/>
              <w:rPr>
                <w:rFonts w:ascii="Times New Roman" w:hAnsi="Times New Roman"/>
                <w:sz w:val="18"/>
                <w:szCs w:val="18"/>
              </w:rPr>
            </w:pPr>
            <w:r w:rsidRPr="00ED0867">
              <w:rPr>
                <w:rFonts w:ascii="Times New Roman" w:hAnsi="Times New Roman"/>
                <w:sz w:val="18"/>
                <w:szCs w:val="18"/>
              </w:rPr>
              <w:t>SFM benefits:</w:t>
            </w:r>
          </w:p>
          <w:p w:rsidR="00A81902" w:rsidRPr="00ED0867" w:rsidRDefault="00A81902" w:rsidP="00ED0867">
            <w:pPr>
              <w:pStyle w:val="ListParagraph"/>
              <w:numPr>
                <w:ilvl w:val="1"/>
                <w:numId w:val="23"/>
              </w:numPr>
              <w:shd w:val="clear" w:color="auto" w:fill="FFFFFF" w:themeFill="background1"/>
              <w:tabs>
                <w:tab w:val="clear" w:pos="900"/>
                <w:tab w:val="num" w:pos="232"/>
              </w:tabs>
              <w:ind w:left="0" w:firstLine="0"/>
              <w:rPr>
                <w:sz w:val="18"/>
              </w:rPr>
            </w:pPr>
            <w:r w:rsidRPr="00ED0867">
              <w:rPr>
                <w:sz w:val="18"/>
              </w:rPr>
              <w:t xml:space="preserve">New conservation areas </w:t>
            </w:r>
            <w:r w:rsidRPr="00ED0867">
              <w:rPr>
                <w:sz w:val="18"/>
                <w:shd w:val="clear" w:color="auto" w:fill="FFFFFF" w:themeFill="background1"/>
              </w:rPr>
              <w:t>result in enhancement of forest carbon stock due to removal of</w:t>
            </w:r>
            <w:r w:rsidRPr="00ED0867">
              <w:rPr>
                <w:sz w:val="18"/>
                <w:shd w:val="clear" w:color="auto" w:fill="FFFF00"/>
              </w:rPr>
              <w:t xml:space="preserve"> </w:t>
            </w:r>
            <w:r w:rsidRPr="00ED0867">
              <w:rPr>
                <w:sz w:val="18"/>
                <w:shd w:val="clear" w:color="auto" w:fill="FFFFFF" w:themeFill="background1"/>
              </w:rPr>
              <w:lastRenderedPageBreak/>
              <w:t>threats. The carbon dividend will be assessed as a result of PPG, and will be determined with precision through the application of the carbon measurement methodologies developed in Output 2.5.</w:t>
            </w:r>
          </w:p>
        </w:tc>
        <w:tc>
          <w:tcPr>
            <w:tcW w:w="423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80" w:line="240" w:lineRule="auto"/>
              <w:ind w:left="342" w:hanging="342"/>
              <w:rPr>
                <w:rFonts w:ascii="Times New Roman" w:hAnsi="Times New Roman"/>
                <w:sz w:val="18"/>
                <w:szCs w:val="18"/>
              </w:rPr>
            </w:pPr>
            <w:r w:rsidRPr="00ED0867">
              <w:rPr>
                <w:rFonts w:ascii="Times New Roman" w:hAnsi="Times New Roman"/>
                <w:sz w:val="18"/>
                <w:szCs w:val="18"/>
              </w:rPr>
              <w:lastRenderedPageBreak/>
              <w:t>3.1. New protected areas established to protect key forest types covering 79,960 ha: zoning; boundary demarcation, PA gazettal, management plans in place; emplacement of PA functions—surveillance and enforcement and pressure- state monitoring systems.</w:t>
            </w:r>
          </w:p>
          <w:p w:rsidR="00A81902" w:rsidRPr="00ED0867" w:rsidRDefault="00A81902" w:rsidP="00ED0867">
            <w:pPr>
              <w:shd w:val="clear" w:color="auto" w:fill="FFFFFF" w:themeFill="background1"/>
              <w:spacing w:after="80" w:line="240" w:lineRule="auto"/>
              <w:ind w:left="342" w:hanging="342"/>
              <w:rPr>
                <w:rFonts w:ascii="Times New Roman" w:hAnsi="Times New Roman"/>
                <w:sz w:val="18"/>
                <w:szCs w:val="18"/>
              </w:rPr>
            </w:pPr>
            <w:r w:rsidRPr="00ED0867">
              <w:rPr>
                <w:rFonts w:ascii="Times New Roman" w:hAnsi="Times New Roman"/>
                <w:sz w:val="18"/>
                <w:szCs w:val="18"/>
              </w:rPr>
              <w:t xml:space="preserve">3.2. Buffer zones and corridors embedding PAs in the wider production landscapes; Adjustment of the spatial plans of the neighboring districts governing land use allocations within buffer zones and corridors. </w:t>
            </w:r>
          </w:p>
          <w:p w:rsidR="00A81902" w:rsidRPr="00ED0867" w:rsidRDefault="00A81902" w:rsidP="00ED0867">
            <w:pPr>
              <w:shd w:val="clear" w:color="auto" w:fill="FFFFFF" w:themeFill="background1"/>
              <w:spacing w:after="80" w:line="240" w:lineRule="auto"/>
              <w:ind w:left="342" w:hanging="342"/>
              <w:rPr>
                <w:rFonts w:ascii="Times New Roman" w:hAnsi="Times New Roman"/>
                <w:sz w:val="18"/>
                <w:szCs w:val="18"/>
              </w:rPr>
            </w:pPr>
            <w:r w:rsidRPr="00ED0867">
              <w:rPr>
                <w:rFonts w:ascii="Times New Roman" w:hAnsi="Times New Roman"/>
                <w:sz w:val="18"/>
                <w:szCs w:val="18"/>
              </w:rPr>
              <w:t xml:space="preserve">3.3. Sustainable financing tested based tourism and NTFR. These will be </w:t>
            </w:r>
            <w:proofErr w:type="spellStart"/>
            <w:r w:rsidRPr="00ED0867">
              <w:rPr>
                <w:rFonts w:ascii="Times New Roman" w:hAnsi="Times New Roman"/>
                <w:sz w:val="18"/>
                <w:szCs w:val="18"/>
              </w:rPr>
              <w:t>operationalized</w:t>
            </w:r>
            <w:proofErr w:type="spellEnd"/>
            <w:r w:rsidRPr="00ED0867">
              <w:rPr>
                <w:rFonts w:ascii="Times New Roman" w:hAnsi="Times New Roman"/>
                <w:sz w:val="18"/>
                <w:szCs w:val="18"/>
              </w:rPr>
              <w:t xml:space="preserve"> as partnerships between protected area units and local communities, mediated by local community-based organizations and NGOs, in collaboration with Small Grants Program in </w:t>
            </w:r>
            <w:smartTag w:uri="urn:schemas-microsoft-com:office:smarttags" w:element="place">
              <w:smartTag w:uri="urn:schemas-microsoft-com:office:smarttags" w:element="country-region">
                <w:r w:rsidRPr="00ED0867">
                  <w:rPr>
                    <w:rFonts w:ascii="Times New Roman" w:hAnsi="Times New Roman"/>
                    <w:sz w:val="18"/>
                    <w:szCs w:val="18"/>
                  </w:rPr>
                  <w:t>Turkey</w:t>
                </w:r>
              </w:smartTag>
            </w:smartTag>
            <w:r w:rsidRPr="00ED0867">
              <w:rPr>
                <w:rFonts w:ascii="Times New Roman" w:hAnsi="Times New Roman"/>
                <w:sz w:val="18"/>
                <w:szCs w:val="18"/>
              </w:rPr>
              <w:t>.</w:t>
            </w:r>
          </w:p>
          <w:p w:rsidR="00A81902" w:rsidRPr="00ED0867" w:rsidRDefault="00A81902" w:rsidP="00ED0867">
            <w:pPr>
              <w:shd w:val="clear" w:color="auto" w:fill="FFFFFF" w:themeFill="background1"/>
              <w:spacing w:after="80" w:line="240" w:lineRule="auto"/>
              <w:ind w:left="342"/>
              <w:rPr>
                <w:rFonts w:ascii="Times New Roman" w:hAnsi="Times New Roman"/>
                <w:sz w:val="18"/>
                <w:szCs w:val="18"/>
              </w:rPr>
            </w:pP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rPr>
            </w:pPr>
            <w:r w:rsidRPr="00ED0867">
              <w:rPr>
                <w:rFonts w:ascii="Times New Roman" w:hAnsi="Times New Roman"/>
                <w:sz w:val="18"/>
                <w:szCs w:val="18"/>
              </w:rPr>
              <w:t>GEFTF</w:t>
            </w:r>
          </w:p>
        </w:tc>
        <w:tc>
          <w:tcPr>
            <w:tcW w:w="135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rPr>
            </w:pPr>
            <w:r w:rsidRPr="00ED0867">
              <w:rPr>
                <w:rFonts w:ascii="Times New Roman" w:hAnsi="Times New Roman"/>
                <w:sz w:val="18"/>
                <w:szCs w:val="18"/>
                <w:lang w:val="ru-RU"/>
              </w:rPr>
              <w:t xml:space="preserve">BD: </w:t>
            </w:r>
            <w:r w:rsidRPr="00ED0867">
              <w:rPr>
                <w:rFonts w:ascii="Times New Roman" w:hAnsi="Times New Roman"/>
                <w:sz w:val="18"/>
                <w:szCs w:val="18"/>
              </w:rPr>
              <w:t>915</w:t>
            </w:r>
            <w:r w:rsidRPr="00ED0867">
              <w:rPr>
                <w:rFonts w:ascii="Times New Roman" w:hAnsi="Times New Roman"/>
                <w:sz w:val="18"/>
                <w:szCs w:val="18"/>
                <w:lang w:val="ru-RU"/>
              </w:rPr>
              <w:t>,</w:t>
            </w:r>
            <w:r w:rsidRPr="00ED0867">
              <w:rPr>
                <w:rFonts w:ascii="Times New Roman" w:hAnsi="Times New Roman"/>
                <w:sz w:val="18"/>
                <w:szCs w:val="18"/>
              </w:rPr>
              <w:t>730</w:t>
            </w:r>
          </w:p>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lang w:val="ru-RU"/>
              </w:rPr>
              <w:t>SFM</w:t>
            </w:r>
            <w:r w:rsidRPr="00ED0867">
              <w:rPr>
                <w:rFonts w:ascii="Times New Roman" w:hAnsi="Times New Roman"/>
                <w:sz w:val="18"/>
                <w:szCs w:val="18"/>
              </w:rPr>
              <w:t>-1</w:t>
            </w:r>
            <w:r w:rsidRPr="00ED0867">
              <w:rPr>
                <w:rFonts w:ascii="Times New Roman" w:hAnsi="Times New Roman"/>
                <w:sz w:val="18"/>
                <w:szCs w:val="18"/>
                <w:lang w:val="ru-RU"/>
              </w:rPr>
              <w:t xml:space="preserve">: </w:t>
            </w:r>
            <w:r w:rsidRPr="00ED0867">
              <w:rPr>
                <w:rFonts w:ascii="Times New Roman" w:hAnsi="Times New Roman"/>
                <w:sz w:val="18"/>
                <w:szCs w:val="18"/>
              </w:rPr>
              <w:t>850</w:t>
            </w:r>
            <w:r w:rsidRPr="00ED0867">
              <w:rPr>
                <w:rFonts w:ascii="Times New Roman" w:hAnsi="Times New Roman"/>
                <w:sz w:val="18"/>
                <w:szCs w:val="18"/>
                <w:lang w:val="ru-RU"/>
              </w:rPr>
              <w:t>,000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line="240" w:lineRule="auto"/>
              <w:ind w:left="-108" w:right="-108"/>
              <w:jc w:val="center"/>
              <w:rPr>
                <w:rFonts w:ascii="Times New Roman" w:hAnsi="Times New Roman"/>
                <w:sz w:val="18"/>
                <w:szCs w:val="18"/>
                <w:lang w:val="ru-RU"/>
              </w:rPr>
            </w:pPr>
            <w:r w:rsidRPr="00ED0867">
              <w:rPr>
                <w:rFonts w:ascii="Times New Roman" w:hAnsi="Times New Roman"/>
                <w:sz w:val="18"/>
                <w:szCs w:val="18"/>
                <w:lang w:val="ru-RU"/>
              </w:rPr>
              <w:t>3,500,000</w:t>
            </w:r>
          </w:p>
        </w:tc>
      </w:tr>
      <w:tr w:rsidR="00A81902" w:rsidRPr="00ED0867" w:rsidTr="00937A56">
        <w:trPr>
          <w:trHeight w:val="160"/>
        </w:trPr>
        <w:tc>
          <w:tcPr>
            <w:tcW w:w="8640" w:type="dxa"/>
            <w:gridSpan w:val="4"/>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80" w:hanging="180"/>
              <w:rPr>
                <w:rFonts w:ascii="Times New Roman" w:hAnsi="Times New Roman"/>
                <w:sz w:val="18"/>
                <w:szCs w:val="18"/>
              </w:rPr>
            </w:pPr>
            <w:r w:rsidRPr="00ED0867">
              <w:rPr>
                <w:rFonts w:ascii="Times New Roman" w:hAnsi="Times New Roman"/>
                <w:sz w:val="18"/>
                <w:szCs w:val="18"/>
              </w:rPr>
              <w:lastRenderedPageBreak/>
              <w:t>Sub-total</w:t>
            </w: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08" w:right="-108"/>
              <w:jc w:val="center"/>
              <w:rPr>
                <w:rFonts w:ascii="Times New Roman" w:hAnsi="Times New Roman"/>
                <w:sz w:val="18"/>
                <w:szCs w:val="18"/>
              </w:rPr>
            </w:pPr>
          </w:p>
        </w:tc>
        <w:tc>
          <w:tcPr>
            <w:tcW w:w="135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ind w:left="-108" w:right="-108"/>
              <w:jc w:val="right"/>
              <w:rPr>
                <w:rFonts w:ascii="Times New Roman" w:hAnsi="Times New Roman"/>
                <w:sz w:val="18"/>
                <w:szCs w:val="18"/>
              </w:rPr>
            </w:pPr>
            <w:r w:rsidRPr="00ED0867">
              <w:rPr>
                <w:rFonts w:ascii="Times New Roman" w:hAnsi="Times New Roman"/>
                <w:sz w:val="18"/>
                <w:szCs w:val="18"/>
              </w:rPr>
              <w:t>6,520,000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ind w:left="-108" w:right="-108"/>
              <w:jc w:val="right"/>
              <w:rPr>
                <w:rFonts w:ascii="Times New Roman" w:hAnsi="Times New Roman"/>
                <w:sz w:val="18"/>
                <w:szCs w:val="18"/>
              </w:rPr>
            </w:pPr>
            <w:r w:rsidRPr="00ED0867">
              <w:rPr>
                <w:rFonts w:ascii="Times New Roman" w:hAnsi="Times New Roman"/>
                <w:sz w:val="18"/>
                <w:szCs w:val="18"/>
              </w:rPr>
              <w:t>19,410,400</w:t>
            </w:r>
          </w:p>
        </w:tc>
      </w:tr>
      <w:tr w:rsidR="00A81902" w:rsidRPr="00ED0867" w:rsidTr="00937A56">
        <w:trPr>
          <w:trHeight w:val="150"/>
        </w:trPr>
        <w:tc>
          <w:tcPr>
            <w:tcW w:w="8640" w:type="dxa"/>
            <w:gridSpan w:val="4"/>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80" w:hanging="180"/>
              <w:rPr>
                <w:rFonts w:ascii="Times New Roman" w:hAnsi="Times New Roman"/>
                <w:sz w:val="18"/>
                <w:szCs w:val="18"/>
              </w:rPr>
            </w:pPr>
            <w:r w:rsidRPr="00ED0867">
              <w:rPr>
                <w:rFonts w:ascii="Times New Roman" w:hAnsi="Times New Roman"/>
                <w:sz w:val="18"/>
                <w:szCs w:val="18"/>
              </w:rPr>
              <w:t>Project management cost (drawing 8.43% of each focal area)</w:t>
            </w: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08" w:right="-108"/>
              <w:jc w:val="center"/>
              <w:rPr>
                <w:rFonts w:ascii="Times New Roman" w:hAnsi="Times New Roman"/>
                <w:sz w:val="18"/>
                <w:szCs w:val="18"/>
              </w:rPr>
            </w:pPr>
            <w:r w:rsidRPr="00ED0867">
              <w:rPr>
                <w:rFonts w:ascii="Times New Roman" w:hAnsi="Times New Roman"/>
                <w:sz w:val="18"/>
                <w:szCs w:val="18"/>
              </w:rPr>
              <w:t>GEFTF</w:t>
            </w:r>
          </w:p>
        </w:tc>
        <w:tc>
          <w:tcPr>
            <w:tcW w:w="135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08" w:right="-108"/>
              <w:jc w:val="right"/>
              <w:rPr>
                <w:rFonts w:ascii="Times New Roman" w:hAnsi="Times New Roman"/>
                <w:sz w:val="18"/>
                <w:szCs w:val="18"/>
                <w:lang w:val="ru-RU"/>
              </w:rPr>
            </w:pPr>
            <w:r w:rsidRPr="00ED0867">
              <w:rPr>
                <w:rFonts w:ascii="Times New Roman" w:hAnsi="Times New Roman"/>
                <w:sz w:val="18"/>
                <w:szCs w:val="18"/>
                <w:lang w:val="ru-RU"/>
              </w:rPr>
              <w:t>600,000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ind w:left="-108" w:right="-108"/>
              <w:jc w:val="right"/>
              <w:rPr>
                <w:rFonts w:ascii="Times New Roman" w:hAnsi="Times New Roman"/>
                <w:sz w:val="18"/>
                <w:szCs w:val="18"/>
                <w:lang w:val="ru-RU"/>
              </w:rPr>
            </w:pPr>
            <w:r w:rsidRPr="00ED0867">
              <w:rPr>
                <w:rFonts w:ascii="Times New Roman" w:hAnsi="Times New Roman"/>
                <w:sz w:val="18"/>
                <w:szCs w:val="18"/>
              </w:rPr>
              <w:t>1,769</w:t>
            </w:r>
            <w:r w:rsidRPr="00ED0867">
              <w:rPr>
                <w:rFonts w:ascii="Times New Roman" w:hAnsi="Times New Roman"/>
                <w:sz w:val="18"/>
                <w:szCs w:val="18"/>
                <w:lang w:val="ru-RU"/>
              </w:rPr>
              <w:t>,</w:t>
            </w:r>
            <w:r w:rsidRPr="00ED0867">
              <w:rPr>
                <w:rFonts w:ascii="Times New Roman" w:hAnsi="Times New Roman"/>
                <w:sz w:val="18"/>
                <w:szCs w:val="18"/>
              </w:rPr>
              <w:t>6</w:t>
            </w:r>
            <w:r w:rsidRPr="00ED0867">
              <w:rPr>
                <w:rFonts w:ascii="Times New Roman" w:hAnsi="Times New Roman"/>
                <w:sz w:val="18"/>
                <w:szCs w:val="18"/>
                <w:lang w:val="ru-RU"/>
              </w:rPr>
              <w:t>00</w:t>
            </w:r>
          </w:p>
        </w:tc>
      </w:tr>
      <w:tr w:rsidR="00A81902" w:rsidRPr="00ED0867" w:rsidTr="00937A56">
        <w:tc>
          <w:tcPr>
            <w:tcW w:w="8640" w:type="dxa"/>
            <w:gridSpan w:val="4"/>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80" w:hanging="180"/>
              <w:rPr>
                <w:rFonts w:ascii="Times New Roman" w:hAnsi="Times New Roman"/>
                <w:b/>
                <w:bCs/>
                <w:sz w:val="18"/>
                <w:szCs w:val="18"/>
                <w:lang w:val="ru-RU"/>
              </w:rPr>
            </w:pPr>
            <w:r w:rsidRPr="00ED0867">
              <w:rPr>
                <w:rFonts w:ascii="Times New Roman" w:hAnsi="Times New Roman"/>
                <w:b/>
                <w:bCs/>
                <w:sz w:val="18"/>
                <w:szCs w:val="18"/>
                <w:lang w:val="ru-RU"/>
              </w:rPr>
              <w:t>Total project costs</w:t>
            </w:r>
          </w:p>
        </w:tc>
        <w:tc>
          <w:tcPr>
            <w:tcW w:w="720" w:type="dxa"/>
            <w:shd w:val="clear" w:color="auto" w:fill="FFFFFF"/>
            <w:tcMar>
              <w:top w:w="0" w:type="dxa"/>
              <w:left w:w="108" w:type="dxa"/>
              <w:bottom w:w="0" w:type="dxa"/>
              <w:right w:w="108" w:type="dxa"/>
            </w:tcMar>
          </w:tcPr>
          <w:p w:rsidR="00A81902" w:rsidRPr="00ED0867" w:rsidRDefault="00A81902" w:rsidP="00ED0867">
            <w:pPr>
              <w:shd w:val="clear" w:color="auto" w:fill="FFFFFF" w:themeFill="background1"/>
              <w:spacing w:after="0" w:line="240" w:lineRule="auto"/>
              <w:ind w:left="180" w:right="-108"/>
              <w:jc w:val="right"/>
              <w:rPr>
                <w:rFonts w:ascii="Times New Roman" w:hAnsi="Times New Roman"/>
                <w:b/>
                <w:bCs/>
                <w:sz w:val="18"/>
                <w:szCs w:val="18"/>
                <w:lang w:val="ru-RU"/>
              </w:rPr>
            </w:pPr>
          </w:p>
        </w:tc>
        <w:tc>
          <w:tcPr>
            <w:tcW w:w="135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ind w:right="-108"/>
              <w:jc w:val="right"/>
              <w:rPr>
                <w:rFonts w:ascii="Times New Roman" w:hAnsi="Times New Roman"/>
                <w:b/>
                <w:bCs/>
                <w:sz w:val="18"/>
                <w:szCs w:val="18"/>
                <w:lang w:val="ru-RU"/>
              </w:rPr>
            </w:pPr>
            <w:r w:rsidRPr="00ED0867">
              <w:rPr>
                <w:rFonts w:ascii="Times New Roman" w:hAnsi="Times New Roman"/>
                <w:b/>
                <w:bCs/>
                <w:sz w:val="18"/>
                <w:szCs w:val="18"/>
                <w:lang w:val="ru-RU"/>
              </w:rPr>
              <w:t>7,120,000</w:t>
            </w:r>
          </w:p>
        </w:tc>
        <w:tc>
          <w:tcPr>
            <w:tcW w:w="1170" w:type="dxa"/>
            <w:shd w:val="clear" w:color="auto" w:fill="FFFFFF"/>
            <w:tcMar>
              <w:top w:w="0" w:type="dxa"/>
              <w:left w:w="108" w:type="dxa"/>
              <w:bottom w:w="0" w:type="dxa"/>
              <w:right w:w="108" w:type="dxa"/>
            </w:tcMar>
            <w:vAlign w:val="center"/>
          </w:tcPr>
          <w:p w:rsidR="00A81902" w:rsidRPr="00ED0867" w:rsidRDefault="00A81902" w:rsidP="00ED0867">
            <w:pPr>
              <w:shd w:val="clear" w:color="auto" w:fill="FFFFFF" w:themeFill="background1"/>
              <w:spacing w:after="0" w:line="240" w:lineRule="auto"/>
              <w:ind w:right="-108"/>
              <w:jc w:val="right"/>
              <w:rPr>
                <w:rFonts w:ascii="Times New Roman" w:hAnsi="Times New Roman"/>
                <w:b/>
                <w:bCs/>
                <w:sz w:val="18"/>
                <w:szCs w:val="18"/>
                <w:lang w:val="ru-RU"/>
              </w:rPr>
            </w:pPr>
            <w:r w:rsidRPr="00ED0867">
              <w:rPr>
                <w:rFonts w:ascii="Times New Roman" w:hAnsi="Times New Roman"/>
                <w:b/>
                <w:bCs/>
                <w:sz w:val="18"/>
                <w:szCs w:val="18"/>
                <w:lang w:val="ru-RU"/>
              </w:rPr>
              <w:t>21,</w:t>
            </w:r>
            <w:r w:rsidRPr="00ED0867">
              <w:rPr>
                <w:rFonts w:ascii="Times New Roman" w:hAnsi="Times New Roman"/>
                <w:b/>
                <w:bCs/>
                <w:sz w:val="18"/>
                <w:szCs w:val="18"/>
              </w:rPr>
              <w:t>180</w:t>
            </w:r>
            <w:r w:rsidRPr="00ED0867">
              <w:rPr>
                <w:rFonts w:ascii="Times New Roman" w:hAnsi="Times New Roman"/>
                <w:b/>
                <w:bCs/>
                <w:sz w:val="18"/>
                <w:szCs w:val="18"/>
                <w:lang w:val="ru-RU"/>
              </w:rPr>
              <w:t>,000</w:t>
            </w:r>
          </w:p>
        </w:tc>
      </w:tr>
    </w:tbl>
    <w:p w:rsidR="00A81902" w:rsidRPr="00ED0867" w:rsidRDefault="00A81902" w:rsidP="00ED0867">
      <w:pPr>
        <w:pStyle w:val="Footer"/>
        <w:keepNext/>
        <w:numPr>
          <w:ilvl w:val="0"/>
          <w:numId w:val="1"/>
        </w:numPr>
        <w:shd w:val="clear" w:color="auto" w:fill="FFFFFF" w:themeFill="background1"/>
        <w:tabs>
          <w:tab w:val="clear" w:pos="720"/>
          <w:tab w:val="clear" w:pos="4320"/>
          <w:tab w:val="clear" w:pos="8640"/>
          <w:tab w:val="num" w:pos="-90"/>
          <w:tab w:val="left" w:pos="270"/>
        </w:tabs>
        <w:spacing w:before="120"/>
        <w:ind w:left="180" w:firstLine="0"/>
        <w:rPr>
          <w:b/>
          <w:smallCaps/>
          <w:sz w:val="22"/>
          <w:szCs w:val="22"/>
        </w:rPr>
      </w:pPr>
      <w:bookmarkStart w:id="9" w:name="OLE_LINK6"/>
      <w:bookmarkEnd w:id="8"/>
      <w:bookmarkEnd w:id="9"/>
      <w:r w:rsidRPr="00ED0867">
        <w:rPr>
          <w:b/>
          <w:smallCaps/>
          <w:sz w:val="22"/>
          <w:szCs w:val="22"/>
        </w:rPr>
        <w:t xml:space="preserve">Indicative </w:t>
      </w:r>
      <w:hyperlink r:id="rId8" w:history="1">
        <w:r w:rsidRPr="00ED0867">
          <w:rPr>
            <w:b/>
            <w:smallCaps/>
            <w:sz w:val="22"/>
            <w:szCs w:val="22"/>
          </w:rPr>
          <w:t>Co-financing</w:t>
        </w:r>
      </w:hyperlink>
      <w:r w:rsidRPr="00ED0867">
        <w:rPr>
          <w:b/>
          <w:smallCaps/>
          <w:sz w:val="22"/>
          <w:szCs w:val="22"/>
        </w:rPr>
        <w:t xml:space="preserve"> for the project by source and by name if available, ($)</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2"/>
        <w:gridCol w:w="5268"/>
        <w:gridCol w:w="2191"/>
        <w:gridCol w:w="1458"/>
      </w:tblGrid>
      <w:tr w:rsidR="00A81902" w:rsidRPr="00ED0867" w:rsidTr="00641654">
        <w:trPr>
          <w:cantSplit/>
          <w:tblHeader/>
        </w:trPr>
        <w:tc>
          <w:tcPr>
            <w:tcW w:w="1012" w:type="pct"/>
            <w:vAlign w:val="center"/>
          </w:tcPr>
          <w:p w:rsidR="00A81902" w:rsidRPr="00ED0867" w:rsidRDefault="00A81902" w:rsidP="00ED0867">
            <w:pPr>
              <w:keepNext/>
              <w:shd w:val="clear" w:color="auto" w:fill="FFFFFF" w:themeFill="background1"/>
              <w:spacing w:after="0" w:line="240" w:lineRule="auto"/>
              <w:jc w:val="center"/>
              <w:rPr>
                <w:rFonts w:ascii="Times New Roman" w:hAnsi="Times New Roman"/>
                <w:b/>
                <w:sz w:val="20"/>
                <w:szCs w:val="20"/>
              </w:rPr>
            </w:pPr>
            <w:r w:rsidRPr="00ED0867">
              <w:rPr>
                <w:rFonts w:ascii="Times New Roman" w:hAnsi="Times New Roman"/>
                <w:b/>
                <w:sz w:val="20"/>
                <w:szCs w:val="20"/>
              </w:rPr>
              <w:t>Sources of Co-financing</w:t>
            </w:r>
          </w:p>
        </w:tc>
        <w:tc>
          <w:tcPr>
            <w:tcW w:w="2356" w:type="pct"/>
            <w:vAlign w:val="center"/>
          </w:tcPr>
          <w:p w:rsidR="00A81902" w:rsidRPr="00ED0867" w:rsidRDefault="00A81902" w:rsidP="00ED0867">
            <w:pPr>
              <w:shd w:val="clear" w:color="auto" w:fill="FFFFFF" w:themeFill="background1"/>
              <w:spacing w:after="0" w:line="240" w:lineRule="auto"/>
              <w:jc w:val="center"/>
              <w:rPr>
                <w:rFonts w:ascii="Times New Roman" w:hAnsi="Times New Roman"/>
                <w:b/>
                <w:sz w:val="20"/>
                <w:szCs w:val="20"/>
              </w:rPr>
            </w:pPr>
            <w:r w:rsidRPr="00ED0867">
              <w:rPr>
                <w:rFonts w:ascii="Times New Roman" w:hAnsi="Times New Roman"/>
                <w:b/>
                <w:sz w:val="20"/>
                <w:szCs w:val="20"/>
              </w:rPr>
              <w:t>Name of Co-financier</w:t>
            </w:r>
          </w:p>
        </w:tc>
        <w:tc>
          <w:tcPr>
            <w:tcW w:w="980" w:type="pct"/>
            <w:vAlign w:val="center"/>
          </w:tcPr>
          <w:p w:rsidR="00A81902" w:rsidRPr="00ED0867" w:rsidRDefault="00A81902" w:rsidP="00ED0867">
            <w:pPr>
              <w:shd w:val="clear" w:color="auto" w:fill="FFFFFF" w:themeFill="background1"/>
              <w:spacing w:after="0" w:line="240" w:lineRule="auto"/>
              <w:jc w:val="center"/>
              <w:rPr>
                <w:rFonts w:ascii="Times New Roman" w:hAnsi="Times New Roman"/>
                <w:b/>
                <w:sz w:val="20"/>
                <w:szCs w:val="20"/>
              </w:rPr>
            </w:pPr>
            <w:r w:rsidRPr="00ED0867">
              <w:rPr>
                <w:rFonts w:ascii="Times New Roman" w:hAnsi="Times New Roman"/>
                <w:b/>
                <w:sz w:val="20"/>
                <w:szCs w:val="20"/>
              </w:rPr>
              <w:t>Type of Co-financing</w:t>
            </w:r>
          </w:p>
        </w:tc>
        <w:tc>
          <w:tcPr>
            <w:tcW w:w="652" w:type="pct"/>
            <w:vAlign w:val="center"/>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Amount ($)</w:t>
            </w:r>
          </w:p>
        </w:tc>
      </w:tr>
      <w:tr w:rsidR="00A81902" w:rsidRPr="00ED0867" w:rsidTr="00641654">
        <w:trPr>
          <w:cantSplit/>
        </w:trPr>
        <w:tc>
          <w:tcPr>
            <w:tcW w:w="1012"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srcCofin_01"/>
                  <w:enabled/>
                  <w:calcOnExit w:val="0"/>
                  <w:ddList>
                    <w:listEntry w:val="National Government"/>
                    <w:listEntry w:val="(select)"/>
                    <w:listEntry w:val="Bilateral Aid Agency (ies)"/>
                    <w:listEntry w:val="Foundation"/>
                    <w:listEntry w:val="Local Government"/>
                    <w:listEntry w:val="Multilateral Agency (ies)"/>
                    <w:listEntry w:val="NGO"/>
                    <w:listEntry w:val="Private Sector"/>
                    <w:listEntry w:val="Others"/>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General Directorate of Forestry</w:t>
            </w:r>
          </w:p>
        </w:tc>
        <w:tc>
          <w:tcPr>
            <w:tcW w:w="980"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Grant"/>
                    <w:listEntry w:val="In-kind"/>
                    <w:listEntry w:val="(select)"/>
                    <w:listEntry w:val="Soft Loan"/>
                    <w:listEntry w:val="Hard Loan"/>
                    <w:listEntry w:val="Guarantee"/>
                    <w:listEntry w:val="Unknown at this stage"/>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17,400,000</w:t>
            </w:r>
          </w:p>
        </w:tc>
      </w:tr>
      <w:tr w:rsidR="00A81902" w:rsidRPr="00ED0867" w:rsidTr="00641654">
        <w:trPr>
          <w:cantSplit/>
        </w:trPr>
        <w:tc>
          <w:tcPr>
            <w:tcW w:w="1012"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National Government"/>
                    <w:listEntry w:val="(select)"/>
                    <w:listEntry w:val="Bilateral Aid Agency (ies)"/>
                    <w:listEntry w:val="Foundation"/>
                    <w:listEntry w:val="Local Government"/>
                    <w:listEntry w:val="Multilateral Agency (ies)"/>
                    <w:listEntry w:val="NGO"/>
                    <w:listEntry w:val="Private Sector"/>
                    <w:listEntry w:val="Others"/>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General Directorate of Forestry</w:t>
            </w:r>
          </w:p>
        </w:tc>
        <w:tc>
          <w:tcPr>
            <w:tcW w:w="980"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In-kind"/>
                    <w:listEntry w:val="(select)"/>
                    <w:listEntry w:val="Grant"/>
                    <w:listEntry w:val="Soft Loan"/>
                    <w:listEntry w:val="Hard Loan"/>
                    <w:listEntry w:val="Guarantee"/>
                    <w:listEntry w:val="Unknown at this stage"/>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2,000,000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GEF Agency</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UNDP</w:t>
            </w:r>
          </w:p>
        </w:tc>
        <w:tc>
          <w:tcPr>
            <w:tcW w:w="980"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Grant"/>
                    <w:listEntry w:val="In-kind"/>
                    <w:listEntry w:val="(select)"/>
                    <w:listEntry w:val="Soft Loan"/>
                    <w:listEntry w:val="Hard Loan"/>
                    <w:listEntry w:val="Guarantee"/>
                    <w:listEntry w:val="Unknown at this stage"/>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640,000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GEF Agency</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UNDP</w:t>
            </w:r>
          </w:p>
        </w:tc>
        <w:tc>
          <w:tcPr>
            <w:tcW w:w="980"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In-kind</w:t>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180,000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Bilateral Agency</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GIZ</w:t>
            </w:r>
          </w:p>
        </w:tc>
        <w:tc>
          <w:tcPr>
            <w:tcW w:w="980"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Grant</w:t>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600,000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CSO</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WWF Turkey</w:t>
            </w:r>
          </w:p>
        </w:tc>
        <w:tc>
          <w:tcPr>
            <w:tcW w:w="980"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In-kind"/>
                    <w:listEntry w:val="(select)"/>
                    <w:listEntry w:val="Grant"/>
                    <w:listEntry w:val="Soft Loan"/>
                    <w:listEntry w:val="Hard Loan"/>
                    <w:listEntry w:val="Guarantee"/>
                    <w:listEntry w:val="Unknown at this stage"/>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150,000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CSO</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Chamber of Forest Engineers</w:t>
            </w:r>
          </w:p>
        </w:tc>
        <w:tc>
          <w:tcPr>
            <w:tcW w:w="980" w:type="pct"/>
          </w:tcPr>
          <w:p w:rsidR="00A81902" w:rsidRPr="00ED0867" w:rsidRDefault="00036E5B"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fldChar w:fldCharType="begin">
                <w:ffData>
                  <w:name w:val=""/>
                  <w:enabled/>
                  <w:calcOnExit w:val="0"/>
                  <w:ddList>
                    <w:listEntry w:val="Grant"/>
                    <w:listEntry w:val="In-kind"/>
                    <w:listEntry w:val="(select)"/>
                    <w:listEntry w:val="Soft Loan"/>
                    <w:listEntry w:val="Hard Loan"/>
                    <w:listEntry w:val="Guarantee"/>
                    <w:listEntry w:val="Unknown at this stage"/>
                  </w:ddList>
                </w:ffData>
              </w:fldChar>
            </w:r>
            <w:r w:rsidR="00A81902" w:rsidRPr="00ED0867">
              <w:rPr>
                <w:rFonts w:ascii="Times New Roman" w:hAnsi="Times New Roman"/>
                <w:sz w:val="20"/>
                <w:szCs w:val="20"/>
              </w:rPr>
              <w:instrText xml:space="preserve"> FORMDROPDOWN </w:instrText>
            </w:r>
            <w:r w:rsidRPr="00ED0867">
              <w:rPr>
                <w:rFonts w:ascii="Times New Roman" w:hAnsi="Times New Roman"/>
                <w:sz w:val="20"/>
                <w:szCs w:val="20"/>
              </w:rPr>
            </w:r>
            <w:r w:rsidRPr="00ED0867">
              <w:rPr>
                <w:rFonts w:ascii="Times New Roman" w:hAnsi="Times New Roman"/>
                <w:sz w:val="20"/>
                <w:szCs w:val="20"/>
              </w:rPr>
              <w:fldChar w:fldCharType="end"/>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110,000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CSO</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Chamber of Forest Engineers</w:t>
            </w:r>
          </w:p>
        </w:tc>
        <w:tc>
          <w:tcPr>
            <w:tcW w:w="980"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In-kind</w:t>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50,000</w:t>
            </w:r>
          </w:p>
        </w:tc>
      </w:tr>
      <w:tr w:rsidR="00A81902" w:rsidRPr="00ED0867" w:rsidTr="00641654">
        <w:trPr>
          <w:cantSplit/>
        </w:trPr>
        <w:tc>
          <w:tcPr>
            <w:tcW w:w="1012"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CSO</w:t>
            </w:r>
          </w:p>
        </w:tc>
        <w:tc>
          <w:tcPr>
            <w:tcW w:w="2356"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Forest Cooperative</w:t>
            </w:r>
          </w:p>
        </w:tc>
        <w:tc>
          <w:tcPr>
            <w:tcW w:w="980" w:type="pct"/>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In-kind</w:t>
            </w:r>
          </w:p>
        </w:tc>
        <w:tc>
          <w:tcPr>
            <w:tcW w:w="652"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50,000</w:t>
            </w:r>
          </w:p>
        </w:tc>
      </w:tr>
      <w:tr w:rsidR="00A81902" w:rsidRPr="00ED0867" w:rsidTr="00641654">
        <w:trPr>
          <w:cantSplit/>
        </w:trPr>
        <w:tc>
          <w:tcPr>
            <w:tcW w:w="1012" w:type="pct"/>
            <w:tcBorders>
              <w:top w:val="double" w:sz="4" w:space="0" w:color="auto"/>
              <w:bottom w:val="double" w:sz="4" w:space="0" w:color="auto"/>
            </w:tcBorders>
          </w:tcPr>
          <w:p w:rsidR="00A81902" w:rsidRPr="00ED0867" w:rsidRDefault="00A81902" w:rsidP="00ED0867">
            <w:pPr>
              <w:shd w:val="clear" w:color="auto" w:fill="FFFFFF" w:themeFill="background1"/>
              <w:spacing w:after="0" w:line="240" w:lineRule="auto"/>
              <w:ind w:left="180"/>
              <w:rPr>
                <w:rFonts w:ascii="Times New Roman" w:hAnsi="Times New Roman"/>
                <w:b/>
                <w:sz w:val="20"/>
                <w:szCs w:val="20"/>
              </w:rPr>
            </w:pPr>
            <w:r w:rsidRPr="00ED0867">
              <w:rPr>
                <w:rFonts w:ascii="Times New Roman" w:hAnsi="Times New Roman"/>
                <w:b/>
                <w:sz w:val="20"/>
                <w:szCs w:val="20"/>
              </w:rPr>
              <w:t xml:space="preserve">Total </w:t>
            </w:r>
            <w:proofErr w:type="spellStart"/>
            <w:r w:rsidRPr="00ED0867">
              <w:rPr>
                <w:rFonts w:ascii="Times New Roman" w:hAnsi="Times New Roman"/>
                <w:b/>
                <w:sz w:val="20"/>
                <w:szCs w:val="20"/>
              </w:rPr>
              <w:t>Cofinancing</w:t>
            </w:r>
            <w:proofErr w:type="spellEnd"/>
          </w:p>
        </w:tc>
        <w:tc>
          <w:tcPr>
            <w:tcW w:w="2356" w:type="pct"/>
            <w:tcBorders>
              <w:top w:val="double" w:sz="4" w:space="0" w:color="auto"/>
              <w:bottom w:val="double" w:sz="4" w:space="0" w:color="auto"/>
            </w:tcBorders>
            <w:shd w:val="clear" w:color="auto" w:fill="CCCCCC"/>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p>
        </w:tc>
        <w:tc>
          <w:tcPr>
            <w:tcW w:w="980" w:type="pct"/>
            <w:tcBorders>
              <w:top w:val="double" w:sz="4" w:space="0" w:color="auto"/>
              <w:bottom w:val="double" w:sz="4" w:space="0" w:color="auto"/>
            </w:tcBorders>
            <w:shd w:val="clear" w:color="auto" w:fill="CCCCCC"/>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p>
        </w:tc>
        <w:tc>
          <w:tcPr>
            <w:tcW w:w="652" w:type="pct"/>
            <w:tcBorders>
              <w:top w:val="double" w:sz="4" w:space="0" w:color="auto"/>
              <w:bottom w:val="double" w:sz="4" w:space="0" w:color="auto"/>
            </w:tcBorders>
          </w:tcPr>
          <w:p w:rsidR="00A81902" w:rsidRPr="00ED0867" w:rsidRDefault="00A81902" w:rsidP="00ED0867">
            <w:pPr>
              <w:shd w:val="clear" w:color="auto" w:fill="FFFFFF" w:themeFill="background1"/>
              <w:spacing w:after="0" w:line="240" w:lineRule="auto"/>
              <w:ind w:left="180"/>
              <w:jc w:val="right"/>
              <w:rPr>
                <w:rFonts w:ascii="Times New Roman" w:hAnsi="Times New Roman"/>
                <w:b/>
                <w:sz w:val="20"/>
                <w:szCs w:val="20"/>
              </w:rPr>
            </w:pPr>
            <w:r w:rsidRPr="00ED0867">
              <w:rPr>
                <w:rFonts w:ascii="Times New Roman" w:hAnsi="Times New Roman"/>
                <w:b/>
                <w:sz w:val="20"/>
                <w:szCs w:val="20"/>
              </w:rPr>
              <w:t>21,180,000</w:t>
            </w:r>
          </w:p>
        </w:tc>
      </w:tr>
    </w:tbl>
    <w:p w:rsidR="00A81902" w:rsidRPr="00ED0867" w:rsidRDefault="00A81902" w:rsidP="00ED0867">
      <w:pPr>
        <w:pStyle w:val="Footer"/>
        <w:numPr>
          <w:ilvl w:val="0"/>
          <w:numId w:val="1"/>
        </w:numPr>
        <w:shd w:val="clear" w:color="auto" w:fill="FFFFFF" w:themeFill="background1"/>
        <w:tabs>
          <w:tab w:val="clear" w:pos="720"/>
          <w:tab w:val="clear" w:pos="4320"/>
          <w:tab w:val="clear" w:pos="8640"/>
          <w:tab w:val="num" w:pos="-90"/>
          <w:tab w:val="left" w:pos="270"/>
        </w:tabs>
        <w:spacing w:before="200"/>
        <w:ind w:left="180" w:firstLine="0"/>
        <w:rPr>
          <w:b/>
          <w:smallCaps/>
          <w:sz w:val="22"/>
          <w:szCs w:val="22"/>
        </w:rPr>
      </w:pPr>
      <w:r w:rsidRPr="00ED0867">
        <w:rPr>
          <w:b/>
          <w:smallCaps/>
          <w:sz w:val="22"/>
          <w:szCs w:val="22"/>
        </w:rPr>
        <w:t>GEF/LDCF/SCCF Resources Requested by Agency, Focal Area and Country</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1"/>
        <w:gridCol w:w="1481"/>
        <w:gridCol w:w="1802"/>
        <w:gridCol w:w="1498"/>
        <w:gridCol w:w="1373"/>
        <w:gridCol w:w="1543"/>
        <w:gridCol w:w="1528"/>
      </w:tblGrid>
      <w:tr w:rsidR="00A81902" w:rsidRPr="00ED0867" w:rsidTr="00FE22ED">
        <w:trPr>
          <w:trHeight w:val="260"/>
        </w:trPr>
        <w:tc>
          <w:tcPr>
            <w:tcW w:w="720" w:type="pct"/>
            <w:vAlign w:val="center"/>
          </w:tcPr>
          <w:p w:rsidR="00A81902" w:rsidRPr="00ED0867" w:rsidRDefault="00A81902" w:rsidP="00ED0867">
            <w:pPr>
              <w:shd w:val="clear" w:color="auto" w:fill="FFFFFF" w:themeFill="background1"/>
              <w:spacing w:after="0" w:line="240" w:lineRule="auto"/>
              <w:ind w:left="180"/>
              <w:jc w:val="center"/>
              <w:rPr>
                <w:rFonts w:ascii="Times New Roman Bold" w:hAnsi="Times New Roman Bold"/>
                <w:b/>
                <w:sz w:val="20"/>
                <w:szCs w:val="20"/>
              </w:rPr>
            </w:pPr>
            <w:r w:rsidRPr="00ED0867">
              <w:rPr>
                <w:rFonts w:ascii="Times New Roman Bold" w:hAnsi="Times New Roman Bold"/>
                <w:b/>
                <w:sz w:val="20"/>
                <w:szCs w:val="20"/>
              </w:rPr>
              <w:t>GEF Agency</w:t>
            </w:r>
          </w:p>
        </w:tc>
        <w:tc>
          <w:tcPr>
            <w:tcW w:w="687" w:type="pct"/>
            <w:vAlign w:val="center"/>
          </w:tcPr>
          <w:p w:rsidR="00A81902" w:rsidRPr="00ED0867" w:rsidRDefault="00A81902" w:rsidP="00ED0867">
            <w:pPr>
              <w:shd w:val="clear" w:color="auto" w:fill="FFFFFF" w:themeFill="background1"/>
              <w:spacing w:after="0" w:line="240" w:lineRule="auto"/>
              <w:ind w:left="180"/>
              <w:jc w:val="center"/>
              <w:rPr>
                <w:rFonts w:ascii="Times New Roman Bold" w:hAnsi="Times New Roman Bold"/>
                <w:b/>
                <w:sz w:val="20"/>
                <w:szCs w:val="20"/>
              </w:rPr>
            </w:pPr>
            <w:r w:rsidRPr="00ED0867">
              <w:rPr>
                <w:rFonts w:ascii="Times New Roman Bold" w:hAnsi="Times New Roman Bold"/>
                <w:b/>
                <w:sz w:val="20"/>
                <w:szCs w:val="20"/>
              </w:rPr>
              <w:t>Type of Trust Fund</w:t>
            </w:r>
          </w:p>
        </w:tc>
        <w:tc>
          <w:tcPr>
            <w:tcW w:w="836" w:type="pct"/>
            <w:vAlign w:val="center"/>
          </w:tcPr>
          <w:p w:rsidR="00A81902" w:rsidRPr="00ED0867" w:rsidRDefault="00A81902" w:rsidP="00ED0867">
            <w:pPr>
              <w:shd w:val="clear" w:color="auto" w:fill="FFFFFF" w:themeFill="background1"/>
              <w:spacing w:after="0" w:line="240" w:lineRule="auto"/>
              <w:ind w:left="180"/>
              <w:jc w:val="center"/>
              <w:rPr>
                <w:rFonts w:ascii="Times New Roman Bold" w:hAnsi="Times New Roman Bold"/>
                <w:b/>
                <w:sz w:val="20"/>
                <w:szCs w:val="20"/>
              </w:rPr>
            </w:pPr>
            <w:r w:rsidRPr="00ED0867">
              <w:rPr>
                <w:rFonts w:ascii="Times New Roman Bold" w:hAnsi="Times New Roman Bold"/>
                <w:b/>
                <w:sz w:val="20"/>
                <w:szCs w:val="20"/>
              </w:rPr>
              <w:t>Focal area</w:t>
            </w:r>
          </w:p>
        </w:tc>
        <w:tc>
          <w:tcPr>
            <w:tcW w:w="695" w:type="pct"/>
            <w:vAlign w:val="center"/>
          </w:tcPr>
          <w:p w:rsidR="00A81902" w:rsidRPr="00ED0867" w:rsidRDefault="00A81902" w:rsidP="00ED0867">
            <w:pPr>
              <w:shd w:val="clear" w:color="auto" w:fill="FFFFFF" w:themeFill="background1"/>
              <w:spacing w:after="0" w:line="240" w:lineRule="auto"/>
              <w:ind w:left="180"/>
              <w:jc w:val="center"/>
              <w:rPr>
                <w:rFonts w:ascii="Times New Roman Bold" w:hAnsi="Times New Roman Bold"/>
                <w:b/>
                <w:sz w:val="20"/>
                <w:szCs w:val="20"/>
              </w:rPr>
            </w:pPr>
            <w:r w:rsidRPr="00ED0867">
              <w:rPr>
                <w:rFonts w:ascii="Times New Roman Bold" w:hAnsi="Times New Roman Bold"/>
                <w:b/>
                <w:sz w:val="20"/>
                <w:szCs w:val="20"/>
              </w:rPr>
              <w:t>Country name/Global</w:t>
            </w:r>
          </w:p>
        </w:tc>
        <w:tc>
          <w:tcPr>
            <w:tcW w:w="637" w:type="pct"/>
            <w:vAlign w:val="center"/>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Project amount (a)</w:t>
            </w:r>
          </w:p>
        </w:tc>
        <w:tc>
          <w:tcPr>
            <w:tcW w:w="716" w:type="pct"/>
            <w:vAlign w:val="center"/>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Agency Fee (b)</w:t>
            </w:r>
          </w:p>
        </w:tc>
        <w:tc>
          <w:tcPr>
            <w:tcW w:w="710" w:type="pct"/>
            <w:vAlign w:val="center"/>
          </w:tcPr>
          <w:p w:rsidR="00A81902" w:rsidRPr="00ED0867" w:rsidRDefault="00A81902" w:rsidP="00ED0867">
            <w:pPr>
              <w:shd w:val="clear" w:color="auto" w:fill="FFFFFF" w:themeFill="background1"/>
              <w:spacing w:after="0" w:line="240" w:lineRule="auto"/>
              <w:ind w:left="180" w:firstLine="195"/>
              <w:jc w:val="center"/>
              <w:rPr>
                <w:rFonts w:ascii="Times New Roman" w:hAnsi="Times New Roman"/>
                <w:b/>
                <w:sz w:val="20"/>
                <w:szCs w:val="20"/>
              </w:rPr>
            </w:pPr>
            <w:r w:rsidRPr="00ED0867">
              <w:rPr>
                <w:rFonts w:ascii="Times New Roman" w:hAnsi="Times New Roman"/>
                <w:b/>
                <w:sz w:val="20"/>
                <w:szCs w:val="20"/>
              </w:rPr>
              <w:t>Total c=</w:t>
            </w:r>
            <w:proofErr w:type="spellStart"/>
            <w:r w:rsidRPr="00ED0867">
              <w:rPr>
                <w:rFonts w:ascii="Times New Roman" w:hAnsi="Times New Roman"/>
                <w:b/>
                <w:sz w:val="20"/>
                <w:szCs w:val="20"/>
              </w:rPr>
              <w:t>a+b</w:t>
            </w:r>
            <w:proofErr w:type="spellEnd"/>
          </w:p>
        </w:tc>
      </w:tr>
      <w:tr w:rsidR="00A81902" w:rsidRPr="00ED0867" w:rsidTr="00FE22ED">
        <w:trPr>
          <w:trHeight w:val="188"/>
        </w:trPr>
        <w:tc>
          <w:tcPr>
            <w:tcW w:w="720"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bookmarkStart w:id="10" w:name="_Hlk288236028"/>
            <w:r w:rsidRPr="00ED0867">
              <w:rPr>
                <w:rFonts w:ascii="Times New Roman" w:hAnsi="Times New Roman"/>
                <w:sz w:val="20"/>
                <w:szCs w:val="20"/>
              </w:rPr>
              <w:t>UNDP</w:t>
            </w:r>
          </w:p>
        </w:tc>
        <w:bookmarkStart w:id="11" w:name="TFType_01"/>
        <w:tc>
          <w:tcPr>
            <w:tcW w:w="687" w:type="pct"/>
          </w:tcPr>
          <w:p w:rsidR="00A81902" w:rsidRPr="00ED0867" w:rsidRDefault="00036E5B"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bCs/>
                <w:smallCaps/>
                <w:sz w:val="20"/>
                <w:szCs w:val="20"/>
              </w:rPr>
              <w:fldChar w:fldCharType="begin">
                <w:ffData>
                  <w:name w:val="TFType_01"/>
                  <w:enabled/>
                  <w:calcOnExit w:val="0"/>
                  <w:ddList>
                    <w:listEntry w:val="GEF TF"/>
                    <w:listEntry w:val="(select)"/>
                    <w:listEntry w:val="LDCF"/>
                    <w:listEntry w:val="SCCF"/>
                    <w:listEntry w:val="Multi-TF"/>
                  </w:ddList>
                </w:ffData>
              </w:fldChar>
            </w:r>
            <w:r w:rsidR="00A81902" w:rsidRPr="00ED0867">
              <w:rPr>
                <w:rFonts w:ascii="Times New Roman" w:hAnsi="Times New Roman"/>
                <w:bCs/>
                <w:smallCaps/>
                <w:sz w:val="20"/>
                <w:szCs w:val="20"/>
              </w:rPr>
              <w:instrText xml:space="preserve"> FORMDROPDOWN </w:instrText>
            </w:r>
            <w:r w:rsidRPr="00ED0867">
              <w:rPr>
                <w:rFonts w:ascii="Times New Roman" w:hAnsi="Times New Roman"/>
                <w:bCs/>
                <w:smallCaps/>
                <w:sz w:val="20"/>
                <w:szCs w:val="20"/>
              </w:rPr>
            </w:r>
            <w:r w:rsidRPr="00ED0867">
              <w:rPr>
                <w:rFonts w:ascii="Times New Roman" w:hAnsi="Times New Roman"/>
                <w:bCs/>
                <w:smallCaps/>
                <w:sz w:val="20"/>
                <w:szCs w:val="20"/>
              </w:rPr>
              <w:fldChar w:fldCharType="end"/>
            </w:r>
            <w:bookmarkEnd w:id="11"/>
          </w:p>
        </w:tc>
        <w:tc>
          <w:tcPr>
            <w:tcW w:w="836"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Climate change</w:t>
            </w:r>
          </w:p>
        </w:tc>
        <w:tc>
          <w:tcPr>
            <w:tcW w:w="695"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Turkey</w:t>
            </w:r>
          </w:p>
        </w:tc>
        <w:tc>
          <w:tcPr>
            <w:tcW w:w="637"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4,340,000</w:t>
            </w:r>
          </w:p>
        </w:tc>
        <w:tc>
          <w:tcPr>
            <w:tcW w:w="716"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434,000</w:t>
            </w:r>
          </w:p>
        </w:tc>
        <w:tc>
          <w:tcPr>
            <w:tcW w:w="710"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4,774,000</w:t>
            </w:r>
          </w:p>
        </w:tc>
      </w:tr>
      <w:tr w:rsidR="00A81902" w:rsidRPr="00ED0867" w:rsidTr="00FE22ED">
        <w:trPr>
          <w:trHeight w:val="143"/>
        </w:trPr>
        <w:tc>
          <w:tcPr>
            <w:tcW w:w="720"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bookmarkStart w:id="12" w:name="BU_Agency_02"/>
            <w:r w:rsidRPr="00ED0867">
              <w:rPr>
                <w:rFonts w:ascii="Times New Roman" w:hAnsi="Times New Roman"/>
                <w:sz w:val="20"/>
                <w:szCs w:val="20"/>
              </w:rPr>
              <w:t>UNDP</w:t>
            </w:r>
            <w:bookmarkEnd w:id="12"/>
          </w:p>
        </w:tc>
        <w:bookmarkStart w:id="13" w:name="TFType_02"/>
        <w:tc>
          <w:tcPr>
            <w:tcW w:w="687" w:type="pct"/>
          </w:tcPr>
          <w:p w:rsidR="00A81902" w:rsidRPr="00ED0867" w:rsidRDefault="00036E5B"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bCs/>
                <w:smallCaps/>
                <w:sz w:val="20"/>
                <w:szCs w:val="20"/>
              </w:rPr>
              <w:fldChar w:fldCharType="begin">
                <w:ffData>
                  <w:name w:val="TFType_02"/>
                  <w:enabled/>
                  <w:calcOnExit w:val="0"/>
                  <w:ddList>
                    <w:listEntry w:val="GEF TF"/>
                    <w:listEntry w:val="(select)"/>
                    <w:listEntry w:val="LDCF"/>
                    <w:listEntry w:val="SCCF"/>
                    <w:listEntry w:val="Multi-TF"/>
                  </w:ddList>
                </w:ffData>
              </w:fldChar>
            </w:r>
            <w:r w:rsidR="00A81902" w:rsidRPr="00ED0867">
              <w:rPr>
                <w:rFonts w:ascii="Times New Roman" w:hAnsi="Times New Roman"/>
                <w:bCs/>
                <w:smallCaps/>
                <w:sz w:val="20"/>
                <w:szCs w:val="20"/>
              </w:rPr>
              <w:instrText xml:space="preserve"> FORMDROPDOWN </w:instrText>
            </w:r>
            <w:r w:rsidRPr="00ED0867">
              <w:rPr>
                <w:rFonts w:ascii="Times New Roman" w:hAnsi="Times New Roman"/>
                <w:bCs/>
                <w:smallCaps/>
                <w:sz w:val="20"/>
                <w:szCs w:val="20"/>
              </w:rPr>
            </w:r>
            <w:r w:rsidRPr="00ED0867">
              <w:rPr>
                <w:rFonts w:ascii="Times New Roman" w:hAnsi="Times New Roman"/>
                <w:bCs/>
                <w:smallCaps/>
                <w:sz w:val="20"/>
                <w:szCs w:val="20"/>
              </w:rPr>
              <w:fldChar w:fldCharType="end"/>
            </w:r>
            <w:bookmarkEnd w:id="13"/>
          </w:p>
        </w:tc>
        <w:tc>
          <w:tcPr>
            <w:tcW w:w="836"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Biodiversity</w:t>
            </w:r>
          </w:p>
        </w:tc>
        <w:tc>
          <w:tcPr>
            <w:tcW w:w="695"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Turkey</w:t>
            </w:r>
          </w:p>
        </w:tc>
        <w:tc>
          <w:tcPr>
            <w:tcW w:w="637"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1,000,000</w:t>
            </w:r>
          </w:p>
        </w:tc>
        <w:tc>
          <w:tcPr>
            <w:tcW w:w="716"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100,000</w:t>
            </w:r>
          </w:p>
        </w:tc>
        <w:tc>
          <w:tcPr>
            <w:tcW w:w="710"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1,100,000</w:t>
            </w:r>
          </w:p>
        </w:tc>
      </w:tr>
      <w:tr w:rsidR="00A81902" w:rsidRPr="00ED0867" w:rsidTr="00FE22ED">
        <w:trPr>
          <w:trHeight w:val="197"/>
        </w:trPr>
        <w:tc>
          <w:tcPr>
            <w:tcW w:w="720"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UNDP</w:t>
            </w:r>
          </w:p>
        </w:tc>
        <w:bookmarkStart w:id="14" w:name="TFType_03"/>
        <w:tc>
          <w:tcPr>
            <w:tcW w:w="687" w:type="pct"/>
          </w:tcPr>
          <w:p w:rsidR="00A81902" w:rsidRPr="00ED0867" w:rsidRDefault="00036E5B"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bCs/>
                <w:smallCaps/>
                <w:sz w:val="20"/>
                <w:szCs w:val="20"/>
              </w:rPr>
              <w:fldChar w:fldCharType="begin">
                <w:ffData>
                  <w:name w:val="TFType_03"/>
                  <w:enabled/>
                  <w:calcOnExit w:val="0"/>
                  <w:ddList>
                    <w:listEntry w:val="GEF TF"/>
                    <w:listEntry w:val="(select)"/>
                    <w:listEntry w:val="LDCF"/>
                    <w:listEntry w:val="SCCF"/>
                    <w:listEntry w:val="Multi-TF"/>
                  </w:ddList>
                </w:ffData>
              </w:fldChar>
            </w:r>
            <w:r w:rsidR="00A81902" w:rsidRPr="00ED0867">
              <w:rPr>
                <w:rFonts w:ascii="Times New Roman" w:hAnsi="Times New Roman"/>
                <w:bCs/>
                <w:smallCaps/>
                <w:sz w:val="20"/>
                <w:szCs w:val="20"/>
              </w:rPr>
              <w:instrText xml:space="preserve"> FORMDROPDOWN </w:instrText>
            </w:r>
            <w:r w:rsidRPr="00ED0867">
              <w:rPr>
                <w:rFonts w:ascii="Times New Roman" w:hAnsi="Times New Roman"/>
                <w:bCs/>
                <w:smallCaps/>
                <w:sz w:val="20"/>
                <w:szCs w:val="20"/>
              </w:rPr>
            </w:r>
            <w:r w:rsidRPr="00ED0867">
              <w:rPr>
                <w:rFonts w:ascii="Times New Roman" w:hAnsi="Times New Roman"/>
                <w:bCs/>
                <w:smallCaps/>
                <w:sz w:val="20"/>
                <w:szCs w:val="20"/>
              </w:rPr>
              <w:fldChar w:fldCharType="end"/>
            </w:r>
            <w:bookmarkEnd w:id="14"/>
          </w:p>
        </w:tc>
        <w:tc>
          <w:tcPr>
            <w:tcW w:w="836"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SFM/REDD</w:t>
            </w:r>
          </w:p>
        </w:tc>
        <w:tc>
          <w:tcPr>
            <w:tcW w:w="695" w:type="pct"/>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Turkey</w:t>
            </w:r>
          </w:p>
        </w:tc>
        <w:tc>
          <w:tcPr>
            <w:tcW w:w="637" w:type="pct"/>
          </w:tcPr>
          <w:p w:rsidR="00A81902" w:rsidRPr="00ED0867" w:rsidRDefault="00A81902" w:rsidP="00ED0867">
            <w:pPr>
              <w:shd w:val="clear" w:color="auto" w:fill="FFFFFF" w:themeFill="background1"/>
              <w:spacing w:after="0" w:line="240" w:lineRule="auto"/>
              <w:ind w:left="180"/>
              <w:jc w:val="right"/>
              <w:rPr>
                <w:rFonts w:ascii="Times New Roman" w:hAnsi="Times New Roman"/>
                <w:sz w:val="20"/>
                <w:szCs w:val="20"/>
              </w:rPr>
            </w:pPr>
            <w:r w:rsidRPr="00ED0867">
              <w:rPr>
                <w:rFonts w:ascii="Times New Roman" w:hAnsi="Times New Roman"/>
                <w:sz w:val="20"/>
                <w:szCs w:val="20"/>
              </w:rPr>
              <w:t>1,780,000</w:t>
            </w:r>
          </w:p>
        </w:tc>
        <w:tc>
          <w:tcPr>
            <w:tcW w:w="716"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178,000</w:t>
            </w:r>
          </w:p>
        </w:tc>
        <w:tc>
          <w:tcPr>
            <w:tcW w:w="710" w:type="pct"/>
            <w:vAlign w:val="bottom"/>
          </w:tcPr>
          <w:p w:rsidR="00A81902" w:rsidRPr="00ED0867" w:rsidRDefault="00A81902" w:rsidP="00ED0867">
            <w:pPr>
              <w:shd w:val="clear" w:color="auto" w:fill="FFFFFF" w:themeFill="background1"/>
              <w:spacing w:after="0" w:line="240" w:lineRule="auto"/>
              <w:ind w:left="180"/>
              <w:jc w:val="right"/>
              <w:rPr>
                <w:rFonts w:ascii="Times New Roman" w:hAnsi="Times New Roman"/>
                <w:color w:val="000000"/>
                <w:sz w:val="20"/>
                <w:szCs w:val="20"/>
              </w:rPr>
            </w:pPr>
            <w:r w:rsidRPr="00ED0867">
              <w:rPr>
                <w:rFonts w:ascii="Times New Roman" w:hAnsi="Times New Roman"/>
                <w:color w:val="000000"/>
                <w:sz w:val="20"/>
                <w:szCs w:val="20"/>
              </w:rPr>
              <w:t>1,958,000</w:t>
            </w:r>
          </w:p>
        </w:tc>
      </w:tr>
      <w:tr w:rsidR="00A81902" w:rsidRPr="00ED0867" w:rsidTr="001E4C8F">
        <w:trPr>
          <w:trHeight w:val="132"/>
        </w:trPr>
        <w:tc>
          <w:tcPr>
            <w:tcW w:w="2937" w:type="pct"/>
            <w:gridSpan w:val="4"/>
            <w:tcBorders>
              <w:top w:val="double" w:sz="4" w:space="0" w:color="auto"/>
            </w:tcBorders>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b/>
                <w:sz w:val="20"/>
                <w:szCs w:val="20"/>
              </w:rPr>
              <w:t>Total Grant Resources</w:t>
            </w:r>
          </w:p>
        </w:tc>
        <w:tc>
          <w:tcPr>
            <w:tcW w:w="637" w:type="pct"/>
            <w:tcBorders>
              <w:top w:val="double" w:sz="4" w:space="0" w:color="auto"/>
            </w:tcBorders>
          </w:tcPr>
          <w:p w:rsidR="00A81902" w:rsidRPr="00ED0867" w:rsidRDefault="00A81902" w:rsidP="00ED0867">
            <w:pPr>
              <w:shd w:val="clear" w:color="auto" w:fill="FFFFFF" w:themeFill="background1"/>
              <w:spacing w:after="0" w:line="240" w:lineRule="auto"/>
              <w:ind w:left="180"/>
              <w:jc w:val="right"/>
              <w:rPr>
                <w:rFonts w:ascii="Times New Roman" w:hAnsi="Times New Roman"/>
                <w:b/>
                <w:sz w:val="20"/>
                <w:szCs w:val="20"/>
              </w:rPr>
            </w:pPr>
            <w:r w:rsidRPr="00ED0867">
              <w:rPr>
                <w:rFonts w:ascii="Times New Roman" w:hAnsi="Times New Roman"/>
                <w:b/>
                <w:sz w:val="20"/>
                <w:szCs w:val="20"/>
              </w:rPr>
              <w:t>7,120,000</w:t>
            </w:r>
          </w:p>
        </w:tc>
        <w:tc>
          <w:tcPr>
            <w:tcW w:w="716" w:type="pct"/>
            <w:tcBorders>
              <w:top w:val="double" w:sz="4" w:space="0" w:color="auto"/>
            </w:tcBorders>
          </w:tcPr>
          <w:p w:rsidR="00A81902" w:rsidRPr="00ED0867" w:rsidRDefault="00A81902" w:rsidP="00ED0867">
            <w:pPr>
              <w:shd w:val="clear" w:color="auto" w:fill="FFFFFF" w:themeFill="background1"/>
              <w:spacing w:after="0" w:line="240" w:lineRule="auto"/>
              <w:ind w:left="180"/>
              <w:jc w:val="right"/>
              <w:rPr>
                <w:rFonts w:ascii="Times New Roman" w:hAnsi="Times New Roman"/>
                <w:b/>
                <w:bCs/>
                <w:color w:val="000000"/>
                <w:sz w:val="20"/>
                <w:szCs w:val="20"/>
              </w:rPr>
            </w:pPr>
            <w:r w:rsidRPr="00ED0867">
              <w:rPr>
                <w:rFonts w:ascii="Times New Roman" w:hAnsi="Times New Roman"/>
                <w:b/>
                <w:bCs/>
                <w:color w:val="000000"/>
                <w:sz w:val="20"/>
                <w:szCs w:val="20"/>
              </w:rPr>
              <w:t>712,000</w:t>
            </w:r>
          </w:p>
        </w:tc>
        <w:tc>
          <w:tcPr>
            <w:tcW w:w="710" w:type="pct"/>
            <w:tcBorders>
              <w:top w:val="double" w:sz="4" w:space="0" w:color="auto"/>
            </w:tcBorders>
          </w:tcPr>
          <w:p w:rsidR="00A81902" w:rsidRPr="00ED0867" w:rsidRDefault="00A81902" w:rsidP="00ED0867">
            <w:pPr>
              <w:shd w:val="clear" w:color="auto" w:fill="FFFFFF" w:themeFill="background1"/>
              <w:spacing w:after="0"/>
              <w:ind w:left="180"/>
              <w:jc w:val="right"/>
              <w:rPr>
                <w:rFonts w:ascii="Times New Roman" w:hAnsi="Times New Roman"/>
                <w:b/>
                <w:color w:val="000000"/>
                <w:sz w:val="20"/>
                <w:szCs w:val="20"/>
              </w:rPr>
            </w:pPr>
            <w:r w:rsidRPr="00ED0867">
              <w:rPr>
                <w:rFonts w:ascii="Times New Roman" w:hAnsi="Times New Roman"/>
                <w:b/>
                <w:color w:val="000000"/>
                <w:sz w:val="20"/>
                <w:szCs w:val="20"/>
              </w:rPr>
              <w:t>7,832,000</w:t>
            </w:r>
          </w:p>
        </w:tc>
      </w:tr>
    </w:tbl>
    <w:bookmarkEnd w:id="10"/>
    <w:p w:rsidR="00A81902" w:rsidRPr="00ED0867" w:rsidRDefault="00A81902" w:rsidP="00ED0867">
      <w:pPr>
        <w:pStyle w:val="Footer"/>
        <w:shd w:val="clear" w:color="auto" w:fill="FFFFFF" w:themeFill="background1"/>
        <w:spacing w:before="200"/>
        <w:ind w:left="180" w:right="-180"/>
        <w:rPr>
          <w:b/>
          <w:caps/>
          <w:sz w:val="22"/>
          <w:szCs w:val="22"/>
          <w:u w:val="single"/>
        </w:rPr>
      </w:pPr>
      <w:r w:rsidRPr="00ED0867">
        <w:rPr>
          <w:b/>
          <w:caps/>
          <w:sz w:val="22"/>
          <w:szCs w:val="22"/>
          <w:u w:val="single"/>
        </w:rPr>
        <w:t>part ii: project JustiFication</w:t>
      </w:r>
    </w:p>
    <w:p w:rsidR="00A81902" w:rsidRPr="00ED0867" w:rsidRDefault="00A81902" w:rsidP="00ED0867">
      <w:pPr>
        <w:numPr>
          <w:ilvl w:val="0"/>
          <w:numId w:val="2"/>
        </w:numPr>
        <w:shd w:val="clear" w:color="auto" w:fill="FFFFFF" w:themeFill="background1"/>
        <w:tabs>
          <w:tab w:val="clear" w:pos="720"/>
          <w:tab w:val="num" w:pos="450"/>
        </w:tabs>
        <w:spacing w:before="120" w:after="0" w:line="240" w:lineRule="auto"/>
        <w:ind w:left="540" w:right="-180"/>
        <w:rPr>
          <w:rFonts w:ascii="Times New Roman" w:hAnsi="Times New Roman"/>
          <w:sz w:val="21"/>
          <w:szCs w:val="21"/>
        </w:rPr>
      </w:pPr>
      <w:r w:rsidRPr="00ED0867">
        <w:rPr>
          <w:rFonts w:ascii="Times New Roman" w:hAnsi="Times New Roman"/>
          <w:b/>
          <w:smallCaps/>
          <w:sz w:val="21"/>
          <w:szCs w:val="21"/>
        </w:rPr>
        <w:t>Description of the consistency of the</w:t>
      </w:r>
      <w:r w:rsidRPr="00ED0867">
        <w:rPr>
          <w:rFonts w:ascii="Times New Roman" w:hAnsi="Times New Roman"/>
          <w:smallCaps/>
          <w:sz w:val="21"/>
          <w:szCs w:val="21"/>
        </w:rPr>
        <w:t xml:space="preserve"> </w:t>
      </w:r>
      <w:r w:rsidRPr="00ED0867">
        <w:rPr>
          <w:rFonts w:ascii="Times New Roman" w:hAnsi="Times New Roman"/>
          <w:b/>
          <w:smallCaps/>
          <w:sz w:val="21"/>
          <w:szCs w:val="21"/>
        </w:rPr>
        <w:t>project with:</w:t>
      </w:r>
    </w:p>
    <w:p w:rsidR="00A81902" w:rsidRPr="00ED0867" w:rsidRDefault="00A81902" w:rsidP="00ED0867">
      <w:pPr>
        <w:pStyle w:val="aaa"/>
        <w:numPr>
          <w:ilvl w:val="0"/>
          <w:numId w:val="0"/>
        </w:numPr>
        <w:shd w:val="clear" w:color="auto" w:fill="FFFFFF" w:themeFill="background1"/>
        <w:spacing w:before="100"/>
        <w:ind w:left="180" w:right="-180"/>
        <w:jc w:val="both"/>
        <w:rPr>
          <w:b/>
          <w:smallCaps/>
          <w:sz w:val="21"/>
          <w:szCs w:val="21"/>
        </w:rPr>
      </w:pPr>
      <w:r w:rsidRPr="00ED0867">
        <w:rPr>
          <w:b/>
          <w:smallCaps/>
          <w:sz w:val="21"/>
          <w:szCs w:val="21"/>
        </w:rPr>
        <w:t xml:space="preserve">A.1. the GEF focal area strategies: </w:t>
      </w:r>
    </w:p>
    <w:p w:rsidR="00A81902" w:rsidRPr="00ED0867" w:rsidRDefault="00A81902" w:rsidP="00ED0867">
      <w:pPr>
        <w:pStyle w:val="aaaa"/>
        <w:shd w:val="clear" w:color="auto" w:fill="FFFFFF" w:themeFill="background1"/>
        <w:tabs>
          <w:tab w:val="clear" w:pos="360"/>
          <w:tab w:val="clear" w:pos="720"/>
          <w:tab w:val="num" w:pos="1080"/>
        </w:tabs>
        <w:ind w:left="180"/>
        <w:jc w:val="both"/>
        <w:rPr>
          <w:sz w:val="21"/>
          <w:szCs w:val="21"/>
        </w:rPr>
      </w:pPr>
      <w:r w:rsidRPr="00ED0867">
        <w:rPr>
          <w:sz w:val="21"/>
          <w:szCs w:val="21"/>
        </w:rPr>
        <w:t>The project addresses the objectives of the GEF V Climate Change Mitigation, Biodiversity and Sustainable Forest Management programming strategies. With respect to climate change mitigation, the project addresses Strategic Objective 5 “Promote conservation and enhancement of carbon stocks” as follows: (</w:t>
      </w:r>
      <w:proofErr w:type="spellStart"/>
      <w:r w:rsidRPr="00ED0867">
        <w:rPr>
          <w:sz w:val="21"/>
          <w:szCs w:val="21"/>
        </w:rPr>
        <w:t>i</w:t>
      </w:r>
      <w:proofErr w:type="spellEnd"/>
      <w:r w:rsidRPr="00ED0867">
        <w:rPr>
          <w:sz w:val="21"/>
          <w:szCs w:val="21"/>
        </w:rPr>
        <w:t xml:space="preserve">) in Component 1, it establishes a forest carbon monitoring system; while (ii) under Component 2 various sustainable forest management measures will be </w:t>
      </w:r>
      <w:proofErr w:type="spellStart"/>
      <w:r w:rsidRPr="00ED0867">
        <w:rPr>
          <w:sz w:val="21"/>
          <w:szCs w:val="21"/>
        </w:rPr>
        <w:t>operationalised</w:t>
      </w:r>
      <w:proofErr w:type="spellEnd"/>
      <w:r w:rsidRPr="00ED0867">
        <w:rPr>
          <w:sz w:val="21"/>
          <w:szCs w:val="21"/>
        </w:rPr>
        <w:t xml:space="preserve">. This will lead to the estimated reduction in emissions of </w:t>
      </w:r>
      <w:r w:rsidRPr="00ED0867">
        <w:rPr>
          <w:bCs/>
          <w:iCs/>
          <w:noProof/>
          <w:color w:val="000000"/>
          <w:sz w:val="21"/>
          <w:szCs w:val="21"/>
          <w:shd w:val="clear" w:color="auto" w:fill="FFFFFF" w:themeFill="background1"/>
          <w:lang w:val="en-GB"/>
        </w:rPr>
        <w:t>123,591 tCO2/y</w:t>
      </w:r>
      <w:r w:rsidRPr="00ED0867">
        <w:rPr>
          <w:bCs/>
          <w:iCs/>
          <w:noProof/>
          <w:color w:val="000000"/>
          <w:sz w:val="21"/>
          <w:szCs w:val="21"/>
          <w:lang w:val="en-GB"/>
        </w:rPr>
        <w:t xml:space="preserve"> and increased sequestration equivalent </w:t>
      </w:r>
      <w:proofErr w:type="gramStart"/>
      <w:r w:rsidRPr="00ED0867">
        <w:rPr>
          <w:bCs/>
          <w:iCs/>
          <w:noProof/>
          <w:color w:val="000000"/>
          <w:sz w:val="21"/>
          <w:szCs w:val="21"/>
          <w:lang w:val="en-GB"/>
        </w:rPr>
        <w:t>to 7,340 tCO2/y.</w:t>
      </w:r>
      <w:r w:rsidRPr="00ED0867">
        <w:rPr>
          <w:sz w:val="21"/>
          <w:szCs w:val="21"/>
        </w:rPr>
        <w:t xml:space="preserve"> </w:t>
      </w:r>
      <w:r w:rsidRPr="00ED0867">
        <w:rPr>
          <w:sz w:val="21"/>
          <w:szCs w:val="21"/>
          <w:u w:val="single"/>
        </w:rPr>
        <w:t>Cost-effectiveness</w:t>
      </w:r>
      <w:proofErr w:type="gramEnd"/>
      <w:r w:rsidRPr="00ED0867">
        <w:rPr>
          <w:sz w:val="21"/>
          <w:szCs w:val="21"/>
        </w:rPr>
        <w:t xml:space="preserve">. The mitigation measures proposed are cost effective. Taking a 10 year time span, (the most </w:t>
      </w:r>
      <w:r w:rsidRPr="00ED0867">
        <w:rPr>
          <w:sz w:val="21"/>
          <w:szCs w:val="21"/>
          <w:shd w:val="clear" w:color="auto" w:fill="FFFFFF" w:themeFill="background1"/>
        </w:rPr>
        <w:t xml:space="preserve">conservative life-span adopted by voluntary carbon markets for this type of project), the project’s total investment in carbon mitigation and sequestration under Component II (US$17,620,400) will generate direct savings of </w:t>
      </w:r>
      <w:r w:rsidRPr="00ED0867">
        <w:rPr>
          <w:bCs/>
          <w:iCs/>
          <w:noProof/>
          <w:color w:val="000000"/>
          <w:sz w:val="21"/>
          <w:szCs w:val="21"/>
          <w:shd w:val="clear" w:color="auto" w:fill="FFFFFF" w:themeFill="background1"/>
          <w:lang w:val="en-GB"/>
        </w:rPr>
        <w:t xml:space="preserve">1,309,310 tCO2, equating to a unit cost of US$13.46/tCO2. This is </w:t>
      </w:r>
      <w:r w:rsidRPr="00ED0867">
        <w:rPr>
          <w:sz w:val="21"/>
          <w:szCs w:val="21"/>
          <w:shd w:val="clear" w:color="auto" w:fill="FFFFFF" w:themeFill="background1"/>
          <w:lang w:val="en-GB" w:eastAsia="de-DE"/>
        </w:rPr>
        <w:t xml:space="preserve">comparable with the average cost of other low-cost mitigation approaches that could otherwise be applied in Turkey, and is below the IPCC recognized ceiling of US$20/tCO2-eq for low-cost technologies. Part of the project approach rests with support to a micro-crediting facility that would provide </w:t>
      </w:r>
      <w:proofErr w:type="gramStart"/>
      <w:r w:rsidRPr="00ED0867">
        <w:rPr>
          <w:sz w:val="21"/>
          <w:szCs w:val="21"/>
          <w:shd w:val="clear" w:color="auto" w:fill="FFFFFF" w:themeFill="background1"/>
          <w:lang w:val="en-GB" w:eastAsia="de-DE"/>
        </w:rPr>
        <w:t>access</w:t>
      </w:r>
      <w:proofErr w:type="gramEnd"/>
      <w:r w:rsidRPr="00ED0867">
        <w:rPr>
          <w:sz w:val="21"/>
          <w:szCs w:val="21"/>
          <w:shd w:val="clear" w:color="auto" w:fill="FFFFFF" w:themeFill="background1"/>
          <w:lang w:val="en-GB" w:eastAsia="de-DE"/>
        </w:rPr>
        <w:t xml:space="preserve"> to rural villagers to solar heating technologies and diver them from logging. This facility (fitting with CCM-3) will be 100% co-financed by the government, but is highly relevant for the project success. </w:t>
      </w:r>
      <w:r w:rsidRPr="00ED0867">
        <w:rPr>
          <w:sz w:val="21"/>
          <w:szCs w:val="21"/>
          <w:shd w:val="clear" w:color="auto" w:fill="FFFFFF" w:themeFill="background1"/>
        </w:rPr>
        <w:t>This is part of the cost-effectiveness strategy, since in addition to</w:t>
      </w:r>
      <w:r w:rsidRPr="00ED0867">
        <w:rPr>
          <w:sz w:val="21"/>
          <w:szCs w:val="21"/>
        </w:rPr>
        <w:t xml:space="preserve"> direct savings of carbon from logging, the reduction in the frequency of visits of villagers to forests for wood collection will automatically reduce the frequency of fires, and hence further avoid carbon emissions. The project invests in the shift from reactive to proactive fire management (from fire-fighting to avoidance and prevention), and the cost-effectiveness of this approach is high (app. $6.1 per tCO2 – based on current PIF assessments). The cost-effectiveness of the pest management activities is just slightly above the IPCC low-cost technology floor ($22.4 per tCO2), yet if the cost of lost biodiversity and lost overall ecosystem resilience of these forests damaged by pests was factored into the calculation of cost-effectiveness, proactive pest management as proposed by the GEF project, would show up as highly effective, because it will be achieving multiple ecological benefits</w:t>
      </w:r>
      <w:r w:rsidRPr="00ED0867">
        <w:rPr>
          <w:rStyle w:val="FootnoteReference"/>
          <w:sz w:val="21"/>
          <w:szCs w:val="21"/>
        </w:rPr>
        <w:footnoteReference w:id="1"/>
      </w:r>
      <w:r w:rsidRPr="00ED0867">
        <w:rPr>
          <w:sz w:val="21"/>
          <w:szCs w:val="21"/>
        </w:rPr>
        <w:t xml:space="preserve">. With regard to the biodiversity focal area, the project will expand protected areas within the </w:t>
      </w:r>
      <w:r w:rsidRPr="00ED0867">
        <w:rPr>
          <w:sz w:val="21"/>
          <w:szCs w:val="21"/>
        </w:rPr>
        <w:lastRenderedPageBreak/>
        <w:t xml:space="preserve">Mediterranean forest eco region, creating and ensuring the management effectiveness of new forest protected areas covering 79,960 ha. The eco-region is relatively under-represented in the national PA system. This is in line with the objective of BD SO-1, focusing on improving PA system representation and management effectiveness. </w:t>
      </w:r>
      <w:r w:rsidRPr="00ED0867">
        <w:rPr>
          <w:sz w:val="21"/>
          <w:szCs w:val="21"/>
          <w:u w:val="single"/>
        </w:rPr>
        <w:t>SFM benefits</w:t>
      </w:r>
      <w:r w:rsidRPr="00ED0867">
        <w:rPr>
          <w:sz w:val="21"/>
          <w:szCs w:val="21"/>
        </w:rPr>
        <w:t>: The threats facing the Mediterranean forests result in a loss of global environmental benefits derived from biodiversity and forest carbon pools. The project adopts a holistic approach to addressing these threats. The project will adapt the forest use planning and management system so as to generate multiple environmental benefits (strict protection of areas of highest biodiversity significance and ecological importance, while permitting sustainable use elsewhere consistent with sound carbon stock management). This explains the close connection between Components 2 and 3 of the project, which will be implemented in the same forest districts in parallel at the landscape level. Specific SFM benefits include: (</w:t>
      </w:r>
      <w:proofErr w:type="spellStart"/>
      <w:r w:rsidRPr="00ED0867">
        <w:rPr>
          <w:sz w:val="21"/>
          <w:szCs w:val="21"/>
        </w:rPr>
        <w:t>i</w:t>
      </w:r>
      <w:proofErr w:type="spellEnd"/>
      <w:r w:rsidRPr="00ED0867">
        <w:rPr>
          <w:sz w:val="21"/>
          <w:szCs w:val="21"/>
        </w:rPr>
        <w:t>) raised readiness of Turkey for participation in future carbon markets, (ii) a pipeline of forest-based mitigation and sequestration projects, (iii) diversification of the income sources of local communities from sustainable forest management; (iv) enhancement of carbon pools in high value forests, and (iv) enabling institutional and policy changes required for scaling up proven sustainable forest management practices across the eco-region.</w:t>
      </w:r>
    </w:p>
    <w:p w:rsidR="00A81902" w:rsidRPr="00ED0867" w:rsidRDefault="00A81902" w:rsidP="00ED0867">
      <w:pPr>
        <w:pStyle w:val="A"/>
        <w:numPr>
          <w:ilvl w:val="0"/>
          <w:numId w:val="0"/>
        </w:numPr>
        <w:shd w:val="clear" w:color="auto" w:fill="FFFFFF" w:themeFill="background1"/>
        <w:ind w:left="180"/>
        <w:rPr>
          <w:sz w:val="21"/>
          <w:szCs w:val="21"/>
        </w:rPr>
      </w:pPr>
      <w:r w:rsidRPr="00ED0867">
        <w:rPr>
          <w:b/>
          <w:smallCaps/>
          <w:sz w:val="21"/>
          <w:szCs w:val="21"/>
        </w:rPr>
        <w:t xml:space="preserve">A.2. national strategies and plans or reports and assessments under relevant conventions: </w:t>
      </w:r>
    </w:p>
    <w:p w:rsidR="00A81902" w:rsidRPr="00ED0867" w:rsidRDefault="00A81902" w:rsidP="00ED0867">
      <w:pPr>
        <w:shd w:val="clear" w:color="auto" w:fill="FFFFFF" w:themeFill="background1"/>
        <w:spacing w:line="240" w:lineRule="auto"/>
        <w:ind w:left="180"/>
        <w:jc w:val="both"/>
        <w:rPr>
          <w:rFonts w:ascii="Times New Roman" w:hAnsi="Times New Roman"/>
          <w:sz w:val="21"/>
          <w:szCs w:val="21"/>
          <w:lang w:val="en-GB"/>
        </w:rPr>
      </w:pPr>
      <w:r w:rsidRPr="00ED0867">
        <w:rPr>
          <w:rFonts w:ascii="Times New Roman" w:hAnsi="Times New Roman"/>
          <w:sz w:val="21"/>
          <w:szCs w:val="21"/>
          <w:lang w:val="en-GB"/>
        </w:rPr>
        <w:t xml:space="preserve">The project addresses the following strategic goals of the National Climate Change Strategy approved by the Higher Planning Council Decision dated May 03, 2010: “Status of forestry in Turkey should be assessed, focusing on deforestation and forest degradation, which have critical importance in terms of mitigating climate change, and a strategy shall be developed towards the solution of the problems”; “Scientific studies will be carried out to assess climate change impacts on forest ecosystems and to identify potential adaptation strategies in this regard, and policies will be developed based on these studies”; and “A central geographic information system shall be established for all land use classes in Turkey in order to prepare the Greenhouse Gas Inventory and National Inventory Report in line with guidelines from the Intergovernmental Panel on Climate Change (IPCC). The project is also in line with the draft </w:t>
      </w:r>
      <w:r w:rsidRPr="00ED0867">
        <w:rPr>
          <w:rFonts w:ascii="Times New Roman" w:hAnsi="Times New Roman"/>
          <w:sz w:val="21"/>
          <w:szCs w:val="21"/>
        </w:rPr>
        <w:t>National Climate Change Action Plan (NCCAP). The National Climate Change Action Plan (NCCAP</w:t>
      </w:r>
      <w:proofErr w:type="gramStart"/>
      <w:r w:rsidRPr="00ED0867">
        <w:rPr>
          <w:rFonts w:ascii="Times New Roman" w:hAnsi="Times New Roman"/>
          <w:sz w:val="21"/>
          <w:szCs w:val="21"/>
        </w:rPr>
        <w:t>),</w:t>
      </w:r>
      <w:proofErr w:type="gramEnd"/>
      <w:r w:rsidRPr="00ED0867">
        <w:rPr>
          <w:rFonts w:ascii="Times New Roman" w:hAnsi="Times New Roman"/>
          <w:sz w:val="21"/>
          <w:szCs w:val="21"/>
        </w:rPr>
        <w:t xml:space="preserve"> developed with core funding and technical assistance from UNDP, was finalized in Turkish in early 2011, and will undergo a round of stakeholder review and consultations, prior to being adopted by the Government, tentatively in the summer of 2011. [It has not as yet been translated into English]. Forestry is mentioned clearly as one of the mitigation sectors, and the recommendations of the NCCAP point to the need to develop a forest NAMA (nationally appropriate mitigation action), carbon assessment methodology and demonstration activities. The Forestry NAMA project is a follow-up initiative to the NCCAP project, and will look more specifically into forest carbon. </w:t>
      </w:r>
      <w:proofErr w:type="gramStart"/>
      <w:r w:rsidRPr="00ED0867">
        <w:rPr>
          <w:rFonts w:ascii="Times New Roman" w:hAnsi="Times New Roman"/>
          <w:sz w:val="21"/>
          <w:szCs w:val="21"/>
        </w:rPr>
        <w:t>the</w:t>
      </w:r>
      <w:proofErr w:type="gramEnd"/>
      <w:r w:rsidRPr="00ED0867">
        <w:rPr>
          <w:rFonts w:ascii="Times New Roman" w:hAnsi="Times New Roman"/>
          <w:sz w:val="21"/>
          <w:szCs w:val="21"/>
        </w:rPr>
        <w:t xml:space="preserve"> Government of Turkey submitted a request to COP 16 (FCCC/AWGLCA/2010/MISC.8) which reiterated its self-identification as a developing country for the purposes of trading mechanisms.</w:t>
      </w:r>
      <w:r w:rsidRPr="00ED0867">
        <w:rPr>
          <w:rFonts w:ascii="Times New Roman" w:hAnsi="Times New Roman"/>
          <w:color w:val="000000"/>
          <w:sz w:val="21"/>
          <w:szCs w:val="21"/>
        </w:rPr>
        <w:t xml:space="preserve"> As a response, the Ad Hoc Working Group on Long-term Cooperative Action issued the following decision at COP-16: “</w:t>
      </w:r>
      <w:r w:rsidRPr="00ED0867">
        <w:rPr>
          <w:rFonts w:ascii="Times New Roman" w:hAnsi="Times New Roman"/>
          <w:bCs/>
          <w:color w:val="000000"/>
          <w:sz w:val="21"/>
          <w:szCs w:val="21"/>
        </w:rPr>
        <w:t xml:space="preserve">the COP </w:t>
      </w:r>
      <w:r w:rsidRPr="00ED0867">
        <w:rPr>
          <w:rFonts w:ascii="Times New Roman" w:hAnsi="Times New Roman"/>
          <w:i/>
          <w:iCs/>
          <w:color w:val="000000"/>
          <w:sz w:val="21"/>
          <w:szCs w:val="21"/>
        </w:rPr>
        <w:t xml:space="preserve">Requests </w:t>
      </w:r>
      <w:r w:rsidRPr="00ED0867">
        <w:rPr>
          <w:rFonts w:ascii="Times New Roman" w:hAnsi="Times New Roman"/>
          <w:color w:val="000000"/>
          <w:sz w:val="21"/>
          <w:szCs w:val="21"/>
        </w:rPr>
        <w:t xml:space="preserve">the Ad Hoc Working Group on Long-term Cooperative Action under the Convention to continue consideration of these issues with a view to promoting access by Turkey to finance, technology and capacity-building in order to enhance its ability to better implement the Convention.” </w:t>
      </w:r>
      <w:r w:rsidRPr="00ED0867">
        <w:rPr>
          <w:rFonts w:ascii="Times New Roman" w:hAnsi="Times New Roman"/>
          <w:sz w:val="21"/>
          <w:szCs w:val="21"/>
        </w:rPr>
        <w:t xml:space="preserve">Turkey is fully eligible for support in development of Nationally Appropriate Mitigation Actions (NAMA). </w:t>
      </w:r>
      <w:r w:rsidRPr="00ED0867">
        <w:rPr>
          <w:rFonts w:ascii="Times New Roman" w:hAnsi="Times New Roman"/>
          <w:sz w:val="21"/>
          <w:szCs w:val="21"/>
          <w:lang w:val="en-GB"/>
        </w:rPr>
        <w:t xml:space="preserve">The Government of Turkey has </w:t>
      </w:r>
      <w:r w:rsidRPr="00ED0867">
        <w:rPr>
          <w:rFonts w:ascii="Times New Roman" w:hAnsi="Times New Roman"/>
          <w:sz w:val="21"/>
          <w:szCs w:val="21"/>
        </w:rPr>
        <w:t>identified forestry as one of the priority sectors to be addressed in this regard</w:t>
      </w:r>
      <w:r w:rsidRPr="00ED0867">
        <w:rPr>
          <w:rFonts w:ascii="Times New Roman" w:hAnsi="Times New Roman"/>
          <w:sz w:val="21"/>
          <w:szCs w:val="21"/>
          <w:lang w:val="en-GB"/>
        </w:rPr>
        <w:t>.</w:t>
      </w:r>
      <w:r w:rsidRPr="00ED0867">
        <w:rPr>
          <w:rFonts w:ascii="Times New Roman" w:hAnsi="Times New Roman"/>
          <w:sz w:val="21"/>
          <w:szCs w:val="21"/>
        </w:rPr>
        <w:t xml:space="preserve"> The NAMA for forestry will require the development of a carbon assessment methodology, data-base, institutional capacities and demonstration activities. This makes the proposed GEF project strategy highly relevant.</w:t>
      </w:r>
      <w:r w:rsidRPr="00ED0867">
        <w:rPr>
          <w:rFonts w:ascii="Times New Roman" w:hAnsi="Times New Roman"/>
          <w:sz w:val="21"/>
          <w:szCs w:val="21"/>
          <w:lang w:val="en-GB"/>
        </w:rPr>
        <w:t xml:space="preserve"> The project will establish the know-how and the management framework needed to implement mitigation activities in the Mediterranean Forests. Furthermore, the project will contribute to the Government’s efforts to create a bio-geographically representative national system of protected areas—codified in the National Protected Area Program. This will help the country to meet the protected area targets laid out in the Global Strategic Plan on Biodiversity 2011-2020. The project also advances the country’s commitments under the Gift to the Earth declaration, whereby the Government pledged to extend PAs in nine identified forest landscapes, currently under-represented within the PA estate, five of which are within the Mediterranean forest districts covered under this project. </w:t>
      </w:r>
    </w:p>
    <w:p w:rsidR="00A81902" w:rsidRPr="00ED0867" w:rsidRDefault="00A81902" w:rsidP="00ED0867">
      <w:pPr>
        <w:pStyle w:val="aaaa"/>
        <w:shd w:val="clear" w:color="auto" w:fill="FFFFFF" w:themeFill="background1"/>
        <w:tabs>
          <w:tab w:val="clear" w:pos="360"/>
          <w:tab w:val="clear" w:pos="720"/>
          <w:tab w:val="num" w:pos="1080"/>
        </w:tabs>
        <w:ind w:left="180"/>
        <w:jc w:val="both"/>
      </w:pPr>
      <w:r w:rsidRPr="00ED0867">
        <w:rPr>
          <w:b/>
          <w:smallCaps/>
        </w:rPr>
        <w:t>B.</w:t>
      </w:r>
      <w:r w:rsidRPr="00ED0867">
        <w:rPr>
          <w:b/>
          <w:smallCaps/>
        </w:rPr>
        <w:tab/>
        <w:t>Project Overview</w:t>
      </w:r>
    </w:p>
    <w:p w:rsidR="00A81902" w:rsidRPr="00ED0867" w:rsidRDefault="00A81902" w:rsidP="00ED0867">
      <w:pPr>
        <w:pStyle w:val="aaa"/>
        <w:numPr>
          <w:ilvl w:val="0"/>
          <w:numId w:val="0"/>
        </w:numPr>
        <w:shd w:val="clear" w:color="auto" w:fill="FFFFFF" w:themeFill="background1"/>
        <w:ind w:left="180"/>
        <w:jc w:val="both"/>
        <w:rPr>
          <w:b/>
          <w:smallCaps/>
          <w:sz w:val="21"/>
          <w:szCs w:val="21"/>
        </w:rPr>
      </w:pPr>
      <w:r w:rsidRPr="00ED0867">
        <w:rPr>
          <w:b/>
          <w:smallCaps/>
          <w:sz w:val="21"/>
          <w:szCs w:val="21"/>
        </w:rPr>
        <w:t xml:space="preserve">B.1. Describe the baseline project and the problem that it seeks to address: </w:t>
      </w:r>
    </w:p>
    <w:p w:rsidR="00A81902" w:rsidRPr="00ED0867" w:rsidRDefault="00A81902" w:rsidP="00ED0867">
      <w:pPr>
        <w:pStyle w:val="A"/>
        <w:numPr>
          <w:ilvl w:val="0"/>
          <w:numId w:val="0"/>
        </w:numPr>
        <w:shd w:val="clear" w:color="auto" w:fill="FFFFFF" w:themeFill="background1"/>
        <w:ind w:left="180"/>
        <w:rPr>
          <w:sz w:val="21"/>
          <w:szCs w:val="21"/>
          <w:lang w:val="en-GB"/>
        </w:rPr>
      </w:pPr>
      <w:proofErr w:type="gramStart"/>
      <w:r w:rsidRPr="00ED0867">
        <w:rPr>
          <w:sz w:val="21"/>
          <w:szCs w:val="21"/>
          <w:u w:val="single"/>
        </w:rPr>
        <w:t>Background</w:t>
      </w:r>
      <w:r w:rsidRPr="00ED0867">
        <w:rPr>
          <w:sz w:val="21"/>
          <w:szCs w:val="21"/>
        </w:rPr>
        <w:t>.</w:t>
      </w:r>
      <w:proofErr w:type="gramEnd"/>
      <w:r w:rsidRPr="00ED0867">
        <w:rPr>
          <w:sz w:val="21"/>
          <w:szCs w:val="21"/>
        </w:rPr>
        <w:t xml:space="preserve"> </w:t>
      </w:r>
      <w:r w:rsidRPr="00ED0867">
        <w:rPr>
          <w:sz w:val="21"/>
          <w:szCs w:val="21"/>
          <w:lang w:val="en-GB"/>
        </w:rPr>
        <w:t>Forests cover about 27 percent of Turkey (</w:t>
      </w:r>
      <w:r w:rsidRPr="00ED0867">
        <w:rPr>
          <w:sz w:val="21"/>
          <w:szCs w:val="21"/>
        </w:rPr>
        <w:t>21.2 million ha)</w:t>
      </w:r>
      <w:r w:rsidRPr="00ED0867">
        <w:rPr>
          <w:sz w:val="21"/>
          <w:szCs w:val="21"/>
          <w:lang w:val="en-GB"/>
        </w:rPr>
        <w:t xml:space="preserve">. </w:t>
      </w:r>
      <w:r w:rsidRPr="00ED0867">
        <w:rPr>
          <w:sz w:val="21"/>
          <w:szCs w:val="21"/>
        </w:rPr>
        <w:t xml:space="preserve">Turkey’s Mediterranean forests cover an area of approximately 7 million hectares in total, extending from the coastal belt off the Marmara </w:t>
      </w:r>
      <w:proofErr w:type="gramStart"/>
      <w:r w:rsidRPr="00ED0867">
        <w:rPr>
          <w:sz w:val="21"/>
          <w:szCs w:val="21"/>
        </w:rPr>
        <w:t>sea</w:t>
      </w:r>
      <w:proofErr w:type="gramEnd"/>
      <w:r w:rsidRPr="00ED0867">
        <w:rPr>
          <w:sz w:val="21"/>
          <w:szCs w:val="21"/>
        </w:rPr>
        <w:t xml:space="preserve">, to the western part of the Anatolian and the Mediterranean regions in the southern and south-western parts of the country. Structurally these are mixed forests: nearly 40% are broadleaved species, the remainder being coniferous. The Mediterranean forests are moderately fragmented due to past logging activities, yet in some parts (especially in the southernmost regions) relatively large continuous forest tracts remain. Mediterranean forests are </w:t>
      </w:r>
      <w:r w:rsidRPr="00ED0867">
        <w:rPr>
          <w:sz w:val="21"/>
          <w:szCs w:val="21"/>
          <w:lang w:val="en-GB"/>
        </w:rPr>
        <w:t xml:space="preserve">listed as a WWF </w:t>
      </w:r>
      <w:r w:rsidRPr="00ED0867">
        <w:rPr>
          <w:sz w:val="21"/>
          <w:szCs w:val="21"/>
        </w:rPr>
        <w:t xml:space="preserve">Global 200 </w:t>
      </w:r>
      <w:proofErr w:type="spellStart"/>
      <w:r w:rsidRPr="00ED0867">
        <w:rPr>
          <w:sz w:val="21"/>
          <w:szCs w:val="21"/>
        </w:rPr>
        <w:t>Ecoregion</w:t>
      </w:r>
      <w:proofErr w:type="spellEnd"/>
      <w:r w:rsidRPr="00ED0867">
        <w:rPr>
          <w:sz w:val="21"/>
          <w:szCs w:val="21"/>
        </w:rPr>
        <w:t xml:space="preserve"> due to their exceptional biodiversity richness. In terms of the alpha-diversity, there are 1,020 </w:t>
      </w:r>
      <w:proofErr w:type="spellStart"/>
      <w:r w:rsidRPr="00ED0867">
        <w:rPr>
          <w:sz w:val="21"/>
          <w:szCs w:val="21"/>
        </w:rPr>
        <w:t>taxa</w:t>
      </w:r>
      <w:proofErr w:type="spellEnd"/>
      <w:r w:rsidRPr="00ED0867">
        <w:rPr>
          <w:sz w:val="21"/>
          <w:szCs w:val="21"/>
        </w:rPr>
        <w:t xml:space="preserve"> - the highest across all regions in Turkey. Beta-diversity is also high, characterized by the different vegetation communities (i.e. </w:t>
      </w:r>
      <w:proofErr w:type="spellStart"/>
      <w:r w:rsidRPr="00ED0867">
        <w:rPr>
          <w:sz w:val="21"/>
          <w:szCs w:val="21"/>
        </w:rPr>
        <w:t>maquis</w:t>
      </w:r>
      <w:proofErr w:type="spellEnd"/>
      <w:r w:rsidRPr="00ED0867">
        <w:rPr>
          <w:sz w:val="21"/>
          <w:szCs w:val="21"/>
        </w:rPr>
        <w:t xml:space="preserve">, </w:t>
      </w:r>
      <w:proofErr w:type="spellStart"/>
      <w:r w:rsidRPr="00ED0867">
        <w:rPr>
          <w:sz w:val="21"/>
          <w:szCs w:val="21"/>
        </w:rPr>
        <w:t>Calabrian</w:t>
      </w:r>
      <w:proofErr w:type="spellEnd"/>
      <w:r w:rsidRPr="00ED0867">
        <w:rPr>
          <w:sz w:val="21"/>
          <w:szCs w:val="21"/>
        </w:rPr>
        <w:t xml:space="preserve"> Pine and Taurus fir forest communities being an example of this). The area is richly endowed with endemic species with limited range distributions. </w:t>
      </w:r>
      <w:r w:rsidRPr="00ED0867">
        <w:rPr>
          <w:sz w:val="21"/>
          <w:szCs w:val="21"/>
          <w:lang w:val="en-GB"/>
        </w:rPr>
        <w:t xml:space="preserve">More than one third of the flora is endemic. These include endemic conifers </w:t>
      </w:r>
      <w:proofErr w:type="spellStart"/>
      <w:r w:rsidRPr="00ED0867">
        <w:rPr>
          <w:i/>
          <w:sz w:val="21"/>
          <w:szCs w:val="21"/>
          <w:lang w:val="en-GB"/>
        </w:rPr>
        <w:t>Abies</w:t>
      </w:r>
      <w:proofErr w:type="spellEnd"/>
      <w:r w:rsidRPr="00ED0867">
        <w:rPr>
          <w:i/>
          <w:sz w:val="21"/>
          <w:szCs w:val="21"/>
          <w:lang w:val="en-GB"/>
        </w:rPr>
        <w:t xml:space="preserve"> </w:t>
      </w:r>
      <w:proofErr w:type="spellStart"/>
      <w:r w:rsidRPr="00ED0867">
        <w:rPr>
          <w:i/>
          <w:sz w:val="21"/>
          <w:szCs w:val="21"/>
          <w:lang w:val="en-GB"/>
        </w:rPr>
        <w:t>cilicica</w:t>
      </w:r>
      <w:proofErr w:type="spellEnd"/>
      <w:r w:rsidRPr="00ED0867">
        <w:rPr>
          <w:i/>
          <w:sz w:val="21"/>
          <w:szCs w:val="21"/>
          <w:lang w:val="en-GB"/>
        </w:rPr>
        <w:t xml:space="preserve">, </w:t>
      </w:r>
      <w:proofErr w:type="spellStart"/>
      <w:r w:rsidRPr="00ED0867">
        <w:rPr>
          <w:i/>
          <w:sz w:val="21"/>
          <w:szCs w:val="21"/>
          <w:lang w:val="en-GB"/>
        </w:rPr>
        <w:t>Cupressus</w:t>
      </w:r>
      <w:proofErr w:type="spellEnd"/>
      <w:r w:rsidRPr="00ED0867">
        <w:rPr>
          <w:i/>
          <w:sz w:val="21"/>
          <w:szCs w:val="21"/>
          <w:lang w:val="en-GB"/>
        </w:rPr>
        <w:t xml:space="preserve"> </w:t>
      </w:r>
      <w:proofErr w:type="spellStart"/>
      <w:r w:rsidRPr="00ED0867">
        <w:rPr>
          <w:i/>
          <w:sz w:val="21"/>
          <w:szCs w:val="21"/>
          <w:lang w:val="en-GB"/>
        </w:rPr>
        <w:t>sempervirens</w:t>
      </w:r>
      <w:proofErr w:type="spellEnd"/>
      <w:r w:rsidRPr="00ED0867">
        <w:rPr>
          <w:i/>
          <w:sz w:val="21"/>
          <w:szCs w:val="21"/>
          <w:lang w:val="en-GB"/>
        </w:rPr>
        <w:t xml:space="preserve">, </w:t>
      </w:r>
      <w:proofErr w:type="spellStart"/>
      <w:r w:rsidRPr="00ED0867">
        <w:rPr>
          <w:i/>
          <w:sz w:val="21"/>
          <w:szCs w:val="21"/>
          <w:lang w:val="en-GB"/>
        </w:rPr>
        <w:t>Pinus</w:t>
      </w:r>
      <w:proofErr w:type="spellEnd"/>
      <w:r w:rsidRPr="00ED0867">
        <w:rPr>
          <w:i/>
          <w:sz w:val="21"/>
          <w:szCs w:val="21"/>
          <w:lang w:val="en-GB"/>
        </w:rPr>
        <w:t xml:space="preserve"> </w:t>
      </w:r>
      <w:proofErr w:type="spellStart"/>
      <w:r w:rsidRPr="00ED0867">
        <w:rPr>
          <w:i/>
          <w:sz w:val="21"/>
          <w:szCs w:val="21"/>
          <w:lang w:val="en-GB"/>
        </w:rPr>
        <w:t>pinea</w:t>
      </w:r>
      <w:proofErr w:type="spellEnd"/>
      <w:r w:rsidRPr="00ED0867">
        <w:rPr>
          <w:i/>
          <w:sz w:val="21"/>
          <w:szCs w:val="21"/>
          <w:lang w:val="en-GB"/>
        </w:rPr>
        <w:t xml:space="preserve">, </w:t>
      </w:r>
      <w:proofErr w:type="spellStart"/>
      <w:r w:rsidRPr="00ED0867">
        <w:rPr>
          <w:i/>
          <w:sz w:val="21"/>
          <w:szCs w:val="21"/>
          <w:lang w:val="en-GB"/>
        </w:rPr>
        <w:t>Pinus</w:t>
      </w:r>
      <w:proofErr w:type="spellEnd"/>
      <w:r w:rsidRPr="00ED0867">
        <w:rPr>
          <w:i/>
          <w:sz w:val="21"/>
          <w:szCs w:val="21"/>
          <w:lang w:val="en-GB"/>
        </w:rPr>
        <w:t xml:space="preserve"> </w:t>
      </w:r>
      <w:proofErr w:type="spellStart"/>
      <w:r w:rsidRPr="00ED0867">
        <w:rPr>
          <w:i/>
          <w:sz w:val="21"/>
          <w:szCs w:val="21"/>
          <w:lang w:val="en-GB"/>
        </w:rPr>
        <w:t>nigra</w:t>
      </w:r>
      <w:proofErr w:type="spellEnd"/>
      <w:r w:rsidRPr="00ED0867">
        <w:rPr>
          <w:i/>
          <w:sz w:val="21"/>
          <w:szCs w:val="21"/>
          <w:lang w:val="en-GB"/>
        </w:rPr>
        <w:t xml:space="preserve"> </w:t>
      </w:r>
      <w:proofErr w:type="spellStart"/>
      <w:r w:rsidRPr="00ED0867">
        <w:rPr>
          <w:i/>
          <w:sz w:val="21"/>
          <w:szCs w:val="21"/>
          <w:lang w:val="en-GB"/>
        </w:rPr>
        <w:t>subsp</w:t>
      </w:r>
      <w:proofErr w:type="spellEnd"/>
      <w:r w:rsidRPr="00ED0867">
        <w:rPr>
          <w:i/>
          <w:sz w:val="21"/>
          <w:szCs w:val="21"/>
          <w:lang w:val="en-GB"/>
        </w:rPr>
        <w:t xml:space="preserve"> </w:t>
      </w:r>
      <w:proofErr w:type="spellStart"/>
      <w:r w:rsidRPr="00ED0867">
        <w:rPr>
          <w:i/>
          <w:sz w:val="21"/>
          <w:szCs w:val="21"/>
          <w:lang w:val="en-GB"/>
        </w:rPr>
        <w:t>pallasiana</w:t>
      </w:r>
      <w:proofErr w:type="spellEnd"/>
      <w:r w:rsidRPr="00ED0867">
        <w:rPr>
          <w:i/>
          <w:sz w:val="21"/>
          <w:szCs w:val="21"/>
          <w:lang w:val="en-GB"/>
        </w:rPr>
        <w:t xml:space="preserve">, </w:t>
      </w:r>
      <w:proofErr w:type="spellStart"/>
      <w:r w:rsidRPr="00ED0867">
        <w:rPr>
          <w:i/>
          <w:sz w:val="21"/>
          <w:szCs w:val="21"/>
          <w:lang w:val="en-GB"/>
        </w:rPr>
        <w:t>Cedrus</w:t>
      </w:r>
      <w:proofErr w:type="spellEnd"/>
      <w:r w:rsidRPr="00ED0867">
        <w:rPr>
          <w:i/>
          <w:sz w:val="21"/>
          <w:szCs w:val="21"/>
          <w:lang w:val="en-GB"/>
        </w:rPr>
        <w:t xml:space="preserve"> </w:t>
      </w:r>
      <w:proofErr w:type="spellStart"/>
      <w:r w:rsidRPr="00ED0867">
        <w:rPr>
          <w:i/>
          <w:sz w:val="21"/>
          <w:szCs w:val="21"/>
          <w:lang w:val="en-GB"/>
        </w:rPr>
        <w:t>libani</w:t>
      </w:r>
      <w:proofErr w:type="spellEnd"/>
      <w:r w:rsidRPr="00ED0867">
        <w:rPr>
          <w:sz w:val="21"/>
          <w:szCs w:val="21"/>
          <w:lang w:val="en-GB"/>
        </w:rPr>
        <w:t>), as well as endemic oaks (</w:t>
      </w:r>
      <w:proofErr w:type="spellStart"/>
      <w:r w:rsidRPr="00ED0867">
        <w:rPr>
          <w:i/>
          <w:iCs/>
          <w:sz w:val="21"/>
          <w:szCs w:val="21"/>
          <w:lang w:val="en-GB"/>
        </w:rPr>
        <w:t>Quercus</w:t>
      </w:r>
      <w:proofErr w:type="spellEnd"/>
      <w:r w:rsidRPr="00ED0867">
        <w:rPr>
          <w:i/>
          <w:iCs/>
          <w:sz w:val="21"/>
          <w:szCs w:val="21"/>
          <w:lang w:val="en-GB"/>
        </w:rPr>
        <w:t xml:space="preserve"> </w:t>
      </w:r>
      <w:proofErr w:type="spellStart"/>
      <w:r w:rsidRPr="00ED0867">
        <w:rPr>
          <w:i/>
          <w:iCs/>
          <w:sz w:val="21"/>
          <w:szCs w:val="21"/>
          <w:lang w:val="en-GB"/>
        </w:rPr>
        <w:t>euboica</w:t>
      </w:r>
      <w:proofErr w:type="spellEnd"/>
      <w:r w:rsidRPr="00ED0867">
        <w:rPr>
          <w:i/>
          <w:iCs/>
          <w:sz w:val="21"/>
          <w:szCs w:val="21"/>
          <w:lang w:val="en-GB"/>
        </w:rPr>
        <w:t xml:space="preserve">, </w:t>
      </w:r>
      <w:proofErr w:type="spellStart"/>
      <w:r w:rsidRPr="00ED0867">
        <w:rPr>
          <w:i/>
          <w:iCs/>
          <w:sz w:val="21"/>
          <w:szCs w:val="21"/>
          <w:lang w:val="en-GB"/>
        </w:rPr>
        <w:t>Quercus</w:t>
      </w:r>
      <w:proofErr w:type="spellEnd"/>
      <w:r w:rsidRPr="00ED0867">
        <w:rPr>
          <w:i/>
          <w:iCs/>
          <w:sz w:val="21"/>
          <w:szCs w:val="21"/>
          <w:lang w:val="en-GB"/>
        </w:rPr>
        <w:t xml:space="preserve"> </w:t>
      </w:r>
      <w:proofErr w:type="spellStart"/>
      <w:r w:rsidRPr="00ED0867">
        <w:rPr>
          <w:i/>
          <w:iCs/>
          <w:sz w:val="21"/>
          <w:szCs w:val="21"/>
          <w:lang w:val="en-GB"/>
        </w:rPr>
        <w:t>vulcanica</w:t>
      </w:r>
      <w:proofErr w:type="spellEnd"/>
      <w:r w:rsidRPr="00ED0867">
        <w:rPr>
          <w:i/>
          <w:iCs/>
          <w:sz w:val="21"/>
          <w:szCs w:val="21"/>
          <w:lang w:val="en-GB"/>
        </w:rPr>
        <w:t xml:space="preserve">, </w:t>
      </w:r>
      <w:proofErr w:type="spellStart"/>
      <w:r w:rsidRPr="00ED0867">
        <w:rPr>
          <w:i/>
          <w:iCs/>
          <w:sz w:val="21"/>
          <w:szCs w:val="21"/>
          <w:lang w:val="en-GB"/>
        </w:rPr>
        <w:t>Quercus</w:t>
      </w:r>
      <w:proofErr w:type="spellEnd"/>
      <w:r w:rsidRPr="00ED0867">
        <w:rPr>
          <w:i/>
          <w:iCs/>
          <w:sz w:val="21"/>
          <w:szCs w:val="21"/>
          <w:lang w:val="en-GB"/>
        </w:rPr>
        <w:t xml:space="preserve"> </w:t>
      </w:r>
      <w:proofErr w:type="spellStart"/>
      <w:r w:rsidRPr="00ED0867">
        <w:rPr>
          <w:i/>
          <w:iCs/>
          <w:sz w:val="21"/>
          <w:szCs w:val="21"/>
          <w:lang w:val="en-GB"/>
        </w:rPr>
        <w:lastRenderedPageBreak/>
        <w:t>aucheri</w:t>
      </w:r>
      <w:proofErr w:type="spellEnd"/>
      <w:r w:rsidRPr="00ED0867">
        <w:rPr>
          <w:sz w:val="21"/>
          <w:szCs w:val="21"/>
          <w:lang w:val="en-GB"/>
        </w:rPr>
        <w:t xml:space="preserve">). The region also provides a vital habitat for threatened species, including the Wolf, Lynx, and Brown Bear. The mountain forests of the Mediterranean region have some of the Turkey’s oldest trees (500-1,000 years old).These forests </w:t>
      </w:r>
      <w:r w:rsidRPr="00ED0867">
        <w:rPr>
          <w:sz w:val="21"/>
          <w:szCs w:val="21"/>
        </w:rPr>
        <w:t xml:space="preserve">constitute </w:t>
      </w:r>
      <w:r w:rsidRPr="00ED0867">
        <w:rPr>
          <w:sz w:val="21"/>
          <w:szCs w:val="21"/>
          <w:lang w:val="en-GB"/>
        </w:rPr>
        <w:t>the largest forest carbon repository in West Asia and the second largest in Southern Europe</w:t>
      </w:r>
      <w:r w:rsidRPr="00ED0867">
        <w:rPr>
          <w:rStyle w:val="FootnoteReference"/>
          <w:sz w:val="21"/>
          <w:szCs w:val="21"/>
          <w:lang w:val="en-GB"/>
        </w:rPr>
        <w:footnoteReference w:id="2"/>
      </w:r>
      <w:r w:rsidRPr="00ED0867">
        <w:rPr>
          <w:sz w:val="21"/>
          <w:szCs w:val="21"/>
          <w:lang w:val="en-GB"/>
        </w:rPr>
        <w:t>: in total they store 304.61 tCO2/ha in above-ground biomass, and 54.316 tCO2/ha below ground; under natural conditions, their net annual sequestration rate is 7.34 tCO2/ha/year</w:t>
      </w:r>
      <w:r w:rsidRPr="00ED0867">
        <w:rPr>
          <w:rStyle w:val="FootnoteReference"/>
          <w:sz w:val="21"/>
          <w:szCs w:val="21"/>
          <w:lang w:val="en-GB"/>
        </w:rPr>
        <w:footnoteReference w:id="3"/>
      </w:r>
      <w:r w:rsidRPr="00ED0867">
        <w:rPr>
          <w:sz w:val="21"/>
          <w:szCs w:val="21"/>
          <w:lang w:val="en-GB"/>
        </w:rPr>
        <w:t xml:space="preserve">. The total carbon pool in Turkey’s Mediterranean forests is currently assessed to be over 2 billion </w:t>
      </w:r>
      <w:proofErr w:type="spellStart"/>
      <w:proofErr w:type="gramStart"/>
      <w:r w:rsidRPr="00ED0867">
        <w:rPr>
          <w:sz w:val="21"/>
          <w:szCs w:val="21"/>
          <w:lang w:val="en-GB"/>
        </w:rPr>
        <w:t>tC</w:t>
      </w:r>
      <w:proofErr w:type="spellEnd"/>
      <w:proofErr w:type="gramEnd"/>
      <w:r w:rsidRPr="00ED0867">
        <w:rPr>
          <w:rStyle w:val="FootnoteReference"/>
          <w:sz w:val="21"/>
          <w:szCs w:val="21"/>
          <w:lang w:val="en-GB"/>
        </w:rPr>
        <w:footnoteReference w:id="4"/>
      </w:r>
      <w:r w:rsidRPr="00ED0867">
        <w:rPr>
          <w:sz w:val="21"/>
          <w:szCs w:val="21"/>
          <w:lang w:val="en-GB"/>
        </w:rPr>
        <w:t>.</w:t>
      </w:r>
      <w:r w:rsidRPr="00ED0867">
        <w:rPr>
          <w:sz w:val="21"/>
          <w:szCs w:val="21"/>
        </w:rPr>
        <w:t xml:space="preserve"> Illicit logging, fires, and pests cause annual sequestration rates to fluctuate:</w:t>
      </w:r>
      <w:r w:rsidRPr="00ED0867">
        <w:rPr>
          <w:sz w:val="21"/>
          <w:szCs w:val="21"/>
          <w:lang w:val="en-GB"/>
        </w:rPr>
        <w:t xml:space="preserve"> in 1990 the forests were a 41.7 </w:t>
      </w:r>
      <w:proofErr w:type="spellStart"/>
      <w:r w:rsidRPr="00ED0867">
        <w:rPr>
          <w:sz w:val="21"/>
          <w:szCs w:val="21"/>
          <w:lang w:val="en-GB"/>
        </w:rPr>
        <w:t>mln</w:t>
      </w:r>
      <w:proofErr w:type="spellEnd"/>
      <w:r w:rsidRPr="00ED0867">
        <w:rPr>
          <w:sz w:val="21"/>
          <w:szCs w:val="21"/>
          <w:lang w:val="en-GB"/>
        </w:rPr>
        <w:t xml:space="preserve"> tCO2 net sink; by 2000, the net forest sink increased to 62.26 </w:t>
      </w:r>
      <w:proofErr w:type="spellStart"/>
      <w:r w:rsidRPr="00ED0867">
        <w:rPr>
          <w:sz w:val="21"/>
          <w:szCs w:val="21"/>
          <w:lang w:val="en-GB"/>
        </w:rPr>
        <w:t>mln</w:t>
      </w:r>
      <w:proofErr w:type="spellEnd"/>
      <w:r w:rsidRPr="00ED0867">
        <w:rPr>
          <w:sz w:val="21"/>
          <w:szCs w:val="21"/>
          <w:lang w:val="en-GB"/>
        </w:rPr>
        <w:t xml:space="preserve"> tCO2</w:t>
      </w:r>
      <w:r w:rsidRPr="00ED0867">
        <w:rPr>
          <w:rStyle w:val="FootnoteReference"/>
          <w:sz w:val="21"/>
          <w:szCs w:val="21"/>
          <w:lang w:val="en-GB"/>
        </w:rPr>
        <w:footnoteReference w:id="5"/>
      </w:r>
      <w:r w:rsidRPr="00ED0867">
        <w:rPr>
          <w:sz w:val="21"/>
          <w:szCs w:val="21"/>
          <w:lang w:val="en-GB"/>
        </w:rPr>
        <w:t>, remaining stable or slightly increasing for the next several years before going down in 2006; this was followed by a slight increase in the period 2007-2008 due to the introduction of controls on logging; but fell drastically in 2009 and 2010 due to the widespread forest fires that occurred then.</w:t>
      </w:r>
    </w:p>
    <w:p w:rsidR="00A81902" w:rsidRPr="00ED0867" w:rsidRDefault="00A81902" w:rsidP="00ED0867">
      <w:pPr>
        <w:pStyle w:val="A"/>
        <w:numPr>
          <w:ilvl w:val="0"/>
          <w:numId w:val="0"/>
        </w:numPr>
        <w:shd w:val="clear" w:color="auto" w:fill="FFFFFF" w:themeFill="background1"/>
        <w:ind w:left="180"/>
        <w:rPr>
          <w:sz w:val="21"/>
          <w:szCs w:val="21"/>
          <w:lang w:val="en-GB"/>
        </w:rPr>
      </w:pPr>
      <w:r w:rsidRPr="00ED0867">
        <w:rPr>
          <w:sz w:val="21"/>
          <w:szCs w:val="21"/>
        </w:rPr>
        <w:t xml:space="preserve">Despite their global environmental importance, the Mediterranean forests face several threats. </w:t>
      </w:r>
      <w:r w:rsidRPr="00ED0867">
        <w:rPr>
          <w:sz w:val="21"/>
          <w:szCs w:val="21"/>
          <w:lang w:val="en-GB"/>
        </w:rPr>
        <w:t xml:space="preserve">Large-scale deforestation ended in the late 1990s when the Government placed a ban on clear-cut industrial logging. About 3 </w:t>
      </w:r>
      <w:proofErr w:type="spellStart"/>
      <w:r w:rsidRPr="00ED0867">
        <w:rPr>
          <w:sz w:val="21"/>
          <w:szCs w:val="21"/>
          <w:lang w:val="en-GB"/>
        </w:rPr>
        <w:t>mln</w:t>
      </w:r>
      <w:proofErr w:type="spellEnd"/>
      <w:r w:rsidRPr="00ED0867">
        <w:rPr>
          <w:sz w:val="21"/>
          <w:szCs w:val="21"/>
          <w:lang w:val="en-GB"/>
        </w:rPr>
        <w:t xml:space="preserve"> ha of the Mediterranean forest area have suffered from severe degradation due to past economic activities. Some of these forests have a crown density of less than 10 percent</w:t>
      </w:r>
      <w:r w:rsidRPr="00ED0867">
        <w:rPr>
          <w:rStyle w:val="FootnoteReference"/>
          <w:sz w:val="21"/>
          <w:szCs w:val="21"/>
          <w:lang w:val="en-GB"/>
        </w:rPr>
        <w:footnoteReference w:id="6"/>
      </w:r>
      <w:r w:rsidRPr="00ED0867">
        <w:rPr>
          <w:sz w:val="21"/>
          <w:szCs w:val="21"/>
          <w:lang w:val="en-GB"/>
        </w:rPr>
        <w:t xml:space="preserve">; nevertheless many areas have moderate-to-high regeneration potential, which if permitted to occur and in areas complemented by reforestation – would allow carbon build-up and connect currently fragmented forest patches. </w:t>
      </w:r>
    </w:p>
    <w:p w:rsidR="00A81902" w:rsidRPr="00ED0867" w:rsidRDefault="00A81902" w:rsidP="00ED0867">
      <w:pPr>
        <w:pStyle w:val="A"/>
        <w:numPr>
          <w:ilvl w:val="0"/>
          <w:numId w:val="0"/>
        </w:numPr>
        <w:shd w:val="clear" w:color="auto" w:fill="FFFFFF" w:themeFill="background1"/>
        <w:ind w:left="180"/>
        <w:rPr>
          <w:sz w:val="21"/>
          <w:szCs w:val="21"/>
        </w:rPr>
      </w:pPr>
      <w:r w:rsidRPr="00ED0867">
        <w:rPr>
          <w:sz w:val="21"/>
          <w:szCs w:val="21"/>
          <w:lang w:val="en-GB"/>
        </w:rPr>
        <w:t xml:space="preserve">Presently, the main threats to Mediterranean forests derive from anthropogenic </w:t>
      </w:r>
      <w:proofErr w:type="spellStart"/>
      <w:r w:rsidRPr="00ED0867">
        <w:rPr>
          <w:sz w:val="21"/>
          <w:szCs w:val="21"/>
          <w:lang w:val="en-GB"/>
        </w:rPr>
        <w:t>wildlfires</w:t>
      </w:r>
      <w:proofErr w:type="spellEnd"/>
      <w:r w:rsidRPr="00ED0867">
        <w:rPr>
          <w:sz w:val="21"/>
          <w:szCs w:val="21"/>
          <w:lang w:val="en-GB"/>
        </w:rPr>
        <w:t xml:space="preserve">, </w:t>
      </w:r>
      <w:r w:rsidRPr="00ED0867">
        <w:rPr>
          <w:sz w:val="21"/>
          <w:szCs w:val="21"/>
        </w:rPr>
        <w:t>unsustainable fire wood collection by local villagers, illicit timber harvests and pests. These threaten biodiversity, but at the same time contribute to the release of carbon into the atmosphere, thus also contributing to climate change.</w:t>
      </w:r>
    </w:p>
    <w:p w:rsidR="00A81902" w:rsidRPr="00ED0867" w:rsidRDefault="00A81902" w:rsidP="00ED0867">
      <w:pPr>
        <w:pStyle w:val="A"/>
        <w:numPr>
          <w:ilvl w:val="0"/>
          <w:numId w:val="0"/>
        </w:numPr>
        <w:shd w:val="clear" w:color="auto" w:fill="FFFFFF" w:themeFill="background1"/>
        <w:ind w:left="180"/>
        <w:rPr>
          <w:sz w:val="21"/>
          <w:szCs w:val="21"/>
        </w:rPr>
      </w:pPr>
      <w:r w:rsidRPr="00ED0867">
        <w:rPr>
          <w:bCs/>
          <w:sz w:val="21"/>
          <w:szCs w:val="21"/>
        </w:rPr>
        <w:t>1] Fires</w:t>
      </w:r>
      <w:r w:rsidRPr="00ED0867">
        <w:rPr>
          <w:sz w:val="21"/>
          <w:szCs w:val="21"/>
        </w:rPr>
        <w:t xml:space="preserve">. The coastal belt, which extends from Antakya to Istanbul in the </w:t>
      </w:r>
      <w:proofErr w:type="gramStart"/>
      <w:r w:rsidRPr="00ED0867">
        <w:rPr>
          <w:sz w:val="21"/>
          <w:szCs w:val="21"/>
        </w:rPr>
        <w:t>North</w:t>
      </w:r>
      <w:proofErr w:type="gramEnd"/>
      <w:r w:rsidRPr="00ED0867">
        <w:rPr>
          <w:sz w:val="21"/>
          <w:szCs w:val="21"/>
        </w:rPr>
        <w:t xml:space="preserve"> is regarded to be the region most at risk from fires, and nearly 12 million hectares of forests in the area are vulnerable. The majority of forest fires are human induced, less than 2% being attributable to natural factors. 2,000 forest fires occur on average per year across Turkey. However, 65% of these on average happen in the Mediterranean and Aegean forest regions. About 40% of these are high intensity crown fires that destroy most of the biomass; 60% are ground-fires whereby about 55% of the biomass is destroyed. Together, the crown and ground fires release </w:t>
      </w:r>
      <w:proofErr w:type="gramStart"/>
      <w:r w:rsidRPr="00ED0867">
        <w:rPr>
          <w:sz w:val="21"/>
          <w:szCs w:val="21"/>
        </w:rPr>
        <w:t>approximately 782,000 tCO2-eq</w:t>
      </w:r>
      <w:proofErr w:type="gramEnd"/>
      <w:r w:rsidRPr="00ED0867">
        <w:rPr>
          <w:rStyle w:val="FootnoteReference"/>
          <w:sz w:val="21"/>
          <w:szCs w:val="21"/>
        </w:rPr>
        <w:footnoteReference w:id="7"/>
      </w:r>
      <w:r w:rsidRPr="00ED0867">
        <w:rPr>
          <w:sz w:val="21"/>
          <w:szCs w:val="21"/>
        </w:rPr>
        <w:t>. The annual frequency of fires has increased since 2004 and is expected to increase further as a consequence of climate change</w:t>
      </w:r>
      <w:r w:rsidRPr="00ED0867">
        <w:rPr>
          <w:rStyle w:val="FootnoteReference"/>
          <w:sz w:val="21"/>
          <w:szCs w:val="21"/>
        </w:rPr>
        <w:footnoteReference w:id="8"/>
      </w:r>
      <w:r w:rsidRPr="00ED0867">
        <w:rPr>
          <w:sz w:val="21"/>
          <w:szCs w:val="21"/>
        </w:rPr>
        <w:t xml:space="preserve">. 65% of all fires happen in the forests of the Mediterranean and Aegean Sea regions. Large-scale fires in 2004, 2009, and 2010 destroyed over 10,000 ha of high conservation value </w:t>
      </w:r>
      <w:proofErr w:type="gramStart"/>
      <w:r w:rsidRPr="00ED0867">
        <w:rPr>
          <w:sz w:val="21"/>
          <w:szCs w:val="21"/>
        </w:rPr>
        <w:t>forests,</w:t>
      </w:r>
      <w:proofErr w:type="gramEnd"/>
      <w:r w:rsidRPr="00ED0867">
        <w:rPr>
          <w:sz w:val="21"/>
          <w:szCs w:val="21"/>
        </w:rPr>
        <w:t xml:space="preserve"> including </w:t>
      </w:r>
      <w:proofErr w:type="spellStart"/>
      <w:r w:rsidRPr="00ED0867">
        <w:rPr>
          <w:sz w:val="21"/>
          <w:szCs w:val="21"/>
        </w:rPr>
        <w:t>Calabrian</w:t>
      </w:r>
      <w:proofErr w:type="spellEnd"/>
      <w:r w:rsidRPr="00ED0867">
        <w:rPr>
          <w:sz w:val="21"/>
          <w:szCs w:val="21"/>
        </w:rPr>
        <w:t xml:space="preserve"> pine forests, which caused a significant destruction of the habitat of endemic and threatened forest species. Fires are set to clear land for farming, to release potash into the soil to improve grazing, by honey collectors, and by accidentally by tourists. </w:t>
      </w:r>
    </w:p>
    <w:p w:rsidR="00A81902" w:rsidRPr="00ED0867" w:rsidRDefault="00A81902" w:rsidP="00ED0867">
      <w:pPr>
        <w:pStyle w:val="A"/>
        <w:numPr>
          <w:ilvl w:val="0"/>
          <w:numId w:val="0"/>
        </w:numPr>
        <w:shd w:val="clear" w:color="auto" w:fill="FFFFFF" w:themeFill="background1"/>
        <w:ind w:left="180"/>
        <w:rPr>
          <w:sz w:val="21"/>
          <w:szCs w:val="21"/>
        </w:rPr>
      </w:pPr>
      <w:r w:rsidRPr="00ED0867">
        <w:rPr>
          <w:sz w:val="21"/>
          <w:szCs w:val="21"/>
        </w:rPr>
        <w:t xml:space="preserve">2] Illicit </w:t>
      </w:r>
      <w:r w:rsidRPr="00ED0867">
        <w:rPr>
          <w:bCs/>
          <w:sz w:val="21"/>
          <w:szCs w:val="21"/>
        </w:rPr>
        <w:t>unsustainable logging</w:t>
      </w:r>
      <w:r w:rsidRPr="00ED0867">
        <w:rPr>
          <w:sz w:val="21"/>
          <w:szCs w:val="21"/>
        </w:rPr>
        <w:t xml:space="preserve"> is a further problem. </w:t>
      </w:r>
      <w:proofErr w:type="gramStart"/>
      <w:r w:rsidRPr="00ED0867">
        <w:rPr>
          <w:sz w:val="21"/>
          <w:szCs w:val="21"/>
        </w:rPr>
        <w:t xml:space="preserve">According to the Ministry of Environment and Forestry, the annual </w:t>
      </w:r>
      <w:r w:rsidRPr="00ED0867">
        <w:rPr>
          <w:sz w:val="21"/>
          <w:szCs w:val="21"/>
          <w:u w:val="single"/>
        </w:rPr>
        <w:t>commercial</w:t>
      </w:r>
      <w:r w:rsidRPr="00ED0867">
        <w:rPr>
          <w:sz w:val="21"/>
          <w:szCs w:val="21"/>
        </w:rPr>
        <w:t xml:space="preserve"> illegal logging across Turkey amounts to 71,100 m³.</w:t>
      </w:r>
      <w:proofErr w:type="gramEnd"/>
      <w:r w:rsidRPr="00ED0867">
        <w:rPr>
          <w:sz w:val="21"/>
          <w:szCs w:val="21"/>
        </w:rPr>
        <w:t xml:space="preserve"> The commercial illegal logging is on the downward trend ever since the Government introduced a ban on clear-felling. Commercial illegal logging is dealt with by the Government through baseline programs that are tightening of controls over companies, increasing penalties and improving prosecution for malfeasance. While it is part of the continued baseline effort of the government, it is outside the scope of the GEF-specific activities. Rather, the GEF focus is on the illicit unsustainable cut of forests for fuel by local villagers, where the combination of rural poverty and environmental issues demand that a mixture of carrots and sticks (incentives and sanctions are needed). The illicit unsustainable logging by local villagers to satisfy fuel needs amounts to 20,560 m3 per year. Unsustainable illicit logging of broadleaf oak forests is a major problem for biodiversity. Illegal logging is leading to land degradation in some areas, while also contributing to carbon emissions of 33,578 tCO2 per year. The calculations based on IPCC LULUCF tables are provided below:</w:t>
      </w:r>
    </w:p>
    <w:tbl>
      <w:tblPr>
        <w:tblW w:w="11430" w:type="dxa"/>
        <w:tblInd w:w="-72" w:type="dxa"/>
        <w:tblLook w:val="00A0"/>
      </w:tblPr>
      <w:tblGrid>
        <w:gridCol w:w="1890"/>
        <w:gridCol w:w="1620"/>
        <w:gridCol w:w="1800"/>
        <w:gridCol w:w="1980"/>
        <w:gridCol w:w="1440"/>
        <w:gridCol w:w="1530"/>
        <w:gridCol w:w="1170"/>
      </w:tblGrid>
      <w:tr w:rsidR="00A81902" w:rsidRPr="00ED0867" w:rsidTr="00003F3B">
        <w:trPr>
          <w:trHeight w:val="430"/>
        </w:trPr>
        <w:tc>
          <w:tcPr>
            <w:tcW w:w="1890" w:type="dxa"/>
            <w:vMerge w:val="restart"/>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Subcategories for reporting r</w:t>
            </w:r>
          </w:p>
        </w:tc>
        <w:tc>
          <w:tcPr>
            <w:tcW w:w="162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Annual wood removal</w:t>
            </w:r>
          </w:p>
        </w:tc>
        <w:tc>
          <w:tcPr>
            <w:tcW w:w="180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Biomass conversion and expansion factor</w:t>
            </w:r>
          </w:p>
        </w:tc>
        <w:tc>
          <w:tcPr>
            <w:tcW w:w="198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Ratio of below-ground biomass to above-ground biomass</w:t>
            </w:r>
          </w:p>
        </w:tc>
        <w:tc>
          <w:tcPr>
            <w:tcW w:w="144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Carbon fraction of dry matter</w:t>
            </w:r>
          </w:p>
        </w:tc>
        <w:tc>
          <w:tcPr>
            <w:tcW w:w="153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Annual carbon loss due to biomass removals</w:t>
            </w:r>
          </w:p>
        </w:tc>
        <w:tc>
          <w:tcPr>
            <w:tcW w:w="1170" w:type="dxa"/>
            <w:tcBorders>
              <w:top w:val="single" w:sz="8" w:space="0" w:color="auto"/>
              <w:left w:val="nil"/>
              <w:bottom w:val="single" w:sz="4" w:space="0" w:color="auto"/>
              <w:right w:val="single" w:sz="8"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Conversion to CO2</w:t>
            </w:r>
          </w:p>
        </w:tc>
      </w:tr>
      <w:tr w:rsidR="00A81902" w:rsidRPr="00ED0867" w:rsidTr="00003F3B">
        <w:trPr>
          <w:trHeight w:val="232"/>
        </w:trPr>
        <w:tc>
          <w:tcPr>
            <w:tcW w:w="1890"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62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(m</w:t>
            </w:r>
            <w:r w:rsidRPr="00ED0867">
              <w:rPr>
                <w:rFonts w:ascii="Times New Roman" w:hAnsi="Times New Roman"/>
                <w:sz w:val="18"/>
                <w:szCs w:val="18"/>
                <w:vertAlign w:val="superscript"/>
              </w:rPr>
              <w:t>3</w:t>
            </w:r>
            <w:r w:rsidRPr="00ED0867">
              <w:rPr>
                <w:rFonts w:ascii="Times New Roman" w:hAnsi="Times New Roman"/>
                <w:sz w:val="18"/>
                <w:szCs w:val="18"/>
              </w:rPr>
              <w:t xml:space="preserve"> yr</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80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of biomass removals</w:t>
            </w:r>
          </w:p>
        </w:tc>
        <w:tc>
          <w:tcPr>
            <w:tcW w:w="198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w:t>
            </w:r>
            <w:proofErr w:type="spellStart"/>
            <w:r w:rsidRPr="00ED0867">
              <w:rPr>
                <w:rFonts w:ascii="Times New Roman" w:hAnsi="Times New Roman"/>
                <w:sz w:val="18"/>
                <w:szCs w:val="18"/>
              </w:rPr>
              <w:t>bg</w:t>
            </w:r>
            <w:proofErr w:type="spellEnd"/>
            <w:r w:rsidRPr="00ED0867">
              <w:rPr>
                <w:rFonts w:ascii="Times New Roman" w:hAnsi="Times New Roman"/>
                <w:sz w:val="18"/>
                <w:szCs w:val="18"/>
              </w:rPr>
              <w:t xml:space="preserve"> dm</w:t>
            </w:r>
          </w:p>
        </w:tc>
        <w:tc>
          <w:tcPr>
            <w:tcW w:w="144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C</w:t>
            </w:r>
          </w:p>
        </w:tc>
        <w:tc>
          <w:tcPr>
            <w:tcW w:w="153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C yr</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170" w:type="dxa"/>
            <w:tcBorders>
              <w:top w:val="nil"/>
              <w:left w:val="nil"/>
              <w:bottom w:val="single" w:sz="4" w:space="0" w:color="auto"/>
              <w:right w:val="single" w:sz="8"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 xml:space="preserve">tCO2 per </w:t>
            </w:r>
            <w:proofErr w:type="spellStart"/>
            <w:r w:rsidRPr="00ED0867">
              <w:rPr>
                <w:rFonts w:ascii="Times New Roman" w:hAnsi="Times New Roman"/>
                <w:sz w:val="18"/>
                <w:szCs w:val="18"/>
              </w:rPr>
              <w:t>tC</w:t>
            </w:r>
            <w:proofErr w:type="spellEnd"/>
          </w:p>
        </w:tc>
      </w:tr>
      <w:tr w:rsidR="00A81902" w:rsidRPr="00ED0867" w:rsidTr="00B37D06">
        <w:trPr>
          <w:trHeight w:val="277"/>
        </w:trPr>
        <w:tc>
          <w:tcPr>
            <w:tcW w:w="1890"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62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80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(m</w:t>
            </w:r>
            <w:r w:rsidRPr="00ED0867">
              <w:rPr>
                <w:rFonts w:ascii="Times New Roman" w:hAnsi="Times New Roman"/>
                <w:sz w:val="18"/>
                <w:szCs w:val="18"/>
                <w:vertAlign w:val="superscript"/>
              </w:rPr>
              <w:t>3</w:t>
            </w:r>
            <w:r w:rsidRPr="00ED0867">
              <w:rPr>
                <w:rFonts w:ascii="Times New Roman" w:hAnsi="Times New Roman"/>
                <w:sz w:val="18"/>
                <w:szCs w:val="18"/>
              </w:rPr>
              <w:t xml:space="preserve"> of removals) </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98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w:t>
            </w:r>
            <w:proofErr w:type="spellEnd"/>
            <w:r w:rsidRPr="00ED0867">
              <w:rPr>
                <w:rFonts w:ascii="Times New Roman" w:hAnsi="Times New Roman"/>
                <w:sz w:val="18"/>
                <w:szCs w:val="18"/>
              </w:rPr>
              <w:t xml:space="preserve"> </w:t>
            </w:r>
            <w:proofErr w:type="spellStart"/>
            <w:r w:rsidRPr="00ED0867">
              <w:rPr>
                <w:rFonts w:ascii="Times New Roman" w:hAnsi="Times New Roman"/>
                <w:sz w:val="18"/>
                <w:szCs w:val="18"/>
              </w:rPr>
              <w:t>ag</w:t>
            </w:r>
            <w:proofErr w:type="spellEnd"/>
            <w:r w:rsidRPr="00ED0867">
              <w:rPr>
                <w:rFonts w:ascii="Times New Roman" w:hAnsi="Times New Roman"/>
                <w:sz w:val="18"/>
                <w:szCs w:val="18"/>
              </w:rPr>
              <w:t xml:space="preserve"> dm)</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44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w:t>
            </w:r>
            <w:proofErr w:type="spellEnd"/>
            <w:r w:rsidRPr="00ED0867">
              <w:rPr>
                <w:rFonts w:ascii="Times New Roman" w:hAnsi="Times New Roman"/>
                <w:sz w:val="18"/>
                <w:szCs w:val="18"/>
              </w:rPr>
              <w:t xml:space="preserve"> dm)</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53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w:t>
            </w:r>
          </w:p>
        </w:tc>
      </w:tr>
      <w:tr w:rsidR="00A81902" w:rsidRPr="00ED0867" w:rsidTr="00003F3B">
        <w:trPr>
          <w:trHeight w:val="898"/>
        </w:trPr>
        <w:tc>
          <w:tcPr>
            <w:tcW w:w="1890"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62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National statistics or international data sources</w:t>
            </w:r>
          </w:p>
        </w:tc>
        <w:tc>
          <w:tcPr>
            <w:tcW w:w="180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 xml:space="preserve">Table 4.5 - Mediterranean forests hardwoods, stocking density 41-80 m3 per </w:t>
            </w:r>
            <w:r w:rsidRPr="00ED0867">
              <w:rPr>
                <w:rFonts w:ascii="Times New Roman" w:hAnsi="Times New Roman"/>
                <w:sz w:val="18"/>
                <w:szCs w:val="18"/>
              </w:rPr>
              <w:lastRenderedPageBreak/>
              <w:t>ha</w:t>
            </w:r>
          </w:p>
        </w:tc>
        <w:tc>
          <w:tcPr>
            <w:tcW w:w="198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lastRenderedPageBreak/>
              <w:t>zero (0) or - zero since removal concerns mostly only above ground biomass</w:t>
            </w:r>
          </w:p>
        </w:tc>
        <w:tc>
          <w:tcPr>
            <w:tcW w:w="144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0.5 or</w:t>
            </w:r>
          </w:p>
        </w:tc>
        <w:tc>
          <w:tcPr>
            <w:tcW w:w="153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proofErr w:type="spellStart"/>
            <w:r w:rsidRPr="00ED0867">
              <w:rPr>
                <w:rFonts w:ascii="Times New Roman" w:hAnsi="Times New Roman"/>
                <w:sz w:val="18"/>
                <w:szCs w:val="18"/>
              </w:rPr>
              <w:t>L</w:t>
            </w:r>
            <w:r w:rsidRPr="00ED0867">
              <w:rPr>
                <w:rFonts w:ascii="Times New Roman" w:hAnsi="Times New Roman"/>
                <w:sz w:val="18"/>
                <w:szCs w:val="18"/>
                <w:vertAlign w:val="subscript"/>
              </w:rPr>
              <w:t>wood</w:t>
            </w:r>
            <w:proofErr w:type="spellEnd"/>
            <w:r w:rsidRPr="00ED0867">
              <w:rPr>
                <w:rFonts w:ascii="Times New Roman" w:hAnsi="Times New Roman"/>
                <w:sz w:val="18"/>
                <w:szCs w:val="18"/>
                <w:vertAlign w:val="subscript"/>
              </w:rPr>
              <w:t>-removals</w:t>
            </w:r>
            <w:r w:rsidRPr="00ED0867">
              <w:rPr>
                <w:rFonts w:ascii="Times New Roman" w:hAnsi="Times New Roman"/>
                <w:sz w:val="18"/>
                <w:szCs w:val="18"/>
              </w:rPr>
              <w:t xml:space="preserve"> = H * BCEF</w:t>
            </w:r>
            <w:r w:rsidRPr="00ED0867">
              <w:rPr>
                <w:rFonts w:ascii="Times New Roman" w:hAnsi="Times New Roman"/>
                <w:sz w:val="18"/>
                <w:szCs w:val="18"/>
                <w:vertAlign w:val="subscript"/>
              </w:rPr>
              <w:t>R</w:t>
            </w:r>
            <w:r w:rsidRPr="00ED0867">
              <w:rPr>
                <w:rFonts w:ascii="Times New Roman" w:hAnsi="Times New Roman"/>
                <w:sz w:val="18"/>
                <w:szCs w:val="18"/>
              </w:rPr>
              <w:t xml:space="preserve"> * (1+R) * CF</w:t>
            </w: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3.67</w:t>
            </w:r>
          </w:p>
        </w:tc>
      </w:tr>
      <w:tr w:rsidR="00A81902" w:rsidRPr="00ED0867" w:rsidTr="00B37D06">
        <w:trPr>
          <w:trHeight w:val="255"/>
        </w:trPr>
        <w:tc>
          <w:tcPr>
            <w:tcW w:w="1890"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62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80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98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Table 4.4</w:t>
            </w:r>
          </w:p>
        </w:tc>
        <w:tc>
          <w:tcPr>
            <w:tcW w:w="144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Table 4.3</w:t>
            </w:r>
          </w:p>
        </w:tc>
        <w:tc>
          <w:tcPr>
            <w:tcW w:w="153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w:t>
            </w:r>
          </w:p>
        </w:tc>
      </w:tr>
      <w:tr w:rsidR="00A81902" w:rsidRPr="00ED0867" w:rsidTr="00B37D06">
        <w:trPr>
          <w:trHeight w:val="270"/>
        </w:trPr>
        <w:tc>
          <w:tcPr>
            <w:tcW w:w="1890"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62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H</w:t>
            </w:r>
          </w:p>
        </w:tc>
        <w:tc>
          <w:tcPr>
            <w:tcW w:w="180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BCEF</w:t>
            </w:r>
            <w:r w:rsidRPr="00ED0867">
              <w:rPr>
                <w:rFonts w:ascii="Times New Roman" w:hAnsi="Times New Roman"/>
                <w:b/>
                <w:bCs/>
                <w:sz w:val="18"/>
                <w:szCs w:val="18"/>
                <w:vertAlign w:val="subscript"/>
              </w:rPr>
              <w:t>R</w:t>
            </w:r>
          </w:p>
        </w:tc>
        <w:tc>
          <w:tcPr>
            <w:tcW w:w="198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R</w:t>
            </w:r>
          </w:p>
        </w:tc>
        <w:tc>
          <w:tcPr>
            <w:tcW w:w="144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CF</w:t>
            </w:r>
          </w:p>
        </w:tc>
        <w:tc>
          <w:tcPr>
            <w:tcW w:w="153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proofErr w:type="spellStart"/>
            <w:r w:rsidRPr="00ED0867">
              <w:rPr>
                <w:rFonts w:ascii="Times New Roman" w:hAnsi="Times New Roman"/>
                <w:b/>
                <w:bCs/>
                <w:sz w:val="18"/>
                <w:szCs w:val="18"/>
              </w:rPr>
              <w:t>L</w:t>
            </w:r>
            <w:r w:rsidRPr="00ED0867">
              <w:rPr>
                <w:rFonts w:ascii="Times New Roman" w:hAnsi="Times New Roman"/>
                <w:b/>
                <w:bCs/>
                <w:sz w:val="18"/>
                <w:szCs w:val="18"/>
                <w:vertAlign w:val="subscript"/>
              </w:rPr>
              <w:t>wood</w:t>
            </w:r>
            <w:proofErr w:type="spellEnd"/>
            <w:r w:rsidRPr="00ED0867">
              <w:rPr>
                <w:rFonts w:ascii="Times New Roman" w:hAnsi="Times New Roman"/>
                <w:b/>
                <w:bCs/>
                <w:sz w:val="18"/>
                <w:szCs w:val="18"/>
                <w:vertAlign w:val="subscript"/>
              </w:rPr>
              <w:t>-removals</w:t>
            </w: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w:t>
            </w:r>
          </w:p>
        </w:tc>
      </w:tr>
      <w:tr w:rsidR="00A81902" w:rsidRPr="00ED0867" w:rsidTr="00B37D06">
        <w:trPr>
          <w:trHeight w:val="350"/>
        </w:trPr>
        <w:tc>
          <w:tcPr>
            <w:tcW w:w="1890" w:type="dxa"/>
            <w:tcBorders>
              <w:top w:val="nil"/>
              <w:left w:val="single" w:sz="4" w:space="0" w:color="auto"/>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Illicit removal for fuel, all forests annually</w:t>
            </w:r>
          </w:p>
        </w:tc>
        <w:tc>
          <w:tcPr>
            <w:tcW w:w="162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20,560</w:t>
            </w:r>
          </w:p>
        </w:tc>
        <w:tc>
          <w:tcPr>
            <w:tcW w:w="180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0.89</w:t>
            </w:r>
          </w:p>
        </w:tc>
        <w:tc>
          <w:tcPr>
            <w:tcW w:w="198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w:t>
            </w:r>
          </w:p>
        </w:tc>
        <w:tc>
          <w:tcPr>
            <w:tcW w:w="144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0.5</w:t>
            </w:r>
          </w:p>
        </w:tc>
        <w:tc>
          <w:tcPr>
            <w:tcW w:w="153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9,149.2</w:t>
            </w: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b/>
                <w:bCs/>
                <w:sz w:val="18"/>
                <w:szCs w:val="18"/>
              </w:rPr>
            </w:pPr>
            <w:r w:rsidRPr="00ED0867">
              <w:rPr>
                <w:rFonts w:ascii="Times New Roman" w:hAnsi="Times New Roman"/>
                <w:b/>
                <w:bCs/>
                <w:sz w:val="18"/>
                <w:szCs w:val="18"/>
              </w:rPr>
              <w:t>33,577.56</w:t>
            </w:r>
          </w:p>
        </w:tc>
      </w:tr>
      <w:tr w:rsidR="00A81902" w:rsidRPr="00ED0867" w:rsidTr="00B37D06">
        <w:trPr>
          <w:trHeight w:val="170"/>
        </w:trPr>
        <w:tc>
          <w:tcPr>
            <w:tcW w:w="1890" w:type="dxa"/>
            <w:tcBorders>
              <w:top w:val="nil"/>
              <w:left w:val="single" w:sz="4" w:space="0" w:color="auto"/>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Illicit removal per family per year</w:t>
            </w:r>
          </w:p>
        </w:tc>
        <w:tc>
          <w:tcPr>
            <w:tcW w:w="162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8.0</w:t>
            </w:r>
          </w:p>
        </w:tc>
        <w:tc>
          <w:tcPr>
            <w:tcW w:w="180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0.89</w:t>
            </w:r>
          </w:p>
        </w:tc>
        <w:tc>
          <w:tcPr>
            <w:tcW w:w="198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w:t>
            </w:r>
          </w:p>
        </w:tc>
        <w:tc>
          <w:tcPr>
            <w:tcW w:w="144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0.5</w:t>
            </w:r>
          </w:p>
        </w:tc>
        <w:tc>
          <w:tcPr>
            <w:tcW w:w="153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3.56</w:t>
            </w:r>
          </w:p>
        </w:tc>
        <w:tc>
          <w:tcPr>
            <w:tcW w:w="117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b/>
                <w:bCs/>
                <w:sz w:val="18"/>
                <w:szCs w:val="18"/>
              </w:rPr>
            </w:pPr>
            <w:r w:rsidRPr="00ED0867">
              <w:rPr>
                <w:rFonts w:ascii="Times New Roman" w:hAnsi="Times New Roman"/>
                <w:b/>
                <w:bCs/>
                <w:sz w:val="18"/>
                <w:szCs w:val="18"/>
              </w:rPr>
              <w:t>13.07</w:t>
            </w:r>
          </w:p>
        </w:tc>
      </w:tr>
    </w:tbl>
    <w:p w:rsidR="00A81902" w:rsidRPr="00ED0867" w:rsidRDefault="00A81902" w:rsidP="00ED0867">
      <w:pPr>
        <w:pStyle w:val="A"/>
        <w:numPr>
          <w:ilvl w:val="0"/>
          <w:numId w:val="0"/>
        </w:numPr>
        <w:shd w:val="clear" w:color="auto" w:fill="FFFFFF" w:themeFill="background1"/>
        <w:ind w:left="180"/>
        <w:rPr>
          <w:sz w:val="21"/>
          <w:szCs w:val="21"/>
        </w:rPr>
      </w:pPr>
    </w:p>
    <w:p w:rsidR="00A81902" w:rsidRPr="00ED0867" w:rsidRDefault="00A81902" w:rsidP="00ED0867">
      <w:pPr>
        <w:pStyle w:val="A"/>
        <w:numPr>
          <w:ilvl w:val="0"/>
          <w:numId w:val="0"/>
        </w:numPr>
        <w:shd w:val="clear" w:color="auto" w:fill="FFFFFF" w:themeFill="background1"/>
        <w:ind w:left="180"/>
        <w:rPr>
          <w:sz w:val="21"/>
          <w:szCs w:val="21"/>
        </w:rPr>
      </w:pPr>
      <w:r w:rsidRPr="00ED0867">
        <w:rPr>
          <w:sz w:val="21"/>
          <w:szCs w:val="21"/>
        </w:rPr>
        <w:t>At the average stocking density of 66 m3/ha, the annual removal of 8.0 cubic meters by one family is equivalent to annual loss of 0.12 ha of deciduous oak forests.</w:t>
      </w:r>
    </w:p>
    <w:p w:rsidR="00A81902" w:rsidRPr="00ED0867" w:rsidRDefault="00A81902" w:rsidP="00ED0867">
      <w:pPr>
        <w:pStyle w:val="A"/>
        <w:numPr>
          <w:ilvl w:val="0"/>
          <w:numId w:val="0"/>
        </w:numPr>
        <w:shd w:val="clear" w:color="auto" w:fill="FFFFFF" w:themeFill="background1"/>
        <w:ind w:left="180"/>
        <w:rPr>
          <w:sz w:val="21"/>
          <w:szCs w:val="21"/>
        </w:rPr>
      </w:pPr>
      <w:r w:rsidRPr="00ED0867">
        <w:rPr>
          <w:sz w:val="21"/>
          <w:szCs w:val="21"/>
        </w:rPr>
        <w:t>3]</w:t>
      </w:r>
      <w:r w:rsidRPr="00ED0867">
        <w:rPr>
          <w:bCs/>
          <w:sz w:val="21"/>
          <w:szCs w:val="21"/>
        </w:rPr>
        <w:t xml:space="preserve"> Pests</w:t>
      </w:r>
      <w:r w:rsidRPr="00ED0867">
        <w:rPr>
          <w:sz w:val="21"/>
          <w:szCs w:val="21"/>
        </w:rPr>
        <w:t xml:space="preserve">. About 2 million ha of forest in Turkey are annually affected by insect pests. The unique spruce forests in the East Black Sea and Mediterranean coasts are particularly susceptible to attack by bark beetles. About 25 species are considered to be major pests, the key being </w:t>
      </w:r>
      <w:proofErr w:type="spellStart"/>
      <w:r w:rsidRPr="00ED0867">
        <w:rPr>
          <w:i/>
          <w:iCs/>
          <w:sz w:val="21"/>
          <w:szCs w:val="21"/>
        </w:rPr>
        <w:t>Orthotomicus</w:t>
      </w:r>
      <w:proofErr w:type="spellEnd"/>
      <w:r w:rsidRPr="00ED0867">
        <w:rPr>
          <w:i/>
          <w:iCs/>
          <w:sz w:val="21"/>
          <w:szCs w:val="21"/>
        </w:rPr>
        <w:t xml:space="preserve"> </w:t>
      </w:r>
      <w:proofErr w:type="spellStart"/>
      <w:r w:rsidRPr="00ED0867">
        <w:rPr>
          <w:i/>
          <w:iCs/>
          <w:sz w:val="21"/>
          <w:szCs w:val="21"/>
        </w:rPr>
        <w:t>erosus</w:t>
      </w:r>
      <w:proofErr w:type="spellEnd"/>
      <w:r w:rsidRPr="00ED0867">
        <w:rPr>
          <w:sz w:val="21"/>
          <w:szCs w:val="21"/>
        </w:rPr>
        <w:t xml:space="preserve"> and </w:t>
      </w:r>
      <w:proofErr w:type="spellStart"/>
      <w:r w:rsidRPr="00ED0867">
        <w:rPr>
          <w:i/>
          <w:iCs/>
          <w:sz w:val="21"/>
          <w:szCs w:val="21"/>
        </w:rPr>
        <w:t>Thaumetopoea</w:t>
      </w:r>
      <w:proofErr w:type="spellEnd"/>
      <w:r w:rsidRPr="00ED0867">
        <w:rPr>
          <w:i/>
          <w:iCs/>
          <w:sz w:val="21"/>
          <w:szCs w:val="21"/>
        </w:rPr>
        <w:t xml:space="preserve"> </w:t>
      </w:r>
      <w:proofErr w:type="spellStart"/>
      <w:r w:rsidRPr="00ED0867">
        <w:rPr>
          <w:i/>
          <w:iCs/>
          <w:sz w:val="21"/>
          <w:szCs w:val="21"/>
        </w:rPr>
        <w:t>pityocampa</w:t>
      </w:r>
      <w:proofErr w:type="spellEnd"/>
      <w:r w:rsidRPr="00ED0867">
        <w:rPr>
          <w:sz w:val="21"/>
          <w:szCs w:val="21"/>
        </w:rPr>
        <w:t xml:space="preserve">. The latter is especially damaging to </w:t>
      </w:r>
      <w:proofErr w:type="spellStart"/>
      <w:r w:rsidRPr="00ED0867">
        <w:rPr>
          <w:sz w:val="21"/>
          <w:szCs w:val="21"/>
        </w:rPr>
        <w:t>Calabrian</w:t>
      </w:r>
      <w:proofErr w:type="spellEnd"/>
      <w:r w:rsidRPr="00ED0867">
        <w:rPr>
          <w:sz w:val="21"/>
          <w:szCs w:val="21"/>
        </w:rPr>
        <w:t xml:space="preserve"> pine forest communities. Assessment of carbon loss as a result of pest attacks is difficult due to the varying degree of damage sustained, the duration of impact, and the measures used to dispose of </w:t>
      </w:r>
      <w:proofErr w:type="spellStart"/>
      <w:r w:rsidRPr="00ED0867">
        <w:rPr>
          <w:sz w:val="21"/>
          <w:szCs w:val="21"/>
        </w:rPr>
        <w:t>necromass</w:t>
      </w:r>
      <w:proofErr w:type="spellEnd"/>
      <w:r w:rsidRPr="00ED0867">
        <w:rPr>
          <w:sz w:val="21"/>
          <w:szCs w:val="21"/>
        </w:rPr>
        <w:t xml:space="preserve">. The national experts working on the National Communications to the UNFCCC used an emissions coefficient of 0.38 tCO2/ha of pest-affected forests per year, which brings the total loss attributed to pests to </w:t>
      </w:r>
      <w:r w:rsidRPr="00ED0867">
        <w:rPr>
          <w:sz w:val="21"/>
          <w:szCs w:val="21"/>
          <w:u w:val="single"/>
        </w:rPr>
        <w:t>around 760,000 tCO2 per year</w:t>
      </w:r>
      <w:r w:rsidRPr="00ED0867">
        <w:rPr>
          <w:sz w:val="21"/>
          <w:szCs w:val="21"/>
        </w:rPr>
        <w:t>. This issue requires further attention, justifying the planned assessments to be undertaken under the project.</w:t>
      </w:r>
    </w:p>
    <w:p w:rsidR="00A81902" w:rsidRPr="00ED0867" w:rsidRDefault="00A81902" w:rsidP="00ED0867">
      <w:pPr>
        <w:pStyle w:val="A"/>
        <w:numPr>
          <w:ilvl w:val="0"/>
          <w:numId w:val="0"/>
        </w:numPr>
        <w:shd w:val="clear" w:color="auto" w:fill="FFFFFF" w:themeFill="background1"/>
        <w:tabs>
          <w:tab w:val="left" w:pos="0"/>
        </w:tabs>
        <w:ind w:left="180"/>
        <w:rPr>
          <w:sz w:val="21"/>
          <w:szCs w:val="21"/>
        </w:rPr>
      </w:pPr>
      <w:r w:rsidRPr="00ED0867">
        <w:rPr>
          <w:sz w:val="21"/>
          <w:szCs w:val="21"/>
        </w:rPr>
        <w:t xml:space="preserve">The following baseline projects underpin the GEF request. </w:t>
      </w:r>
    </w:p>
    <w:p w:rsidR="00A81902" w:rsidRPr="00ED0867" w:rsidRDefault="00A81902" w:rsidP="00ED0867">
      <w:pPr>
        <w:pStyle w:val="A"/>
        <w:numPr>
          <w:ilvl w:val="0"/>
          <w:numId w:val="0"/>
        </w:numPr>
        <w:shd w:val="clear" w:color="auto" w:fill="FFFFFF" w:themeFill="background1"/>
        <w:tabs>
          <w:tab w:val="left" w:pos="0"/>
        </w:tabs>
        <w:ind w:left="180"/>
        <w:rPr>
          <w:sz w:val="21"/>
          <w:szCs w:val="21"/>
        </w:rPr>
      </w:pPr>
      <w:r w:rsidRPr="00ED0867">
        <w:rPr>
          <w:sz w:val="21"/>
          <w:szCs w:val="21"/>
        </w:rPr>
        <w:t>[1] </w:t>
      </w:r>
      <w:r w:rsidRPr="00ED0867">
        <w:rPr>
          <w:sz w:val="21"/>
          <w:szCs w:val="21"/>
          <w:shd w:val="clear" w:color="auto" w:fill="FFFFFF" w:themeFill="background1"/>
        </w:rPr>
        <w:t xml:space="preserve">The National </w:t>
      </w:r>
      <w:proofErr w:type="spellStart"/>
      <w:r w:rsidRPr="00ED0867">
        <w:rPr>
          <w:sz w:val="21"/>
          <w:szCs w:val="21"/>
          <w:shd w:val="clear" w:color="auto" w:fill="FFFFFF" w:themeFill="background1"/>
        </w:rPr>
        <w:t>Programme</w:t>
      </w:r>
      <w:proofErr w:type="spellEnd"/>
      <w:r w:rsidRPr="00ED0867">
        <w:rPr>
          <w:sz w:val="21"/>
          <w:szCs w:val="21"/>
          <w:shd w:val="clear" w:color="auto" w:fill="FFFFFF" w:themeFill="background1"/>
        </w:rPr>
        <w:t xml:space="preserve"> “</w:t>
      </w:r>
      <w:proofErr w:type="spellStart"/>
      <w:r w:rsidRPr="00ED0867">
        <w:rPr>
          <w:sz w:val="21"/>
          <w:szCs w:val="21"/>
          <w:shd w:val="clear" w:color="auto" w:fill="FFFFFF" w:themeFill="background1"/>
        </w:rPr>
        <w:t>Afforestation</w:t>
      </w:r>
      <w:proofErr w:type="spellEnd"/>
      <w:r w:rsidRPr="00ED0867">
        <w:rPr>
          <w:sz w:val="21"/>
          <w:szCs w:val="21"/>
          <w:shd w:val="clear" w:color="auto" w:fill="FFFFFF" w:themeFill="background1"/>
        </w:rPr>
        <w:t xml:space="preserve"> and Erosion Control Mobilization Action Plan is the primary baseline project.  This </w:t>
      </w:r>
      <w:proofErr w:type="spellStart"/>
      <w:r w:rsidRPr="00ED0867">
        <w:rPr>
          <w:sz w:val="21"/>
          <w:szCs w:val="21"/>
          <w:shd w:val="clear" w:color="auto" w:fill="FFFFFF" w:themeFill="background1"/>
        </w:rPr>
        <w:t>Programme</w:t>
      </w:r>
      <w:proofErr w:type="spellEnd"/>
      <w:r w:rsidRPr="00ED0867">
        <w:rPr>
          <w:sz w:val="21"/>
          <w:szCs w:val="21"/>
          <w:shd w:val="clear" w:color="auto" w:fill="FFFFFF" w:themeFill="background1"/>
        </w:rPr>
        <w:t xml:space="preserve">, which has an annual budget of US$ 20 million targets some 10.5 </w:t>
      </w:r>
      <w:proofErr w:type="spellStart"/>
      <w:r w:rsidRPr="00ED0867">
        <w:rPr>
          <w:sz w:val="21"/>
          <w:szCs w:val="21"/>
          <w:shd w:val="clear" w:color="auto" w:fill="FFFFFF" w:themeFill="background1"/>
        </w:rPr>
        <w:t>mln</w:t>
      </w:r>
      <w:proofErr w:type="spellEnd"/>
      <w:r w:rsidRPr="00ED0867">
        <w:rPr>
          <w:sz w:val="21"/>
          <w:szCs w:val="21"/>
          <w:shd w:val="clear" w:color="auto" w:fill="FFFFFF" w:themeFill="background1"/>
        </w:rPr>
        <w:t xml:space="preserve"> ha of forests in the whole country, that have been degraded as a result of past economic activities; large areas have a crown density of less than 10%, many of which (3 </w:t>
      </w:r>
      <w:proofErr w:type="spellStart"/>
      <w:r w:rsidRPr="00ED0867">
        <w:rPr>
          <w:sz w:val="21"/>
          <w:szCs w:val="21"/>
          <w:shd w:val="clear" w:color="auto" w:fill="FFFFFF" w:themeFill="background1"/>
        </w:rPr>
        <w:t>mln</w:t>
      </w:r>
      <w:proofErr w:type="spellEnd"/>
      <w:r w:rsidRPr="00ED0867">
        <w:rPr>
          <w:sz w:val="21"/>
          <w:szCs w:val="21"/>
          <w:shd w:val="clear" w:color="auto" w:fill="FFFFFF" w:themeFill="background1"/>
        </w:rPr>
        <w:t xml:space="preserve"> ha) are located in the Mediterranean district. A key objective of the Program is to reduce illicit commercial logging, by improving enforcement.  By doing so, the program aims to facilitate natural regeneration of forests. This is being complemented by efforts to afforest</w:t>
      </w:r>
      <w:r w:rsidRPr="00ED0867">
        <w:rPr>
          <w:sz w:val="21"/>
          <w:szCs w:val="21"/>
        </w:rPr>
        <w:t xml:space="preserve"> 25,000 hectares of previously cleared forests. Within this Program, two components are directly relevant to Outcome 2 (app. US$ 6.5 </w:t>
      </w:r>
      <w:proofErr w:type="spellStart"/>
      <w:r w:rsidRPr="00ED0867">
        <w:rPr>
          <w:sz w:val="21"/>
          <w:szCs w:val="21"/>
        </w:rPr>
        <w:t>mln</w:t>
      </w:r>
      <w:proofErr w:type="spellEnd"/>
      <w:r w:rsidRPr="00ED0867">
        <w:rPr>
          <w:sz w:val="21"/>
          <w:szCs w:val="21"/>
        </w:rPr>
        <w:t xml:space="preserve"> in relevant co-financing). This comprises: (1) the investment in sustainable forest management (</w:t>
      </w:r>
      <w:proofErr w:type="spellStart"/>
      <w:r w:rsidRPr="00ED0867">
        <w:rPr>
          <w:sz w:val="21"/>
          <w:szCs w:val="21"/>
        </w:rPr>
        <w:t>afforestation</w:t>
      </w:r>
      <w:proofErr w:type="spellEnd"/>
      <w:r w:rsidRPr="00ED0867">
        <w:rPr>
          <w:sz w:val="21"/>
          <w:szCs w:val="21"/>
        </w:rPr>
        <w:t xml:space="preserve">, reforestation) to be piloted in the 5 target sites in the Mediterranean (US$ 5.5 </w:t>
      </w:r>
      <w:proofErr w:type="spellStart"/>
      <w:r w:rsidRPr="00ED0867">
        <w:rPr>
          <w:sz w:val="21"/>
          <w:szCs w:val="21"/>
        </w:rPr>
        <w:t>mln</w:t>
      </w:r>
      <w:proofErr w:type="spellEnd"/>
      <w:r w:rsidRPr="00ED0867">
        <w:rPr>
          <w:sz w:val="21"/>
          <w:szCs w:val="21"/>
        </w:rPr>
        <w:t xml:space="preserve">) under Output 2.2; and (2) co-funding allocated under Output 2.3 for the micro-crediting program which issues zero-interest loans to local communities for solar-energy (US$1.0 </w:t>
      </w:r>
      <w:proofErr w:type="spellStart"/>
      <w:r w:rsidRPr="00ED0867">
        <w:rPr>
          <w:sz w:val="21"/>
          <w:szCs w:val="21"/>
        </w:rPr>
        <w:t>mln</w:t>
      </w:r>
      <w:proofErr w:type="spellEnd"/>
      <w:r w:rsidRPr="00ED0867">
        <w:rPr>
          <w:sz w:val="21"/>
          <w:szCs w:val="21"/>
        </w:rPr>
        <w:t>). The latter is part of the country-wide micro-crediting program for solar energy coordinated by the General Directorate of Forest Village Relations within the Ministry of Environment and Forests. The program was designed with assistance from UNDP, and tested in the Black Sea region. It provides a full cost no-interest loan, payable in 3 years in 3 equal installments, for procurement and installation of solar collectors to fulfill a family’s hot water needs. These can be up to 2-3 solar panels/collectors with open or closed systems depending on the region. During 2009-2010 some 376 families drew on the funds to finance installations in the Black Sea region. The Government is now is in the process of launching the micro-crediting program country-wide (under the auspices of the Ministry of Forestry). In the Mediterranean region, these funds have been reserved as co-financing for the GEF project. The disbursement and collection system is in place, maintained by Government.</w:t>
      </w:r>
    </w:p>
    <w:p w:rsidR="00A81902" w:rsidRPr="00ED0867" w:rsidRDefault="00A81902" w:rsidP="00ED0867">
      <w:pPr>
        <w:pStyle w:val="A"/>
        <w:numPr>
          <w:ilvl w:val="0"/>
          <w:numId w:val="0"/>
        </w:numPr>
        <w:shd w:val="clear" w:color="auto" w:fill="FFFFFF" w:themeFill="background1"/>
        <w:tabs>
          <w:tab w:val="left" w:pos="0"/>
        </w:tabs>
        <w:ind w:left="180"/>
        <w:rPr>
          <w:sz w:val="21"/>
          <w:szCs w:val="21"/>
        </w:rPr>
      </w:pPr>
      <w:r w:rsidRPr="00ED0867">
        <w:rPr>
          <w:sz w:val="21"/>
          <w:szCs w:val="21"/>
        </w:rPr>
        <w:t xml:space="preserve">[2] The Forest Fire Fighting System, run by the General Forestry Directorate in the Ministry of Environment and Forests has an annual budget of US$ 54 million. The objective of the program is to effectively control the spread of forest fires. Under the initiative, the government has developed a comprehensive real- time internet-based GIS for forests, which maps fires in all the country’s forest districts. This is linked to the fire control system, with information routed to fire fighting cells in the field through information dispatch </w:t>
      </w:r>
      <w:proofErr w:type="spellStart"/>
      <w:r w:rsidRPr="00ED0867">
        <w:rPr>
          <w:sz w:val="21"/>
          <w:szCs w:val="21"/>
        </w:rPr>
        <w:t>centres</w:t>
      </w:r>
      <w:proofErr w:type="spellEnd"/>
      <w:r w:rsidRPr="00ED0867">
        <w:rPr>
          <w:sz w:val="21"/>
          <w:szCs w:val="21"/>
        </w:rPr>
        <w:t xml:space="preserve">. The part of this baseline program directly relevant to the GEF project (Output 2.1.) includes investment and maintenance costs of the proactive fire management system to be created in the five target districts (app. US$ 5.6 </w:t>
      </w:r>
      <w:proofErr w:type="spellStart"/>
      <w:r w:rsidRPr="00ED0867">
        <w:rPr>
          <w:sz w:val="21"/>
          <w:szCs w:val="21"/>
        </w:rPr>
        <w:t>mln</w:t>
      </w:r>
      <w:proofErr w:type="spellEnd"/>
      <w:r w:rsidRPr="00ED0867">
        <w:rPr>
          <w:sz w:val="21"/>
          <w:szCs w:val="21"/>
        </w:rPr>
        <w:t>).</w:t>
      </w:r>
    </w:p>
    <w:p w:rsidR="00A81902" w:rsidRPr="00ED0867" w:rsidRDefault="00A81902" w:rsidP="00ED0867">
      <w:pPr>
        <w:pStyle w:val="A"/>
        <w:numPr>
          <w:ilvl w:val="0"/>
          <w:numId w:val="0"/>
        </w:numPr>
        <w:shd w:val="clear" w:color="auto" w:fill="FFFFFF" w:themeFill="background1"/>
        <w:tabs>
          <w:tab w:val="left" w:pos="0"/>
        </w:tabs>
        <w:ind w:left="180"/>
        <w:rPr>
          <w:sz w:val="21"/>
          <w:szCs w:val="21"/>
        </w:rPr>
      </w:pPr>
      <w:r w:rsidRPr="00ED0867">
        <w:rPr>
          <w:sz w:val="21"/>
          <w:szCs w:val="21"/>
        </w:rPr>
        <w:t xml:space="preserve">[3] The forest Pest Control Program has an annual budget of US$ 3 million, allocated towards the control of insect pests. Mechanical, chemical, and biotechnical methods are employed by the program to fight pests. The part of this baseline program directly relevant to the GEF project (Output 2.4) is the investment in infrastructure and recurrent costs for personnel and upkeep of pest laboratories required for the establishment of the pest early identification system in the target districts (app. US$ 1.3 </w:t>
      </w:r>
      <w:proofErr w:type="spellStart"/>
      <w:r w:rsidRPr="00ED0867">
        <w:rPr>
          <w:sz w:val="21"/>
          <w:szCs w:val="21"/>
        </w:rPr>
        <w:t>mln</w:t>
      </w:r>
      <w:proofErr w:type="spellEnd"/>
      <w:r w:rsidRPr="00ED0867">
        <w:rPr>
          <w:sz w:val="21"/>
          <w:szCs w:val="21"/>
        </w:rPr>
        <w:t>).</w:t>
      </w:r>
    </w:p>
    <w:p w:rsidR="00A81902" w:rsidRPr="00ED0867" w:rsidRDefault="00A81902" w:rsidP="00ED0867">
      <w:pPr>
        <w:pStyle w:val="A"/>
        <w:numPr>
          <w:ilvl w:val="0"/>
          <w:numId w:val="0"/>
        </w:numPr>
        <w:shd w:val="clear" w:color="auto" w:fill="FFFFFF" w:themeFill="background1"/>
        <w:tabs>
          <w:tab w:val="left" w:pos="0"/>
        </w:tabs>
        <w:ind w:left="180"/>
        <w:rPr>
          <w:sz w:val="21"/>
          <w:szCs w:val="21"/>
        </w:rPr>
      </w:pPr>
      <w:r w:rsidRPr="00ED0867">
        <w:rPr>
          <w:sz w:val="21"/>
          <w:szCs w:val="21"/>
        </w:rPr>
        <w:t>[4] The Protected Area Support program has an annual budget of around</w:t>
      </w:r>
      <w:proofErr w:type="gramStart"/>
      <w:r w:rsidRPr="00ED0867">
        <w:rPr>
          <w:rStyle w:val="CommentReference"/>
          <w:sz w:val="21"/>
          <w:szCs w:val="21"/>
        </w:rPr>
        <w:t> </w:t>
      </w:r>
      <w:r w:rsidRPr="00ED0867">
        <w:rPr>
          <w:sz w:val="21"/>
          <w:szCs w:val="21"/>
        </w:rPr>
        <w:t xml:space="preserve"> US</w:t>
      </w:r>
      <w:proofErr w:type="gramEnd"/>
      <w:r w:rsidRPr="00ED0867">
        <w:rPr>
          <w:sz w:val="21"/>
          <w:szCs w:val="21"/>
        </w:rPr>
        <w:t xml:space="preserve">$ 6,500,000 to cover the recurrent costs of managing protected areas and establishing new PAs. The protected areas system of Turkey covers 4.6 </w:t>
      </w:r>
      <w:proofErr w:type="spellStart"/>
      <w:r w:rsidRPr="00ED0867">
        <w:rPr>
          <w:sz w:val="21"/>
          <w:szCs w:val="21"/>
        </w:rPr>
        <w:t>mln</w:t>
      </w:r>
      <w:proofErr w:type="spellEnd"/>
      <w:r w:rsidRPr="00ED0867">
        <w:rPr>
          <w:sz w:val="21"/>
          <w:szCs w:val="21"/>
        </w:rPr>
        <w:t xml:space="preserve"> ha, which is about 6% of the territorial area. Within the GEF project, this program will co-invest in infrastructure and regular personnel costs of new protected areas which will be established under Outcome 3 (app. US$2.5 </w:t>
      </w:r>
      <w:proofErr w:type="spellStart"/>
      <w:r w:rsidRPr="00ED0867">
        <w:rPr>
          <w:sz w:val="21"/>
          <w:szCs w:val="21"/>
        </w:rPr>
        <w:t>mln</w:t>
      </w:r>
      <w:proofErr w:type="spellEnd"/>
      <w:r w:rsidRPr="00ED0867">
        <w:rPr>
          <w:sz w:val="21"/>
          <w:szCs w:val="21"/>
        </w:rPr>
        <w:t>).</w:t>
      </w:r>
    </w:p>
    <w:p w:rsidR="00A81902" w:rsidRPr="00ED0867" w:rsidRDefault="00A81902" w:rsidP="00ED0867">
      <w:pPr>
        <w:pStyle w:val="A"/>
        <w:numPr>
          <w:ilvl w:val="0"/>
          <w:numId w:val="0"/>
        </w:numPr>
        <w:shd w:val="clear" w:color="auto" w:fill="FFFFFF" w:themeFill="background1"/>
        <w:ind w:left="180"/>
        <w:rPr>
          <w:sz w:val="21"/>
          <w:szCs w:val="21"/>
          <w:lang w:val="en-GB"/>
        </w:rPr>
      </w:pPr>
      <w:r w:rsidRPr="00ED0867">
        <w:rPr>
          <w:sz w:val="21"/>
          <w:szCs w:val="21"/>
          <w:u w:val="single"/>
          <w:lang w:val="en-GB"/>
        </w:rPr>
        <w:t>[5] Forest inventory</w:t>
      </w:r>
      <w:r w:rsidRPr="00ED0867">
        <w:rPr>
          <w:sz w:val="21"/>
          <w:szCs w:val="21"/>
          <w:lang w:val="en-GB"/>
        </w:rPr>
        <w:t>.</w:t>
      </w:r>
      <w:r w:rsidRPr="00ED0867">
        <w:rPr>
          <w:sz w:val="21"/>
          <w:szCs w:val="21"/>
        </w:rPr>
        <w:t xml:space="preserve">The current inventory provides a basic database of information gathered during forest management planning. </w:t>
      </w:r>
      <w:proofErr w:type="gramStart"/>
      <w:r w:rsidRPr="00ED0867">
        <w:rPr>
          <w:sz w:val="21"/>
          <w:szCs w:val="21"/>
        </w:rPr>
        <w:t>Undertaken by the centralized Forest Management and Planning Department under GDF.</w:t>
      </w:r>
      <w:proofErr w:type="gramEnd"/>
      <w:r w:rsidRPr="00ED0867">
        <w:rPr>
          <w:sz w:val="21"/>
          <w:szCs w:val="21"/>
        </w:rPr>
        <w:t xml:space="preserve"> The ENVANIS (Inventory and Statistical Database) provides the repository for data. The inventory is based on full forest cover type mapping through 1/25,000 infrared aerial photos to determine standing forest stock and growth increments. Under the current system, </w:t>
      </w:r>
      <w:r w:rsidRPr="00ED0867">
        <w:rPr>
          <w:sz w:val="21"/>
          <w:szCs w:val="21"/>
        </w:rPr>
        <w:lastRenderedPageBreak/>
        <w:t>the stands are classified based only on three criteria only: species mix, crown closure and age classes. Circular plots, whose sizes range from 400 m</w:t>
      </w:r>
      <w:r w:rsidRPr="00ED0867">
        <w:rPr>
          <w:sz w:val="21"/>
          <w:szCs w:val="21"/>
          <w:vertAlign w:val="superscript"/>
        </w:rPr>
        <w:t>2</w:t>
      </w:r>
      <w:r w:rsidRPr="00ED0867">
        <w:rPr>
          <w:sz w:val="21"/>
          <w:szCs w:val="21"/>
        </w:rPr>
        <w:t xml:space="preserve"> to 800 m</w:t>
      </w:r>
      <w:r w:rsidRPr="00ED0867">
        <w:rPr>
          <w:sz w:val="21"/>
          <w:szCs w:val="21"/>
          <w:vertAlign w:val="superscript"/>
        </w:rPr>
        <w:t>2</w:t>
      </w:r>
      <w:r w:rsidRPr="00ED0867">
        <w:rPr>
          <w:sz w:val="21"/>
          <w:szCs w:val="21"/>
        </w:rPr>
        <w:t xml:space="preserve"> depending on crown cover, are distributed over the forest in 300 by 300 meter intervals. Habitat conditions are briefly recorded, and there is no requirement to record biodiversity. Ecosystem functions are not accounted for sufficiently. Carbon pools are not assessed. That is, the current classification is not comprehensive in terms of all forest ecosystem functions. Once the inventory data is compiled, the final cover type maps are generated and are used to develop forest management plans. Management plans (prepared for </w:t>
      </w:r>
      <w:proofErr w:type="gramStart"/>
      <w:r w:rsidRPr="00ED0867">
        <w:rPr>
          <w:sz w:val="21"/>
          <w:szCs w:val="21"/>
        </w:rPr>
        <w:t>a duration</w:t>
      </w:r>
      <w:proofErr w:type="gramEnd"/>
      <w:r w:rsidRPr="00ED0867">
        <w:rPr>
          <w:sz w:val="21"/>
          <w:szCs w:val="21"/>
        </w:rPr>
        <w:t xml:space="preserve"> of 10 to 20 years) are renewed again at 10 to 20-year intervals following a forest re-inventory. The inventory is used as a basis for reporting to FAO and is connected to the GIS recording system on forest fires. Despite shortcomings, the inventory provides a basis for developing a more comprehensive database (in terms of ecosystem functions) feeding into the MRV framework.</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sz w:val="21"/>
          <w:szCs w:val="21"/>
          <w:u w:val="single"/>
        </w:rPr>
        <w:t xml:space="preserve">The long-term solution </w:t>
      </w:r>
      <w:r w:rsidRPr="00ED0867">
        <w:rPr>
          <w:rFonts w:ascii="Times New Roman" w:hAnsi="Times New Roman"/>
          <w:sz w:val="21"/>
          <w:szCs w:val="21"/>
        </w:rPr>
        <w:t>envisaged by the Government of Turkey is to secure the highly valuable Mediterranean forests by taking a landscape approach to conserve biodiversity and carbon pools. Despite the significant investments in confronting the threats to the Mediterranean forests planned under the afore-mentioned baseline projects, several key barriers hamper attainment of the desired solution:</w:t>
      </w:r>
    </w:p>
    <w:p w:rsidR="00A81902" w:rsidRPr="00ED0867" w:rsidRDefault="00A81902" w:rsidP="00ED0867">
      <w:pPr>
        <w:shd w:val="clear" w:color="auto" w:fill="FFFFFF" w:themeFill="background1"/>
        <w:spacing w:after="100" w:line="240" w:lineRule="auto"/>
        <w:ind w:left="180"/>
        <w:jc w:val="both"/>
        <w:rPr>
          <w:sz w:val="21"/>
          <w:szCs w:val="21"/>
        </w:rPr>
      </w:pPr>
      <w:r w:rsidRPr="00ED0867">
        <w:rPr>
          <w:rFonts w:ascii="Times New Roman" w:hAnsi="Times New Roman"/>
          <w:sz w:val="21"/>
          <w:szCs w:val="21"/>
          <w:u w:val="single"/>
        </w:rPr>
        <w:t>Inadequate national policy framework and institutional capacity to design, implement and supervise multiple-use forest landscape planning and forest-based mitigation</w:t>
      </w:r>
      <w:r w:rsidRPr="00ED0867">
        <w:rPr>
          <w:rFonts w:ascii="Times New Roman" w:hAnsi="Times New Roman"/>
          <w:sz w:val="21"/>
          <w:szCs w:val="21"/>
        </w:rPr>
        <w:t xml:space="preserve">: The existing LULUCF and forestry policies are incomplete and insufficient to enable the country to undertake multiple-use forest planning and ecosystem-based mitigation. The ecosystem functions of forests are not accounted for in forest-use. With respect to carbon mitigation opportunities, there is no overarching policy, nor action plan on REDD+. Turkey has not set GHG reference emission levels on emissions / and does not have fine-scale data on carbon sequestration potential in forest pools. The existing carbon data is too generic and in many instances outdated. Field verifications remains limited; detailed studies on each threat (forests, pests, etc.), and ecosystem resilience to climate change are lacking; no scenarios have been defined and no management responses proposed for potential scenarios. While the IPCC default values are usually applied in UNFCCC reporting, they need to be better elaborated and adjusted on a country-basis to provide reliable results und meet international standards. The Ministry of Environment and Forests is currently preparing to update the GHG inventory with data on LULUCF. However, this research is sophisticated, and the national capacities for it are scarce. Finally, while Turkey has a multi-disciplinary working group on LULUCF, it lacks capacity to design and implement REDD+; its constituent institutions suffer from lack of training and knowledge on REDD, LULUCF, carbon monitoring and accounting. </w:t>
      </w:r>
    </w:p>
    <w:p w:rsidR="00A81902" w:rsidRPr="00ED0867" w:rsidRDefault="00A81902" w:rsidP="00ED0867">
      <w:pPr>
        <w:shd w:val="clear" w:color="auto" w:fill="FFFFFF" w:themeFill="background1"/>
        <w:spacing w:line="240" w:lineRule="auto"/>
        <w:ind w:left="180"/>
        <w:jc w:val="both"/>
        <w:rPr>
          <w:sz w:val="21"/>
          <w:szCs w:val="21"/>
        </w:rPr>
      </w:pPr>
      <w:r w:rsidRPr="00ED0867">
        <w:rPr>
          <w:rFonts w:ascii="Times New Roman" w:hAnsi="Times New Roman"/>
          <w:sz w:val="21"/>
          <w:szCs w:val="21"/>
          <w:u w:val="single"/>
        </w:rPr>
        <w:t xml:space="preserve">Limited capacities and technologies to implement new forest management approaches: </w:t>
      </w:r>
      <w:r w:rsidRPr="00ED0867">
        <w:rPr>
          <w:rFonts w:ascii="Times New Roman" w:hAnsi="Times New Roman"/>
          <w:sz w:val="21"/>
          <w:szCs w:val="21"/>
        </w:rPr>
        <w:t xml:space="preserve">The </w:t>
      </w:r>
      <w:proofErr w:type="spellStart"/>
      <w:r w:rsidRPr="00ED0867">
        <w:rPr>
          <w:rFonts w:ascii="Times New Roman" w:hAnsi="Times New Roman"/>
          <w:sz w:val="21"/>
          <w:szCs w:val="21"/>
        </w:rPr>
        <w:t>afforestation</w:t>
      </w:r>
      <w:proofErr w:type="spellEnd"/>
      <w:r w:rsidRPr="00ED0867">
        <w:rPr>
          <w:rFonts w:ascii="Times New Roman" w:hAnsi="Times New Roman"/>
          <w:sz w:val="21"/>
          <w:szCs w:val="21"/>
        </w:rPr>
        <w:t xml:space="preserve"> done under the baseline project is mainly focused on growing forest stock for subsequent industrial logging rather than for conservation purposes or to enhance the carbon stock. The genetic material used for </w:t>
      </w:r>
      <w:proofErr w:type="spellStart"/>
      <w:r w:rsidRPr="00ED0867">
        <w:rPr>
          <w:rFonts w:ascii="Times New Roman" w:hAnsi="Times New Roman"/>
          <w:sz w:val="21"/>
          <w:szCs w:val="21"/>
        </w:rPr>
        <w:t>afforestation</w:t>
      </w:r>
      <w:proofErr w:type="spellEnd"/>
      <w:r w:rsidRPr="00ED0867">
        <w:rPr>
          <w:rFonts w:ascii="Times New Roman" w:hAnsi="Times New Roman"/>
          <w:sz w:val="21"/>
          <w:szCs w:val="21"/>
        </w:rPr>
        <w:t xml:space="preserve"> is currently selected without an assessment of the carbon potential. Very few forest directors at the moment understand the carbon dividends of sustainable forest management, and no forest district has been assessed for its carbon stock nor the potential emissions or sequestration potential. Even though fire prevention capacities have increased substantially in selected parts of the country, in more than half of the forest districts, especially along the Mediterranean coast, forest fire prevention is not properly integrated into the development planning and financing framework.</w:t>
      </w:r>
    </w:p>
    <w:p w:rsidR="00A81902" w:rsidRPr="00ED0867" w:rsidRDefault="00A81902" w:rsidP="00ED0867">
      <w:pPr>
        <w:shd w:val="clear" w:color="auto" w:fill="FFFFFF" w:themeFill="background1"/>
        <w:spacing w:line="240" w:lineRule="auto"/>
        <w:ind w:left="180"/>
        <w:jc w:val="both"/>
        <w:rPr>
          <w:sz w:val="21"/>
          <w:szCs w:val="21"/>
        </w:rPr>
      </w:pPr>
      <w:r w:rsidRPr="00ED0867">
        <w:rPr>
          <w:rFonts w:ascii="Times New Roman" w:hAnsi="Times New Roman"/>
          <w:sz w:val="21"/>
          <w:szCs w:val="21"/>
          <w:u w:val="single"/>
        </w:rPr>
        <w:t>Mediterranean forests are under-represented in the Protected Area System and not managed at the landscape level</w:t>
      </w:r>
      <w:r w:rsidRPr="00ED0867">
        <w:rPr>
          <w:rFonts w:ascii="Times New Roman" w:hAnsi="Times New Roman"/>
          <w:sz w:val="21"/>
          <w:szCs w:val="21"/>
        </w:rPr>
        <w:t xml:space="preserve">. The National BD Strategy and the recent Key Biodiversity Areas report recognize that many ecosystems remain under-represented in the PA system, including Mediterranean forests. The total extent of forest protected areas in the Mediterranean districts amounts to just 5% of the areas of highest biodiversity significance -- well below the area needed to meet biodiversity conservation targets, while a challenging target was set at the CBD </w:t>
      </w:r>
      <w:proofErr w:type="spellStart"/>
      <w:r w:rsidRPr="00ED0867">
        <w:rPr>
          <w:rFonts w:ascii="Times New Roman" w:hAnsi="Times New Roman"/>
          <w:sz w:val="21"/>
          <w:szCs w:val="21"/>
        </w:rPr>
        <w:t>CoP</w:t>
      </w:r>
      <w:proofErr w:type="spellEnd"/>
      <w:r w:rsidRPr="00ED0867">
        <w:rPr>
          <w:rFonts w:ascii="Times New Roman" w:hAnsi="Times New Roman"/>
          <w:sz w:val="21"/>
          <w:szCs w:val="21"/>
        </w:rPr>
        <w:t xml:space="preserve"> in Nagoya 2010 that the PA coverage in terrestrial ecosystems should be at least 17%. The forests that are protected, lack management plans, clearly demarcated borders, capacitated staff and are not integrated into the wider productive landscapes. In the Mediterranean districts targeted by the project, no special regime has ever been conceived nor negotiated between existing protected areas and surrounding municipalities that would lay out corridors or buffer-zones and conservation restrictions applicable therein. </w:t>
      </w:r>
    </w:p>
    <w:p w:rsidR="00A81902" w:rsidRPr="00ED0867" w:rsidRDefault="00A81902" w:rsidP="00ED0867">
      <w:pPr>
        <w:pStyle w:val="Footer"/>
        <w:shd w:val="clear" w:color="auto" w:fill="FFFFFF" w:themeFill="background1"/>
        <w:tabs>
          <w:tab w:val="clear" w:pos="4320"/>
          <w:tab w:val="clear" w:pos="8640"/>
        </w:tabs>
        <w:spacing w:before="120"/>
        <w:ind w:left="180"/>
        <w:rPr>
          <w:b/>
          <w:smallCaps/>
          <w:color w:val="000000"/>
          <w:sz w:val="21"/>
          <w:szCs w:val="21"/>
        </w:rPr>
      </w:pPr>
      <w:r w:rsidRPr="00ED0867">
        <w:rPr>
          <w:b/>
          <w:smallCaps/>
          <w:sz w:val="21"/>
          <w:szCs w:val="21"/>
        </w:rPr>
        <w:t xml:space="preserve">B. 2. </w:t>
      </w:r>
      <w:hyperlink r:id="rId9" w:history="1">
        <w:r w:rsidRPr="00ED0867">
          <w:rPr>
            <w:rStyle w:val="Hyperlink"/>
            <w:b/>
            <w:smallCaps/>
            <w:sz w:val="21"/>
            <w:szCs w:val="21"/>
          </w:rPr>
          <w:t>incremental cost reasoning</w:t>
        </w:r>
      </w:hyperlink>
      <w:r w:rsidRPr="00ED0867">
        <w:rPr>
          <w:b/>
          <w:smallCaps/>
          <w:sz w:val="21"/>
          <w:szCs w:val="21"/>
        </w:rPr>
        <w:t xml:space="preserve"> and the associated </w:t>
      </w:r>
      <w:hyperlink r:id="rId10" w:history="1">
        <w:r w:rsidRPr="00ED0867">
          <w:rPr>
            <w:b/>
            <w:smallCaps/>
            <w:color w:val="0000FF"/>
            <w:sz w:val="21"/>
            <w:szCs w:val="21"/>
            <w:u w:val="single"/>
          </w:rPr>
          <w:t>global environmental benefits</w:t>
        </w:r>
      </w:hyperlink>
      <w:r w:rsidRPr="00ED0867">
        <w:rPr>
          <w:b/>
          <w:smallCaps/>
          <w:color w:val="000000"/>
          <w:sz w:val="21"/>
          <w:szCs w:val="21"/>
        </w:rPr>
        <w:t xml:space="preserve">: </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bCs/>
          <w:iCs/>
          <w:noProof/>
          <w:color w:val="000000"/>
          <w:sz w:val="21"/>
          <w:szCs w:val="21"/>
          <w:lang w:val="en-GB"/>
        </w:rPr>
        <w:t xml:space="preserve">The objective of this project is to promote an integrated approach at the landscape level to the management of high conservation value forests in the Mediterannean to secure carbon pools and biodiversity. The GEF resources will create a model for integration of carbon emission avoidance / carbon sequestration (through REDD+) measures and protected areas in forest landscape management – demonstrated over an area of 450,000 ha. There is significant potential for wider replication of the model. </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bCs/>
          <w:iCs/>
          <w:noProof/>
          <w:color w:val="000000"/>
          <w:sz w:val="21"/>
          <w:szCs w:val="21"/>
          <w:lang w:val="en-GB"/>
        </w:rPr>
        <w:t xml:space="preserve">Component 1 is an umbrella national component designed to enhance Turkey’s readiness for REDD Plus. As described in the background section in B.1, Turkey has a forest inventory system. </w:t>
      </w:r>
      <w:r w:rsidRPr="00ED0867">
        <w:rPr>
          <w:rFonts w:ascii="Times New Roman" w:hAnsi="Times New Roman"/>
          <w:bCs/>
          <w:iCs/>
          <w:noProof/>
          <w:color w:val="000000"/>
          <w:sz w:val="21"/>
          <w:szCs w:val="21"/>
        </w:rPr>
        <w:t>However, the current Forest Management Plans (ENVANIS), although it represents an important baseline, does not allow to take into account all forest functions, or record biodiversity h</w:t>
      </w:r>
      <w:proofErr w:type="spellStart"/>
      <w:r w:rsidRPr="00ED0867">
        <w:rPr>
          <w:rFonts w:ascii="Times New Roman" w:hAnsi="Times New Roman"/>
          <w:sz w:val="21"/>
          <w:szCs w:val="21"/>
        </w:rPr>
        <w:t>abitat</w:t>
      </w:r>
      <w:proofErr w:type="spellEnd"/>
      <w:r w:rsidRPr="00ED0867">
        <w:rPr>
          <w:rFonts w:ascii="Times New Roman" w:hAnsi="Times New Roman"/>
          <w:sz w:val="21"/>
          <w:szCs w:val="21"/>
        </w:rPr>
        <w:t xml:space="preserve"> conditions, carbon pools and fluxes. Therefore, Component 1, through incremental activities not covered by any baseline program, will put in place the legal conditions necessary to introduce accounting for multiple benefits in forests. </w:t>
      </w:r>
      <w:r w:rsidRPr="00ED0867">
        <w:rPr>
          <w:rFonts w:ascii="Times New Roman" w:hAnsi="Times New Roman"/>
          <w:bCs/>
          <w:iCs/>
          <w:noProof/>
          <w:color w:val="000000"/>
          <w:sz w:val="21"/>
          <w:szCs w:val="21"/>
        </w:rPr>
        <w:t>It will further help Turkey to design a Nationally Appropriate Mitigation Action in the forest sector in line with COP-</w:t>
      </w:r>
      <w:r w:rsidRPr="00ED0867">
        <w:rPr>
          <w:rFonts w:ascii="Times New Roman" w:hAnsi="Times New Roman"/>
          <w:bCs/>
          <w:iCs/>
          <w:noProof/>
          <w:color w:val="000000"/>
          <w:sz w:val="21"/>
          <w:szCs w:val="21"/>
        </w:rPr>
        <w:lastRenderedPageBreak/>
        <w:t>16 decisions and guidance, which is not being covered by any baseline program. This will include setting GHG emission reference levels, introducing biodiversity and stakeholder participation standards for all future forest carbon projects. Further, through Output 1.3 the project will develop a scientifically backed methodology and protocols for measuring carbon stocks and fluxes (see specifics in Table B), and put in place a LULUCF REDD data-base (Output 1.5), which will be a comprehensive incremental improvement over the current Forest Management Plans database. A pipeline of forest carbon projects will be designed (Output 1.7).</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bCs/>
          <w:iCs/>
          <w:noProof/>
          <w:color w:val="000000"/>
          <w:sz w:val="21"/>
          <w:szCs w:val="21"/>
        </w:rPr>
        <w:t xml:space="preserve">Presently, understanding of forest carbon management fundamentals (emissions, emissions reduction options and carbon financing options) remains limited within the Ministry of Environment and Forestry and capacities are insuffucient to undertake carbon measurements and to develop, review, endorse and monitor forest carbon projects. Under the baseline scenario, the Ministry will continue to labour under these capacity constraints. In response to this, the project has designed two incremental outputs: Output 1.5 will create a dedicated LULUCF-REDD unit, and Output 1.6 will provide substantial training to staff in the unit and foresters on carbon monitoring and flow accounting. The </w:t>
      </w:r>
      <w:r w:rsidRPr="00ED0867">
        <w:rPr>
          <w:rFonts w:ascii="Times New Roman" w:hAnsi="Times New Roman"/>
          <w:sz w:val="21"/>
          <w:szCs w:val="21"/>
        </w:rPr>
        <w:t>LULUCF-REDD unit will lead work on designing and managing forest-based mitigation and sequestration projects. The training module will focus on LULUCF, REDD+, carbon monitoring and accounting. The funding needs of the department once created will be underwritten by the Government (however, t</w:t>
      </w:r>
      <w:r w:rsidRPr="00ED0867">
        <w:rPr>
          <w:rFonts w:ascii="Times New Roman" w:hAnsi="Times New Roman"/>
          <w:bCs/>
          <w:iCs/>
          <w:noProof/>
          <w:color w:val="000000"/>
          <w:sz w:val="21"/>
          <w:szCs w:val="21"/>
        </w:rPr>
        <w:t xml:space="preserve">he capacitation of the said unit would not  be possible without GEF support). </w:t>
      </w:r>
      <w:r w:rsidRPr="00ED0867">
        <w:rPr>
          <w:rFonts w:ascii="Times New Roman" w:hAnsi="Times New Roman"/>
          <w:sz w:val="21"/>
          <w:szCs w:val="21"/>
        </w:rPr>
        <w:t>The training module will be integrated into the regular vocational training system. This will ensure institutional sustainability.</w:t>
      </w:r>
    </w:p>
    <w:p w:rsidR="00A81902" w:rsidRPr="00ED0867" w:rsidRDefault="00A81902" w:rsidP="00ED0867">
      <w:pPr>
        <w:shd w:val="clear" w:color="auto" w:fill="FFFFFF" w:themeFill="background1"/>
        <w:spacing w:after="80" w:line="240" w:lineRule="auto"/>
        <w:ind w:left="180"/>
        <w:jc w:val="both"/>
        <w:rPr>
          <w:rFonts w:ascii="Times New Roman" w:hAnsi="Times New Roman"/>
          <w:bCs/>
          <w:iCs/>
          <w:noProof/>
          <w:color w:val="000000"/>
          <w:sz w:val="21"/>
          <w:szCs w:val="21"/>
          <w:lang w:val="en-GB"/>
        </w:rPr>
      </w:pPr>
      <w:r w:rsidRPr="00ED0867">
        <w:rPr>
          <w:rFonts w:ascii="Times New Roman" w:hAnsi="Times New Roman"/>
          <w:sz w:val="21"/>
          <w:szCs w:val="21"/>
        </w:rPr>
        <w:t xml:space="preserve">The MRV developed through Outputs 1.3 and 1.4 relates to all forests in Turkey, i.e. it will be a </w:t>
      </w:r>
      <w:r w:rsidRPr="00ED0867">
        <w:rPr>
          <w:rFonts w:ascii="Times New Roman" w:hAnsi="Times New Roman"/>
          <w:sz w:val="21"/>
          <w:szCs w:val="21"/>
          <w:u w:val="single"/>
        </w:rPr>
        <w:t>national</w:t>
      </w:r>
      <w:r w:rsidRPr="00ED0867">
        <w:rPr>
          <w:rFonts w:ascii="Times New Roman" w:hAnsi="Times New Roman"/>
          <w:sz w:val="21"/>
          <w:szCs w:val="21"/>
        </w:rPr>
        <w:t xml:space="preserve"> forest MRV, although it will be tested initially only within the Mediterranean region (with funding allocated through this project). Nonetheless, the MRV will be designed to allow subsequent updating, as data for other forest types is gathered and fed into the centralized data-base. This is a common approach adopted by technical assistance projects designed to help countries to implement the relevant UNFCCC decisions on LULUCF. The Mediterranean forest district has distinct bio-geographic characteristics compared to other forest regions of Turkey. However, the consensus of national and international experts engaged in the preparation of the project is that these distinctions do not require a separate sub-regional MRV. Therefore, the project focuses in the elaboration of a nationally relevant MRV, whose continuity will be supported institutionally by the LULUCF-REDD unit and the vocational training system created through project interventions.</w:t>
      </w:r>
    </w:p>
    <w:p w:rsidR="00A81902" w:rsidRPr="00ED0867" w:rsidRDefault="00A81902" w:rsidP="00ED0867">
      <w:pPr>
        <w:shd w:val="clear" w:color="auto" w:fill="FFFFFF" w:themeFill="background1"/>
        <w:spacing w:after="80" w:line="240" w:lineRule="auto"/>
        <w:ind w:left="180"/>
        <w:jc w:val="both"/>
        <w:rPr>
          <w:rFonts w:ascii="Times New Roman" w:hAnsi="Times New Roman"/>
          <w:bCs/>
          <w:iCs/>
          <w:noProof/>
          <w:color w:val="000000"/>
          <w:sz w:val="21"/>
          <w:szCs w:val="21"/>
          <w:lang w:val="en-GB"/>
        </w:rPr>
      </w:pPr>
      <w:r w:rsidRPr="00ED0867">
        <w:rPr>
          <w:rFonts w:ascii="Times New Roman" w:hAnsi="Times New Roman"/>
          <w:bCs/>
          <w:iCs/>
          <w:noProof/>
          <w:color w:val="000000"/>
          <w:sz w:val="21"/>
          <w:szCs w:val="21"/>
          <w:lang w:val="en-GB"/>
        </w:rPr>
        <w:t>Component II will implement GHG mitigation and carbon stock enhancement activities at pre-selected sites within the Mediterranean forest landscape. Here the project’s incremental value rests with demonstrating new approaches and technologies for reforestation, fire management, tree species management, weeding and thinning cuts, and pest control. Permanance will be assured by zoning these areas for conservation. The protection regimes will be flexible in order to allow for protection of the most valuable areas on the one hand, while other areas would continue to be sustainably used and monitored through the national carbon stock monitoring system. The specifics are provided in the table below, with a summary of the expected global environmental benefits:</w:t>
      </w:r>
    </w:p>
    <w:tbl>
      <w:tblPr>
        <w:tblW w:w="1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18"/>
        <w:gridCol w:w="7745"/>
      </w:tblGrid>
      <w:tr w:rsidR="00A81902" w:rsidRPr="00ED0867" w:rsidTr="00794537">
        <w:tc>
          <w:tcPr>
            <w:tcW w:w="3618" w:type="dxa"/>
          </w:tcPr>
          <w:p w:rsidR="00A81902" w:rsidRPr="00ED0867" w:rsidRDefault="00A81902" w:rsidP="00ED0867">
            <w:pPr>
              <w:shd w:val="clear" w:color="auto" w:fill="FFFFFF" w:themeFill="background1"/>
              <w:spacing w:after="0" w:line="240" w:lineRule="auto"/>
              <w:rPr>
                <w:rFonts w:ascii="Times New Roman" w:hAnsi="Times New Roman"/>
                <w:b/>
                <w:sz w:val="18"/>
                <w:szCs w:val="18"/>
              </w:rPr>
            </w:pPr>
            <w:r w:rsidRPr="00ED0867">
              <w:rPr>
                <w:rFonts w:ascii="Times New Roman" w:hAnsi="Times New Roman"/>
                <w:b/>
                <w:sz w:val="18"/>
                <w:szCs w:val="18"/>
              </w:rPr>
              <w:t>Baseline</w:t>
            </w:r>
          </w:p>
        </w:tc>
        <w:tc>
          <w:tcPr>
            <w:tcW w:w="7745" w:type="dxa"/>
          </w:tcPr>
          <w:p w:rsidR="00A81902" w:rsidRPr="00ED0867" w:rsidRDefault="00A81902" w:rsidP="00ED0867">
            <w:pPr>
              <w:shd w:val="clear" w:color="auto" w:fill="FFFFFF" w:themeFill="background1"/>
              <w:spacing w:after="0" w:line="240" w:lineRule="auto"/>
              <w:rPr>
                <w:rFonts w:ascii="Times New Roman" w:hAnsi="Times New Roman"/>
                <w:b/>
                <w:sz w:val="18"/>
                <w:szCs w:val="18"/>
              </w:rPr>
            </w:pPr>
            <w:r w:rsidRPr="00ED0867">
              <w:rPr>
                <w:rFonts w:ascii="Times New Roman" w:hAnsi="Times New Roman"/>
                <w:b/>
                <w:sz w:val="18"/>
                <w:szCs w:val="18"/>
              </w:rPr>
              <w:t xml:space="preserve">Incremental GEF project activities </w:t>
            </w:r>
          </w:p>
        </w:tc>
      </w:tr>
      <w:tr w:rsidR="00A81902" w:rsidRPr="00ED0867" w:rsidTr="00794537">
        <w:tc>
          <w:tcPr>
            <w:tcW w:w="11363" w:type="dxa"/>
            <w:gridSpan w:val="2"/>
          </w:tcPr>
          <w:p w:rsidR="00A81902" w:rsidRPr="00ED0867" w:rsidRDefault="00A81902" w:rsidP="00ED0867">
            <w:pPr>
              <w:shd w:val="clear" w:color="auto" w:fill="FFFFFF" w:themeFill="background1"/>
              <w:spacing w:after="0" w:line="240" w:lineRule="auto"/>
              <w:rPr>
                <w:rFonts w:ascii="Times New Roman" w:hAnsi="Times New Roman"/>
                <w:i/>
                <w:sz w:val="18"/>
                <w:szCs w:val="18"/>
              </w:rPr>
            </w:pPr>
            <w:r w:rsidRPr="00ED0867">
              <w:rPr>
                <w:rFonts w:ascii="Times New Roman" w:hAnsi="Times New Roman"/>
                <w:i/>
                <w:sz w:val="18"/>
                <w:szCs w:val="18"/>
              </w:rPr>
              <w:t>Forest fire management</w:t>
            </w:r>
          </w:p>
        </w:tc>
      </w:tr>
      <w:tr w:rsidR="00A81902" w:rsidRPr="00ED0867" w:rsidTr="00ED0867">
        <w:tc>
          <w:tcPr>
            <w:tcW w:w="3618" w:type="dxa"/>
            <w:shd w:val="clear" w:color="auto" w:fill="FFFFFF" w:themeFill="background1"/>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shd w:val="clear" w:color="auto" w:fill="FFFFFF" w:themeFill="background1"/>
              </w:rPr>
              <w:t>Under business-as-usual, this will remain a reactive management system relying on</w:t>
            </w:r>
            <w:r w:rsidRPr="00ED0867">
              <w:rPr>
                <w:rFonts w:ascii="Times New Roman" w:hAnsi="Times New Roman"/>
                <w:sz w:val="18"/>
                <w:szCs w:val="18"/>
              </w:rPr>
              <w:t xml:space="preserve"> real-time identification (through GIS), real time dispatch of fire-fighting brigades; fire avoidance and prevention is not programmed in annual work-plans of forest enterprises in the Mediterranean forest eco-region, limited human and technical capacities. </w:t>
            </w: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xml:space="preserve"> </w:t>
            </w: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xml:space="preserve">In expectation of the GEF grant, the government has agreed to modify part of this baseline program and direct it as co-financing for Output 1.1. This will cover the investment cost of the new proactive system in the five target districts (app. US$ 5.7 </w:t>
            </w:r>
            <w:proofErr w:type="spellStart"/>
            <w:r w:rsidRPr="00ED0867">
              <w:rPr>
                <w:rFonts w:ascii="Times New Roman" w:hAnsi="Times New Roman"/>
                <w:sz w:val="18"/>
                <w:szCs w:val="18"/>
              </w:rPr>
              <w:t>mln</w:t>
            </w:r>
            <w:proofErr w:type="spellEnd"/>
            <w:r w:rsidRPr="00ED0867">
              <w:rPr>
                <w:rFonts w:ascii="Times New Roman" w:hAnsi="Times New Roman"/>
                <w:sz w:val="18"/>
                <w:szCs w:val="18"/>
              </w:rPr>
              <w:t xml:space="preserve">). </w:t>
            </w:r>
          </w:p>
        </w:tc>
        <w:tc>
          <w:tcPr>
            <w:tcW w:w="7745"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Proactive management: fire prevention and avoidance activities integrated in annual work-plans of target districts, setting up integrated regional forest fire control systems, embedding early warning and hazard risk data in daily forest management, streamlined collaboration between emergency and forestry officers; forest units e</w:t>
            </w:r>
            <w:r w:rsidRPr="00ED0867">
              <w:rPr>
                <w:rFonts w:ascii="Times New Roman" w:hAnsi="Times New Roman"/>
                <w:noProof/>
                <w:sz w:val="18"/>
                <w:szCs w:val="18"/>
                <w:lang w:val="de-DE" w:eastAsia="de-DE"/>
              </w:rPr>
              <w:t>quipped with surveillance and other critical equipment for integrated fire management;.</w:t>
            </w:r>
            <w:r w:rsidRPr="00ED0867">
              <w:rPr>
                <w:rFonts w:ascii="Times New Roman" w:hAnsi="Times New Roman"/>
                <w:b/>
                <w:sz w:val="18"/>
                <w:szCs w:val="18"/>
              </w:rPr>
              <w:t xml:space="preserve"> Climate benefits</w:t>
            </w:r>
            <w:r w:rsidRPr="00ED0867">
              <w:rPr>
                <w:rFonts w:ascii="Times New Roman" w:hAnsi="Times New Roman"/>
                <w:sz w:val="18"/>
                <w:szCs w:val="18"/>
              </w:rPr>
              <w:t xml:space="preserve"> (project only, without replication): Avoidance of annually burnt areas conservatively by 2,000 ha. </w:t>
            </w:r>
            <w:r w:rsidRPr="00ED0867">
              <w:rPr>
                <w:rFonts w:ascii="Times New Roman" w:hAnsi="Times New Roman"/>
                <w:i/>
                <w:sz w:val="18"/>
                <w:szCs w:val="18"/>
              </w:rPr>
              <w:t>First UNFCCC National Communication and IPCC LULUCF tables were used for calculations</w:t>
            </w:r>
            <w:r w:rsidRPr="00ED0867">
              <w:rPr>
                <w:rFonts w:ascii="Times New Roman" w:hAnsi="Times New Roman"/>
                <w:sz w:val="18"/>
                <w:szCs w:val="18"/>
              </w:rPr>
              <w:t xml:space="preserve">, conservatively admitting loss of 10 </w:t>
            </w:r>
            <w:proofErr w:type="spellStart"/>
            <w:r w:rsidRPr="00ED0867">
              <w:rPr>
                <w:rFonts w:ascii="Times New Roman" w:hAnsi="Times New Roman"/>
                <w:sz w:val="18"/>
                <w:szCs w:val="18"/>
              </w:rPr>
              <w:t>tC</w:t>
            </w:r>
            <w:proofErr w:type="spellEnd"/>
            <w:r w:rsidRPr="00ED0867">
              <w:rPr>
                <w:rFonts w:ascii="Times New Roman" w:hAnsi="Times New Roman"/>
                <w:sz w:val="18"/>
                <w:szCs w:val="18"/>
              </w:rPr>
              <w:t xml:space="preserve">/ha in crown fires (40% occurrence), and 17 </w:t>
            </w:r>
            <w:proofErr w:type="spellStart"/>
            <w:r w:rsidRPr="00ED0867">
              <w:rPr>
                <w:rFonts w:ascii="Times New Roman" w:hAnsi="Times New Roman"/>
                <w:sz w:val="18"/>
                <w:szCs w:val="18"/>
              </w:rPr>
              <w:t>tC</w:t>
            </w:r>
            <w:proofErr w:type="spellEnd"/>
            <w:r w:rsidRPr="00ED0867">
              <w:rPr>
                <w:rFonts w:ascii="Times New Roman" w:hAnsi="Times New Roman"/>
                <w:sz w:val="18"/>
                <w:szCs w:val="18"/>
              </w:rPr>
              <w:t xml:space="preserve">/ha from ground fires (60% of all cases). Annual CO2 loss equivalent to losing 2,000 ha to fires is (2000ha*0.4*10tC/ha+2000ha*0.6*17tC/ha)*3.67CO2/C = </w:t>
            </w:r>
            <w:r w:rsidRPr="00ED0867">
              <w:rPr>
                <w:rFonts w:ascii="Times New Roman" w:hAnsi="Times New Roman"/>
                <w:b/>
                <w:sz w:val="18"/>
                <w:szCs w:val="18"/>
              </w:rPr>
              <w:t>104,228 tCO2/y</w:t>
            </w:r>
            <w:r w:rsidRPr="00ED0867">
              <w:rPr>
                <w:rFonts w:ascii="Times New Roman" w:hAnsi="Times New Roman"/>
                <w:sz w:val="18"/>
                <w:szCs w:val="18"/>
              </w:rPr>
              <w:t xml:space="preserve">. </w:t>
            </w:r>
          </w:p>
        </w:tc>
      </w:tr>
      <w:tr w:rsidR="00A81902" w:rsidRPr="00ED0867" w:rsidTr="00794537">
        <w:tc>
          <w:tcPr>
            <w:tcW w:w="11363" w:type="dxa"/>
            <w:gridSpan w:val="2"/>
          </w:tcPr>
          <w:p w:rsidR="00A81902" w:rsidRPr="00ED0867" w:rsidRDefault="00A81902" w:rsidP="00ED0867">
            <w:pPr>
              <w:shd w:val="clear" w:color="auto" w:fill="FFFFFF" w:themeFill="background1"/>
              <w:spacing w:after="0" w:line="240" w:lineRule="auto"/>
              <w:rPr>
                <w:rFonts w:ascii="Times New Roman" w:hAnsi="Times New Roman"/>
                <w:i/>
                <w:sz w:val="18"/>
                <w:szCs w:val="18"/>
              </w:rPr>
            </w:pPr>
            <w:r w:rsidRPr="00ED0867">
              <w:rPr>
                <w:rFonts w:ascii="Times New Roman" w:hAnsi="Times New Roman"/>
                <w:i/>
                <w:sz w:val="18"/>
                <w:szCs w:val="18"/>
              </w:rPr>
              <w:t xml:space="preserve">Forest stock management </w:t>
            </w:r>
          </w:p>
        </w:tc>
      </w:tr>
      <w:tr w:rsidR="00A81902" w:rsidRPr="00ED0867" w:rsidTr="00ED0867">
        <w:tc>
          <w:tcPr>
            <w:tcW w:w="3618" w:type="dxa"/>
            <w:shd w:val="clear" w:color="auto" w:fill="FFFFFF" w:themeFill="background1"/>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shd w:val="clear" w:color="auto" w:fill="FFFFFF" w:themeFill="background1"/>
              </w:rPr>
              <w:t>Under business as usual, the Government will be investing in traditional forms of reforestation in the target districts. However</w:t>
            </w:r>
            <w:r w:rsidRPr="00ED0867">
              <w:rPr>
                <w:rFonts w:ascii="Times New Roman" w:hAnsi="Times New Roman"/>
                <w:sz w:val="18"/>
                <w:szCs w:val="18"/>
                <w:shd w:val="clear" w:color="auto" w:fill="FFFF00"/>
              </w:rPr>
              <w:t xml:space="preserve">, </w:t>
            </w:r>
            <w:r w:rsidRPr="00ED0867">
              <w:rPr>
                <w:rFonts w:ascii="Times New Roman" w:hAnsi="Times New Roman"/>
                <w:sz w:val="18"/>
                <w:szCs w:val="18"/>
                <w:shd w:val="clear" w:color="auto" w:fill="FFFFFF" w:themeFill="background1"/>
              </w:rPr>
              <w:t xml:space="preserve">without GEF intervention, the species management will rely on preference made for higher ratio of coniferous trees viz. deciduous species. Thinning / weeding </w:t>
            </w:r>
            <w:proofErr w:type="gramStart"/>
            <w:r w:rsidRPr="00ED0867">
              <w:rPr>
                <w:rFonts w:ascii="Times New Roman" w:hAnsi="Times New Roman"/>
                <w:sz w:val="18"/>
                <w:szCs w:val="18"/>
                <w:shd w:val="clear" w:color="auto" w:fill="FFFFFF" w:themeFill="background1"/>
              </w:rPr>
              <w:t>does</w:t>
            </w:r>
            <w:proofErr w:type="gramEnd"/>
            <w:r w:rsidRPr="00ED0867">
              <w:rPr>
                <w:rFonts w:ascii="Times New Roman" w:hAnsi="Times New Roman"/>
                <w:sz w:val="18"/>
                <w:szCs w:val="18"/>
                <w:shd w:val="clear" w:color="auto" w:fill="FFFFFF" w:themeFill="background1"/>
              </w:rPr>
              <w:t xml:space="preserve"> not</w:t>
            </w:r>
            <w:r w:rsidRPr="00ED0867">
              <w:rPr>
                <w:rFonts w:ascii="Times New Roman" w:hAnsi="Times New Roman"/>
                <w:sz w:val="18"/>
                <w:szCs w:val="18"/>
                <w:shd w:val="clear" w:color="auto" w:fill="FFFF00"/>
              </w:rPr>
              <w:t xml:space="preserve"> </w:t>
            </w:r>
            <w:r w:rsidRPr="00ED0867">
              <w:rPr>
                <w:rFonts w:ascii="Times New Roman" w:hAnsi="Times New Roman"/>
                <w:sz w:val="18"/>
                <w:szCs w:val="18"/>
                <w:shd w:val="clear" w:color="auto" w:fill="FFFFFF" w:themeFill="background1"/>
              </w:rPr>
              <w:t>differentiate between carbon-rich and carbon poor species.</w:t>
            </w:r>
          </w:p>
          <w:p w:rsidR="00A81902" w:rsidRPr="00ED0867" w:rsidRDefault="00A81902" w:rsidP="00ED0867">
            <w:pPr>
              <w:shd w:val="clear" w:color="auto" w:fill="FFFFFF" w:themeFill="background1"/>
              <w:spacing w:after="0" w:line="240" w:lineRule="auto"/>
              <w:rPr>
                <w:rFonts w:ascii="Times New Roman" w:hAnsi="Times New Roman"/>
                <w:sz w:val="18"/>
                <w:szCs w:val="18"/>
              </w:rPr>
            </w:pPr>
          </w:p>
          <w:p w:rsidR="00A81902" w:rsidRPr="00ED0867" w:rsidRDefault="00A81902" w:rsidP="00ED0867">
            <w:pPr>
              <w:shd w:val="clear" w:color="auto" w:fill="FFFFFF" w:themeFill="background1"/>
              <w:spacing w:after="0" w:line="240" w:lineRule="auto"/>
              <w:rPr>
                <w:rFonts w:ascii="Times New Roman" w:hAnsi="Times New Roman"/>
                <w:color w:val="000000"/>
                <w:sz w:val="18"/>
                <w:szCs w:val="18"/>
                <w:lang w:val="en-GB" w:eastAsia="tr-TR"/>
              </w:rPr>
            </w:pPr>
            <w:r w:rsidRPr="00ED0867">
              <w:rPr>
                <w:rFonts w:ascii="Times New Roman" w:hAnsi="Times New Roman"/>
                <w:color w:val="000000"/>
                <w:sz w:val="18"/>
                <w:szCs w:val="18"/>
                <w:lang w:val="en-GB" w:eastAsia="tr-TR"/>
              </w:rPr>
              <w:t xml:space="preserve">Conditional to GEF support, the Government </w:t>
            </w:r>
            <w:r w:rsidRPr="00ED0867">
              <w:rPr>
                <w:rFonts w:ascii="Times New Roman" w:hAnsi="Times New Roman"/>
                <w:color w:val="000000"/>
                <w:sz w:val="18"/>
                <w:szCs w:val="18"/>
                <w:lang w:val="en-GB" w:eastAsia="tr-TR"/>
              </w:rPr>
              <w:lastRenderedPageBreak/>
              <w:t xml:space="preserve">has agreed to modify part of this baseline program to direct it as co-financing to the carbon-minded forest stock management at the 5 demonstration districts (US$5.5 </w:t>
            </w:r>
            <w:proofErr w:type="spellStart"/>
            <w:r w:rsidRPr="00ED0867">
              <w:rPr>
                <w:rFonts w:ascii="Times New Roman" w:hAnsi="Times New Roman"/>
                <w:color w:val="000000"/>
                <w:sz w:val="18"/>
                <w:szCs w:val="18"/>
                <w:lang w:val="en-GB" w:eastAsia="tr-TR"/>
              </w:rPr>
              <w:t>mln</w:t>
            </w:r>
            <w:proofErr w:type="spellEnd"/>
            <w:r w:rsidRPr="00ED0867">
              <w:rPr>
                <w:rFonts w:ascii="Times New Roman" w:hAnsi="Times New Roman"/>
                <w:color w:val="000000"/>
                <w:sz w:val="18"/>
                <w:szCs w:val="18"/>
                <w:lang w:val="en-GB" w:eastAsia="tr-TR"/>
              </w:rPr>
              <w:t>).</w:t>
            </w:r>
          </w:p>
        </w:tc>
        <w:tc>
          <w:tcPr>
            <w:tcW w:w="7745"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lastRenderedPageBreak/>
              <w:t>Carbon-focused reforestation of degraded areas with crown-cover around 10-15% to (recreate crown cover of over 50%) demonstrated at 3,000 ha (sequestration potential 160,200 tCO2 in 10 years).</w:t>
            </w: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b/>
                <w:sz w:val="18"/>
                <w:szCs w:val="18"/>
              </w:rPr>
              <w:t>Enhanced carbon sequestration</w:t>
            </w:r>
            <w:r w:rsidRPr="00ED0867">
              <w:rPr>
                <w:rFonts w:ascii="Times New Roman" w:hAnsi="Times New Roman"/>
                <w:sz w:val="18"/>
                <w:szCs w:val="18"/>
              </w:rPr>
              <w:t xml:space="preserve">: Tree species management (e.g. optimization of deciduous to coniferous species ratio) &amp; improved thinning at 2,000 ha resulting in a 50% increase in carbon build-up compared to traditional reforestation practices (sequestration potential </w:t>
            </w:r>
            <w:proofErr w:type="gramStart"/>
            <w:r w:rsidRPr="00ED0867">
              <w:rPr>
                <w:rFonts w:ascii="Times New Roman" w:hAnsi="Times New Roman"/>
                <w:sz w:val="18"/>
                <w:szCs w:val="18"/>
              </w:rPr>
              <w:t xml:space="preserve">of </w:t>
            </w:r>
            <w:r w:rsidRPr="00ED0867">
              <w:rPr>
                <w:rFonts w:ascii="Times New Roman" w:hAnsi="Times New Roman"/>
                <w:b/>
                <w:sz w:val="18"/>
                <w:szCs w:val="18"/>
              </w:rPr>
              <w:t>7,340 tCO2/year</w:t>
            </w:r>
            <w:proofErr w:type="gramEnd"/>
            <w:r w:rsidRPr="00ED0867">
              <w:rPr>
                <w:rFonts w:ascii="Times New Roman" w:hAnsi="Times New Roman"/>
                <w:sz w:val="18"/>
                <w:szCs w:val="18"/>
              </w:rPr>
              <w:t xml:space="preserve">). </w:t>
            </w:r>
          </w:p>
          <w:p w:rsidR="00A81902" w:rsidRPr="00ED0867" w:rsidRDefault="00A81902" w:rsidP="00ED0867">
            <w:pPr>
              <w:shd w:val="clear" w:color="auto" w:fill="FFFFFF" w:themeFill="background1"/>
              <w:spacing w:after="0" w:line="240" w:lineRule="auto"/>
              <w:rPr>
                <w:rFonts w:ascii="Times New Roman" w:hAnsi="Times New Roman"/>
                <w:sz w:val="18"/>
                <w:szCs w:val="18"/>
              </w:rPr>
            </w:pP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b/>
                <w:sz w:val="18"/>
                <w:szCs w:val="18"/>
              </w:rPr>
              <w:t>Clarification:</w:t>
            </w:r>
            <w:r w:rsidRPr="00ED0867">
              <w:rPr>
                <w:rFonts w:ascii="Times New Roman" w:hAnsi="Times New Roman"/>
                <w:sz w:val="18"/>
                <w:szCs w:val="18"/>
              </w:rPr>
              <w:t xml:space="preserve">  the Government is continuing investment in </w:t>
            </w:r>
            <w:proofErr w:type="spellStart"/>
            <w:r w:rsidRPr="00ED0867">
              <w:rPr>
                <w:rFonts w:ascii="Times New Roman" w:hAnsi="Times New Roman"/>
                <w:sz w:val="18"/>
                <w:szCs w:val="18"/>
              </w:rPr>
              <w:t>afforestation</w:t>
            </w:r>
            <w:proofErr w:type="spellEnd"/>
            <w:r w:rsidRPr="00ED0867">
              <w:rPr>
                <w:rFonts w:ascii="Times New Roman" w:hAnsi="Times New Roman"/>
                <w:sz w:val="18"/>
                <w:szCs w:val="18"/>
              </w:rPr>
              <w:t xml:space="preserve"> in areas with less than 10% forest cover under the business as usual scenario. Because of the loss of genetic material, areas with forest cover &lt;10% are slated for </w:t>
            </w:r>
            <w:proofErr w:type="spellStart"/>
            <w:r w:rsidRPr="00ED0867">
              <w:rPr>
                <w:rFonts w:ascii="Times New Roman" w:hAnsi="Times New Roman"/>
                <w:sz w:val="18"/>
                <w:szCs w:val="18"/>
              </w:rPr>
              <w:t>afforestation</w:t>
            </w:r>
            <w:proofErr w:type="spellEnd"/>
            <w:r w:rsidRPr="00ED0867">
              <w:rPr>
                <w:rFonts w:ascii="Times New Roman" w:hAnsi="Times New Roman"/>
                <w:sz w:val="18"/>
                <w:szCs w:val="18"/>
              </w:rPr>
              <w:t xml:space="preserve"> as essentially new forest plantations. There is limited potential for natural regeneration to restore the original species composition.  Given the limited ecological value (and ensuing Global Environmental Benefits) of such areas, they are not the focus of </w:t>
            </w:r>
            <w:r w:rsidRPr="00ED0867">
              <w:rPr>
                <w:rFonts w:ascii="Times New Roman" w:hAnsi="Times New Roman"/>
                <w:sz w:val="18"/>
                <w:szCs w:val="18"/>
              </w:rPr>
              <w:lastRenderedPageBreak/>
              <w:t>GEF investment. Since the GEF / SFM funding is aimed at generating multiple GEBs, beyond carbon sequestration to include biodiversity benefits and the enhancement of ecological resilience, GEF activities are focused rather on such areas that retain higher crown cover (at least 10-15%). Unlike areas with under 10% forest cover, these retain higher original genetic material, and have relatively high natural re-generation capacity, improving the chances that reforestation/assisted natural regeneration will reestablish native species compositions.</w:t>
            </w:r>
          </w:p>
          <w:p w:rsidR="00A81902" w:rsidRPr="00ED0867" w:rsidRDefault="00A81902" w:rsidP="00ED0867">
            <w:pPr>
              <w:shd w:val="clear" w:color="auto" w:fill="FFFFFF" w:themeFill="background1"/>
              <w:spacing w:after="0" w:line="240" w:lineRule="auto"/>
              <w:rPr>
                <w:rFonts w:ascii="Times New Roman" w:hAnsi="Times New Roman"/>
                <w:sz w:val="18"/>
                <w:szCs w:val="18"/>
              </w:rPr>
            </w:pP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xml:space="preserve">Note on thinning: experiments with thinning in similar environments in Spain under the Silva </w:t>
            </w:r>
            <w:proofErr w:type="spellStart"/>
            <w:r w:rsidRPr="00ED0867">
              <w:rPr>
                <w:rFonts w:ascii="Times New Roman" w:hAnsi="Times New Roman"/>
                <w:sz w:val="18"/>
                <w:szCs w:val="18"/>
              </w:rPr>
              <w:t>Mediterranea</w:t>
            </w:r>
            <w:proofErr w:type="spellEnd"/>
            <w:r w:rsidRPr="00ED0867">
              <w:rPr>
                <w:rFonts w:ascii="Times New Roman" w:hAnsi="Times New Roman"/>
                <w:sz w:val="18"/>
                <w:szCs w:val="18"/>
              </w:rPr>
              <w:t xml:space="preserve"> program, have confirmed that the optimization of thinning is one of the best tools (better than pruning) in post-fire active restoration and assisted natural recovery. Reference can be made to the following: “</w:t>
            </w:r>
            <w:r w:rsidRPr="00ED0867">
              <w:rPr>
                <w:rFonts w:ascii="Times New Roman" w:hAnsi="Times New Roman"/>
                <w:i/>
                <w:sz w:val="18"/>
                <w:szCs w:val="18"/>
              </w:rPr>
              <w:t xml:space="preserve">Post-Fire Active Restoration And Assisted Natural Recovering In </w:t>
            </w:r>
            <w:proofErr w:type="spellStart"/>
            <w:r w:rsidRPr="00ED0867">
              <w:rPr>
                <w:rFonts w:ascii="Times New Roman" w:hAnsi="Times New Roman"/>
                <w:i/>
                <w:sz w:val="18"/>
                <w:szCs w:val="18"/>
              </w:rPr>
              <w:t>Pinus</w:t>
            </w:r>
            <w:proofErr w:type="spellEnd"/>
            <w:r w:rsidRPr="00ED0867">
              <w:rPr>
                <w:rFonts w:ascii="Times New Roman" w:hAnsi="Times New Roman"/>
                <w:i/>
                <w:sz w:val="18"/>
                <w:szCs w:val="18"/>
              </w:rPr>
              <w:t xml:space="preserve"> </w:t>
            </w:r>
            <w:proofErr w:type="spellStart"/>
            <w:r w:rsidRPr="00ED0867">
              <w:rPr>
                <w:rFonts w:ascii="Times New Roman" w:hAnsi="Times New Roman"/>
                <w:i/>
                <w:sz w:val="18"/>
                <w:szCs w:val="18"/>
              </w:rPr>
              <w:t>Halepensis</w:t>
            </w:r>
            <w:proofErr w:type="spellEnd"/>
            <w:r w:rsidRPr="00ED0867">
              <w:rPr>
                <w:rFonts w:ascii="Times New Roman" w:hAnsi="Times New Roman"/>
                <w:i/>
                <w:sz w:val="18"/>
                <w:szCs w:val="18"/>
              </w:rPr>
              <w:t xml:space="preserve">” </w:t>
            </w:r>
            <w:r w:rsidRPr="00ED0867">
              <w:rPr>
                <w:rFonts w:ascii="Times New Roman" w:hAnsi="Times New Roman"/>
                <w:sz w:val="18"/>
                <w:szCs w:val="18"/>
              </w:rPr>
              <w:t xml:space="preserve">(Mill. </w:t>
            </w:r>
            <w:proofErr w:type="spellStart"/>
            <w:r w:rsidRPr="00ED0867">
              <w:rPr>
                <w:rFonts w:ascii="Times New Roman" w:hAnsi="Times New Roman"/>
                <w:sz w:val="18"/>
                <w:szCs w:val="18"/>
                <w:lang w:val="fr-FR"/>
              </w:rPr>
              <w:t>Forests</w:t>
            </w:r>
            <w:proofErr w:type="spellEnd"/>
            <w:r w:rsidRPr="00ED0867">
              <w:rPr>
                <w:rFonts w:ascii="Times New Roman" w:hAnsi="Times New Roman"/>
                <w:sz w:val="18"/>
                <w:szCs w:val="18"/>
                <w:lang w:val="fr-FR"/>
              </w:rPr>
              <w:t xml:space="preserve"> Jorge De Las </w:t>
            </w:r>
            <w:proofErr w:type="spellStart"/>
            <w:r w:rsidRPr="00ED0867">
              <w:rPr>
                <w:rFonts w:ascii="Times New Roman" w:hAnsi="Times New Roman"/>
                <w:sz w:val="18"/>
                <w:szCs w:val="18"/>
                <w:lang w:val="fr-FR"/>
              </w:rPr>
              <w:t>Heras</w:t>
            </w:r>
            <w:proofErr w:type="spellEnd"/>
            <w:r w:rsidRPr="00ED0867">
              <w:rPr>
                <w:rFonts w:ascii="Times New Roman" w:hAnsi="Times New Roman"/>
                <w:sz w:val="18"/>
                <w:szCs w:val="18"/>
                <w:lang w:val="fr-FR"/>
              </w:rPr>
              <w:t xml:space="preserve">, Daniel </w:t>
            </w:r>
            <w:proofErr w:type="spellStart"/>
            <w:r w:rsidRPr="00ED0867">
              <w:rPr>
                <w:rFonts w:ascii="Times New Roman" w:hAnsi="Times New Roman"/>
                <w:sz w:val="18"/>
                <w:szCs w:val="18"/>
                <w:lang w:val="fr-FR"/>
              </w:rPr>
              <w:t>Moya</w:t>
            </w:r>
            <w:proofErr w:type="spellEnd"/>
            <w:r w:rsidRPr="00ED0867">
              <w:rPr>
                <w:rFonts w:ascii="Times New Roman" w:hAnsi="Times New Roman"/>
                <w:sz w:val="18"/>
                <w:szCs w:val="18"/>
                <w:lang w:val="fr-FR"/>
              </w:rPr>
              <w:t xml:space="preserve">, Francisco </w:t>
            </w:r>
            <w:proofErr w:type="spellStart"/>
            <w:r w:rsidRPr="00ED0867">
              <w:rPr>
                <w:rFonts w:ascii="Times New Roman" w:hAnsi="Times New Roman"/>
                <w:sz w:val="18"/>
                <w:szCs w:val="18"/>
                <w:lang w:val="fr-FR"/>
              </w:rPr>
              <w:t>López</w:t>
            </w:r>
            <w:proofErr w:type="spellEnd"/>
            <w:r w:rsidRPr="00ED0867">
              <w:rPr>
                <w:rFonts w:ascii="Times New Roman" w:hAnsi="Times New Roman"/>
                <w:sz w:val="18"/>
                <w:szCs w:val="18"/>
                <w:lang w:val="fr-FR"/>
              </w:rPr>
              <w:t>-</w:t>
            </w:r>
            <w:proofErr w:type="spellStart"/>
            <w:r w:rsidRPr="00ED0867">
              <w:rPr>
                <w:rFonts w:ascii="Times New Roman" w:hAnsi="Times New Roman"/>
                <w:sz w:val="18"/>
                <w:szCs w:val="18"/>
                <w:lang w:val="fr-FR"/>
              </w:rPr>
              <w:t>Serrano</w:t>
            </w:r>
            <w:proofErr w:type="spellEnd"/>
            <w:r w:rsidRPr="00ED0867">
              <w:rPr>
                <w:rFonts w:ascii="Times New Roman" w:hAnsi="Times New Roman"/>
                <w:sz w:val="18"/>
                <w:szCs w:val="18"/>
                <w:lang w:val="fr-FR"/>
              </w:rPr>
              <w:t xml:space="preserve"> &amp; Eva </w:t>
            </w:r>
            <w:proofErr w:type="spellStart"/>
            <w:r w:rsidRPr="00ED0867">
              <w:rPr>
                <w:rFonts w:ascii="Times New Roman" w:hAnsi="Times New Roman"/>
                <w:sz w:val="18"/>
                <w:szCs w:val="18"/>
                <w:lang w:val="fr-FR"/>
              </w:rPr>
              <w:t>Rubio</w:t>
            </w:r>
            <w:proofErr w:type="spellEnd"/>
            <w:r w:rsidRPr="00ED0867">
              <w:rPr>
                <w:rFonts w:ascii="Times New Roman" w:hAnsi="Times New Roman"/>
                <w:sz w:val="18"/>
                <w:szCs w:val="18"/>
                <w:lang w:val="fr-FR"/>
              </w:rPr>
              <w:t xml:space="preserve"> </w:t>
            </w:r>
            <w:proofErr w:type="spellStart"/>
            <w:r w:rsidRPr="00ED0867">
              <w:rPr>
                <w:rFonts w:ascii="Times New Roman" w:hAnsi="Times New Roman"/>
                <w:sz w:val="18"/>
                <w:szCs w:val="18"/>
                <w:lang w:val="fr-FR"/>
              </w:rPr>
              <w:t>Universidad</w:t>
            </w:r>
            <w:proofErr w:type="spellEnd"/>
            <w:r w:rsidRPr="00ED0867">
              <w:rPr>
                <w:rFonts w:ascii="Times New Roman" w:hAnsi="Times New Roman"/>
                <w:sz w:val="18"/>
                <w:szCs w:val="18"/>
                <w:lang w:val="fr-FR"/>
              </w:rPr>
              <w:t xml:space="preserve"> De Castilla-La </w:t>
            </w:r>
            <w:proofErr w:type="spellStart"/>
            <w:r w:rsidRPr="00ED0867">
              <w:rPr>
                <w:rFonts w:ascii="Times New Roman" w:hAnsi="Times New Roman"/>
                <w:sz w:val="18"/>
                <w:szCs w:val="18"/>
                <w:lang w:val="fr-FR"/>
              </w:rPr>
              <w:t>Mancha</w:t>
            </w:r>
            <w:proofErr w:type="spellEnd"/>
            <w:r w:rsidRPr="00ED0867">
              <w:rPr>
                <w:rFonts w:ascii="Times New Roman" w:hAnsi="Times New Roman"/>
                <w:sz w:val="18"/>
                <w:szCs w:val="18"/>
                <w:lang w:val="fr-FR"/>
              </w:rPr>
              <w:t xml:space="preserve">). </w:t>
            </w:r>
            <w:r w:rsidRPr="00ED0867">
              <w:rPr>
                <w:rFonts w:ascii="Times New Roman" w:hAnsi="Times New Roman"/>
                <w:sz w:val="18"/>
                <w:szCs w:val="18"/>
              </w:rPr>
              <w:t xml:space="preserve">The authors have shown that “optimal thinning intensities applied in young naturally regenerated areas have been proven to increase the main species resilience and productivity (i.e. carbon storage) while enhancing forest biodiversity and enhancing soil protection functions. The Silva </w:t>
            </w:r>
            <w:proofErr w:type="spellStart"/>
            <w:r w:rsidRPr="00ED0867">
              <w:rPr>
                <w:rFonts w:ascii="Times New Roman" w:hAnsi="Times New Roman"/>
                <w:sz w:val="18"/>
                <w:szCs w:val="18"/>
              </w:rPr>
              <w:t>Mediterranea</w:t>
            </w:r>
            <w:proofErr w:type="spellEnd"/>
            <w:r w:rsidRPr="00ED0867">
              <w:rPr>
                <w:rFonts w:ascii="Times New Roman" w:hAnsi="Times New Roman"/>
                <w:sz w:val="18"/>
                <w:szCs w:val="18"/>
              </w:rPr>
              <w:t xml:space="preserve"> program is willing to transfer the knowhow for application in Turkey.</w:t>
            </w:r>
          </w:p>
        </w:tc>
      </w:tr>
      <w:tr w:rsidR="00A81902" w:rsidRPr="00ED0867" w:rsidTr="00003F3B">
        <w:tc>
          <w:tcPr>
            <w:tcW w:w="3618"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lang w:val="en-GB" w:eastAsia="tr-TR"/>
              </w:rPr>
            </w:pPr>
            <w:r w:rsidRPr="00ED0867">
              <w:rPr>
                <w:rFonts w:ascii="Times New Roman" w:hAnsi="Times New Roman"/>
                <w:color w:val="000000"/>
                <w:sz w:val="18"/>
                <w:szCs w:val="18"/>
                <w:lang w:val="en-GB" w:eastAsia="tr-TR"/>
              </w:rPr>
              <w:lastRenderedPageBreak/>
              <w:t xml:space="preserve">Pest management. Reactive pest management: The current level of funding mentioned in the baseline section B.1 is extremely far from the scale of the problem. It does not allow for integrated systems and </w:t>
            </w:r>
            <w:r w:rsidRPr="00ED0867">
              <w:rPr>
                <w:rFonts w:ascii="Times New Roman" w:hAnsi="Times New Roman"/>
                <w:sz w:val="18"/>
                <w:szCs w:val="18"/>
              </w:rPr>
              <w:t>allows the post-factum control at just about 25-35% of all pest attacks per year (covering some 500,000 – 800,000 ha). There are no</w:t>
            </w:r>
            <w:r w:rsidRPr="00ED0867">
              <w:rPr>
                <w:rFonts w:ascii="Times New Roman" w:hAnsi="Times New Roman"/>
                <w:color w:val="000000"/>
                <w:sz w:val="18"/>
                <w:szCs w:val="18"/>
                <w:lang w:val="en-GB" w:eastAsia="tr-TR"/>
              </w:rPr>
              <w:t xml:space="preserve"> permanent pest observation centres across the Mediterranean region, and no programs for long-term research on pests. </w:t>
            </w:r>
          </w:p>
          <w:p w:rsidR="00A81902" w:rsidRPr="00ED0867" w:rsidRDefault="00A81902" w:rsidP="00ED0867">
            <w:pPr>
              <w:shd w:val="clear" w:color="auto" w:fill="FFFFFF" w:themeFill="background1"/>
              <w:spacing w:after="0" w:line="240" w:lineRule="auto"/>
              <w:rPr>
                <w:rFonts w:ascii="Times New Roman" w:hAnsi="Times New Roman"/>
                <w:color w:val="000000"/>
                <w:sz w:val="18"/>
                <w:szCs w:val="18"/>
                <w:lang w:val="en-GB" w:eastAsia="tr-TR"/>
              </w:rPr>
            </w:pP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color w:val="000000"/>
                <w:sz w:val="18"/>
                <w:szCs w:val="18"/>
                <w:lang w:val="en-GB" w:eastAsia="tr-TR"/>
              </w:rPr>
              <w:t xml:space="preserve">However, conditional to GEF support, the Government is willing to re-direct part of its baseline funding (US$1.3 </w:t>
            </w:r>
            <w:proofErr w:type="spellStart"/>
            <w:r w:rsidRPr="00ED0867">
              <w:rPr>
                <w:rFonts w:ascii="Times New Roman" w:hAnsi="Times New Roman"/>
                <w:color w:val="000000"/>
                <w:sz w:val="18"/>
                <w:szCs w:val="18"/>
                <w:lang w:val="en-GB" w:eastAsia="tr-TR"/>
              </w:rPr>
              <w:t>mln</w:t>
            </w:r>
            <w:proofErr w:type="spellEnd"/>
            <w:r w:rsidRPr="00ED0867">
              <w:rPr>
                <w:rFonts w:ascii="Times New Roman" w:hAnsi="Times New Roman"/>
                <w:color w:val="000000"/>
                <w:sz w:val="18"/>
                <w:szCs w:val="18"/>
                <w:lang w:val="en-GB" w:eastAsia="tr-TR"/>
              </w:rPr>
              <w:t>) for the establishment of the 2 laboratories in the Mediterranean region.</w:t>
            </w:r>
          </w:p>
        </w:tc>
        <w:tc>
          <w:tcPr>
            <w:tcW w:w="7745"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xml:space="preserve">Shift from reactive to proactive pest management: </w:t>
            </w:r>
            <w:r w:rsidRPr="00ED0867">
              <w:rPr>
                <w:rFonts w:ascii="Times New Roman" w:hAnsi="Times New Roman"/>
                <w:sz w:val="18"/>
                <w:szCs w:val="18"/>
                <w:lang w:val="en-GB"/>
              </w:rPr>
              <w:t xml:space="preserve">integrated system of pest warning, observation, and control: setting up 2 pest early warning </w:t>
            </w:r>
            <w:proofErr w:type="spellStart"/>
            <w:r w:rsidRPr="00ED0867">
              <w:rPr>
                <w:rFonts w:ascii="Times New Roman" w:hAnsi="Times New Roman"/>
                <w:sz w:val="18"/>
                <w:szCs w:val="18"/>
                <w:lang w:val="en-GB"/>
              </w:rPr>
              <w:t>centers</w:t>
            </w:r>
            <w:proofErr w:type="spellEnd"/>
            <w:r w:rsidRPr="00ED0867">
              <w:rPr>
                <w:rFonts w:ascii="Times New Roman" w:hAnsi="Times New Roman"/>
                <w:sz w:val="18"/>
                <w:szCs w:val="18"/>
                <w:lang w:val="en-GB"/>
              </w:rPr>
              <w:t xml:space="preserve"> in the Mediterranean forest districts, equipped with technologies for distant and field observations and early problem identification; controlled laboratory based research into bio control methods, with due safeguards. </w:t>
            </w:r>
            <w:r w:rsidRPr="00ED0867">
              <w:rPr>
                <w:rFonts w:ascii="Times New Roman" w:hAnsi="Times New Roman"/>
                <w:b/>
                <w:sz w:val="18"/>
                <w:szCs w:val="18"/>
                <w:lang w:val="en-GB"/>
              </w:rPr>
              <w:t>Direct global climate increment:</w:t>
            </w:r>
            <w:r w:rsidRPr="00ED0867">
              <w:rPr>
                <w:rFonts w:ascii="Times New Roman" w:hAnsi="Times New Roman"/>
                <w:sz w:val="18"/>
                <w:szCs w:val="18"/>
                <w:lang w:val="en-GB"/>
              </w:rPr>
              <w:t xml:space="preserve"> App. 5,470 ha of coniferous forest saved from pests</w:t>
            </w:r>
            <w:r w:rsidRPr="00ED0867">
              <w:rPr>
                <w:rFonts w:ascii="Times New Roman" w:hAnsi="Times New Roman"/>
                <w:sz w:val="18"/>
                <w:szCs w:val="18"/>
              </w:rPr>
              <w:t xml:space="preserve">. First UNFCCC National Communication coefficient for pest impact on Mediterranean forests: app. 0.38 </w:t>
            </w:r>
            <w:proofErr w:type="spellStart"/>
            <w:r w:rsidRPr="00ED0867">
              <w:rPr>
                <w:rFonts w:ascii="Times New Roman" w:hAnsi="Times New Roman"/>
                <w:sz w:val="18"/>
                <w:szCs w:val="18"/>
              </w:rPr>
              <w:t>tC</w:t>
            </w:r>
            <w:proofErr w:type="spellEnd"/>
            <w:r w:rsidRPr="00ED0867">
              <w:rPr>
                <w:rFonts w:ascii="Times New Roman" w:hAnsi="Times New Roman"/>
                <w:sz w:val="18"/>
                <w:szCs w:val="18"/>
              </w:rPr>
              <w:t>/ha/y</w:t>
            </w:r>
            <w:r w:rsidRPr="00ED0867">
              <w:rPr>
                <w:rFonts w:ascii="Times New Roman" w:hAnsi="Times New Roman"/>
                <w:sz w:val="18"/>
                <w:szCs w:val="18"/>
                <w:lang w:val="en-GB"/>
              </w:rPr>
              <w:t xml:space="preserve">, equivalent (for 5,470) to avoiding </w:t>
            </w:r>
            <w:r w:rsidRPr="00ED0867">
              <w:rPr>
                <w:rFonts w:ascii="Times New Roman" w:hAnsi="Times New Roman"/>
                <w:sz w:val="18"/>
                <w:szCs w:val="18"/>
              </w:rPr>
              <w:t xml:space="preserve">2,072 </w:t>
            </w:r>
            <w:r w:rsidRPr="00ED0867">
              <w:rPr>
                <w:rFonts w:ascii="Times New Roman" w:hAnsi="Times New Roman"/>
                <w:sz w:val="18"/>
                <w:szCs w:val="18"/>
                <w:lang w:val="en-GB"/>
              </w:rPr>
              <w:t xml:space="preserve">tons of carbon annually eq. to avoidance of 2,072*3.67 = </w:t>
            </w:r>
            <w:r w:rsidRPr="00ED0867">
              <w:rPr>
                <w:rFonts w:ascii="Times New Roman" w:hAnsi="Times New Roman"/>
                <w:b/>
                <w:sz w:val="18"/>
                <w:szCs w:val="18"/>
                <w:lang w:val="en-GB"/>
              </w:rPr>
              <w:t>7,604 tCO2/y</w:t>
            </w:r>
            <w:r w:rsidRPr="00ED0867">
              <w:rPr>
                <w:rFonts w:ascii="Times New Roman" w:hAnsi="Times New Roman"/>
                <w:sz w:val="18"/>
                <w:szCs w:val="18"/>
              </w:rPr>
              <w:t xml:space="preserve">. </w:t>
            </w:r>
          </w:p>
        </w:tc>
      </w:tr>
      <w:tr w:rsidR="00A81902" w:rsidRPr="00ED0867" w:rsidTr="00ED0867">
        <w:tc>
          <w:tcPr>
            <w:tcW w:w="3618" w:type="dxa"/>
            <w:shd w:val="clear" w:color="auto" w:fill="FFFFFF" w:themeFill="background1"/>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lang w:val="en-GB" w:eastAsia="tr-TR"/>
              </w:rPr>
            </w:pPr>
            <w:r w:rsidRPr="00ED0867">
              <w:rPr>
                <w:rFonts w:ascii="Times New Roman" w:hAnsi="Times New Roman"/>
                <w:color w:val="000000"/>
                <w:sz w:val="18"/>
                <w:szCs w:val="18"/>
                <w:lang w:val="en-GB" w:eastAsia="tr-TR"/>
              </w:rPr>
              <w:t xml:space="preserve">Unsustainable livelihoods. Continued levels of unsustainable fire wood withdrawal by local population. </w:t>
            </w:r>
          </w:p>
        </w:tc>
        <w:tc>
          <w:tcPr>
            <w:tcW w:w="7745" w:type="dxa"/>
            <w:shd w:val="clear" w:color="auto" w:fill="FFFFFF" w:themeFill="background1"/>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shd w:val="clear" w:color="auto" w:fill="FFFFFF" w:themeFill="background1"/>
                <w:lang w:val="en-GB"/>
              </w:rPr>
              <w:t>Expansion of a program co-</w:t>
            </w:r>
            <w:r w:rsidRPr="00ED0867">
              <w:rPr>
                <w:rFonts w:ascii="Times New Roman" w:hAnsi="Times New Roman"/>
                <w:sz w:val="18"/>
                <w:szCs w:val="18"/>
                <w:shd w:val="clear" w:color="auto" w:fill="FFFFFF" w:themeFill="background1"/>
              </w:rPr>
              <w:t>financed and run entirely by Government and</w:t>
            </w:r>
            <w:r w:rsidRPr="00ED0867">
              <w:rPr>
                <w:rFonts w:ascii="Times New Roman" w:hAnsi="Times New Roman"/>
                <w:sz w:val="18"/>
                <w:szCs w:val="18"/>
              </w:rPr>
              <w:t xml:space="preserve"> UNDP under Output 2.3 for micro-crediting (zero-interest loans) of local communities for solar-energy (US$1.25 </w:t>
            </w:r>
            <w:proofErr w:type="spellStart"/>
            <w:r w:rsidRPr="00ED0867">
              <w:rPr>
                <w:rFonts w:ascii="Times New Roman" w:hAnsi="Times New Roman"/>
                <w:sz w:val="18"/>
                <w:szCs w:val="18"/>
              </w:rPr>
              <w:t>mln</w:t>
            </w:r>
            <w:proofErr w:type="spellEnd"/>
            <w:r w:rsidRPr="00ED0867">
              <w:rPr>
                <w:rFonts w:ascii="Times New Roman" w:hAnsi="Times New Roman"/>
                <w:sz w:val="18"/>
                <w:szCs w:val="18"/>
              </w:rPr>
              <w:t xml:space="preserve"> in total co-financing). This will be implemented as part of the country-wide micro-crediting program for solar energy coordinated by the General Directorate of Forest Village Relations within the Ministry of Environment and Forests. The program was initially designed with assistance from UNDP, and tested in the Black Sea region. It provides a full cost no-interest loan, payable in 3 years in 3 equal installments, for procurement and installation of solar collectors to fulfill a family’s hot water needs. These can be up to 2-3 solar panels/collectors with open or closed systems depending on the region. During 2009-2010 some 376 families drew on the funds to finance installations in the Black Sea region. The Government is now is in the process of launching the micro-crediting program country-wide (under the auspices of the Ministry of Forestry). In the Mediterranean region, these funds have been reserved as co-financing for the GEF project. The disbursement and collection system is in place, maintained by Government.</w:t>
            </w:r>
            <w:r w:rsidRPr="00ED0867">
              <w:rPr>
                <w:rFonts w:ascii="Times New Roman" w:hAnsi="Times New Roman"/>
                <w:sz w:val="18"/>
                <w:szCs w:val="18"/>
                <w:shd w:val="clear" w:color="auto" w:fill="FFFF00"/>
              </w:rPr>
              <w:t xml:space="preserve"> </w:t>
            </w:r>
            <w:r w:rsidRPr="00ED0867">
              <w:rPr>
                <w:rFonts w:ascii="Times New Roman" w:hAnsi="Times New Roman"/>
                <w:sz w:val="18"/>
                <w:szCs w:val="18"/>
                <w:shd w:val="clear" w:color="auto" w:fill="FFFFFF" w:themeFill="background1"/>
              </w:rPr>
              <w:t>Project partners will assist with the deployment of the scheme through:</w:t>
            </w:r>
            <w:r w:rsidRPr="00ED0867">
              <w:rPr>
                <w:rFonts w:ascii="Times New Roman" w:hAnsi="Times New Roman"/>
                <w:sz w:val="18"/>
                <w:szCs w:val="18"/>
                <w:shd w:val="clear" w:color="auto" w:fill="FFFF00"/>
              </w:rPr>
              <w:t xml:space="preserve"> </w:t>
            </w:r>
            <w:r w:rsidRPr="00ED0867">
              <w:rPr>
                <w:rFonts w:ascii="Times New Roman" w:hAnsi="Times New Roman"/>
                <w:sz w:val="18"/>
                <w:szCs w:val="18"/>
              </w:rPr>
              <w:t xml:space="preserve">assistance in: marketing of the scheme to local communities; assistance to villagers in feasibility assessments and application process; guidance on installation and use of panels; and monitoring of contractual arrangements. </w:t>
            </w:r>
            <w:r w:rsidRPr="00ED0867">
              <w:rPr>
                <w:rFonts w:ascii="Times New Roman" w:hAnsi="Times New Roman"/>
                <w:sz w:val="18"/>
                <w:szCs w:val="18"/>
                <w:shd w:val="clear" w:color="auto" w:fill="FFFFFF" w:themeFill="background1"/>
              </w:rPr>
              <w:t>Solar collectors used for water heating have proven success in the Black Sea region in 2009/2010, helpin</w:t>
            </w:r>
            <w:r w:rsidRPr="00ED0867">
              <w:rPr>
                <w:rFonts w:ascii="Times New Roman" w:hAnsi="Times New Roman"/>
                <w:sz w:val="18"/>
                <w:szCs w:val="18"/>
              </w:rPr>
              <w:t xml:space="preserve">g to avoid logging of app 0.12 ha of oak coppice for fuel per family per year. The total avoided degradation per year is 0.12*900 ha = 108 ha per year, or over 1,000 ha of oak forest in a 10-year perspective. This is equivalent to avoided emissions </w:t>
            </w:r>
            <w:proofErr w:type="gramStart"/>
            <w:r w:rsidRPr="00ED0867">
              <w:rPr>
                <w:rFonts w:ascii="Times New Roman" w:hAnsi="Times New Roman"/>
                <w:sz w:val="18"/>
                <w:szCs w:val="18"/>
              </w:rPr>
              <w:t xml:space="preserve">of </w:t>
            </w:r>
            <w:r w:rsidRPr="00ED0867">
              <w:rPr>
                <w:rFonts w:ascii="Times New Roman" w:hAnsi="Times New Roman"/>
                <w:b/>
                <w:sz w:val="18"/>
                <w:szCs w:val="18"/>
              </w:rPr>
              <w:t>11,759 tCO2/year</w:t>
            </w:r>
            <w:proofErr w:type="gramEnd"/>
            <w:r w:rsidRPr="00ED0867">
              <w:rPr>
                <w:rFonts w:ascii="Times New Roman" w:hAnsi="Times New Roman"/>
                <w:sz w:val="18"/>
                <w:szCs w:val="18"/>
              </w:rPr>
              <w:t>. The calculation is presented in the table below:</w:t>
            </w:r>
          </w:p>
        </w:tc>
      </w:tr>
    </w:tbl>
    <w:p w:rsidR="00A81902" w:rsidRPr="00ED0867" w:rsidRDefault="00A81902" w:rsidP="00ED0867">
      <w:pPr>
        <w:shd w:val="clear" w:color="auto" w:fill="FFFFFF" w:themeFill="background1"/>
        <w:spacing w:after="0" w:line="240" w:lineRule="auto"/>
        <w:rPr>
          <w:rFonts w:ascii="Times New Roman" w:hAnsi="Times New Roman"/>
        </w:rPr>
      </w:pPr>
    </w:p>
    <w:p w:rsidR="00A81902" w:rsidRPr="00ED0867" w:rsidRDefault="00A81902" w:rsidP="00ED0867">
      <w:pPr>
        <w:shd w:val="clear" w:color="auto" w:fill="FFFFFF" w:themeFill="background1"/>
        <w:spacing w:after="0" w:line="240" w:lineRule="auto"/>
        <w:rPr>
          <w:rFonts w:ascii="Times New Roman" w:hAnsi="Times New Roman"/>
          <w:sz w:val="21"/>
          <w:szCs w:val="21"/>
        </w:rPr>
      </w:pPr>
      <w:r w:rsidRPr="00ED0867">
        <w:rPr>
          <w:rFonts w:ascii="Times New Roman" w:hAnsi="Times New Roman"/>
          <w:sz w:val="21"/>
          <w:szCs w:val="21"/>
        </w:rPr>
        <w:t>Preliminary calculation of the carbon benefit derived from the micro-crediting program on installation of solar-collectors:</w:t>
      </w:r>
    </w:p>
    <w:tbl>
      <w:tblPr>
        <w:tblW w:w="11670" w:type="dxa"/>
        <w:tblInd w:w="-162" w:type="dxa"/>
        <w:tblLayout w:type="fixed"/>
        <w:tblLook w:val="00A0"/>
      </w:tblPr>
      <w:tblGrid>
        <w:gridCol w:w="1455"/>
        <w:gridCol w:w="1530"/>
        <w:gridCol w:w="1760"/>
        <w:gridCol w:w="2185"/>
        <w:gridCol w:w="1760"/>
        <w:gridCol w:w="1760"/>
        <w:gridCol w:w="1220"/>
      </w:tblGrid>
      <w:tr w:rsidR="00A81902" w:rsidRPr="00ED0867" w:rsidTr="00B37D06">
        <w:trPr>
          <w:trHeight w:val="502"/>
        </w:trPr>
        <w:tc>
          <w:tcPr>
            <w:tcW w:w="1455" w:type="dxa"/>
            <w:vMerge w:val="restart"/>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 xml:space="preserve">Subcategories for reporting </w:t>
            </w:r>
          </w:p>
        </w:tc>
        <w:tc>
          <w:tcPr>
            <w:tcW w:w="153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Annual wood removal</w:t>
            </w:r>
          </w:p>
        </w:tc>
        <w:tc>
          <w:tcPr>
            <w:tcW w:w="176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 xml:space="preserve">Biomass conversion and expansion factor </w:t>
            </w:r>
          </w:p>
        </w:tc>
        <w:tc>
          <w:tcPr>
            <w:tcW w:w="2185"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Ratio of below-ground biomass to above-ground biomass</w:t>
            </w:r>
          </w:p>
        </w:tc>
        <w:tc>
          <w:tcPr>
            <w:tcW w:w="176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Carbon fraction of dry matter</w:t>
            </w:r>
          </w:p>
        </w:tc>
        <w:tc>
          <w:tcPr>
            <w:tcW w:w="1760" w:type="dxa"/>
            <w:tcBorders>
              <w:top w:val="single" w:sz="8" w:space="0" w:color="auto"/>
              <w:left w:val="nil"/>
              <w:bottom w:val="single" w:sz="4" w:space="0" w:color="auto"/>
              <w:right w:val="single" w:sz="4"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Annual carbon loss due to biomass removals</w:t>
            </w:r>
          </w:p>
        </w:tc>
        <w:tc>
          <w:tcPr>
            <w:tcW w:w="1220" w:type="dxa"/>
            <w:tcBorders>
              <w:top w:val="single" w:sz="8" w:space="0" w:color="auto"/>
              <w:left w:val="nil"/>
              <w:bottom w:val="single" w:sz="4" w:space="0" w:color="auto"/>
              <w:right w:val="single" w:sz="8" w:space="0" w:color="auto"/>
            </w:tcBorders>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Conversion to CO2</w:t>
            </w:r>
          </w:p>
        </w:tc>
      </w:tr>
      <w:tr w:rsidR="00A81902" w:rsidRPr="00ED0867" w:rsidTr="00B37D06">
        <w:trPr>
          <w:trHeight w:val="313"/>
        </w:trPr>
        <w:tc>
          <w:tcPr>
            <w:tcW w:w="1455"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53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(m</w:t>
            </w:r>
            <w:r w:rsidRPr="00ED0867">
              <w:rPr>
                <w:rFonts w:ascii="Times New Roman" w:hAnsi="Times New Roman"/>
                <w:sz w:val="18"/>
                <w:szCs w:val="18"/>
                <w:vertAlign w:val="superscript"/>
              </w:rPr>
              <w:t>3</w:t>
            </w:r>
            <w:r w:rsidRPr="00ED0867">
              <w:rPr>
                <w:rFonts w:ascii="Times New Roman" w:hAnsi="Times New Roman"/>
                <w:sz w:val="18"/>
                <w:szCs w:val="18"/>
              </w:rPr>
              <w:t xml:space="preserve"> yr</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of biomass removals</w:t>
            </w:r>
          </w:p>
        </w:tc>
        <w:tc>
          <w:tcPr>
            <w:tcW w:w="2185"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w:t>
            </w:r>
            <w:proofErr w:type="spellStart"/>
            <w:r w:rsidRPr="00ED0867">
              <w:rPr>
                <w:rFonts w:ascii="Times New Roman" w:hAnsi="Times New Roman"/>
                <w:sz w:val="18"/>
                <w:szCs w:val="18"/>
              </w:rPr>
              <w:t>bg</w:t>
            </w:r>
            <w:proofErr w:type="spellEnd"/>
            <w:r w:rsidRPr="00ED0867">
              <w:rPr>
                <w:rFonts w:ascii="Times New Roman" w:hAnsi="Times New Roman"/>
                <w:sz w:val="18"/>
                <w:szCs w:val="18"/>
              </w:rPr>
              <w:t xml:space="preserve"> dm</w:t>
            </w: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C</w:t>
            </w:r>
          </w:p>
        </w:tc>
        <w:tc>
          <w:tcPr>
            <w:tcW w:w="176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tonnes</w:t>
            </w:r>
            <w:proofErr w:type="spellEnd"/>
            <w:r w:rsidRPr="00ED0867">
              <w:rPr>
                <w:rFonts w:ascii="Times New Roman" w:hAnsi="Times New Roman"/>
                <w:sz w:val="18"/>
                <w:szCs w:val="18"/>
              </w:rPr>
              <w:t xml:space="preserve"> C yr</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220" w:type="dxa"/>
            <w:tcBorders>
              <w:top w:val="nil"/>
              <w:left w:val="nil"/>
              <w:bottom w:val="single" w:sz="4" w:space="0" w:color="auto"/>
              <w:right w:val="single" w:sz="8"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 xml:space="preserve">tCO2 per </w:t>
            </w:r>
            <w:proofErr w:type="spellStart"/>
            <w:r w:rsidRPr="00ED0867">
              <w:rPr>
                <w:rFonts w:ascii="Times New Roman" w:hAnsi="Times New Roman"/>
                <w:sz w:val="18"/>
                <w:szCs w:val="18"/>
              </w:rPr>
              <w:t>tC</w:t>
            </w:r>
            <w:proofErr w:type="spellEnd"/>
          </w:p>
        </w:tc>
      </w:tr>
      <w:tr w:rsidR="00A81902" w:rsidRPr="00ED0867" w:rsidTr="00B37D06">
        <w:trPr>
          <w:trHeight w:val="142"/>
        </w:trPr>
        <w:tc>
          <w:tcPr>
            <w:tcW w:w="1455"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53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(m</w:t>
            </w:r>
            <w:r w:rsidRPr="00ED0867">
              <w:rPr>
                <w:rFonts w:ascii="Times New Roman" w:hAnsi="Times New Roman"/>
                <w:sz w:val="18"/>
                <w:szCs w:val="18"/>
                <w:vertAlign w:val="superscript"/>
              </w:rPr>
              <w:t>3</w:t>
            </w:r>
            <w:r w:rsidRPr="00ED0867">
              <w:rPr>
                <w:rFonts w:ascii="Times New Roman" w:hAnsi="Times New Roman"/>
                <w:sz w:val="18"/>
                <w:szCs w:val="18"/>
              </w:rPr>
              <w:t xml:space="preserve"> of removals) </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2185"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w:t>
            </w:r>
            <w:proofErr w:type="spellEnd"/>
            <w:r w:rsidRPr="00ED0867">
              <w:rPr>
                <w:rFonts w:ascii="Times New Roman" w:hAnsi="Times New Roman"/>
                <w:sz w:val="18"/>
                <w:szCs w:val="18"/>
              </w:rPr>
              <w:t xml:space="preserve"> </w:t>
            </w:r>
            <w:proofErr w:type="spellStart"/>
            <w:r w:rsidRPr="00ED0867">
              <w:rPr>
                <w:rFonts w:ascii="Times New Roman" w:hAnsi="Times New Roman"/>
                <w:sz w:val="18"/>
                <w:szCs w:val="18"/>
              </w:rPr>
              <w:t>ag</w:t>
            </w:r>
            <w:proofErr w:type="spellEnd"/>
            <w:r w:rsidRPr="00ED0867">
              <w:rPr>
                <w:rFonts w:ascii="Times New Roman" w:hAnsi="Times New Roman"/>
                <w:sz w:val="18"/>
                <w:szCs w:val="18"/>
              </w:rPr>
              <w:t xml:space="preserve"> dm)</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w:t>
            </w:r>
            <w:proofErr w:type="spellStart"/>
            <w:r w:rsidRPr="00ED0867">
              <w:rPr>
                <w:rFonts w:ascii="Times New Roman" w:hAnsi="Times New Roman"/>
                <w:sz w:val="18"/>
                <w:szCs w:val="18"/>
              </w:rPr>
              <w:t>tonne</w:t>
            </w:r>
            <w:proofErr w:type="spellEnd"/>
            <w:r w:rsidRPr="00ED0867">
              <w:rPr>
                <w:rFonts w:ascii="Times New Roman" w:hAnsi="Times New Roman"/>
                <w:sz w:val="18"/>
                <w:szCs w:val="18"/>
              </w:rPr>
              <w:t xml:space="preserve"> dm)</w:t>
            </w:r>
            <w:r w:rsidRPr="00ED0867">
              <w:rPr>
                <w:rFonts w:ascii="Times New Roman" w:hAnsi="Times New Roman"/>
                <w:sz w:val="18"/>
                <w:szCs w:val="18"/>
                <w:vertAlign w:val="superscript"/>
              </w:rPr>
              <w:t>-1</w:t>
            </w:r>
            <w:r w:rsidRPr="00ED0867">
              <w:rPr>
                <w:rFonts w:ascii="Times New Roman" w:hAnsi="Times New Roman"/>
                <w:sz w:val="18"/>
                <w:szCs w:val="18"/>
              </w:rPr>
              <w:t>]</w:t>
            </w:r>
          </w:p>
        </w:tc>
        <w:tc>
          <w:tcPr>
            <w:tcW w:w="176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 </w:t>
            </w:r>
          </w:p>
        </w:tc>
      </w:tr>
      <w:tr w:rsidR="00A81902" w:rsidRPr="00ED0867" w:rsidTr="00B37D06">
        <w:trPr>
          <w:trHeight w:val="898"/>
        </w:trPr>
        <w:tc>
          <w:tcPr>
            <w:tcW w:w="1455"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53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National statistics or international data sources</w:t>
            </w:r>
          </w:p>
        </w:tc>
        <w:tc>
          <w:tcPr>
            <w:tcW w:w="176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Table 4.5 - Mediterranean forests hardwoods, stocking density 41-80 m3 per ha</w:t>
            </w:r>
          </w:p>
        </w:tc>
        <w:tc>
          <w:tcPr>
            <w:tcW w:w="2185"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zero (0) or - zero since removal concerns mostly only above ground biomass</w:t>
            </w: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0.5 or</w:t>
            </w:r>
          </w:p>
        </w:tc>
        <w:tc>
          <w:tcPr>
            <w:tcW w:w="1760" w:type="dxa"/>
            <w:vMerge w:val="restart"/>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proofErr w:type="spellStart"/>
            <w:r w:rsidRPr="00ED0867">
              <w:rPr>
                <w:rFonts w:ascii="Times New Roman" w:hAnsi="Times New Roman"/>
                <w:sz w:val="18"/>
                <w:szCs w:val="18"/>
              </w:rPr>
              <w:t>L</w:t>
            </w:r>
            <w:r w:rsidRPr="00ED0867">
              <w:rPr>
                <w:rFonts w:ascii="Times New Roman" w:hAnsi="Times New Roman"/>
                <w:sz w:val="18"/>
                <w:szCs w:val="18"/>
                <w:vertAlign w:val="subscript"/>
              </w:rPr>
              <w:t>wood</w:t>
            </w:r>
            <w:proofErr w:type="spellEnd"/>
            <w:r w:rsidRPr="00ED0867">
              <w:rPr>
                <w:rFonts w:ascii="Times New Roman" w:hAnsi="Times New Roman"/>
                <w:sz w:val="18"/>
                <w:szCs w:val="18"/>
                <w:vertAlign w:val="subscript"/>
              </w:rPr>
              <w:t>-removals</w:t>
            </w:r>
            <w:r w:rsidRPr="00ED0867">
              <w:rPr>
                <w:rFonts w:ascii="Times New Roman" w:hAnsi="Times New Roman"/>
                <w:sz w:val="18"/>
                <w:szCs w:val="18"/>
              </w:rPr>
              <w:t xml:space="preserve"> = H * BCEF</w:t>
            </w:r>
            <w:r w:rsidRPr="00ED0867">
              <w:rPr>
                <w:rFonts w:ascii="Times New Roman" w:hAnsi="Times New Roman"/>
                <w:sz w:val="18"/>
                <w:szCs w:val="18"/>
                <w:vertAlign w:val="subscript"/>
              </w:rPr>
              <w:t>R</w:t>
            </w:r>
            <w:r w:rsidRPr="00ED0867">
              <w:rPr>
                <w:rFonts w:ascii="Times New Roman" w:hAnsi="Times New Roman"/>
                <w:sz w:val="18"/>
                <w:szCs w:val="18"/>
              </w:rPr>
              <w:t xml:space="preserve"> * (1+R) * CF</w:t>
            </w: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20"/>
                <w:szCs w:val="20"/>
              </w:rPr>
            </w:pPr>
            <w:r w:rsidRPr="00ED0867">
              <w:rPr>
                <w:rFonts w:ascii="Times New Roman" w:hAnsi="Times New Roman"/>
                <w:sz w:val="20"/>
                <w:szCs w:val="20"/>
              </w:rPr>
              <w:t>3.67</w:t>
            </w:r>
          </w:p>
        </w:tc>
      </w:tr>
      <w:tr w:rsidR="00A81902" w:rsidRPr="00ED0867" w:rsidTr="00B37D06">
        <w:trPr>
          <w:trHeight w:val="142"/>
        </w:trPr>
        <w:tc>
          <w:tcPr>
            <w:tcW w:w="1455"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53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76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2185"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Table 4.4</w:t>
            </w:r>
          </w:p>
        </w:tc>
        <w:tc>
          <w:tcPr>
            <w:tcW w:w="1760" w:type="dxa"/>
            <w:tcBorders>
              <w:top w:val="nil"/>
              <w:left w:val="nil"/>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Table 4.3</w:t>
            </w:r>
          </w:p>
        </w:tc>
        <w:tc>
          <w:tcPr>
            <w:tcW w:w="1760" w:type="dxa"/>
            <w:vMerge/>
            <w:tcBorders>
              <w:top w:val="nil"/>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 </w:t>
            </w:r>
          </w:p>
        </w:tc>
      </w:tr>
      <w:tr w:rsidR="00A81902" w:rsidRPr="00ED0867" w:rsidTr="00B37D06">
        <w:trPr>
          <w:trHeight w:val="178"/>
        </w:trPr>
        <w:tc>
          <w:tcPr>
            <w:tcW w:w="1455" w:type="dxa"/>
            <w:vMerge/>
            <w:tcBorders>
              <w:top w:val="single" w:sz="8" w:space="0" w:color="auto"/>
              <w:left w:val="single" w:sz="4" w:space="0" w:color="auto"/>
              <w:bottom w:val="single" w:sz="4" w:space="0" w:color="auto"/>
              <w:right w:val="single" w:sz="4" w:space="0" w:color="auto"/>
            </w:tcBorders>
            <w:vAlign w:val="center"/>
          </w:tcPr>
          <w:p w:rsidR="00A81902" w:rsidRPr="00ED0867" w:rsidRDefault="00A81902" w:rsidP="00ED0867">
            <w:pPr>
              <w:shd w:val="clear" w:color="auto" w:fill="FFFFFF" w:themeFill="background1"/>
              <w:spacing w:after="0" w:line="240" w:lineRule="auto"/>
              <w:rPr>
                <w:rFonts w:ascii="Times New Roman" w:hAnsi="Times New Roman"/>
                <w:sz w:val="18"/>
                <w:szCs w:val="18"/>
              </w:rPr>
            </w:pPr>
          </w:p>
        </w:tc>
        <w:tc>
          <w:tcPr>
            <w:tcW w:w="153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H</w:t>
            </w:r>
          </w:p>
        </w:tc>
        <w:tc>
          <w:tcPr>
            <w:tcW w:w="176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BCEF</w:t>
            </w:r>
            <w:r w:rsidRPr="00ED0867">
              <w:rPr>
                <w:rFonts w:ascii="Times New Roman" w:hAnsi="Times New Roman"/>
                <w:b/>
                <w:bCs/>
                <w:sz w:val="18"/>
                <w:szCs w:val="18"/>
                <w:vertAlign w:val="subscript"/>
              </w:rPr>
              <w:t>R</w:t>
            </w:r>
          </w:p>
        </w:tc>
        <w:tc>
          <w:tcPr>
            <w:tcW w:w="2185"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R</w:t>
            </w:r>
          </w:p>
        </w:tc>
        <w:tc>
          <w:tcPr>
            <w:tcW w:w="176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r w:rsidRPr="00ED0867">
              <w:rPr>
                <w:rFonts w:ascii="Times New Roman" w:hAnsi="Times New Roman"/>
                <w:b/>
                <w:bCs/>
                <w:sz w:val="18"/>
                <w:szCs w:val="18"/>
              </w:rPr>
              <w:t>CF</w:t>
            </w:r>
          </w:p>
        </w:tc>
        <w:tc>
          <w:tcPr>
            <w:tcW w:w="1760" w:type="dxa"/>
            <w:tcBorders>
              <w:top w:val="nil"/>
              <w:left w:val="nil"/>
              <w:bottom w:val="single" w:sz="4" w:space="0" w:color="auto"/>
              <w:right w:val="single" w:sz="4" w:space="0" w:color="auto"/>
            </w:tcBorders>
            <w:noWrap/>
            <w:vAlign w:val="bottom"/>
          </w:tcPr>
          <w:p w:rsidR="00A81902" w:rsidRPr="00ED0867" w:rsidRDefault="00A81902" w:rsidP="00ED0867">
            <w:pPr>
              <w:shd w:val="clear" w:color="auto" w:fill="FFFFFF" w:themeFill="background1"/>
              <w:spacing w:after="0" w:line="240" w:lineRule="auto"/>
              <w:jc w:val="center"/>
              <w:rPr>
                <w:rFonts w:ascii="Times New Roman" w:hAnsi="Times New Roman"/>
                <w:b/>
                <w:bCs/>
                <w:sz w:val="18"/>
                <w:szCs w:val="18"/>
              </w:rPr>
            </w:pPr>
            <w:proofErr w:type="spellStart"/>
            <w:r w:rsidRPr="00ED0867">
              <w:rPr>
                <w:rFonts w:ascii="Times New Roman" w:hAnsi="Times New Roman"/>
                <w:b/>
                <w:bCs/>
                <w:sz w:val="18"/>
                <w:szCs w:val="18"/>
              </w:rPr>
              <w:t>L</w:t>
            </w:r>
            <w:r w:rsidRPr="00ED0867">
              <w:rPr>
                <w:rFonts w:ascii="Times New Roman" w:hAnsi="Times New Roman"/>
                <w:b/>
                <w:bCs/>
                <w:sz w:val="18"/>
                <w:szCs w:val="18"/>
                <w:vertAlign w:val="subscript"/>
              </w:rPr>
              <w:t>wood</w:t>
            </w:r>
            <w:proofErr w:type="spellEnd"/>
            <w:r w:rsidRPr="00ED0867">
              <w:rPr>
                <w:rFonts w:ascii="Times New Roman" w:hAnsi="Times New Roman"/>
                <w:b/>
                <w:bCs/>
                <w:sz w:val="18"/>
                <w:szCs w:val="18"/>
                <w:vertAlign w:val="subscript"/>
              </w:rPr>
              <w:t>-removals</w:t>
            </w: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rPr>
                <w:rFonts w:ascii="Times New Roman" w:hAnsi="Times New Roman"/>
                <w:sz w:val="20"/>
                <w:szCs w:val="20"/>
              </w:rPr>
            </w:pPr>
            <w:r w:rsidRPr="00ED0867">
              <w:rPr>
                <w:rFonts w:ascii="Times New Roman" w:hAnsi="Times New Roman"/>
                <w:sz w:val="20"/>
                <w:szCs w:val="20"/>
              </w:rPr>
              <w:t> </w:t>
            </w:r>
          </w:p>
        </w:tc>
      </w:tr>
      <w:tr w:rsidR="00A81902" w:rsidRPr="00ED0867" w:rsidTr="00B37D06">
        <w:trPr>
          <w:trHeight w:val="197"/>
        </w:trPr>
        <w:tc>
          <w:tcPr>
            <w:tcW w:w="1455" w:type="dxa"/>
            <w:tcBorders>
              <w:top w:val="nil"/>
              <w:left w:val="single" w:sz="4" w:space="0" w:color="auto"/>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t>Illicit removal per family / year</w:t>
            </w:r>
          </w:p>
        </w:tc>
        <w:tc>
          <w:tcPr>
            <w:tcW w:w="153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8</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0.89</w:t>
            </w:r>
          </w:p>
        </w:tc>
        <w:tc>
          <w:tcPr>
            <w:tcW w:w="2185"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0.5</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3.56</w:t>
            </w: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b/>
                <w:bCs/>
                <w:sz w:val="20"/>
                <w:szCs w:val="20"/>
              </w:rPr>
            </w:pPr>
            <w:r w:rsidRPr="00ED0867">
              <w:rPr>
                <w:rFonts w:ascii="Times New Roman" w:hAnsi="Times New Roman"/>
                <w:b/>
                <w:bCs/>
                <w:sz w:val="20"/>
                <w:szCs w:val="20"/>
              </w:rPr>
              <w:t>13.07</w:t>
            </w:r>
          </w:p>
        </w:tc>
      </w:tr>
      <w:tr w:rsidR="00A81902" w:rsidRPr="00ED0867" w:rsidTr="00B37D06">
        <w:trPr>
          <w:trHeight w:val="413"/>
        </w:trPr>
        <w:tc>
          <w:tcPr>
            <w:tcW w:w="1455" w:type="dxa"/>
            <w:tcBorders>
              <w:top w:val="nil"/>
              <w:left w:val="single" w:sz="4" w:space="0" w:color="auto"/>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center"/>
              <w:rPr>
                <w:rFonts w:ascii="Times New Roman" w:hAnsi="Times New Roman"/>
                <w:sz w:val="18"/>
                <w:szCs w:val="18"/>
              </w:rPr>
            </w:pPr>
            <w:r w:rsidRPr="00ED0867">
              <w:rPr>
                <w:rFonts w:ascii="Times New Roman" w:hAnsi="Times New Roman"/>
                <w:sz w:val="18"/>
                <w:szCs w:val="18"/>
              </w:rPr>
              <w:lastRenderedPageBreak/>
              <w:t>Recalculated for 900 families</w:t>
            </w:r>
          </w:p>
        </w:tc>
        <w:tc>
          <w:tcPr>
            <w:tcW w:w="153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7200</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0.89</w:t>
            </w:r>
          </w:p>
        </w:tc>
        <w:tc>
          <w:tcPr>
            <w:tcW w:w="2185"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0.5</w:t>
            </w:r>
          </w:p>
        </w:tc>
        <w:tc>
          <w:tcPr>
            <w:tcW w:w="1760" w:type="dxa"/>
            <w:tcBorders>
              <w:top w:val="nil"/>
              <w:left w:val="nil"/>
              <w:bottom w:val="single" w:sz="4" w:space="0" w:color="auto"/>
              <w:right w:val="single" w:sz="4" w:space="0" w:color="auto"/>
            </w:tcBorders>
            <w:vAlign w:val="bottom"/>
          </w:tcPr>
          <w:p w:rsidR="00A81902" w:rsidRPr="00ED0867" w:rsidRDefault="00A81902" w:rsidP="00ED0867">
            <w:pPr>
              <w:shd w:val="clear" w:color="auto" w:fill="FFFFFF" w:themeFill="background1"/>
              <w:spacing w:after="0" w:line="240" w:lineRule="auto"/>
              <w:jc w:val="right"/>
              <w:rPr>
                <w:rFonts w:ascii="Times New Roman" w:hAnsi="Times New Roman"/>
                <w:sz w:val="18"/>
                <w:szCs w:val="18"/>
              </w:rPr>
            </w:pPr>
            <w:r w:rsidRPr="00ED0867">
              <w:rPr>
                <w:rFonts w:ascii="Times New Roman" w:hAnsi="Times New Roman"/>
                <w:sz w:val="18"/>
                <w:szCs w:val="18"/>
              </w:rPr>
              <w:t>3204</w:t>
            </w:r>
          </w:p>
        </w:tc>
        <w:tc>
          <w:tcPr>
            <w:tcW w:w="1220" w:type="dxa"/>
            <w:tcBorders>
              <w:top w:val="nil"/>
              <w:left w:val="nil"/>
              <w:bottom w:val="single" w:sz="4" w:space="0" w:color="auto"/>
              <w:right w:val="single" w:sz="8" w:space="0" w:color="auto"/>
            </w:tcBorders>
            <w:noWrap/>
            <w:vAlign w:val="bottom"/>
          </w:tcPr>
          <w:p w:rsidR="00A81902" w:rsidRPr="00ED0867" w:rsidRDefault="00A81902" w:rsidP="00ED0867">
            <w:pPr>
              <w:shd w:val="clear" w:color="auto" w:fill="FFFFFF" w:themeFill="background1"/>
              <w:spacing w:after="0" w:line="240" w:lineRule="auto"/>
              <w:jc w:val="right"/>
              <w:rPr>
                <w:rFonts w:ascii="Times New Roman" w:hAnsi="Times New Roman"/>
                <w:b/>
                <w:bCs/>
                <w:sz w:val="20"/>
                <w:szCs w:val="20"/>
              </w:rPr>
            </w:pPr>
            <w:r w:rsidRPr="00ED0867">
              <w:rPr>
                <w:rFonts w:ascii="Times New Roman" w:hAnsi="Times New Roman"/>
                <w:b/>
                <w:bCs/>
                <w:sz w:val="20"/>
                <w:szCs w:val="20"/>
              </w:rPr>
              <w:t>11,758.68</w:t>
            </w:r>
          </w:p>
        </w:tc>
      </w:tr>
    </w:tbl>
    <w:p w:rsidR="00A81902" w:rsidRPr="00ED0867" w:rsidRDefault="00A81902" w:rsidP="00ED0867">
      <w:pPr>
        <w:shd w:val="clear" w:color="auto" w:fill="FFFFFF" w:themeFill="background1"/>
        <w:spacing w:after="0" w:line="240" w:lineRule="auto"/>
        <w:ind w:left="180"/>
        <w:jc w:val="both"/>
        <w:rPr>
          <w:rFonts w:ascii="Times New Roman" w:hAnsi="Times New Roman"/>
          <w:bCs/>
          <w:iCs/>
          <w:noProof/>
          <w:color w:val="000000"/>
          <w:sz w:val="21"/>
          <w:szCs w:val="21"/>
          <w:lang w:val="en-GB"/>
        </w:rPr>
      </w:pP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sz w:val="21"/>
          <w:szCs w:val="21"/>
        </w:rPr>
        <w:t>The incremental value of Output 2.5 and 2.6 relates to carbon stock and flux measurements and building of capacities to address the permanence of the carbon dividends. Under no baseline programs would these outputs be possible.</w:t>
      </w:r>
    </w:p>
    <w:p w:rsidR="00A81902" w:rsidRPr="00ED0867" w:rsidRDefault="00A81902" w:rsidP="00ED0867">
      <w:pPr>
        <w:shd w:val="clear" w:color="auto" w:fill="FFFFFF" w:themeFill="background1"/>
        <w:spacing w:before="80" w:after="80" w:line="240" w:lineRule="auto"/>
        <w:ind w:left="180"/>
        <w:jc w:val="both"/>
        <w:rPr>
          <w:rFonts w:ascii="Times New Roman" w:hAnsi="Times New Roman"/>
          <w:sz w:val="21"/>
          <w:szCs w:val="21"/>
          <w:lang w:eastAsia="tr-TR"/>
        </w:rPr>
      </w:pPr>
      <w:r w:rsidRPr="00ED0867">
        <w:rPr>
          <w:rFonts w:ascii="Times New Roman" w:hAnsi="Times New Roman"/>
          <w:bCs/>
          <w:iCs/>
          <w:noProof/>
          <w:color w:val="000000"/>
          <w:sz w:val="21"/>
          <w:szCs w:val="21"/>
        </w:rPr>
        <w:t xml:space="preserve">With respect to incremental value of Component 3, this will identify and establish adequate protection for 79,000 ha of high value Mediterranean forest habitats, wherein effective protected areas will be supported. This will draw on cofinancing from baseline program 4, which will </w:t>
      </w:r>
      <w:r w:rsidRPr="00ED0867">
        <w:rPr>
          <w:rFonts w:ascii="Times New Roman" w:hAnsi="Times New Roman"/>
          <w:sz w:val="21"/>
          <w:szCs w:val="21"/>
        </w:rPr>
        <w:t xml:space="preserve">co-invest in infrastructure and regular personnel costs of new protected areas which will be established under Outcome 3 (app. US$2.5 </w:t>
      </w:r>
      <w:proofErr w:type="spellStart"/>
      <w:r w:rsidRPr="00ED0867">
        <w:rPr>
          <w:rFonts w:ascii="Times New Roman" w:hAnsi="Times New Roman"/>
          <w:sz w:val="21"/>
          <w:szCs w:val="21"/>
        </w:rPr>
        <w:t>mln</w:t>
      </w:r>
      <w:proofErr w:type="spellEnd"/>
      <w:r w:rsidRPr="00ED0867">
        <w:rPr>
          <w:rFonts w:ascii="Times New Roman" w:hAnsi="Times New Roman"/>
          <w:sz w:val="21"/>
          <w:szCs w:val="21"/>
        </w:rPr>
        <w:t>). However, incremental funding from GEF is needed to build c</w:t>
      </w:r>
      <w:r w:rsidRPr="00ED0867">
        <w:rPr>
          <w:rFonts w:ascii="Times New Roman" w:hAnsi="Times New Roman"/>
          <w:bCs/>
          <w:iCs/>
          <w:noProof/>
          <w:color w:val="000000"/>
          <w:sz w:val="21"/>
          <w:szCs w:val="21"/>
        </w:rPr>
        <w:t xml:space="preserve">apacities to undertake surveillance, and law enforcement activities within protected area site management cadres. The GEF funding will further be incrementally spent on adjusting the </w:t>
      </w:r>
      <w:r w:rsidRPr="00ED0867">
        <w:rPr>
          <w:rFonts w:ascii="Times New Roman" w:hAnsi="Times New Roman"/>
          <w:sz w:val="21"/>
          <w:szCs w:val="21"/>
          <w:lang w:eastAsia="tr-TR"/>
        </w:rPr>
        <w:t>spatial plans of surrounding districts to incorporate conservation restrictions related to operation of large-commercial enterprises, with a view to establishing effective buffer zones and forests, to enhance the functional connectivity of forests in key biodiversity areas. This will not be possible with baseline funding.</w:t>
      </w:r>
    </w:p>
    <w:p w:rsidR="00A81902" w:rsidRPr="00ED0867" w:rsidRDefault="00A81902" w:rsidP="00ED0867">
      <w:pPr>
        <w:shd w:val="clear" w:color="auto" w:fill="FFFFFF" w:themeFill="background1"/>
        <w:spacing w:before="80" w:after="80" w:line="240" w:lineRule="auto"/>
        <w:ind w:left="180"/>
        <w:jc w:val="both"/>
        <w:rPr>
          <w:rFonts w:ascii="Times New Roman" w:hAnsi="Times New Roman"/>
          <w:sz w:val="21"/>
          <w:szCs w:val="21"/>
        </w:rPr>
      </w:pPr>
      <w:proofErr w:type="gramStart"/>
      <w:r w:rsidRPr="00ED0867">
        <w:rPr>
          <w:rFonts w:ascii="Times New Roman" w:hAnsi="Times New Roman"/>
          <w:sz w:val="21"/>
          <w:szCs w:val="21"/>
          <w:u w:val="single"/>
        </w:rPr>
        <w:t>Summary of global environmental benefits</w:t>
      </w:r>
      <w:r w:rsidRPr="00ED0867">
        <w:rPr>
          <w:rFonts w:ascii="Times New Roman" w:hAnsi="Times New Roman"/>
          <w:sz w:val="21"/>
          <w:szCs w:val="21"/>
        </w:rPr>
        <w:t>.</w:t>
      </w:r>
      <w:proofErr w:type="gramEnd"/>
      <w:r w:rsidRPr="00ED0867">
        <w:rPr>
          <w:rFonts w:ascii="Times New Roman" w:hAnsi="Times New Roman"/>
          <w:sz w:val="21"/>
          <w:szCs w:val="21"/>
        </w:rPr>
        <w:t xml:space="preserve"> The climate change benefits will include the implementation of emission mitigation and carbon sequestration practices in 5 target forest districts, thereby leading to emissions reductions of </w:t>
      </w:r>
      <w:r w:rsidRPr="00ED0867">
        <w:rPr>
          <w:rFonts w:ascii="Times New Roman" w:hAnsi="Times New Roman"/>
          <w:bCs/>
          <w:iCs/>
          <w:noProof/>
          <w:color w:val="000000"/>
          <w:sz w:val="21"/>
          <w:szCs w:val="21"/>
          <w:shd w:val="clear" w:color="auto" w:fill="FFFFFF" w:themeFill="background1"/>
          <w:lang w:val="en-GB"/>
        </w:rPr>
        <w:t>123,591 tCO2/y</w:t>
      </w:r>
      <w:r w:rsidRPr="00ED0867">
        <w:rPr>
          <w:rFonts w:ascii="Times New Roman" w:hAnsi="Times New Roman"/>
          <w:sz w:val="21"/>
          <w:szCs w:val="21"/>
          <w:shd w:val="clear" w:color="auto" w:fill="FFFFFF" w:themeFill="background1"/>
        </w:rPr>
        <w:t xml:space="preserve"> and increased sequestration equivalent </w:t>
      </w:r>
      <w:proofErr w:type="gramStart"/>
      <w:r w:rsidRPr="00ED0867">
        <w:rPr>
          <w:rFonts w:ascii="Times New Roman" w:hAnsi="Times New Roman"/>
          <w:sz w:val="21"/>
          <w:szCs w:val="21"/>
          <w:shd w:val="clear" w:color="auto" w:fill="FFFFFF" w:themeFill="background1"/>
        </w:rPr>
        <w:t>to 7,340 tCO2/y</w:t>
      </w:r>
      <w:proofErr w:type="gramEnd"/>
      <w:r w:rsidRPr="00ED0867">
        <w:rPr>
          <w:rFonts w:ascii="Times New Roman" w:hAnsi="Times New Roman"/>
          <w:sz w:val="21"/>
          <w:szCs w:val="21"/>
          <w:shd w:val="clear" w:color="auto" w:fill="FFFFFF" w:themeFill="background1"/>
        </w:rPr>
        <w:t xml:space="preserve">. Over a 10-year perspective, this equates to an emissions reduction/ sequestration dividend of </w:t>
      </w:r>
      <w:r w:rsidRPr="00ED0867">
        <w:rPr>
          <w:rFonts w:ascii="Times New Roman" w:hAnsi="Times New Roman"/>
          <w:bCs/>
          <w:iCs/>
          <w:noProof/>
          <w:color w:val="000000"/>
          <w:sz w:val="21"/>
          <w:szCs w:val="21"/>
          <w:shd w:val="clear" w:color="auto" w:fill="FFFFFF" w:themeFill="background1"/>
          <w:lang w:val="en-GB"/>
        </w:rPr>
        <w:t>1,309,310 tCO2</w:t>
      </w:r>
      <w:r w:rsidRPr="00ED0867">
        <w:rPr>
          <w:rFonts w:ascii="Times New Roman" w:hAnsi="Times New Roman"/>
          <w:sz w:val="21"/>
          <w:szCs w:val="21"/>
          <w:shd w:val="clear" w:color="auto" w:fill="FFFFFF" w:themeFill="background1"/>
        </w:rPr>
        <w:t>. The potential area for replication of the ecosystem-based mitigation</w:t>
      </w:r>
      <w:r w:rsidRPr="00ED0867">
        <w:rPr>
          <w:rFonts w:ascii="Times New Roman" w:hAnsi="Times New Roman"/>
          <w:sz w:val="21"/>
          <w:szCs w:val="21"/>
        </w:rPr>
        <w:t xml:space="preserve"> activities piloted by the project, covers over 2 million ha of forests, and if realized would result in emissions reductions of app. 1,000,000 tCO2/y. The global biodiversity benefits derive from an improvement in the conservation status of endemic flora and fauna within the Mediterranean forests, as a result of threat reduction, expansion of the Mediterranean protected forests by 79,960 ha, improved management effectiveness [measured through the GEF METT scorecard</w:t>
      </w:r>
      <w:r w:rsidRPr="00ED0867">
        <w:rPr>
          <w:rFonts w:ascii="Times New Roman" w:hAnsi="Times New Roman"/>
          <w:sz w:val="21"/>
          <w:szCs w:val="21"/>
          <w:vertAlign w:val="superscript"/>
        </w:rPr>
        <w:footnoteReference w:id="9"/>
      </w:r>
      <w:r w:rsidRPr="00ED0867">
        <w:rPr>
          <w:rFonts w:ascii="Times New Roman" w:hAnsi="Times New Roman"/>
          <w:sz w:val="21"/>
          <w:szCs w:val="21"/>
        </w:rPr>
        <w:t xml:space="preserve">] and better integration of protected areas management with the management of production activities in adjacent landscapes. </w:t>
      </w:r>
      <w:proofErr w:type="gramStart"/>
      <w:r w:rsidRPr="00ED0867">
        <w:rPr>
          <w:rFonts w:ascii="Times New Roman" w:hAnsi="Times New Roman"/>
          <w:sz w:val="21"/>
          <w:szCs w:val="21"/>
        </w:rPr>
        <w:t>This  management</w:t>
      </w:r>
      <w:proofErr w:type="gramEnd"/>
      <w:r w:rsidRPr="00ED0867">
        <w:rPr>
          <w:rFonts w:ascii="Times New Roman" w:hAnsi="Times New Roman"/>
          <w:sz w:val="21"/>
          <w:szCs w:val="21"/>
        </w:rPr>
        <w:t xml:space="preserve"> innovation is potentially replicable over an area of 6.36 million ha. </w:t>
      </w:r>
    </w:p>
    <w:p w:rsidR="00A81902" w:rsidRPr="00ED0867" w:rsidRDefault="00A81902" w:rsidP="00ED0867">
      <w:pPr>
        <w:pStyle w:val="Footer"/>
        <w:shd w:val="clear" w:color="auto" w:fill="FFFFFF" w:themeFill="background1"/>
        <w:tabs>
          <w:tab w:val="clear" w:pos="4320"/>
          <w:tab w:val="clear" w:pos="8640"/>
        </w:tabs>
        <w:spacing w:before="120"/>
        <w:ind w:left="180"/>
        <w:rPr>
          <w:b/>
          <w:iCs/>
          <w:smallCaps/>
          <w:color w:val="000000"/>
          <w:sz w:val="22"/>
          <w:szCs w:val="22"/>
        </w:rPr>
      </w:pPr>
      <w:r w:rsidRPr="00ED0867">
        <w:rPr>
          <w:b/>
          <w:bCs/>
          <w:smallCaps/>
          <w:sz w:val="22"/>
          <w:szCs w:val="22"/>
        </w:rPr>
        <w:t>B.3. socioeconomic benefits to be delivered by the Project including gender dimensions</w:t>
      </w:r>
      <w:r w:rsidRPr="00ED0867">
        <w:rPr>
          <w:b/>
          <w:iCs/>
          <w:smallCaps/>
          <w:color w:val="000000"/>
          <w:sz w:val="22"/>
          <w:szCs w:val="22"/>
        </w:rPr>
        <w:t>:</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sz w:val="21"/>
          <w:szCs w:val="21"/>
        </w:rPr>
        <w:t xml:space="preserve">Forest-edge communities in the Mediterranean forest landscapes have traditionally been heavily dependent on forest resources for their livelihoods. These communities are amongst the poorest in Turkey. They have the lowest national income and worst access to services such as health and education. The region has a high rate of out-migration as a consequence. The project will benefit these communities by: (1) developing a </w:t>
      </w:r>
      <w:proofErr w:type="spellStart"/>
      <w:r w:rsidRPr="00ED0867">
        <w:rPr>
          <w:rFonts w:ascii="Times New Roman" w:hAnsi="Times New Roman"/>
          <w:sz w:val="21"/>
          <w:szCs w:val="21"/>
        </w:rPr>
        <w:t>a</w:t>
      </w:r>
      <w:proofErr w:type="spellEnd"/>
      <w:r w:rsidRPr="00ED0867">
        <w:rPr>
          <w:rFonts w:ascii="Times New Roman" w:hAnsi="Times New Roman"/>
          <w:sz w:val="21"/>
          <w:szCs w:val="21"/>
        </w:rPr>
        <w:t xml:space="preserve"> mechanism for sharing the revenues from the sale of forest credits in future carbon markets with local communities, (2) improving the skills of forest field workers, the majority of whom come from the poor local communities, (3) providing wider access to solar energy replacing destructive fuel cuts, through a wide-scale micro-crediting mechanism (this will be financed by the Government; the project will assist the Government with marketing of the scheme). </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sz w:val="21"/>
          <w:szCs w:val="21"/>
        </w:rPr>
        <w:t xml:space="preserve">The last census showed that while most migrants are men, there is a disproportionately high female population in forest villages. Women are increasingly acting as household heads, thereby gradually changing traditional gender roles. Women obtain more benefits from the forest than men and appear to attach greater value to it; furthermore, </w:t>
      </w:r>
      <w:r w:rsidRPr="00ED0867">
        <w:rPr>
          <w:rFonts w:ascii="Times New Roman" w:hAnsi="Times New Roman"/>
          <w:sz w:val="21"/>
          <w:szCs w:val="21"/>
          <w:lang w:val="en-GB"/>
        </w:rPr>
        <w:t>women are much more involved in the decision-making process at the household and village level</w:t>
      </w:r>
      <w:r w:rsidRPr="00ED0867">
        <w:rPr>
          <w:rFonts w:ascii="Times New Roman" w:hAnsi="Times New Roman"/>
          <w:sz w:val="21"/>
          <w:szCs w:val="21"/>
        </w:rPr>
        <w:t xml:space="preserve">. It is critical that women play an equal role in the decision-making process, that is, they are equally treated in both the planning and management of natural resources so that they can determine their own future. This is important not just from a gender or governance perspective but also from a conservation perspective when one considers that women play an important role in the management of biodiversity and in rural circumstances women often have a high dependency on biodiversity and other natural resources for their livelihood security and its sustainable management is of real and practical concern to them. </w:t>
      </w:r>
    </w:p>
    <w:p w:rsidR="00A81902" w:rsidRPr="00ED0867" w:rsidRDefault="00A81902" w:rsidP="00ED0867">
      <w:pPr>
        <w:shd w:val="clear" w:color="auto" w:fill="FFFFFF" w:themeFill="background1"/>
        <w:spacing w:after="80" w:line="240" w:lineRule="auto"/>
        <w:ind w:left="180"/>
        <w:jc w:val="both"/>
        <w:rPr>
          <w:rFonts w:ascii="Times New Roman" w:hAnsi="Times New Roman"/>
          <w:sz w:val="21"/>
          <w:szCs w:val="21"/>
        </w:rPr>
      </w:pPr>
      <w:r w:rsidRPr="00ED0867">
        <w:rPr>
          <w:rFonts w:ascii="Times New Roman" w:hAnsi="Times New Roman"/>
          <w:sz w:val="21"/>
          <w:szCs w:val="21"/>
        </w:rPr>
        <w:t xml:space="preserve">The project is specifically designed to support the access to solar collectors through the micro-crediting scheme, which – upon being properly </w:t>
      </w:r>
      <w:proofErr w:type="spellStart"/>
      <w:r w:rsidRPr="00ED0867">
        <w:rPr>
          <w:rFonts w:ascii="Times New Roman" w:hAnsi="Times New Roman"/>
          <w:sz w:val="21"/>
          <w:szCs w:val="21"/>
        </w:rPr>
        <w:t>MRVed</w:t>
      </w:r>
      <w:proofErr w:type="spellEnd"/>
      <w:r w:rsidRPr="00ED0867">
        <w:rPr>
          <w:rFonts w:ascii="Times New Roman" w:hAnsi="Times New Roman"/>
          <w:sz w:val="21"/>
          <w:szCs w:val="21"/>
        </w:rPr>
        <w:t xml:space="preserve"> under Output 2.5 – can become a model for the forest carbon market, as one of the tangible ways to avoid degradation. It is important that this scheme, apart from its low-cost and tangible carbon benefit, brings socio-economic benefit: it permanently removes the dependence of rural villagers (and especially women) on harvesting fuel wood to meet household energy needs (a </w:t>
      </w:r>
      <w:proofErr w:type="spellStart"/>
      <w:r w:rsidRPr="00ED0867">
        <w:rPr>
          <w:rFonts w:ascii="Times New Roman" w:hAnsi="Times New Roman"/>
          <w:sz w:val="21"/>
          <w:szCs w:val="21"/>
        </w:rPr>
        <w:t>labour</w:t>
      </w:r>
      <w:proofErr w:type="spellEnd"/>
      <w:r w:rsidRPr="00ED0867">
        <w:rPr>
          <w:rFonts w:ascii="Times New Roman" w:hAnsi="Times New Roman"/>
          <w:sz w:val="21"/>
          <w:szCs w:val="21"/>
        </w:rPr>
        <w:t xml:space="preserve"> intensive occupation that has an opportunity cost in terms of the time budget available for education, travel and alternative income generation. Because it is hard physical work, it affects the health of people, and since many families are headed by women and assisted in labor by children, it is places an especially high burden for women and children. It is recognized that it is critical that women play an equal role in the decision-making process, that is, they are equally treated in both the planning and management of natural resources so that they can determine their own future. This is important not just from a gender or governance perspective but also from a conservation perspective when one considers that women play an important role in the management of biodiversity and in rural circumstances women often have a high dependency on biodiversity and other natural resources for their livelihood security and its sustainable management is of real and practical concern to them. In addition to the benefits of the access to solar heating, additional gender-relevant activities are focused on the following:</w:t>
      </w:r>
    </w:p>
    <w:p w:rsidR="00A81902" w:rsidRPr="00ED0867" w:rsidRDefault="00A81902" w:rsidP="00ED0867">
      <w:pPr>
        <w:numPr>
          <w:ilvl w:val="0"/>
          <w:numId w:val="26"/>
        </w:numPr>
        <w:shd w:val="clear" w:color="auto" w:fill="FFFFFF" w:themeFill="background1"/>
        <w:autoSpaceDE w:val="0"/>
        <w:autoSpaceDN w:val="0"/>
        <w:adjustRightInd w:val="0"/>
        <w:spacing w:after="80" w:line="240" w:lineRule="auto"/>
        <w:contextualSpacing/>
        <w:rPr>
          <w:rFonts w:ascii="Times New Roman" w:hAnsi="Times New Roman"/>
          <w:sz w:val="21"/>
          <w:szCs w:val="21"/>
        </w:rPr>
      </w:pPr>
      <w:r w:rsidRPr="00ED0867">
        <w:rPr>
          <w:rFonts w:ascii="Times New Roman" w:hAnsi="Times New Roman"/>
          <w:sz w:val="21"/>
          <w:szCs w:val="21"/>
        </w:rPr>
        <w:lastRenderedPageBreak/>
        <w:t>In the design of protected area management plans (Output 3.1) and delineation and design of buffer zone activities (Output 3.2), at least 50% of representatives of rural communities will be women</w:t>
      </w:r>
    </w:p>
    <w:p w:rsidR="00A81902" w:rsidRPr="00ED0867" w:rsidRDefault="00A81902" w:rsidP="00ED0867">
      <w:pPr>
        <w:numPr>
          <w:ilvl w:val="0"/>
          <w:numId w:val="26"/>
        </w:numPr>
        <w:shd w:val="clear" w:color="auto" w:fill="FFFFFF" w:themeFill="background1"/>
        <w:autoSpaceDE w:val="0"/>
        <w:autoSpaceDN w:val="0"/>
        <w:adjustRightInd w:val="0"/>
        <w:spacing w:after="80" w:line="240" w:lineRule="auto"/>
        <w:contextualSpacing/>
        <w:rPr>
          <w:rFonts w:ascii="Times New Roman" w:hAnsi="Times New Roman"/>
          <w:sz w:val="21"/>
          <w:szCs w:val="21"/>
        </w:rPr>
      </w:pPr>
      <w:r w:rsidRPr="00ED0867">
        <w:rPr>
          <w:rFonts w:ascii="Times New Roman" w:hAnsi="Times New Roman"/>
          <w:sz w:val="21"/>
          <w:szCs w:val="21"/>
        </w:rPr>
        <w:t xml:space="preserve">In the design of the sustainable livelihood support activities (Output 3.3), at least 50% of the community representatives benefiting from assistance in the start up of NTFR, ecotourism or other forms of sustainable livelihoods, will be women. </w:t>
      </w:r>
    </w:p>
    <w:p w:rsidR="00A81902" w:rsidRPr="00ED0867" w:rsidRDefault="00A81902" w:rsidP="00ED0867">
      <w:pPr>
        <w:numPr>
          <w:ilvl w:val="0"/>
          <w:numId w:val="26"/>
        </w:numPr>
        <w:shd w:val="clear" w:color="auto" w:fill="FFFFFF" w:themeFill="background1"/>
        <w:autoSpaceDE w:val="0"/>
        <w:autoSpaceDN w:val="0"/>
        <w:adjustRightInd w:val="0"/>
        <w:spacing w:after="0" w:line="240" w:lineRule="auto"/>
        <w:contextualSpacing/>
        <w:jc w:val="both"/>
        <w:rPr>
          <w:rFonts w:ascii="Times New Roman" w:hAnsi="Times New Roman"/>
          <w:sz w:val="21"/>
          <w:szCs w:val="21"/>
        </w:rPr>
      </w:pPr>
      <w:r w:rsidRPr="00ED0867">
        <w:rPr>
          <w:rFonts w:ascii="Times New Roman" w:hAnsi="Times New Roman"/>
          <w:sz w:val="21"/>
          <w:szCs w:val="21"/>
        </w:rPr>
        <w:t xml:space="preserve">Further details for the incorporation of gender-specific activities in the project will be developed at the PPG stage (when a full beneficiary participation plan will be developed). </w:t>
      </w:r>
    </w:p>
    <w:p w:rsidR="00A81902" w:rsidRPr="00ED0867" w:rsidRDefault="00A81902" w:rsidP="00ED0867">
      <w:pPr>
        <w:pStyle w:val="Footer"/>
        <w:shd w:val="clear" w:color="auto" w:fill="FFFFFF" w:themeFill="background1"/>
        <w:tabs>
          <w:tab w:val="clear" w:pos="4320"/>
          <w:tab w:val="clear" w:pos="8640"/>
        </w:tabs>
        <w:spacing w:before="120"/>
        <w:ind w:left="180"/>
        <w:jc w:val="both"/>
        <w:rPr>
          <w:sz w:val="21"/>
          <w:szCs w:val="21"/>
        </w:rPr>
      </w:pPr>
      <w:r w:rsidRPr="00ED0867">
        <w:rPr>
          <w:sz w:val="21"/>
          <w:szCs w:val="21"/>
        </w:rPr>
        <w:t>With respect to the mechanism for sharing revenues from the sale of carbon offsets which will be developed among other things under Output 1.2, it requires careful calculation about what proportion of the sales will be routinely included in the offset purchase agreements as that which belongs to local communities. It is impossible to say which mechanism it is going to be without doing an elaborate analysis of the situation in the region and comparing it with similar approaches employed under REDD pilots elsewhere in the world. The Government is currently considering that at least 10% of sales will be assigned back to communities. However, this requires a separate study – to be undertaken during the PPG stage.</w:t>
      </w:r>
    </w:p>
    <w:p w:rsidR="00A81902" w:rsidRPr="00ED0867" w:rsidRDefault="00A81902" w:rsidP="00ED0867">
      <w:pPr>
        <w:pStyle w:val="Footer"/>
        <w:shd w:val="clear" w:color="auto" w:fill="FFFFFF" w:themeFill="background1"/>
        <w:tabs>
          <w:tab w:val="clear" w:pos="4320"/>
          <w:tab w:val="clear" w:pos="8640"/>
        </w:tabs>
        <w:spacing w:before="120"/>
        <w:ind w:left="180"/>
        <w:jc w:val="both"/>
        <w:rPr>
          <w:sz w:val="21"/>
          <w:szCs w:val="21"/>
        </w:rPr>
      </w:pPr>
      <w:r w:rsidRPr="00ED0867">
        <w:rPr>
          <w:sz w:val="21"/>
          <w:szCs w:val="21"/>
        </w:rPr>
        <w:t xml:space="preserve">The protected areas are likely to be designated as IUCN IV or VI category sites, meaning that they will be managed reserves where limited economic activities are allowed provided they do no harm. The alternative livelihood activities are indeed proposed in the project (new Output 3.3, focusing on promotion of NTFR and eco-tourism). These will be </w:t>
      </w:r>
      <w:proofErr w:type="spellStart"/>
      <w:r w:rsidRPr="00ED0867">
        <w:rPr>
          <w:sz w:val="21"/>
          <w:szCs w:val="21"/>
        </w:rPr>
        <w:t>operationalized</w:t>
      </w:r>
      <w:proofErr w:type="spellEnd"/>
      <w:r w:rsidRPr="00ED0867">
        <w:rPr>
          <w:sz w:val="21"/>
          <w:szCs w:val="21"/>
        </w:rPr>
        <w:t xml:space="preserve"> as partnerships between protected area units and local communities, mediated by local community-based organizations and NGOs, in partnership with the Small Grants Program in Turkey. These fully fit in the named IUCN PA categories, and hence can be implemented (if well managed) without violating protected area regulations. The restrictions referred to </w:t>
      </w:r>
      <w:proofErr w:type="gramStart"/>
      <w:r w:rsidRPr="00ED0867">
        <w:rPr>
          <w:sz w:val="21"/>
          <w:szCs w:val="21"/>
        </w:rPr>
        <w:t>are</w:t>
      </w:r>
      <w:proofErr w:type="gramEnd"/>
      <w:r w:rsidRPr="00ED0867">
        <w:rPr>
          <w:sz w:val="21"/>
          <w:szCs w:val="21"/>
        </w:rPr>
        <w:t xml:space="preserve"> those related to large-scale economic projects which disrupt the ecosystems – these will need indeed to be installed and will be reflected in the modified territorial plans for the neighboring districts. Further, this distinction between which activities are allowed and which not will be clearly reflected in the management plans to be developed under Outputs 3.1 and 3.2. Certainly, no families will be relocated.</w:t>
      </w:r>
    </w:p>
    <w:p w:rsidR="00A81902" w:rsidRPr="00ED0867" w:rsidRDefault="00A81902" w:rsidP="00ED0867">
      <w:pPr>
        <w:pStyle w:val="Footer"/>
        <w:shd w:val="clear" w:color="auto" w:fill="FFFFFF" w:themeFill="background1"/>
        <w:tabs>
          <w:tab w:val="clear" w:pos="4320"/>
          <w:tab w:val="clear" w:pos="8640"/>
        </w:tabs>
        <w:spacing w:before="120"/>
        <w:ind w:left="180"/>
        <w:jc w:val="both"/>
        <w:rPr>
          <w:sz w:val="21"/>
          <w:szCs w:val="21"/>
        </w:rPr>
      </w:pPr>
      <w:r w:rsidRPr="00ED0867">
        <w:rPr>
          <w:sz w:val="21"/>
          <w:szCs w:val="21"/>
        </w:rPr>
        <w:t>There are no indigenous peoples in Turkey. Further details for the incorporation of gender-specific activities in the project will be developed at the PPG stage.</w:t>
      </w:r>
    </w:p>
    <w:p w:rsidR="00A81902" w:rsidRPr="00ED0867" w:rsidRDefault="00A81902" w:rsidP="00ED0867">
      <w:pPr>
        <w:pStyle w:val="Footer"/>
        <w:shd w:val="clear" w:color="auto" w:fill="FFFFFF" w:themeFill="background1"/>
        <w:tabs>
          <w:tab w:val="clear" w:pos="4320"/>
          <w:tab w:val="clear" w:pos="8640"/>
        </w:tabs>
        <w:spacing w:before="120"/>
        <w:ind w:left="180"/>
        <w:rPr>
          <w:b/>
          <w:smallCaps/>
          <w:color w:val="000000"/>
          <w:sz w:val="22"/>
          <w:szCs w:val="22"/>
        </w:rPr>
      </w:pPr>
      <w:r w:rsidRPr="00ED0867">
        <w:rPr>
          <w:b/>
          <w:smallCaps/>
          <w:color w:val="000000"/>
          <w:sz w:val="22"/>
          <w:szCs w:val="22"/>
        </w:rPr>
        <w:t>B.4. Indicate risks, including climate change risks and measures that address these risks:</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5"/>
        <w:gridCol w:w="683"/>
        <w:gridCol w:w="8650"/>
      </w:tblGrid>
      <w:tr w:rsidR="00A81902" w:rsidRPr="00ED0867" w:rsidTr="00830D77">
        <w:trPr>
          <w:tblHeader/>
        </w:trPr>
        <w:tc>
          <w:tcPr>
            <w:tcW w:w="1935" w:type="dxa"/>
          </w:tcPr>
          <w:p w:rsidR="00A81902" w:rsidRPr="00ED0867" w:rsidRDefault="00A81902" w:rsidP="00ED0867">
            <w:pPr>
              <w:shd w:val="clear" w:color="auto" w:fill="FFFFFF" w:themeFill="background1"/>
              <w:spacing w:after="0" w:line="240" w:lineRule="auto"/>
              <w:rPr>
                <w:rFonts w:ascii="Times New Roman" w:hAnsi="Times New Roman"/>
                <w:b/>
                <w:sz w:val="18"/>
                <w:szCs w:val="18"/>
              </w:rPr>
            </w:pPr>
            <w:r w:rsidRPr="00ED0867">
              <w:rPr>
                <w:rFonts w:ascii="Times New Roman" w:hAnsi="Times New Roman"/>
                <w:b/>
                <w:sz w:val="18"/>
                <w:szCs w:val="18"/>
              </w:rPr>
              <w:t>Risk</w:t>
            </w:r>
          </w:p>
        </w:tc>
        <w:tc>
          <w:tcPr>
            <w:tcW w:w="683" w:type="dxa"/>
          </w:tcPr>
          <w:p w:rsidR="00A81902" w:rsidRPr="00ED0867" w:rsidRDefault="00A81902" w:rsidP="00ED0867">
            <w:pPr>
              <w:shd w:val="clear" w:color="auto" w:fill="FFFFFF" w:themeFill="background1"/>
              <w:spacing w:after="0" w:line="240" w:lineRule="auto"/>
              <w:rPr>
                <w:rFonts w:ascii="Times New Roman" w:hAnsi="Times New Roman"/>
                <w:b/>
                <w:sz w:val="18"/>
                <w:szCs w:val="18"/>
              </w:rPr>
            </w:pPr>
            <w:r w:rsidRPr="00ED0867">
              <w:rPr>
                <w:rFonts w:ascii="Times New Roman" w:hAnsi="Times New Roman"/>
                <w:b/>
                <w:sz w:val="18"/>
                <w:szCs w:val="18"/>
              </w:rPr>
              <w:t>Level</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b/>
                <w:sz w:val="18"/>
                <w:szCs w:val="18"/>
              </w:rPr>
            </w:pPr>
            <w:r w:rsidRPr="00ED0867">
              <w:rPr>
                <w:rFonts w:ascii="Times New Roman" w:hAnsi="Times New Roman"/>
                <w:b/>
                <w:sz w:val="18"/>
                <w:szCs w:val="18"/>
              </w:rPr>
              <w:t>Mitigation</w:t>
            </w:r>
          </w:p>
        </w:tc>
      </w:tr>
      <w:tr w:rsidR="00A81902" w:rsidRPr="00ED0867" w:rsidTr="00830D77">
        <w:tc>
          <w:tcPr>
            <w:tcW w:w="1935"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eastAsia="de-DE"/>
              </w:rPr>
            </w:pPr>
            <w:r w:rsidRPr="00ED0867">
              <w:rPr>
                <w:rFonts w:ascii="Times New Roman" w:hAnsi="Times New Roman"/>
                <w:sz w:val="18"/>
                <w:szCs w:val="18"/>
                <w:lang w:eastAsia="de-DE"/>
              </w:rPr>
              <w:t>It is too difficult to replicate the carbon mitigation (REDD) approach</w:t>
            </w:r>
          </w:p>
        </w:tc>
        <w:tc>
          <w:tcPr>
            <w:tcW w:w="683"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rPr>
            </w:pPr>
            <w:r w:rsidRPr="00ED0867">
              <w:rPr>
                <w:rFonts w:ascii="Times New Roman" w:hAnsi="Times New Roman"/>
                <w:color w:val="000000"/>
                <w:sz w:val="18"/>
                <w:szCs w:val="18"/>
              </w:rPr>
              <w:t>M</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eastAsia="de-DE"/>
              </w:rPr>
            </w:pPr>
            <w:r w:rsidRPr="00ED0867">
              <w:rPr>
                <w:rFonts w:ascii="Times New Roman" w:hAnsi="Times New Roman"/>
                <w:sz w:val="18"/>
                <w:szCs w:val="18"/>
                <w:lang w:val="en-GB" w:eastAsia="de-DE"/>
              </w:rPr>
              <w:t>The risk is “moderate” given the novelty of REDD not only in Turkey but throughout the region. The mitigation strategy is vested in the fact that forestry has been chosen as one of the sectors for which the Government has committed to develop a Nationally Appropriate Mitigation Action (NAMAs), in line with its Cancun obligations. Once developed, it will be adopted by the Government. It will contain the baseline and targets for mitigation actions in the forestry sector. This project contributes to this through Outcome I (by developing a necessary policy and institutional prerequisites), but also Outcome II, since it tests concrete mitigation actions in the forest sector. Therefore, this will make the forestry NAMA more realistic – critical if sustainable forest management is to be scaled up.</w:t>
            </w:r>
          </w:p>
        </w:tc>
      </w:tr>
      <w:tr w:rsidR="00A81902" w:rsidRPr="00ED0867" w:rsidTr="00830D77">
        <w:tc>
          <w:tcPr>
            <w:tcW w:w="1935" w:type="dxa"/>
          </w:tcPr>
          <w:p w:rsidR="00A81902" w:rsidRPr="00ED0867" w:rsidRDefault="00A81902" w:rsidP="00ED0867">
            <w:pPr>
              <w:shd w:val="clear" w:color="auto" w:fill="FFFFFF" w:themeFill="background1"/>
              <w:spacing w:after="0" w:line="240" w:lineRule="auto"/>
              <w:rPr>
                <w:rFonts w:ascii="Times New Roman" w:hAnsi="Times New Roman"/>
                <w:b/>
                <w:smallCaps/>
                <w:color w:val="000000"/>
                <w:sz w:val="18"/>
                <w:szCs w:val="18"/>
              </w:rPr>
            </w:pPr>
            <w:r w:rsidRPr="00ED0867">
              <w:rPr>
                <w:rFonts w:ascii="Times New Roman" w:hAnsi="Times New Roman"/>
                <w:sz w:val="18"/>
                <w:szCs w:val="18"/>
              </w:rPr>
              <w:t xml:space="preserve">Difficulties in launching the micro-loan scheme for the solar heating panel, thus undermining efforts to stem wood cutting for </w:t>
            </w:r>
            <w:proofErr w:type="spellStart"/>
            <w:r w:rsidRPr="00ED0867">
              <w:rPr>
                <w:rFonts w:ascii="Times New Roman" w:hAnsi="Times New Roman"/>
                <w:sz w:val="18"/>
                <w:szCs w:val="18"/>
              </w:rPr>
              <w:t>fuelwood</w:t>
            </w:r>
            <w:proofErr w:type="spellEnd"/>
          </w:p>
        </w:tc>
        <w:tc>
          <w:tcPr>
            <w:tcW w:w="683"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rPr>
            </w:pPr>
            <w:r w:rsidRPr="00ED0867">
              <w:rPr>
                <w:rFonts w:ascii="Times New Roman" w:hAnsi="Times New Roman"/>
                <w:color w:val="000000"/>
                <w:sz w:val="18"/>
                <w:szCs w:val="18"/>
              </w:rPr>
              <w:t>M</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val="en-GB" w:eastAsia="de-DE"/>
              </w:rPr>
            </w:pPr>
            <w:r w:rsidRPr="00ED0867">
              <w:rPr>
                <w:rFonts w:ascii="Times New Roman" w:hAnsi="Times New Roman"/>
                <w:sz w:val="18"/>
                <w:szCs w:val="18"/>
                <w:lang w:val="en-GB" w:eastAsia="de-DE"/>
              </w:rPr>
              <w:t>That project has confirmed acceptance of solar water heating by local villagers in other regions in Turkey, and the risk of non-acceptance in the Mediterranean region is considered low. The technology side of this activity has also been pre-tested through the UNDP supported GEF –funded project on Forest Protected Areas, and therefore, with some sub-regional adjustments, it is believed to be moderately easy to transfer to the Mediterranean region. The project will support: marketing of the scheme to local communities and more importantly, monitoring of contractual arrangements: each transaction will be based on a contract between the Fund and the client, stipulate committing of the recipient to refrain from fuel wood cutting. The project will help set up systems for ensuring compliance.</w:t>
            </w:r>
          </w:p>
        </w:tc>
      </w:tr>
      <w:tr w:rsidR="00A81902" w:rsidRPr="00ED0867" w:rsidTr="00830D77">
        <w:tc>
          <w:tcPr>
            <w:tcW w:w="1935"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There exists no post-Kyoto carbon trading regime relevant for forests, especially given the uncertainties of the Turkey’s status.</w:t>
            </w:r>
          </w:p>
        </w:tc>
        <w:tc>
          <w:tcPr>
            <w:tcW w:w="683"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rPr>
            </w:pPr>
            <w:r w:rsidRPr="00ED0867">
              <w:rPr>
                <w:rFonts w:ascii="Times New Roman" w:hAnsi="Times New Roman"/>
                <w:color w:val="000000"/>
                <w:sz w:val="18"/>
                <w:szCs w:val="18"/>
              </w:rPr>
              <w:t>L</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val="en-GB" w:eastAsia="de-DE"/>
              </w:rPr>
            </w:pPr>
            <w:r w:rsidRPr="00ED0867">
              <w:rPr>
                <w:rFonts w:ascii="Times New Roman" w:hAnsi="Times New Roman"/>
                <w:sz w:val="18"/>
                <w:szCs w:val="18"/>
                <w:lang w:val="en-GB" w:eastAsia="de-DE"/>
              </w:rPr>
              <w:t xml:space="preserve">At the moment the risk is assessed as low. </w:t>
            </w:r>
            <w:proofErr w:type="gramStart"/>
            <w:r w:rsidRPr="00ED0867">
              <w:rPr>
                <w:rFonts w:ascii="Times New Roman" w:hAnsi="Times New Roman"/>
                <w:sz w:val="18"/>
                <w:szCs w:val="18"/>
              </w:rPr>
              <w:t>the</w:t>
            </w:r>
            <w:proofErr w:type="gramEnd"/>
            <w:r w:rsidRPr="00ED0867">
              <w:rPr>
                <w:rFonts w:ascii="Times New Roman" w:hAnsi="Times New Roman"/>
                <w:sz w:val="18"/>
                <w:szCs w:val="18"/>
              </w:rPr>
              <w:t xml:space="preserve"> Government of Turkey submitted a request to COP 16 (FCCC/AWGLCA/2010/MISC.8) which reiterated its self-identification as a developing country for the purposes of trading mechanisms. COP-16 confirmed that Turkey is fully eligible for technical and financial support (under relevant COP decisions), as well as for capacity building for the implementation of the Convention. This includes eligibility for support in the development of Nationally Appropriate Mitigation Actions (NAMA), and the Government has identified forestry as one of the priority sectors to be addressed in this regard. </w:t>
            </w:r>
            <w:r w:rsidRPr="00ED0867">
              <w:rPr>
                <w:rFonts w:ascii="Times New Roman" w:hAnsi="Times New Roman"/>
                <w:sz w:val="18"/>
                <w:szCs w:val="18"/>
                <w:lang w:val="en-GB" w:eastAsia="de-DE"/>
              </w:rPr>
              <w:t xml:space="preserve">With respect to the overall likelihood of REDD after 2012, of all COP-16 outcomes, the outcome on the REDD was the most tangible, and the REDD as a mechanism in post-2012 environment has the highest probably of existence. </w:t>
            </w:r>
          </w:p>
          <w:p w:rsidR="00A81902" w:rsidRPr="00ED0867" w:rsidRDefault="00A81902" w:rsidP="00ED0867">
            <w:pPr>
              <w:shd w:val="clear" w:color="auto" w:fill="FFFFFF" w:themeFill="background1"/>
              <w:spacing w:after="0" w:line="240" w:lineRule="auto"/>
              <w:rPr>
                <w:rFonts w:ascii="Times New Roman" w:hAnsi="Times New Roman"/>
                <w:sz w:val="18"/>
                <w:szCs w:val="18"/>
                <w:lang w:val="en-GB" w:eastAsia="de-DE"/>
              </w:rPr>
            </w:pPr>
          </w:p>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lang w:val="en-GB" w:eastAsia="de-DE"/>
              </w:rPr>
              <w:t>As a mitigation measure, t</w:t>
            </w:r>
            <w:r w:rsidRPr="00ED0867">
              <w:rPr>
                <w:rFonts w:ascii="Times New Roman" w:hAnsi="Times New Roman"/>
                <w:sz w:val="18"/>
                <w:szCs w:val="18"/>
                <w:lang w:eastAsia="de-DE"/>
              </w:rPr>
              <w:t xml:space="preserve">he design of MRV, NAMA, and other relevant activities pertaining to forest carbon markets will follow the guidance of </w:t>
            </w:r>
            <w:r w:rsidRPr="00ED0867">
              <w:rPr>
                <w:rFonts w:ascii="Times New Roman" w:hAnsi="Times New Roman"/>
                <w:sz w:val="18"/>
                <w:szCs w:val="18"/>
              </w:rPr>
              <w:t xml:space="preserve">COP-16 AWC-LCA outcome </w:t>
            </w:r>
            <w:hyperlink r:id="rId11" w:history="1">
              <w:r w:rsidRPr="00ED0867">
                <w:rPr>
                  <w:rFonts w:ascii="Times New Roman" w:hAnsi="Times New Roman"/>
                  <w:color w:val="0000FF"/>
                  <w:sz w:val="18"/>
                  <w:szCs w:val="18"/>
                  <w:u w:val="single"/>
                </w:rPr>
                <w:t>http://unfccc.int/files/meetings/cop_16/application/pdf/cop16_lca.pdf</w:t>
              </w:r>
            </w:hyperlink>
            <w:r w:rsidRPr="00ED0867">
              <w:rPr>
                <w:rFonts w:ascii="Times New Roman" w:hAnsi="Times New Roman"/>
                <w:sz w:val="18"/>
                <w:szCs w:val="18"/>
              </w:rPr>
              <w:t xml:space="preserve">). Strict observance of the guidance and the engagement of the best international experts in the development of forestry NAMA will minimize the risk that the policies, methodologies, and reporting system emplaced will be dysfunctional after 2012. The NAMA will identify options for forest carbon trading in the unlikely event that REDD is not agreed in the post-2012 climate regime. Non-REDD options include the voluntary carbon markets (which are highly likely to active in case REDD is not formally included in the climate regime), as well as trading under new post CDM/JI mechanisms. Whatever the mechanism, as a party to UNFCCC developing a forest-sector NAMA, Turkey will still require clear forest carbon measurement methodology, MRV, and data-base, meaning that the outcomes of this project will be relevant </w:t>
            </w:r>
            <w:r w:rsidRPr="00ED0867">
              <w:rPr>
                <w:rFonts w:ascii="Times New Roman" w:hAnsi="Times New Roman"/>
                <w:sz w:val="18"/>
                <w:szCs w:val="18"/>
              </w:rPr>
              <w:lastRenderedPageBreak/>
              <w:t>regardless of the specifics of the post-2012 regime.</w:t>
            </w:r>
          </w:p>
        </w:tc>
      </w:tr>
      <w:tr w:rsidR="00A81902" w:rsidRPr="00ED0867" w:rsidTr="00830D77">
        <w:tc>
          <w:tcPr>
            <w:tcW w:w="1935"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lastRenderedPageBreak/>
              <w:t>Not possible to positively affect land use and improve the conservation status of land in and around expected protected areas</w:t>
            </w:r>
          </w:p>
        </w:tc>
        <w:tc>
          <w:tcPr>
            <w:tcW w:w="683"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rPr>
            </w:pPr>
            <w:r w:rsidRPr="00ED0867">
              <w:rPr>
                <w:rFonts w:ascii="Times New Roman" w:hAnsi="Times New Roman"/>
                <w:color w:val="000000"/>
                <w:sz w:val="18"/>
                <w:szCs w:val="18"/>
              </w:rPr>
              <w:t>L-M</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val="en-GB" w:eastAsia="de-DE"/>
              </w:rPr>
            </w:pPr>
            <w:r w:rsidRPr="00ED0867">
              <w:rPr>
                <w:rFonts w:ascii="Times New Roman" w:hAnsi="Times New Roman"/>
                <w:sz w:val="18"/>
                <w:szCs w:val="18"/>
              </w:rPr>
              <w:t>T</w:t>
            </w:r>
            <w:r w:rsidRPr="00ED0867">
              <w:rPr>
                <w:rFonts w:ascii="Times New Roman" w:hAnsi="Times New Roman"/>
                <w:sz w:val="18"/>
                <w:szCs w:val="18"/>
                <w:lang w:eastAsia="de-DE"/>
              </w:rPr>
              <w:t xml:space="preserve">he project will engage local communities directly in the design of protected area management plans and plans of activities in the buffer zones. With mediation from experts and NGOs, a careful SWOT analysis will identify those activities which will nave win-win nature (i.e. positive conservation effect while not affecting the livelihoods of local people). NTFR and ecotourism will be supported, in partnership with Small Grants Program (Output 3.3). The protected area status and management arrangements will not envisage major restrictions (such as any relocation) for rural livelihoods. However, for ecologically damaging </w:t>
            </w:r>
            <w:proofErr w:type="spellStart"/>
            <w:r w:rsidRPr="00ED0867">
              <w:rPr>
                <w:rFonts w:ascii="Times New Roman" w:hAnsi="Times New Roman"/>
                <w:sz w:val="18"/>
                <w:szCs w:val="18"/>
                <w:lang w:eastAsia="de-DE"/>
              </w:rPr>
              <w:t>behaviour</w:t>
            </w:r>
            <w:proofErr w:type="spellEnd"/>
            <w:r w:rsidRPr="00ED0867">
              <w:rPr>
                <w:rFonts w:ascii="Times New Roman" w:hAnsi="Times New Roman"/>
                <w:sz w:val="18"/>
                <w:szCs w:val="18"/>
                <w:lang w:eastAsia="de-DE"/>
              </w:rPr>
              <w:t xml:space="preserve"> (e.g. fires and logging), agreements will be put in place on collaborative “inspections” (joint PA-community inspections) over the violations. Further reduction in ecologically unsound </w:t>
            </w:r>
            <w:proofErr w:type="spellStart"/>
            <w:r w:rsidRPr="00ED0867">
              <w:rPr>
                <w:rFonts w:ascii="Times New Roman" w:hAnsi="Times New Roman"/>
                <w:sz w:val="18"/>
                <w:szCs w:val="18"/>
                <w:lang w:eastAsia="de-DE"/>
              </w:rPr>
              <w:t>behaviour</w:t>
            </w:r>
            <w:proofErr w:type="spellEnd"/>
            <w:r w:rsidRPr="00ED0867">
              <w:rPr>
                <w:rFonts w:ascii="Times New Roman" w:hAnsi="Times New Roman"/>
                <w:sz w:val="18"/>
                <w:szCs w:val="18"/>
                <w:lang w:eastAsia="de-DE"/>
              </w:rPr>
              <w:t xml:space="preserve"> will come as a result of the deployment of the micro-crediting facility for access to solar heating (Output 2.3).</w:t>
            </w:r>
          </w:p>
        </w:tc>
      </w:tr>
      <w:tr w:rsidR="00A81902" w:rsidRPr="00ED0867" w:rsidTr="00830D77">
        <w:trPr>
          <w:trHeight w:val="1673"/>
        </w:trPr>
        <w:tc>
          <w:tcPr>
            <w:tcW w:w="1935" w:type="dxa"/>
          </w:tcPr>
          <w:p w:rsidR="00A81902" w:rsidRPr="00ED0867" w:rsidRDefault="00A81902" w:rsidP="00ED0867">
            <w:pPr>
              <w:shd w:val="clear" w:color="auto" w:fill="FFFFFF" w:themeFill="background1"/>
              <w:spacing w:after="0" w:line="240" w:lineRule="auto"/>
              <w:rPr>
                <w:rFonts w:ascii="Times New Roman" w:hAnsi="Times New Roman"/>
                <w:snapToGrid w:val="0"/>
                <w:sz w:val="18"/>
                <w:szCs w:val="18"/>
                <w:lang w:val="en-AU"/>
              </w:rPr>
            </w:pPr>
            <w:r w:rsidRPr="00ED0867">
              <w:rPr>
                <w:rFonts w:ascii="Times New Roman" w:hAnsi="Times New Roman"/>
                <w:sz w:val="18"/>
                <w:szCs w:val="18"/>
              </w:rPr>
              <w:t xml:space="preserve">Climate change risk: forest degradation caused by CC passes the point when the consequences cannot be dealt with through adaptation measures </w:t>
            </w:r>
          </w:p>
        </w:tc>
        <w:tc>
          <w:tcPr>
            <w:tcW w:w="683" w:type="dxa"/>
          </w:tcPr>
          <w:p w:rsidR="00A81902" w:rsidRPr="00ED0867" w:rsidRDefault="00A81902" w:rsidP="00ED0867">
            <w:pPr>
              <w:shd w:val="clear" w:color="auto" w:fill="FFFFFF" w:themeFill="background1"/>
              <w:spacing w:after="0" w:line="240" w:lineRule="auto"/>
              <w:rPr>
                <w:rFonts w:ascii="Times New Roman" w:hAnsi="Times New Roman"/>
                <w:color w:val="000000"/>
                <w:sz w:val="18"/>
                <w:szCs w:val="18"/>
              </w:rPr>
            </w:pPr>
            <w:r w:rsidRPr="00ED0867">
              <w:rPr>
                <w:rFonts w:ascii="Times New Roman" w:hAnsi="Times New Roman"/>
                <w:color w:val="000000"/>
                <w:sz w:val="18"/>
                <w:szCs w:val="18"/>
              </w:rPr>
              <w:t>M</w:t>
            </w:r>
          </w:p>
        </w:tc>
        <w:tc>
          <w:tcPr>
            <w:tcW w:w="8650" w:type="dxa"/>
          </w:tcPr>
          <w:p w:rsidR="00A81902" w:rsidRPr="00ED0867" w:rsidRDefault="00A81902" w:rsidP="00ED0867">
            <w:pPr>
              <w:shd w:val="clear" w:color="auto" w:fill="FFFFFF" w:themeFill="background1"/>
              <w:spacing w:after="0" w:line="240" w:lineRule="auto"/>
              <w:rPr>
                <w:rFonts w:ascii="Times New Roman" w:hAnsi="Times New Roman"/>
                <w:sz w:val="18"/>
                <w:szCs w:val="18"/>
                <w:lang w:val="en-GB" w:eastAsia="de-DE"/>
              </w:rPr>
            </w:pPr>
            <w:r w:rsidRPr="00ED0867">
              <w:rPr>
                <w:rFonts w:ascii="Times New Roman" w:hAnsi="Times New Roman"/>
                <w:sz w:val="18"/>
                <w:szCs w:val="18"/>
                <w:lang w:val="en-GB" w:eastAsia="de-DE"/>
              </w:rPr>
              <w:t xml:space="preserve">While during the lifetime of the project, the effects of climate change on Mediterranean forests are highly unlikely to be particularly </w:t>
            </w:r>
            <w:proofErr w:type="gramStart"/>
            <w:r w:rsidRPr="00ED0867">
              <w:rPr>
                <w:rFonts w:ascii="Times New Roman" w:hAnsi="Times New Roman"/>
                <w:sz w:val="18"/>
                <w:szCs w:val="18"/>
                <w:lang w:val="en-GB" w:eastAsia="de-DE"/>
              </w:rPr>
              <w:t>serious,</w:t>
            </w:r>
            <w:proofErr w:type="gramEnd"/>
            <w:r w:rsidRPr="00ED0867">
              <w:rPr>
                <w:rFonts w:ascii="Times New Roman" w:hAnsi="Times New Roman"/>
                <w:sz w:val="18"/>
                <w:szCs w:val="18"/>
                <w:lang w:val="en-GB" w:eastAsia="de-DE"/>
              </w:rPr>
              <w:t xml:space="preserve"> over the longer term climate change is expected to take its toll on the forests. As one symptom, the frequency and severity of fires is projected to increase in the next 50 years. The project is addressing this risk through the shift from reactive to proactive forest management, and particularly through proactive fire management under Component 2. Avoidance of fires </w:t>
            </w:r>
            <w:proofErr w:type="spellStart"/>
            <w:r w:rsidRPr="00ED0867">
              <w:rPr>
                <w:rFonts w:ascii="Times New Roman" w:hAnsi="Times New Roman"/>
                <w:sz w:val="18"/>
                <w:szCs w:val="18"/>
                <w:lang w:val="en-GB" w:eastAsia="de-DE"/>
              </w:rPr>
              <w:t>vis</w:t>
            </w:r>
            <w:proofErr w:type="spellEnd"/>
            <w:r w:rsidRPr="00ED0867">
              <w:rPr>
                <w:rFonts w:ascii="Times New Roman" w:hAnsi="Times New Roman"/>
                <w:sz w:val="18"/>
                <w:szCs w:val="18"/>
                <w:lang w:val="en-GB" w:eastAsia="de-DE"/>
              </w:rPr>
              <w:t>-a-</w:t>
            </w:r>
            <w:proofErr w:type="spellStart"/>
            <w:r w:rsidRPr="00ED0867">
              <w:rPr>
                <w:rFonts w:ascii="Times New Roman" w:hAnsi="Times New Roman"/>
                <w:sz w:val="18"/>
                <w:szCs w:val="18"/>
                <w:lang w:val="en-GB" w:eastAsia="de-DE"/>
              </w:rPr>
              <w:t>vis</w:t>
            </w:r>
            <w:proofErr w:type="spellEnd"/>
            <w:r w:rsidRPr="00ED0867">
              <w:rPr>
                <w:rFonts w:ascii="Times New Roman" w:hAnsi="Times New Roman"/>
                <w:sz w:val="18"/>
                <w:szCs w:val="18"/>
                <w:lang w:val="en-GB" w:eastAsia="de-DE"/>
              </w:rPr>
              <w:t xml:space="preserve"> reaction to </w:t>
            </w:r>
            <w:proofErr w:type="gramStart"/>
            <w:r w:rsidRPr="00ED0867">
              <w:rPr>
                <w:rFonts w:ascii="Times New Roman" w:hAnsi="Times New Roman"/>
                <w:sz w:val="18"/>
                <w:szCs w:val="18"/>
                <w:lang w:val="en-GB" w:eastAsia="de-DE"/>
              </w:rPr>
              <w:t>them,</w:t>
            </w:r>
            <w:proofErr w:type="gramEnd"/>
            <w:r w:rsidRPr="00ED0867">
              <w:rPr>
                <w:rFonts w:ascii="Times New Roman" w:hAnsi="Times New Roman"/>
                <w:sz w:val="18"/>
                <w:szCs w:val="18"/>
                <w:lang w:val="en-GB" w:eastAsia="de-DE"/>
              </w:rPr>
              <w:t xml:space="preserve"> will result in much lower occurrence of fires and will mitigate the climate change impact. </w:t>
            </w:r>
          </w:p>
        </w:tc>
      </w:tr>
    </w:tbl>
    <w:p w:rsidR="00A81902" w:rsidRPr="00ED0867" w:rsidRDefault="00A81902" w:rsidP="00ED0867">
      <w:pPr>
        <w:pStyle w:val="Footer"/>
        <w:shd w:val="clear" w:color="auto" w:fill="FFFFFF" w:themeFill="background1"/>
        <w:tabs>
          <w:tab w:val="clear" w:pos="4320"/>
          <w:tab w:val="clear" w:pos="8640"/>
        </w:tabs>
        <w:spacing w:before="120"/>
        <w:ind w:left="180"/>
        <w:rPr>
          <w:b/>
          <w:smallCaps/>
          <w:sz w:val="22"/>
          <w:szCs w:val="22"/>
        </w:rPr>
      </w:pPr>
      <w:r w:rsidRPr="00ED0867">
        <w:rPr>
          <w:b/>
          <w:smallCaps/>
          <w:sz w:val="22"/>
          <w:szCs w:val="22"/>
        </w:rPr>
        <w:t>B.</w:t>
      </w:r>
      <w:r w:rsidRPr="00ED0867">
        <w:rPr>
          <w:b/>
          <w:sz w:val="22"/>
          <w:szCs w:val="22"/>
        </w:rPr>
        <w:t>5.</w:t>
      </w:r>
      <w:r w:rsidRPr="00ED0867">
        <w:rPr>
          <w:sz w:val="22"/>
          <w:szCs w:val="22"/>
        </w:rPr>
        <w:t xml:space="preserve"> </w:t>
      </w:r>
      <w:r w:rsidRPr="00ED0867">
        <w:rPr>
          <w:b/>
          <w:smallCaps/>
          <w:sz w:val="22"/>
          <w:szCs w:val="22"/>
        </w:rPr>
        <w:t>key stakeholders involved in the project:</w:t>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9198"/>
      </w:tblGrid>
      <w:tr w:rsidR="00A81902" w:rsidRPr="00ED0867" w:rsidTr="00B24CA2">
        <w:tc>
          <w:tcPr>
            <w:tcW w:w="2178" w:type="dxa"/>
          </w:tcPr>
          <w:p w:rsidR="00A81902" w:rsidRPr="00ED0867" w:rsidRDefault="00A81902" w:rsidP="00ED0867">
            <w:pPr>
              <w:shd w:val="clear" w:color="auto" w:fill="FFFFFF" w:themeFill="background1"/>
              <w:spacing w:after="120" w:line="240" w:lineRule="auto"/>
              <w:rPr>
                <w:rFonts w:ascii="Times New Roman" w:hAnsi="Times New Roman"/>
                <w:bCs/>
                <w:sz w:val="18"/>
                <w:szCs w:val="18"/>
              </w:rPr>
            </w:pPr>
            <w:r w:rsidRPr="00ED0867">
              <w:rPr>
                <w:rFonts w:ascii="Times New Roman" w:hAnsi="Times New Roman"/>
                <w:bCs/>
                <w:sz w:val="18"/>
                <w:szCs w:val="18"/>
              </w:rPr>
              <w:t>Key stakeholder</w:t>
            </w:r>
          </w:p>
        </w:tc>
        <w:tc>
          <w:tcPr>
            <w:tcW w:w="9198" w:type="dxa"/>
          </w:tcPr>
          <w:p w:rsidR="00A81902" w:rsidRPr="00ED0867" w:rsidRDefault="00A81902" w:rsidP="00ED0867">
            <w:pPr>
              <w:shd w:val="clear" w:color="auto" w:fill="FFFFFF" w:themeFill="background1"/>
              <w:spacing w:after="120" w:line="240" w:lineRule="auto"/>
              <w:rPr>
                <w:rFonts w:ascii="Times New Roman" w:hAnsi="Times New Roman"/>
                <w:bCs/>
                <w:sz w:val="18"/>
                <w:szCs w:val="18"/>
              </w:rPr>
            </w:pPr>
            <w:r w:rsidRPr="00ED0867">
              <w:rPr>
                <w:rFonts w:ascii="Times New Roman" w:hAnsi="Times New Roman"/>
                <w:bCs/>
                <w:sz w:val="18"/>
                <w:szCs w:val="18"/>
              </w:rPr>
              <w:t>Role in the project:</w:t>
            </w:r>
          </w:p>
        </w:tc>
      </w:tr>
      <w:tr w:rsidR="00A81902" w:rsidRPr="00ED0867" w:rsidTr="00B24CA2">
        <w:tc>
          <w:tcPr>
            <w:tcW w:w="2178" w:type="dxa"/>
          </w:tcPr>
          <w:p w:rsidR="00A81902" w:rsidRPr="00ED0867" w:rsidRDefault="00A81902" w:rsidP="00ED0867">
            <w:pPr>
              <w:shd w:val="clear" w:color="auto" w:fill="FFFFFF" w:themeFill="background1"/>
              <w:spacing w:after="0" w:line="240" w:lineRule="auto"/>
              <w:rPr>
                <w:rFonts w:ascii="Times New Roman" w:hAnsi="Times New Roman"/>
                <w:bCs/>
                <w:sz w:val="18"/>
                <w:szCs w:val="18"/>
              </w:rPr>
            </w:pPr>
            <w:r w:rsidRPr="00ED0867">
              <w:rPr>
                <w:rFonts w:ascii="Times New Roman" w:hAnsi="Times New Roman"/>
                <w:sz w:val="18"/>
                <w:szCs w:val="18"/>
              </w:rPr>
              <w:t>The Ministry of Environmental and Forestry, General Directorate of Forestry (GDF)</w:t>
            </w:r>
          </w:p>
        </w:tc>
        <w:tc>
          <w:tcPr>
            <w:tcW w:w="9198" w:type="dxa"/>
          </w:tcPr>
          <w:p w:rsidR="00A81902" w:rsidRPr="00ED0867" w:rsidRDefault="00A81902" w:rsidP="00ED0867">
            <w:pPr>
              <w:shd w:val="clear" w:color="auto" w:fill="FFFFFF" w:themeFill="background1"/>
              <w:tabs>
                <w:tab w:val="left" w:pos="360"/>
              </w:tabs>
              <w:spacing w:after="0" w:line="240" w:lineRule="auto"/>
              <w:jc w:val="both"/>
              <w:rPr>
                <w:rFonts w:ascii="Times New Roman" w:hAnsi="Times New Roman"/>
                <w:bCs/>
                <w:sz w:val="18"/>
                <w:szCs w:val="18"/>
              </w:rPr>
            </w:pPr>
            <w:r w:rsidRPr="00ED0867">
              <w:rPr>
                <w:rFonts w:ascii="Times New Roman" w:hAnsi="Times New Roman"/>
                <w:sz w:val="18"/>
                <w:szCs w:val="18"/>
              </w:rPr>
              <w:t xml:space="preserve">The major partner for REDD+ policy-making and programming activities; it will contribute to the project by making joint decisions on forest conservation activities and by linking forest conservation actions with Turkey’s commitments to international conventions. The Ministry of Environment is the project proponent, as it is critical to realizing its commitment to develop the Nationally Appropriate Mitigation Action for the forestry sector, under the Cancun agreements. The </w:t>
            </w:r>
            <w:r w:rsidRPr="00ED0867">
              <w:rPr>
                <w:rFonts w:ascii="Times New Roman" w:hAnsi="Times New Roman"/>
                <w:i/>
                <w:sz w:val="18"/>
                <w:szCs w:val="18"/>
              </w:rPr>
              <w:t>GDF</w:t>
            </w:r>
            <w:r w:rsidRPr="00ED0867">
              <w:rPr>
                <w:rFonts w:ascii="Times New Roman" w:hAnsi="Times New Roman"/>
                <w:sz w:val="18"/>
                <w:szCs w:val="18"/>
              </w:rPr>
              <w:t xml:space="preserve"> is the key target agency for the REDD readiness activities. GDF’s Regional Forest Directorate, District Forest Directorate and Sub District Forest Directorate will oversee the implementation of the REDD+ activities. GDF will coordinate the development of the post 2014 Forestry Policy Document and forestry NAMA, seeking approval of amendments to existing forest legislation as necessary to promote sustainable forest management. GDF’s ORKOY (local village relationships office) will coordinate and co-finance the solar heating revolving fund. GDF is also </w:t>
            </w:r>
            <w:proofErr w:type="gramStart"/>
            <w:r w:rsidRPr="00ED0867">
              <w:rPr>
                <w:rFonts w:ascii="Times New Roman" w:hAnsi="Times New Roman"/>
                <w:sz w:val="18"/>
                <w:szCs w:val="18"/>
              </w:rPr>
              <w:t>key</w:t>
            </w:r>
            <w:proofErr w:type="gramEnd"/>
            <w:r w:rsidRPr="00ED0867">
              <w:rPr>
                <w:rFonts w:ascii="Times New Roman" w:hAnsi="Times New Roman"/>
                <w:sz w:val="18"/>
                <w:szCs w:val="18"/>
              </w:rPr>
              <w:t xml:space="preserve"> in the development of the forest carbon monitoring and accounting system. GDF will provide training facilities for the project’s capacity building activities, and its staff will be direct beneficiaries of the project’s capacity building efforts. The GDF’s Department of Climate Change and </w:t>
            </w:r>
            <w:proofErr w:type="spellStart"/>
            <w:r w:rsidRPr="00ED0867">
              <w:rPr>
                <w:rFonts w:ascii="Times New Roman" w:hAnsi="Times New Roman"/>
                <w:sz w:val="18"/>
                <w:szCs w:val="18"/>
              </w:rPr>
              <w:t>Bioenergy</w:t>
            </w:r>
            <w:proofErr w:type="spellEnd"/>
            <w:r w:rsidRPr="00ED0867">
              <w:rPr>
                <w:rFonts w:ascii="Times New Roman" w:hAnsi="Times New Roman"/>
                <w:sz w:val="18"/>
                <w:szCs w:val="18"/>
              </w:rPr>
              <w:t xml:space="preserve"> Working group will lead the design and application of the forest carbon monitoring system for the purposes of UNFCCC reporting in close collaboration with other relevant departments in the same organization. </w:t>
            </w:r>
          </w:p>
        </w:tc>
      </w:tr>
      <w:tr w:rsidR="00A81902" w:rsidRPr="00ED0867" w:rsidTr="00B24CA2">
        <w:tc>
          <w:tcPr>
            <w:tcW w:w="2178" w:type="dxa"/>
          </w:tcPr>
          <w:p w:rsidR="00A81902" w:rsidRPr="00ED0867" w:rsidRDefault="00A81902" w:rsidP="00ED0867">
            <w:pPr>
              <w:shd w:val="clear" w:color="auto" w:fill="FFFFFF" w:themeFill="background1"/>
              <w:spacing w:after="0" w:line="240" w:lineRule="auto"/>
              <w:rPr>
                <w:rFonts w:ascii="Times New Roman" w:hAnsi="Times New Roman"/>
                <w:bCs/>
                <w:sz w:val="18"/>
                <w:szCs w:val="18"/>
              </w:rPr>
            </w:pPr>
            <w:r w:rsidRPr="00ED0867">
              <w:rPr>
                <w:rFonts w:ascii="Times New Roman" w:hAnsi="Times New Roman"/>
                <w:sz w:val="18"/>
                <w:szCs w:val="18"/>
              </w:rPr>
              <w:t>NGOs, community based organizations, WWF, Chamber of Forest Engineers (OMO), and Forest Cooperative (ORKOOP)</w:t>
            </w:r>
          </w:p>
        </w:tc>
        <w:tc>
          <w:tcPr>
            <w:tcW w:w="9198" w:type="dxa"/>
          </w:tcPr>
          <w:p w:rsidR="00A81902" w:rsidRPr="00ED0867" w:rsidRDefault="00A81902" w:rsidP="00ED0867">
            <w:pPr>
              <w:shd w:val="clear" w:color="auto" w:fill="FFFFFF" w:themeFill="background1"/>
              <w:spacing w:after="0" w:line="240" w:lineRule="auto"/>
              <w:rPr>
                <w:rFonts w:ascii="Times New Roman" w:hAnsi="Times New Roman"/>
                <w:bCs/>
                <w:sz w:val="18"/>
                <w:szCs w:val="18"/>
              </w:rPr>
            </w:pPr>
            <w:r w:rsidRPr="00ED0867">
              <w:rPr>
                <w:rFonts w:ascii="Times New Roman" w:hAnsi="Times New Roman"/>
                <w:sz w:val="18"/>
                <w:szCs w:val="18"/>
              </w:rPr>
              <w:t xml:space="preserve">These organizations will play vital in supporting engagement of rural communities and women in the elaboration of protection regimes for the target forest areas (under Component 3), as well as in mediating for the micro-revolving fund on solar heaters. </w:t>
            </w:r>
            <w:r w:rsidRPr="00ED0867">
              <w:rPr>
                <w:rFonts w:ascii="Times New Roman" w:hAnsi="Times New Roman"/>
                <w:color w:val="231F20"/>
                <w:sz w:val="18"/>
                <w:szCs w:val="18"/>
                <w:lang w:eastAsia="ru-RU"/>
              </w:rPr>
              <w:t xml:space="preserve">WWF, through its global network, will bring in know-how, technical experience and innovative approaches on sustainable forest management, forest and climate related issues, biodiversity protection and forest protected area management. </w:t>
            </w:r>
            <w:r w:rsidRPr="00ED0867">
              <w:rPr>
                <w:rFonts w:ascii="Times New Roman" w:hAnsi="Times New Roman"/>
                <w:sz w:val="18"/>
                <w:szCs w:val="18"/>
              </w:rPr>
              <w:t>The Academia and local industries such as private forest owners and entrepreneurs (private sector), will contribute to the development and implementation of the landscape-level management plans (Outcome III), the engagement of which will be specified in detail during the PPG stage</w:t>
            </w:r>
            <w:r w:rsidRPr="00ED0867">
              <w:rPr>
                <w:rFonts w:ascii="Times New Roman" w:hAnsi="Times New Roman"/>
                <w:color w:val="231F20"/>
                <w:sz w:val="18"/>
                <w:szCs w:val="18"/>
                <w:lang w:eastAsia="ru-RU"/>
              </w:rPr>
              <w:t xml:space="preserve">. </w:t>
            </w:r>
            <w:r w:rsidRPr="00ED0867">
              <w:rPr>
                <w:rFonts w:ascii="Times New Roman" w:hAnsi="Times New Roman"/>
                <w:sz w:val="18"/>
                <w:szCs w:val="18"/>
                <w:lang w:eastAsia="de-DE"/>
              </w:rPr>
              <w:t xml:space="preserve">The elaboration of MRV and the revenue-sharing mechanism under Outcome 1, will envisage a series of wide consultations which will involve NGOs and communities throughout the country. </w:t>
            </w:r>
            <w:proofErr w:type="gramStart"/>
            <w:r w:rsidRPr="00ED0867">
              <w:rPr>
                <w:rFonts w:ascii="Times New Roman" w:hAnsi="Times New Roman"/>
                <w:sz w:val="18"/>
                <w:szCs w:val="18"/>
                <w:lang w:eastAsia="de-DE"/>
              </w:rPr>
              <w:t>This way communities</w:t>
            </w:r>
            <w:proofErr w:type="gramEnd"/>
            <w:r w:rsidRPr="00ED0867">
              <w:rPr>
                <w:rFonts w:ascii="Times New Roman" w:hAnsi="Times New Roman"/>
                <w:sz w:val="18"/>
                <w:szCs w:val="18"/>
                <w:lang w:eastAsia="de-DE"/>
              </w:rPr>
              <w:t xml:space="preserve"> will be able to participate in the design of the revenue sharing mechanism which will apply to forest carbon projects. A corresponding adjustment was made to Output 1.2.</w:t>
            </w:r>
          </w:p>
        </w:tc>
      </w:tr>
      <w:tr w:rsidR="00A81902" w:rsidRPr="00ED0867" w:rsidTr="00B24CA2">
        <w:tc>
          <w:tcPr>
            <w:tcW w:w="2178"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GIZ</w:t>
            </w:r>
          </w:p>
        </w:tc>
        <w:tc>
          <w:tcPr>
            <w:tcW w:w="9198" w:type="dxa"/>
          </w:tcPr>
          <w:p w:rsidR="00A81902" w:rsidRPr="00ED0867" w:rsidRDefault="00A81902" w:rsidP="00ED0867">
            <w:pPr>
              <w:shd w:val="clear" w:color="auto" w:fill="FFFFFF" w:themeFill="background1"/>
              <w:spacing w:after="0" w:line="240" w:lineRule="auto"/>
              <w:rPr>
                <w:rFonts w:ascii="Times New Roman" w:hAnsi="Times New Roman"/>
                <w:sz w:val="18"/>
                <w:szCs w:val="18"/>
              </w:rPr>
            </w:pPr>
            <w:r w:rsidRPr="00ED0867">
              <w:rPr>
                <w:rFonts w:ascii="Times New Roman" w:hAnsi="Times New Roman"/>
                <w:sz w:val="18"/>
                <w:szCs w:val="18"/>
              </w:rPr>
              <w:t xml:space="preserve">Pending detailed cooperation agreements, the GIZ team might be engaged in provision of international expertise for adaptive forest management, specifically in Component I, helping with preparation of NAMA standards for the forestry sector in Turkey. The international expertise of the GIZ will be engaged in the design of the forest mitigation measures in. The GIZ, as a contributor and co-financier, will be represented on the Steering Committee of the project. </w:t>
            </w:r>
          </w:p>
        </w:tc>
      </w:tr>
    </w:tbl>
    <w:p w:rsidR="00A81902" w:rsidRPr="00ED0867" w:rsidRDefault="00A81902" w:rsidP="00ED0867">
      <w:pPr>
        <w:pStyle w:val="Footer"/>
        <w:shd w:val="clear" w:color="auto" w:fill="FFFFFF" w:themeFill="background1"/>
        <w:tabs>
          <w:tab w:val="clear" w:pos="4320"/>
          <w:tab w:val="clear" w:pos="8640"/>
        </w:tabs>
        <w:spacing w:before="120" w:after="120"/>
        <w:ind w:left="180"/>
        <w:rPr>
          <w:color w:val="000000"/>
          <w:sz w:val="22"/>
          <w:szCs w:val="22"/>
        </w:rPr>
      </w:pPr>
      <w:r w:rsidRPr="00ED0867">
        <w:rPr>
          <w:b/>
          <w:smallCaps/>
          <w:sz w:val="22"/>
          <w:szCs w:val="22"/>
        </w:rPr>
        <w:t>B.6. Outline the coordination with other related initiatives:</w:t>
      </w:r>
      <w:r w:rsidRPr="00ED0867">
        <w:rPr>
          <w:color w:val="000000"/>
          <w:sz w:val="22"/>
          <w:szCs w:val="22"/>
        </w:rPr>
        <w:t xml:space="preserve"> </w:t>
      </w:r>
    </w:p>
    <w:p w:rsidR="00A81902" w:rsidRPr="00ED0867" w:rsidRDefault="00A81902" w:rsidP="00ED0867">
      <w:pPr>
        <w:pStyle w:val="Aa"/>
        <w:numPr>
          <w:ilvl w:val="0"/>
          <w:numId w:val="0"/>
        </w:numPr>
        <w:shd w:val="clear" w:color="auto" w:fill="FFFFFF" w:themeFill="background1"/>
        <w:ind w:left="180"/>
        <w:jc w:val="both"/>
        <w:rPr>
          <w:sz w:val="21"/>
          <w:szCs w:val="21"/>
          <w:lang w:val="en-GB" w:eastAsia="de-DE"/>
        </w:rPr>
      </w:pPr>
      <w:r w:rsidRPr="00ED0867">
        <w:rPr>
          <w:sz w:val="21"/>
          <w:szCs w:val="21"/>
        </w:rPr>
        <w:t xml:space="preserve">The project is closely related with a UNDP initiative supporting the Government of Turkey to develop a Nationally Appropriate Mitigation Action Plan. One of the sectors considered is forestry. This GEF project will develop the policy and institutional prerequisites for the forestry NAMAS; it will provide the expertise (Component 1) and lessons from demonstration activities (Component 2) that will be instrumental in informing the forestry-sector NAMA. </w:t>
      </w:r>
      <w:r w:rsidRPr="00ED0867">
        <w:rPr>
          <w:sz w:val="21"/>
          <w:szCs w:val="21"/>
          <w:lang w:val="en-GB" w:eastAsia="de-DE"/>
        </w:rPr>
        <w:t xml:space="preserve">The project is closely related to the project on “Adaptation to Climate Change and Protection of Biodiversity through Conserving and Sustainably Using Wetlands in Turkey” funded by the German Government under the International Climate Initiative (German Ministry for Environment, Nature Conservation and Nuclear Safety). The project executed by the Wetlands Division of </w:t>
      </w:r>
      <w:proofErr w:type="spellStart"/>
      <w:r w:rsidRPr="00ED0867">
        <w:rPr>
          <w:sz w:val="21"/>
          <w:szCs w:val="21"/>
          <w:lang w:val="en-GB" w:eastAsia="de-DE"/>
        </w:rPr>
        <w:t>MoEF</w:t>
      </w:r>
      <w:proofErr w:type="spellEnd"/>
      <w:r w:rsidRPr="00ED0867">
        <w:rPr>
          <w:sz w:val="21"/>
          <w:szCs w:val="21"/>
          <w:lang w:val="en-GB" w:eastAsia="de-DE"/>
        </w:rPr>
        <w:t xml:space="preserve"> will, </w:t>
      </w:r>
      <w:r w:rsidRPr="00ED0867">
        <w:rPr>
          <w:i/>
          <w:sz w:val="21"/>
          <w:szCs w:val="21"/>
          <w:lang w:val="en-GB" w:eastAsia="de-DE"/>
        </w:rPr>
        <w:t>inter</w:t>
      </w:r>
      <w:r w:rsidRPr="00ED0867">
        <w:rPr>
          <w:sz w:val="21"/>
          <w:szCs w:val="21"/>
          <w:lang w:val="en-GB" w:eastAsia="de-DE"/>
        </w:rPr>
        <w:t xml:space="preserve"> </w:t>
      </w:r>
      <w:r w:rsidRPr="00ED0867">
        <w:rPr>
          <w:i/>
          <w:sz w:val="21"/>
          <w:szCs w:val="21"/>
          <w:lang w:val="en-GB" w:eastAsia="de-DE"/>
        </w:rPr>
        <w:t>alia</w:t>
      </w:r>
      <w:r w:rsidRPr="00ED0867">
        <w:rPr>
          <w:sz w:val="21"/>
          <w:szCs w:val="21"/>
          <w:lang w:val="en-GB" w:eastAsia="de-DE"/>
        </w:rPr>
        <w:t xml:space="preserve">, provide information on carbon stocks in wetlands and their expected use, thus providing important baseline information. Furthermore, Turkey successfully completed CORINE 2000 and participates in CORINE 2006. Experiences have shown that CORINE data constitute an important baseline but are not sufficient to fulfil the requirements of LULUCF reporting. CORINE </w:t>
      </w:r>
      <w:r w:rsidRPr="00ED0867">
        <w:rPr>
          <w:rFonts w:cs="DBPIDK+TimesNewRoman"/>
          <w:color w:val="000000"/>
          <w:sz w:val="21"/>
          <w:szCs w:val="21"/>
        </w:rPr>
        <w:t xml:space="preserve">has not yet been adapted to meet the needs of the LULUCF National Inventory Reports (NIR). </w:t>
      </w:r>
      <w:r w:rsidRPr="00ED0867">
        <w:rPr>
          <w:sz w:val="21"/>
          <w:szCs w:val="21"/>
          <w:lang w:val="en-GB" w:eastAsia="de-DE"/>
        </w:rPr>
        <w:t xml:space="preserve">While CLC data comprise in principle the required information referring to identification of land use classes in the context of UNFCCC and no further land use classes are needed, CLC data need to be refined. The differences in reported soil carbon stocks are often considerable, resulting from the use of different methods to determine the area of different land use classes. </w:t>
      </w:r>
      <w:r w:rsidRPr="00ED0867">
        <w:rPr>
          <w:sz w:val="21"/>
          <w:szCs w:val="21"/>
          <w:lang w:val="en-GB" w:eastAsia="de-DE"/>
        </w:rPr>
        <w:lastRenderedPageBreak/>
        <w:t>Higher spatial and temporal resolutions are essential. The project will examine how to make full use of CORINE data for the LULUCF monitoring, accounting and reporting system, and will exchange experiences towards this end with other Annex I countries. The project further connects to a number of UNDP initiatives mentioned in Section C.2.</w:t>
      </w:r>
    </w:p>
    <w:p w:rsidR="00A81902" w:rsidRPr="00ED0867" w:rsidRDefault="00A81902" w:rsidP="00ED0867">
      <w:pPr>
        <w:pStyle w:val="Aa"/>
        <w:numPr>
          <w:ilvl w:val="0"/>
          <w:numId w:val="0"/>
        </w:numPr>
        <w:shd w:val="clear" w:color="auto" w:fill="FFFFFF" w:themeFill="background1"/>
        <w:ind w:left="180"/>
        <w:jc w:val="both"/>
        <w:rPr>
          <w:sz w:val="21"/>
          <w:szCs w:val="21"/>
        </w:rPr>
      </w:pPr>
      <w:r w:rsidRPr="00ED0867">
        <w:rPr>
          <w:sz w:val="21"/>
          <w:szCs w:val="21"/>
          <w:lang w:val="en-GB" w:eastAsia="de-DE"/>
        </w:rPr>
        <w:t>T</w:t>
      </w:r>
      <w:r w:rsidRPr="00ED0867">
        <w:rPr>
          <w:sz w:val="21"/>
          <w:szCs w:val="21"/>
        </w:rPr>
        <w:t xml:space="preserve">he project builds upon lessons learned and good practices identified under the completed WB/GEF Biodiversity and Natural Resource Management Project (BNRMP) which aimed at addressing systemic barriers that compromise effectiveness of the national system of protected areas such as deficiencies in the Environment Law, Range Law, Hunting Law, and Tourism Encouragement Law. The proposed project will further advance work of the BNRMP by expanding protection in Mediterranean forest ecosystems. Further, the project is additional to the current UNDP-GEF MSP initiative focused on expanding protection around the Kure National Park. Kure’s main habitats include old-growth coniferous, chestnut and boxwood forests, interspersed with grasslands and karsts. This project addresses conservation needs in a different forest community—facing a different menu of threats (e.g. unsustainable fire wood collection and wild-fires are characteristic of the Mediterranean coast, while Kure suffers from encroachment of infrastructure, commercial overharvesting, conversion of land to agriculture, and the discharge of municipal solid waste and waste-water). The preparation and implementation of the GEF project is coordinated with the GIZ-funded regional program “Adapting forest policy conditions to climate change in the MENA region”. The GEF project will employ rich expertise of this GIZ program and the </w:t>
      </w:r>
      <w:r w:rsidRPr="00ED0867">
        <w:rPr>
          <w:i/>
          <w:sz w:val="21"/>
          <w:szCs w:val="21"/>
        </w:rPr>
        <w:t xml:space="preserve">Silva </w:t>
      </w:r>
      <w:proofErr w:type="spellStart"/>
      <w:r w:rsidRPr="00ED0867">
        <w:rPr>
          <w:i/>
          <w:sz w:val="21"/>
          <w:szCs w:val="21"/>
        </w:rPr>
        <w:t>Mediterranea</w:t>
      </w:r>
      <w:proofErr w:type="spellEnd"/>
      <w:r w:rsidRPr="00ED0867">
        <w:rPr>
          <w:sz w:val="21"/>
          <w:szCs w:val="21"/>
        </w:rPr>
        <w:t xml:space="preserve"> network, in the design of policies and tools for multiple-use forest management. It will benefit also from its cooperation with ‘Collaborative Partnership on Mediterranean Forests’ which is a multi-country initiative promoting networking among experts and decision making in the Mediterranean forest region.</w:t>
      </w:r>
    </w:p>
    <w:p w:rsidR="00A81902" w:rsidRPr="00ED0867" w:rsidRDefault="00A81902" w:rsidP="00ED0867">
      <w:pPr>
        <w:shd w:val="clear" w:color="auto" w:fill="FFFFFF" w:themeFill="background1"/>
        <w:spacing w:before="120" w:after="0" w:line="240" w:lineRule="auto"/>
        <w:ind w:left="540" w:hanging="360"/>
        <w:rPr>
          <w:rFonts w:ascii="Times New Roman" w:hAnsi="Times New Roman"/>
          <w:b/>
          <w:smallCaps/>
        </w:rPr>
      </w:pPr>
      <w:r w:rsidRPr="00ED0867">
        <w:rPr>
          <w:rFonts w:ascii="Times New Roman" w:hAnsi="Times New Roman"/>
          <w:b/>
          <w:smallCaps/>
        </w:rPr>
        <w:t>c.</w:t>
      </w:r>
      <w:r w:rsidRPr="00ED0867">
        <w:rPr>
          <w:rFonts w:ascii="Times New Roman" w:hAnsi="Times New Roman"/>
          <w:b/>
          <w:smallCaps/>
        </w:rPr>
        <w:tab/>
        <w:t xml:space="preserve"> describe the GEF agency’s comparative advantage to implement this project: </w:t>
      </w:r>
    </w:p>
    <w:p w:rsidR="00A81902" w:rsidRPr="00ED0867" w:rsidRDefault="00A81902" w:rsidP="00ED0867">
      <w:pPr>
        <w:pStyle w:val="aaa"/>
        <w:numPr>
          <w:ilvl w:val="0"/>
          <w:numId w:val="0"/>
        </w:numPr>
        <w:shd w:val="clear" w:color="auto" w:fill="FFFFFF" w:themeFill="background1"/>
        <w:ind w:left="180"/>
        <w:jc w:val="both"/>
        <w:rPr>
          <w:bCs/>
          <w:sz w:val="21"/>
          <w:szCs w:val="21"/>
        </w:rPr>
      </w:pPr>
      <w:r w:rsidRPr="00ED0867">
        <w:rPr>
          <w:sz w:val="21"/>
          <w:szCs w:val="21"/>
        </w:rPr>
        <w:t xml:space="preserve">With respect to SFM, UNDP is central to implementation of the UN-REDD program. UNDP is working in 29 countries around the world on SFM and REDD+, focusing on forest governance frameworks, planning, and monitoring. In Europe and CIS, UNDP is supporting over 60 ecosystem projects worth US$107 million. These include sustainable forest management in a number of </w:t>
      </w:r>
      <w:proofErr w:type="spellStart"/>
      <w:r w:rsidRPr="00ED0867">
        <w:rPr>
          <w:sz w:val="21"/>
          <w:szCs w:val="21"/>
        </w:rPr>
        <w:t>ecoregions</w:t>
      </w:r>
      <w:proofErr w:type="spellEnd"/>
      <w:r w:rsidRPr="00ED0867">
        <w:rPr>
          <w:sz w:val="21"/>
          <w:szCs w:val="21"/>
        </w:rPr>
        <w:t xml:space="preserve">, including the forests of Altai </w:t>
      </w:r>
      <w:proofErr w:type="spellStart"/>
      <w:r w:rsidRPr="00ED0867">
        <w:rPr>
          <w:sz w:val="21"/>
          <w:szCs w:val="21"/>
        </w:rPr>
        <w:t>Sayan</w:t>
      </w:r>
      <w:proofErr w:type="spellEnd"/>
      <w:r w:rsidRPr="00ED0867">
        <w:rPr>
          <w:sz w:val="21"/>
          <w:szCs w:val="21"/>
        </w:rPr>
        <w:t xml:space="preserve">, </w:t>
      </w:r>
      <w:proofErr w:type="spellStart"/>
      <w:r w:rsidRPr="00ED0867">
        <w:rPr>
          <w:sz w:val="21"/>
          <w:szCs w:val="21"/>
        </w:rPr>
        <w:t>Komi</w:t>
      </w:r>
      <w:proofErr w:type="spellEnd"/>
      <w:r w:rsidRPr="00ED0867">
        <w:rPr>
          <w:sz w:val="21"/>
          <w:szCs w:val="21"/>
        </w:rPr>
        <w:t xml:space="preserve">, Rhodope, the Carpathians, and Kure (Turkey). UNDP is the implementing agency for forest carbon projects in Russia and Kazakhstan for funding of the German International Climate Initiative (US$11 million), which are testing innovative carbon mitigation techniques within protected areas. UNDP is also assisting countries in Europe to develop Nationally Appropriate Mitigation Actions under the UNFCCC. UNDP was the first agency to develop a Guidebook for countries to develop and implement Low Emission Development Strategies and NAMAs, including for the forestry sector. Turkey is one of the first countries benefitting from UNDP support under this initiative, wherein the Government of Turkey has agreed with UNDP on a programmatic approach to sustainable forest management. UNDP has a proven track record in establishing and supporting the management of protected areas. More than 30 UNDP-GEF projects in 17 countries in Europe address protected areas covering a total area of 13.1 million hectares. New </w:t>
      </w:r>
      <w:r w:rsidRPr="00ED0867">
        <w:rPr>
          <w:bCs/>
          <w:sz w:val="21"/>
          <w:szCs w:val="21"/>
        </w:rPr>
        <w:t>PAs have been established, totaling 2.6 million hectares; 85 PAs are in the process of being established, totaling 0.81 million hectares; 126 PAs strengthened, totaling 9.7 million hectares.</w:t>
      </w:r>
    </w:p>
    <w:p w:rsidR="00A81902" w:rsidRPr="00ED0867" w:rsidRDefault="00A81902" w:rsidP="00ED0867">
      <w:pPr>
        <w:pStyle w:val="aaa"/>
        <w:numPr>
          <w:ilvl w:val="0"/>
          <w:numId w:val="0"/>
        </w:numPr>
        <w:shd w:val="clear" w:color="auto" w:fill="FFFFFF" w:themeFill="background1"/>
        <w:ind w:left="180"/>
        <w:jc w:val="both"/>
        <w:rPr>
          <w:bCs/>
          <w:sz w:val="21"/>
          <w:szCs w:val="21"/>
        </w:rPr>
      </w:pPr>
      <w:r w:rsidRPr="00ED0867">
        <w:rPr>
          <w:sz w:val="21"/>
          <w:szCs w:val="21"/>
        </w:rPr>
        <w:t xml:space="preserve">Under the UN-REDD </w:t>
      </w:r>
      <w:proofErr w:type="spellStart"/>
      <w:r w:rsidRPr="00ED0867">
        <w:rPr>
          <w:sz w:val="21"/>
          <w:szCs w:val="21"/>
        </w:rPr>
        <w:t>Programme</w:t>
      </w:r>
      <w:proofErr w:type="spellEnd"/>
      <w:r w:rsidRPr="00ED0867">
        <w:rPr>
          <w:sz w:val="21"/>
          <w:szCs w:val="21"/>
        </w:rPr>
        <w:t>, UNDP maintains expertise on carbon measurements, monitoring and verification. While the ecological regions covered by UN-REDD are different, the overall approach and guidance of UNFCCC and its working groups with respect to REDD readiness (including MRVs, accounting, project development, safeguards), are standard for all types of forest regions, therefore the in-house expertise of UNDP is transferable and will be applied for the purposes of this project. UNDP strength vis-à-vis its partners within the UN-REDD program, including for the design and installation of carbon monitoring systems, rests with its presence on the ground, strong connections with Government and NGOs, ability to quickly create local capacities and implement country or even region-tailored activities. UNEP and FAO on the global level are providing best expertise to the design of the theoretical principles of REDD MRVs, yet UNDP within the UN-REDD partnership, is delegated with capacities and expertise to translate this guidance into action at the country level. This has direct relevance for the project in question, recognized by the fact that in March 2011, the Government of Turkey has agreed to sign an agreement with UNDP country office to support sustainable forest management as part of the country’s low carbon resilient development strategies.</w:t>
      </w:r>
    </w:p>
    <w:p w:rsidR="00A81902" w:rsidRPr="00ED0867" w:rsidRDefault="00A81902" w:rsidP="00ED0867">
      <w:pPr>
        <w:pStyle w:val="aaa"/>
        <w:numPr>
          <w:ilvl w:val="0"/>
          <w:numId w:val="0"/>
        </w:numPr>
        <w:shd w:val="clear" w:color="auto" w:fill="FFFFFF" w:themeFill="background1"/>
        <w:ind w:left="180"/>
        <w:jc w:val="both"/>
        <w:rPr>
          <w:b/>
          <w:smallCaps/>
        </w:rPr>
      </w:pPr>
      <w:r w:rsidRPr="00ED0867">
        <w:rPr>
          <w:b/>
          <w:smallCaps/>
        </w:rPr>
        <w:t xml:space="preserve">c.1. indicate the co-financing amount the GEF agency is bringing to the project: </w:t>
      </w:r>
    </w:p>
    <w:p w:rsidR="00A81902" w:rsidRPr="00ED0867" w:rsidRDefault="00A81902" w:rsidP="00ED0867">
      <w:pPr>
        <w:pStyle w:val="A"/>
        <w:numPr>
          <w:ilvl w:val="0"/>
          <w:numId w:val="0"/>
        </w:numPr>
        <w:shd w:val="clear" w:color="auto" w:fill="FFFFFF" w:themeFill="background1"/>
        <w:tabs>
          <w:tab w:val="left" w:pos="630"/>
        </w:tabs>
        <w:ind w:left="180"/>
      </w:pPr>
      <w:r w:rsidRPr="00ED0867">
        <w:rPr>
          <w:sz w:val="21"/>
          <w:szCs w:val="21"/>
        </w:rPr>
        <w:t xml:space="preserve">UNDP’s role, under its environment finance service line is to assist countries to identify, combine access and sequence funding to meet their environmental finance needs (this is also consistent with UNDP’s mandate as the head of the UN Development Group). In this case, UNDP has worked with the Turkish Government to broker over US$ 21 million in co-finance. This includes a US$ 0.82 </w:t>
      </w:r>
      <w:proofErr w:type="spellStart"/>
      <w:r w:rsidRPr="00ED0867">
        <w:rPr>
          <w:sz w:val="21"/>
          <w:szCs w:val="21"/>
        </w:rPr>
        <w:t>mln</w:t>
      </w:r>
      <w:proofErr w:type="spellEnd"/>
      <w:r w:rsidRPr="00ED0867">
        <w:rPr>
          <w:sz w:val="21"/>
          <w:szCs w:val="21"/>
        </w:rPr>
        <w:t xml:space="preserve"> in cash and in-kind co finance from UNDP TRAC—a significant share of TRAC funds allocated to Turkey. Through this project, UNDP will provide in kind support through its broader environment portfolio and through the range of technical staff working in the environment.</w:t>
      </w:r>
    </w:p>
    <w:p w:rsidR="00A81902" w:rsidRPr="00ED0867" w:rsidRDefault="00A81902" w:rsidP="00ED0867">
      <w:pPr>
        <w:shd w:val="clear" w:color="auto" w:fill="FFFFFF" w:themeFill="background1"/>
        <w:spacing w:before="120" w:after="0" w:line="240" w:lineRule="auto"/>
        <w:ind w:left="540" w:hanging="360"/>
        <w:rPr>
          <w:rFonts w:ascii="Times New Roman" w:hAnsi="Times New Roman"/>
          <w:b/>
          <w:smallCaps/>
        </w:rPr>
      </w:pPr>
      <w:r w:rsidRPr="00ED0867">
        <w:rPr>
          <w:rFonts w:ascii="Times New Roman" w:hAnsi="Times New Roman"/>
          <w:b/>
          <w:smallCaps/>
        </w:rPr>
        <w:t xml:space="preserve">c.2. how does the project fit into the GEF agency’s program (reflected in documents such as UNDAF, CAS, etc.) and staff capacity in the country to follow up project implementation: </w:t>
      </w:r>
    </w:p>
    <w:p w:rsidR="00A81902" w:rsidRPr="00ED0867" w:rsidRDefault="00A81902" w:rsidP="00ED0867">
      <w:pPr>
        <w:pStyle w:val="aaa"/>
        <w:numPr>
          <w:ilvl w:val="0"/>
          <w:numId w:val="0"/>
        </w:numPr>
        <w:shd w:val="clear" w:color="auto" w:fill="FFFFFF" w:themeFill="background1"/>
        <w:spacing w:before="120"/>
        <w:ind w:left="180"/>
        <w:jc w:val="both"/>
        <w:rPr>
          <w:sz w:val="21"/>
          <w:szCs w:val="21"/>
        </w:rPr>
      </w:pPr>
      <w:r w:rsidRPr="00ED0867">
        <w:rPr>
          <w:sz w:val="21"/>
          <w:szCs w:val="21"/>
        </w:rPr>
        <w:lastRenderedPageBreak/>
        <w:t xml:space="preserve">During the preparation of the United Nations Development Cooperation Strategy (UNDCS), sustainable land management, biodiversity and climate change have been recognized as priority areas for UN Support to the Government of Turkey. The project fits the newly signed UNDP Country Program Document for Turkey and contributes to the achievement of the UNDP Outcome 3: Strengthening policy formulation and implementation capacity for the protection of the ecosystems…. in line with sustainable development principles and taking into consideration climate change and disaster management. The project is a logical extension to a number of key initiatives undertaken by UNDP in Turkey. UNDP Turkey, </w:t>
      </w:r>
      <w:proofErr w:type="spellStart"/>
      <w:r w:rsidRPr="00ED0867">
        <w:rPr>
          <w:sz w:val="21"/>
          <w:szCs w:val="21"/>
        </w:rPr>
        <w:t>MoEF</w:t>
      </w:r>
      <w:proofErr w:type="spellEnd"/>
      <w:r w:rsidRPr="00ED0867">
        <w:rPr>
          <w:sz w:val="21"/>
          <w:szCs w:val="21"/>
        </w:rPr>
        <w:t xml:space="preserve"> and WWF-Turkey have collaborated since 2008 in the related arenas of forest protected areas, sustainable forest management, and climate change under the umbrella of the UNDP-GEF project “Enhancing coverage and management effectiveness of the subsystem of forest protected areas in Turkey’s national system of protected areas”. In 2010, UNDP Turkey initiated a new project with GDF, in collaboration with a private company, BTC Co. The project focuses on the local implementation of Sustainable Forest Management. The SFM criteria and indicators at local level will be identified and required capacity development activities will be undertaken among forest SMEs, local communities and GDF local branches. With respect to climate change and forestry, UNDP Turkey is playing a leading role in the preparation of the national climate change strategies. Inter alia, UNDP is supporting the development of the National Climate Change Action Plan, development of the Nationally Appropriate Mitigation Action (NAMA) for the forestry sector, and initiatives aimed at mainstreaming gender and democratic governance into climate change strategies. In recognition of the substantial contribution that UNDP has made towards sustainable forest management, the Government of Turkey has requested UNDP to develop a programmatic approach to SFM; melding Government and donor resources to advance sustainable forest management. This is a product of the afore-mentioned activities between the Government and UNDP country office.  The UNDP Country Office will assign five staff members to be responsible for the overall management and supervision of this work. The project will be under the supervision of the Regional Technical Advisor (based in Bratislava), and the Head of the Energy and Sustainable Development unit, who has a Ph.D. in Environmental Economics, MBA in Business Administration, M.Sc. in Environmental Science and Regional Planning, and B.Sc. in Geology and Geochemistry, 15 years of experience in biodiversity, natural resource management and climate management and 10 years of academic research. Direct support will be rendered by an Environment </w:t>
      </w:r>
      <w:proofErr w:type="spellStart"/>
      <w:r w:rsidRPr="00ED0867">
        <w:rPr>
          <w:sz w:val="21"/>
          <w:szCs w:val="21"/>
        </w:rPr>
        <w:t>Programme</w:t>
      </w:r>
      <w:proofErr w:type="spellEnd"/>
      <w:r w:rsidRPr="00ED0867">
        <w:rPr>
          <w:sz w:val="21"/>
          <w:szCs w:val="21"/>
        </w:rPr>
        <w:t xml:space="preserve"> Support Associate with a Masters in Environmental Policies and 8 years of project management experience. Implementation support on Human Resources and Finance will be provided by three staff members – Head of Finance Unit (Ph.D. in Finance and Credit and 10 years of experience in UNDP finance and operations), Procurement Officer (10 years of experience) and HR associate (MA, 20 years of experience in HR).</w:t>
      </w:r>
    </w:p>
    <w:p w:rsidR="00A81902" w:rsidRPr="00ED0867" w:rsidRDefault="00A81902" w:rsidP="00ED0867">
      <w:pPr>
        <w:pStyle w:val="aaa"/>
        <w:numPr>
          <w:ilvl w:val="0"/>
          <w:numId w:val="0"/>
        </w:numPr>
        <w:shd w:val="clear" w:color="auto" w:fill="FFFFFF" w:themeFill="background1"/>
        <w:spacing w:before="120"/>
        <w:ind w:left="180"/>
        <w:jc w:val="both"/>
        <w:rPr>
          <w:sz w:val="21"/>
          <w:szCs w:val="21"/>
        </w:rPr>
      </w:pPr>
    </w:p>
    <w:p w:rsidR="00A81902" w:rsidRPr="00ED0867" w:rsidRDefault="00A81902" w:rsidP="00ED0867">
      <w:pPr>
        <w:pStyle w:val="aaa"/>
        <w:numPr>
          <w:ilvl w:val="0"/>
          <w:numId w:val="0"/>
        </w:numPr>
        <w:shd w:val="clear" w:color="auto" w:fill="FFFFFF" w:themeFill="background1"/>
        <w:spacing w:before="120"/>
        <w:ind w:left="180"/>
        <w:jc w:val="both"/>
        <w:rPr>
          <w:sz w:val="21"/>
          <w:szCs w:val="21"/>
        </w:rPr>
      </w:pPr>
    </w:p>
    <w:p w:rsidR="00A81902" w:rsidRPr="00ED0867" w:rsidRDefault="00A81902" w:rsidP="00ED0867">
      <w:pPr>
        <w:pStyle w:val="Footer"/>
        <w:shd w:val="clear" w:color="auto" w:fill="FFFFFF" w:themeFill="background1"/>
        <w:spacing w:before="120"/>
        <w:ind w:left="180"/>
        <w:rPr>
          <w:b/>
          <w:caps/>
          <w:sz w:val="22"/>
          <w:szCs w:val="22"/>
          <w:u w:val="single"/>
        </w:rPr>
      </w:pPr>
      <w:r w:rsidRPr="00ED0867">
        <w:rPr>
          <w:b/>
          <w:caps/>
          <w:sz w:val="22"/>
          <w:szCs w:val="22"/>
          <w:u w:val="single"/>
        </w:rPr>
        <w:t xml:space="preserve">part iii: approval/endorsement by gef operational focal point(s) and GEF </w:t>
      </w:r>
      <w:proofErr w:type="gramStart"/>
      <w:r w:rsidRPr="00ED0867">
        <w:rPr>
          <w:b/>
          <w:caps/>
          <w:sz w:val="22"/>
          <w:szCs w:val="22"/>
          <w:u w:val="single"/>
        </w:rPr>
        <w:t>agency(</w:t>
      </w:r>
      <w:proofErr w:type="gramEnd"/>
      <w:r w:rsidRPr="00ED0867">
        <w:rPr>
          <w:b/>
          <w:caps/>
          <w:sz w:val="22"/>
          <w:szCs w:val="22"/>
          <w:u w:val="single"/>
        </w:rPr>
        <w:t>ies)</w:t>
      </w:r>
    </w:p>
    <w:p w:rsidR="00A81902" w:rsidRPr="00ED0867" w:rsidRDefault="00A81902" w:rsidP="00ED0867">
      <w:pPr>
        <w:shd w:val="clear" w:color="auto" w:fill="FFFFFF" w:themeFill="background1"/>
        <w:spacing w:before="200" w:after="0" w:line="240" w:lineRule="auto"/>
        <w:ind w:left="540" w:hanging="360"/>
        <w:rPr>
          <w:rFonts w:ascii="Times New Roman" w:hAnsi="Times New Roman"/>
        </w:rPr>
      </w:pPr>
      <w:r w:rsidRPr="00ED0867">
        <w:rPr>
          <w:rFonts w:ascii="Times New Roman" w:hAnsi="Times New Roman"/>
          <w:b/>
          <w:bCs/>
          <w:smallCaps/>
        </w:rPr>
        <w:t>A. Record of Endorsement of GEF Operational Focal Point (S) on Behalf of the Government(S):</w:t>
      </w:r>
      <w:r w:rsidRPr="00ED0867">
        <w:rPr>
          <w:rFonts w:ascii="Times New Roman" w:hAnsi="Times New Roman"/>
        </w:rPr>
        <w:t xml:space="preserve"> (Please attach the</w:t>
      </w:r>
      <w:r w:rsidRPr="00ED0867">
        <w:rPr>
          <w:rFonts w:ascii="Times New Roman" w:hAnsi="Times New Roman"/>
          <w:color w:val="0000FF"/>
        </w:rPr>
        <w:t xml:space="preserve"> </w:t>
      </w:r>
      <w:hyperlink r:id="rId12" w:history="1">
        <w:r w:rsidRPr="00ED0867">
          <w:rPr>
            <w:rStyle w:val="Hyperlink"/>
            <w:rFonts w:ascii="Times New Roman" w:hAnsi="Times New Roman"/>
          </w:rPr>
          <w:t>Operational Focal Point endorsement letter(s)</w:t>
        </w:r>
      </w:hyperlink>
      <w:r w:rsidRPr="00ED0867">
        <w:rPr>
          <w:rFonts w:ascii="Times New Roman" w:hAnsi="Times New Roman"/>
        </w:rPr>
        <w:t xml:space="preserve"> with this template).</w:t>
      </w:r>
    </w:p>
    <w:p w:rsidR="00A81902" w:rsidRPr="00ED0867" w:rsidRDefault="00A81902" w:rsidP="00ED0867">
      <w:pPr>
        <w:shd w:val="clear" w:color="auto" w:fill="FFFFFF" w:themeFill="background1"/>
        <w:spacing w:before="200" w:after="0" w:line="240" w:lineRule="auto"/>
        <w:ind w:left="540" w:hanging="360"/>
        <w:rPr>
          <w:rFonts w:ascii="Times New Roman" w:hAnsi="Times New Roman"/>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070"/>
        <w:gridCol w:w="4230"/>
        <w:gridCol w:w="2340"/>
      </w:tblGrid>
      <w:tr w:rsidR="00A81902" w:rsidRPr="00ED0867" w:rsidTr="00937A56">
        <w:tc>
          <w:tcPr>
            <w:tcW w:w="2610" w:type="dxa"/>
          </w:tcPr>
          <w:p w:rsidR="00A81902" w:rsidRPr="00ED0867" w:rsidRDefault="00A81902" w:rsidP="00ED0867">
            <w:pPr>
              <w:shd w:val="clear" w:color="auto" w:fill="FFFFFF" w:themeFill="background1"/>
              <w:spacing w:after="0" w:line="240" w:lineRule="auto"/>
              <w:ind w:left="180"/>
              <w:jc w:val="both"/>
              <w:rPr>
                <w:rFonts w:ascii="Times New Roman" w:hAnsi="Times New Roman"/>
                <w:b/>
                <w:bCs/>
                <w:smallCaps/>
                <w:sz w:val="20"/>
                <w:szCs w:val="20"/>
              </w:rPr>
            </w:pPr>
            <w:r w:rsidRPr="00ED0867">
              <w:rPr>
                <w:rFonts w:ascii="Times New Roman" w:hAnsi="Times New Roman"/>
                <w:b/>
                <w:bCs/>
                <w:smallCaps/>
                <w:sz w:val="20"/>
                <w:szCs w:val="20"/>
              </w:rPr>
              <w:t>Name</w:t>
            </w:r>
          </w:p>
        </w:tc>
        <w:tc>
          <w:tcPr>
            <w:tcW w:w="2070" w:type="dxa"/>
          </w:tcPr>
          <w:p w:rsidR="00A81902" w:rsidRPr="00ED0867" w:rsidRDefault="00A81902" w:rsidP="00ED0867">
            <w:pPr>
              <w:shd w:val="clear" w:color="auto" w:fill="FFFFFF" w:themeFill="background1"/>
              <w:spacing w:after="0" w:line="240" w:lineRule="auto"/>
              <w:ind w:left="180"/>
              <w:jc w:val="both"/>
              <w:rPr>
                <w:rFonts w:ascii="Times New Roman" w:hAnsi="Times New Roman"/>
                <w:b/>
                <w:bCs/>
                <w:smallCaps/>
                <w:sz w:val="20"/>
                <w:szCs w:val="20"/>
              </w:rPr>
            </w:pPr>
            <w:r w:rsidRPr="00ED0867">
              <w:rPr>
                <w:rFonts w:ascii="Times New Roman" w:hAnsi="Times New Roman"/>
                <w:b/>
                <w:bCs/>
                <w:smallCaps/>
                <w:sz w:val="20"/>
                <w:szCs w:val="20"/>
              </w:rPr>
              <w:t>Position</w:t>
            </w:r>
          </w:p>
        </w:tc>
        <w:tc>
          <w:tcPr>
            <w:tcW w:w="4230" w:type="dxa"/>
          </w:tcPr>
          <w:p w:rsidR="00A81902" w:rsidRPr="00ED0867" w:rsidRDefault="00A81902" w:rsidP="00ED0867">
            <w:pPr>
              <w:shd w:val="clear" w:color="auto" w:fill="FFFFFF" w:themeFill="background1"/>
              <w:spacing w:after="0" w:line="240" w:lineRule="auto"/>
              <w:ind w:left="180"/>
              <w:jc w:val="both"/>
              <w:rPr>
                <w:rFonts w:ascii="Times New Roman" w:hAnsi="Times New Roman"/>
                <w:b/>
                <w:bCs/>
                <w:smallCaps/>
                <w:sz w:val="20"/>
                <w:szCs w:val="20"/>
              </w:rPr>
            </w:pPr>
            <w:r w:rsidRPr="00ED0867">
              <w:rPr>
                <w:rFonts w:ascii="Times New Roman" w:hAnsi="Times New Roman"/>
                <w:b/>
                <w:bCs/>
                <w:smallCaps/>
                <w:sz w:val="20"/>
                <w:szCs w:val="20"/>
              </w:rPr>
              <w:t>Ministry</w:t>
            </w:r>
          </w:p>
        </w:tc>
        <w:tc>
          <w:tcPr>
            <w:tcW w:w="2340" w:type="dxa"/>
          </w:tcPr>
          <w:p w:rsidR="00A81902" w:rsidRPr="00ED0867" w:rsidRDefault="00A81902" w:rsidP="00ED0867">
            <w:pPr>
              <w:shd w:val="clear" w:color="auto" w:fill="FFFFFF" w:themeFill="background1"/>
              <w:spacing w:after="0" w:line="240" w:lineRule="auto"/>
              <w:ind w:left="180"/>
              <w:jc w:val="both"/>
              <w:rPr>
                <w:rFonts w:ascii="Times New Roman" w:hAnsi="Times New Roman"/>
                <w:b/>
                <w:bCs/>
                <w:smallCaps/>
                <w:sz w:val="20"/>
                <w:szCs w:val="20"/>
              </w:rPr>
            </w:pPr>
            <w:r w:rsidRPr="00ED0867">
              <w:rPr>
                <w:rFonts w:ascii="Times New Roman" w:hAnsi="Times New Roman"/>
                <w:b/>
                <w:bCs/>
                <w:smallCaps/>
                <w:sz w:val="20"/>
                <w:szCs w:val="20"/>
              </w:rPr>
              <w:t xml:space="preserve">Date </w:t>
            </w:r>
            <w:bookmarkStart w:id="15" w:name="Text31"/>
            <w:r w:rsidR="00036E5B" w:rsidRPr="00ED0867">
              <w:rPr>
                <w:rFonts w:ascii="Times New Roman" w:hAnsi="Times New Roman"/>
                <w:i/>
                <w:iCs/>
                <w:sz w:val="20"/>
                <w:szCs w:val="20"/>
              </w:rPr>
              <w:fldChar w:fldCharType="begin">
                <w:ffData>
                  <w:name w:val="Text31"/>
                  <w:enabled/>
                  <w:calcOnExit w:val="0"/>
                  <w:helpText w:type="text" w:val="Date of endorsement by the Operational or Political Focal Point."/>
                  <w:textInput>
                    <w:default w:val="(MM/DD/YYYY)"/>
                  </w:textInput>
                </w:ffData>
              </w:fldChar>
            </w:r>
            <w:r w:rsidRPr="00ED0867">
              <w:rPr>
                <w:rFonts w:ascii="Times New Roman" w:hAnsi="Times New Roman"/>
                <w:i/>
                <w:iCs/>
                <w:sz w:val="20"/>
                <w:szCs w:val="20"/>
              </w:rPr>
              <w:instrText xml:space="preserve"> FORMTEXT </w:instrText>
            </w:r>
            <w:r w:rsidR="00036E5B" w:rsidRPr="00ED0867">
              <w:rPr>
                <w:rFonts w:ascii="Times New Roman" w:hAnsi="Times New Roman"/>
                <w:i/>
                <w:iCs/>
                <w:sz w:val="20"/>
                <w:szCs w:val="20"/>
              </w:rPr>
            </w:r>
            <w:r w:rsidR="00036E5B" w:rsidRPr="00ED0867">
              <w:rPr>
                <w:rFonts w:ascii="Times New Roman" w:hAnsi="Times New Roman"/>
                <w:i/>
                <w:iCs/>
                <w:sz w:val="20"/>
                <w:szCs w:val="20"/>
              </w:rPr>
              <w:fldChar w:fldCharType="separate"/>
            </w:r>
            <w:r w:rsidRPr="00ED0867">
              <w:rPr>
                <w:rFonts w:ascii="Times New Roman" w:hAnsi="Times New Roman"/>
                <w:i/>
                <w:iCs/>
                <w:noProof/>
                <w:sz w:val="20"/>
                <w:szCs w:val="20"/>
              </w:rPr>
              <w:t>(MM/DD/YYYY)</w:t>
            </w:r>
            <w:r w:rsidR="00036E5B" w:rsidRPr="00ED0867">
              <w:rPr>
                <w:rFonts w:ascii="Times New Roman" w:hAnsi="Times New Roman"/>
                <w:i/>
                <w:iCs/>
                <w:sz w:val="20"/>
                <w:szCs w:val="20"/>
              </w:rPr>
              <w:fldChar w:fldCharType="end"/>
            </w:r>
            <w:bookmarkEnd w:id="15"/>
          </w:p>
        </w:tc>
      </w:tr>
      <w:tr w:rsidR="00A81902" w:rsidRPr="00ED0867" w:rsidTr="00937A56">
        <w:tc>
          <w:tcPr>
            <w:tcW w:w="2610" w:type="dxa"/>
          </w:tcPr>
          <w:p w:rsidR="00A81902" w:rsidRPr="00ED0867" w:rsidRDefault="00A81902" w:rsidP="00ED0867">
            <w:pPr>
              <w:shd w:val="clear" w:color="auto" w:fill="FFFFFF" w:themeFill="background1"/>
              <w:spacing w:after="0" w:line="240" w:lineRule="auto"/>
              <w:ind w:left="72"/>
              <w:rPr>
                <w:rFonts w:ascii="Times New Roman" w:hAnsi="Times New Roman"/>
                <w:sz w:val="20"/>
                <w:szCs w:val="20"/>
              </w:rPr>
            </w:pPr>
            <w:r w:rsidRPr="00ED0867">
              <w:rPr>
                <w:rFonts w:ascii="Times New Roman" w:hAnsi="Times New Roman"/>
                <w:noProof/>
                <w:sz w:val="20"/>
                <w:szCs w:val="20"/>
              </w:rPr>
              <w:t>Mr. Prof. Dr. Lutfi AKCA</w:t>
            </w:r>
          </w:p>
        </w:tc>
        <w:tc>
          <w:tcPr>
            <w:tcW w:w="2070" w:type="dxa"/>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Undersecretary</w:t>
            </w:r>
          </w:p>
        </w:tc>
        <w:tc>
          <w:tcPr>
            <w:tcW w:w="4230" w:type="dxa"/>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Ministry of Environment and Forestry</w:t>
            </w:r>
          </w:p>
        </w:tc>
        <w:tc>
          <w:tcPr>
            <w:tcW w:w="2340" w:type="dxa"/>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16 February 2011</w:t>
            </w:r>
          </w:p>
        </w:tc>
      </w:tr>
    </w:tbl>
    <w:p w:rsidR="00A81902" w:rsidRPr="00ED0867" w:rsidRDefault="00A81902" w:rsidP="00ED0867">
      <w:pPr>
        <w:pStyle w:val="Footer"/>
        <w:shd w:val="clear" w:color="auto" w:fill="FFFFFF" w:themeFill="background1"/>
        <w:tabs>
          <w:tab w:val="clear" w:pos="4320"/>
          <w:tab w:val="clear" w:pos="8640"/>
        </w:tabs>
        <w:spacing w:before="200"/>
        <w:ind w:left="180"/>
        <w:rPr>
          <w:b/>
          <w:smallCaps/>
          <w:sz w:val="22"/>
          <w:szCs w:val="22"/>
        </w:rPr>
      </w:pPr>
      <w:r w:rsidRPr="00ED0867">
        <w:rPr>
          <w:b/>
          <w:smallCaps/>
          <w:sz w:val="22"/>
          <w:szCs w:val="22"/>
        </w:rPr>
        <w:t xml:space="preserve">B. GEF </w:t>
      </w:r>
      <w:proofErr w:type="gramStart"/>
      <w:r w:rsidRPr="00ED0867">
        <w:rPr>
          <w:b/>
          <w:smallCaps/>
          <w:sz w:val="22"/>
          <w:szCs w:val="22"/>
        </w:rPr>
        <w:t>Agency(</w:t>
      </w:r>
      <w:proofErr w:type="spellStart"/>
      <w:proofErr w:type="gramEnd"/>
      <w:r w:rsidRPr="00ED0867">
        <w:rPr>
          <w:b/>
          <w:smallCaps/>
          <w:sz w:val="22"/>
          <w:szCs w:val="22"/>
        </w:rPr>
        <w:t>ies</w:t>
      </w:r>
      <w:proofErr w:type="spellEnd"/>
      <w:r w:rsidRPr="00ED0867">
        <w:rPr>
          <w:b/>
          <w:smallCaps/>
          <w:sz w:val="22"/>
          <w:szCs w:val="22"/>
        </w:rPr>
        <w:t>) Certification</w:t>
      </w:r>
    </w:p>
    <w:tbl>
      <w:tblPr>
        <w:tblW w:w="115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1482"/>
        <w:gridCol w:w="996"/>
        <w:gridCol w:w="1539"/>
        <w:gridCol w:w="1880"/>
        <w:gridCol w:w="2769"/>
      </w:tblGrid>
      <w:tr w:rsidR="00A81902" w:rsidRPr="00ED0867" w:rsidTr="00F909F7">
        <w:trPr>
          <w:cantSplit/>
          <w:trHeight w:val="440"/>
        </w:trPr>
        <w:tc>
          <w:tcPr>
            <w:tcW w:w="11567" w:type="dxa"/>
            <w:gridSpan w:val="6"/>
          </w:tcPr>
          <w:p w:rsidR="00A81902" w:rsidRPr="00ED0867" w:rsidRDefault="00A81902" w:rsidP="00ED0867">
            <w:pPr>
              <w:shd w:val="clear" w:color="auto" w:fill="FFFFFF" w:themeFill="background1"/>
              <w:spacing w:after="0" w:line="240" w:lineRule="auto"/>
              <w:ind w:left="180"/>
              <w:rPr>
                <w:rFonts w:ascii="Times New Roman" w:hAnsi="Times New Roman"/>
                <w:sz w:val="20"/>
                <w:szCs w:val="20"/>
              </w:rPr>
            </w:pPr>
            <w:r w:rsidRPr="00ED0867">
              <w:rPr>
                <w:rFonts w:ascii="Times New Roman" w:hAnsi="Times New Roman"/>
                <w:sz w:val="20"/>
                <w:szCs w:val="20"/>
              </w:rPr>
              <w:t>This request has been prepared in accordance with GEF policies and procedures and meets the GEF criteria for project identification and preparation.</w:t>
            </w:r>
          </w:p>
        </w:tc>
      </w:tr>
      <w:tr w:rsidR="00A81902" w:rsidRPr="00ED0867" w:rsidTr="00F909F7">
        <w:tblPrEx>
          <w:tblLook w:val="01E0"/>
        </w:tblPrEx>
        <w:tc>
          <w:tcPr>
            <w:tcW w:w="2950"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 xml:space="preserve">Agency Coordinator </w:t>
            </w:r>
          </w:p>
        </w:tc>
        <w:tc>
          <w:tcPr>
            <w:tcW w:w="1433"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Signature</w:t>
            </w:r>
          </w:p>
        </w:tc>
        <w:tc>
          <w:tcPr>
            <w:tcW w:w="999"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Date</w:t>
            </w:r>
          </w:p>
        </w:tc>
        <w:tc>
          <w:tcPr>
            <w:tcW w:w="1548"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Project Contact</w:t>
            </w:r>
          </w:p>
        </w:tc>
        <w:tc>
          <w:tcPr>
            <w:tcW w:w="1890"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Telephone</w:t>
            </w:r>
          </w:p>
        </w:tc>
        <w:tc>
          <w:tcPr>
            <w:tcW w:w="2747"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b/>
                <w:sz w:val="20"/>
                <w:szCs w:val="20"/>
              </w:rPr>
            </w:pPr>
            <w:r w:rsidRPr="00ED0867">
              <w:rPr>
                <w:rFonts w:ascii="Times New Roman" w:hAnsi="Times New Roman"/>
                <w:b/>
                <w:sz w:val="20"/>
                <w:szCs w:val="20"/>
              </w:rPr>
              <w:t>Email Address</w:t>
            </w:r>
          </w:p>
        </w:tc>
      </w:tr>
      <w:tr w:rsidR="00A81902" w:rsidRPr="00404817" w:rsidTr="00F909F7">
        <w:tblPrEx>
          <w:tblLook w:val="01E0"/>
        </w:tblPrEx>
        <w:tc>
          <w:tcPr>
            <w:tcW w:w="2950"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proofErr w:type="spellStart"/>
            <w:r w:rsidRPr="00ED0867">
              <w:rPr>
                <w:rFonts w:ascii="Times New Roman" w:hAnsi="Times New Roman"/>
                <w:sz w:val="20"/>
                <w:szCs w:val="20"/>
              </w:rPr>
              <w:t>Yannick</w:t>
            </w:r>
            <w:proofErr w:type="spellEnd"/>
            <w:r w:rsidRPr="00ED0867">
              <w:rPr>
                <w:rFonts w:ascii="Times New Roman" w:hAnsi="Times New Roman"/>
                <w:sz w:val="20"/>
                <w:szCs w:val="20"/>
              </w:rPr>
              <w:t xml:space="preserve"> </w:t>
            </w:r>
            <w:proofErr w:type="spellStart"/>
            <w:r w:rsidRPr="00ED0867">
              <w:rPr>
                <w:rFonts w:ascii="Times New Roman" w:hAnsi="Times New Roman"/>
                <w:sz w:val="20"/>
                <w:szCs w:val="20"/>
              </w:rPr>
              <w:t>Glemarec</w:t>
            </w:r>
            <w:proofErr w:type="spellEnd"/>
            <w:r w:rsidRPr="00ED0867">
              <w:rPr>
                <w:rFonts w:ascii="Times New Roman" w:hAnsi="Times New Roman"/>
                <w:sz w:val="20"/>
                <w:szCs w:val="20"/>
              </w:rPr>
              <w:t>, UNDP-GEF Executive Coordinator</w:t>
            </w:r>
          </w:p>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p>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p>
        </w:tc>
        <w:tc>
          <w:tcPr>
            <w:tcW w:w="1433" w:type="dxa"/>
          </w:tcPr>
          <w:p w:rsidR="00A81902" w:rsidRPr="00ED0867" w:rsidRDefault="00D97D98" w:rsidP="00ED0867">
            <w:pPr>
              <w:shd w:val="clear" w:color="auto" w:fill="FFFFFF" w:themeFill="background1"/>
              <w:spacing w:after="0" w:line="240" w:lineRule="auto"/>
              <w:ind w:left="180"/>
              <w:jc w:val="center"/>
              <w:rPr>
                <w:rFonts w:ascii="Times New Roman" w:hAnsi="Times New Roman"/>
                <w:sz w:val="20"/>
                <w:szCs w:val="20"/>
              </w:rPr>
            </w:pPr>
            <w:r w:rsidRPr="00ED0867">
              <w:rPr>
                <w:rFonts w:ascii="Times New Roman" w:hAnsi="Times New Roman"/>
                <w:noProof/>
                <w:sz w:val="20"/>
                <w:szCs w:val="20"/>
              </w:rPr>
              <w:drawing>
                <wp:inline distT="0" distB="0" distL="0" distR="0">
                  <wp:extent cx="670560" cy="922020"/>
                  <wp:effectExtent l="19050" t="0" r="0" b="0"/>
                  <wp:docPr id="1" name="Picture 1" descr="C:\Documents and Settings\marianna.gindin\Local Settings\Temporary Internet Files\Content.Outlook\E074D6YU\YG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anna.gindin\Local Settings\Temporary Internet Files\Content.Outlook\E074D6YU\YG Signature.jpg"/>
                          <pic:cNvPicPr>
                            <a:picLocks noChangeAspect="1" noChangeArrowheads="1"/>
                          </pic:cNvPicPr>
                        </pic:nvPicPr>
                        <pic:blipFill>
                          <a:blip r:embed="rId13"/>
                          <a:srcRect/>
                          <a:stretch>
                            <a:fillRect/>
                          </a:stretch>
                        </pic:blipFill>
                        <pic:spPr bwMode="auto">
                          <a:xfrm>
                            <a:off x="0" y="0"/>
                            <a:ext cx="670560" cy="922020"/>
                          </a:xfrm>
                          <a:prstGeom prst="rect">
                            <a:avLst/>
                          </a:prstGeom>
                          <a:noFill/>
                          <a:ln w="9525">
                            <a:noFill/>
                            <a:miter lim="800000"/>
                            <a:headEnd/>
                            <a:tailEnd/>
                          </a:ln>
                        </pic:spPr>
                      </pic:pic>
                    </a:graphicData>
                  </a:graphic>
                </wp:inline>
              </w:drawing>
            </w:r>
          </w:p>
        </w:tc>
        <w:tc>
          <w:tcPr>
            <w:tcW w:w="999" w:type="dxa"/>
          </w:tcPr>
          <w:p w:rsidR="00A81902" w:rsidRPr="00ED0867" w:rsidRDefault="00D97D98" w:rsidP="00ED0867">
            <w:pPr>
              <w:shd w:val="clear" w:color="auto" w:fill="FFFFFF" w:themeFill="background1"/>
              <w:spacing w:after="0" w:line="240" w:lineRule="auto"/>
              <w:ind w:left="180"/>
              <w:jc w:val="center"/>
              <w:rPr>
                <w:rFonts w:ascii="Times New Roman" w:hAnsi="Times New Roman"/>
                <w:sz w:val="20"/>
                <w:szCs w:val="20"/>
              </w:rPr>
            </w:pPr>
            <w:r w:rsidRPr="00ED0867">
              <w:rPr>
                <w:rFonts w:ascii="Times New Roman" w:hAnsi="Times New Roman"/>
                <w:sz w:val="20"/>
                <w:szCs w:val="20"/>
              </w:rPr>
              <w:t>March 18, 2011</w:t>
            </w:r>
          </w:p>
        </w:tc>
        <w:tc>
          <w:tcPr>
            <w:tcW w:w="1548"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r w:rsidRPr="00ED0867">
              <w:rPr>
                <w:rFonts w:ascii="Times New Roman" w:hAnsi="Times New Roman"/>
                <w:sz w:val="20"/>
                <w:szCs w:val="20"/>
              </w:rPr>
              <w:t xml:space="preserve">Adriana </w:t>
            </w:r>
            <w:proofErr w:type="spellStart"/>
            <w:r w:rsidRPr="00ED0867">
              <w:rPr>
                <w:rFonts w:ascii="Times New Roman" w:hAnsi="Times New Roman"/>
                <w:sz w:val="20"/>
                <w:szCs w:val="20"/>
              </w:rPr>
              <w:t>Dinu</w:t>
            </w:r>
            <w:proofErr w:type="spellEnd"/>
          </w:p>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r w:rsidRPr="00ED0867">
              <w:rPr>
                <w:rFonts w:ascii="Times New Roman" w:hAnsi="Times New Roman"/>
                <w:sz w:val="20"/>
                <w:szCs w:val="20"/>
              </w:rPr>
              <w:t xml:space="preserve">Maxim </w:t>
            </w:r>
            <w:proofErr w:type="spellStart"/>
            <w:r w:rsidRPr="00ED0867">
              <w:rPr>
                <w:rFonts w:ascii="Times New Roman" w:hAnsi="Times New Roman"/>
                <w:sz w:val="20"/>
                <w:szCs w:val="20"/>
              </w:rPr>
              <w:t>Vergeichik</w:t>
            </w:r>
            <w:proofErr w:type="spellEnd"/>
          </w:p>
        </w:tc>
        <w:tc>
          <w:tcPr>
            <w:tcW w:w="1890" w:type="dxa"/>
          </w:tcPr>
          <w:p w:rsidR="00A81902" w:rsidRPr="00ED0867" w:rsidRDefault="00A81902" w:rsidP="00ED0867">
            <w:pPr>
              <w:shd w:val="clear" w:color="auto" w:fill="FFFFFF" w:themeFill="background1"/>
              <w:spacing w:after="0" w:line="240" w:lineRule="auto"/>
              <w:ind w:left="180"/>
              <w:jc w:val="center"/>
              <w:rPr>
                <w:rFonts w:ascii="Times New Roman" w:hAnsi="Times New Roman"/>
                <w:sz w:val="20"/>
                <w:szCs w:val="20"/>
              </w:rPr>
            </w:pPr>
            <w:r w:rsidRPr="00ED0867">
              <w:rPr>
                <w:rFonts w:ascii="Times New Roman" w:hAnsi="Times New Roman"/>
                <w:sz w:val="20"/>
                <w:szCs w:val="20"/>
              </w:rPr>
              <w:t>+ 421259337332</w:t>
            </w:r>
          </w:p>
        </w:tc>
        <w:tc>
          <w:tcPr>
            <w:tcW w:w="2747" w:type="dxa"/>
          </w:tcPr>
          <w:p w:rsidR="00A81902" w:rsidRPr="00ED0867" w:rsidRDefault="00036E5B" w:rsidP="00ED0867">
            <w:pPr>
              <w:shd w:val="clear" w:color="auto" w:fill="FFFFFF" w:themeFill="background1"/>
              <w:spacing w:after="0" w:line="240" w:lineRule="auto"/>
              <w:ind w:left="180"/>
              <w:jc w:val="center"/>
              <w:rPr>
                <w:rFonts w:ascii="Times New Roman" w:hAnsi="Times New Roman"/>
                <w:sz w:val="20"/>
                <w:szCs w:val="20"/>
              </w:rPr>
            </w:pPr>
            <w:hyperlink r:id="rId14" w:history="1">
              <w:r w:rsidR="00A81902" w:rsidRPr="00ED0867">
                <w:rPr>
                  <w:rStyle w:val="Hyperlink"/>
                  <w:rFonts w:ascii="Times New Roman" w:hAnsi="Times New Roman"/>
                  <w:sz w:val="20"/>
                  <w:szCs w:val="20"/>
                </w:rPr>
                <w:t>Adriana.dinu@undp.org</w:t>
              </w:r>
            </w:hyperlink>
          </w:p>
          <w:p w:rsidR="00A81902" w:rsidRPr="00404817" w:rsidRDefault="00036E5B" w:rsidP="00ED0867">
            <w:pPr>
              <w:shd w:val="clear" w:color="auto" w:fill="FFFFFF" w:themeFill="background1"/>
              <w:spacing w:after="0" w:line="240" w:lineRule="auto"/>
              <w:ind w:left="180"/>
              <w:jc w:val="center"/>
              <w:rPr>
                <w:rFonts w:ascii="Times New Roman" w:hAnsi="Times New Roman"/>
                <w:sz w:val="20"/>
                <w:szCs w:val="20"/>
              </w:rPr>
            </w:pPr>
            <w:hyperlink r:id="rId15" w:history="1">
              <w:r w:rsidR="00A81902" w:rsidRPr="00ED0867">
                <w:rPr>
                  <w:rStyle w:val="Hyperlink"/>
                  <w:rFonts w:ascii="Times New Roman" w:hAnsi="Times New Roman"/>
                  <w:sz w:val="20"/>
                  <w:szCs w:val="20"/>
                </w:rPr>
                <w:t>Maxim.vergeichik@undp.org</w:t>
              </w:r>
            </w:hyperlink>
            <w:r w:rsidR="00A81902">
              <w:rPr>
                <w:rFonts w:ascii="Times New Roman" w:hAnsi="Times New Roman"/>
                <w:sz w:val="20"/>
                <w:szCs w:val="20"/>
              </w:rPr>
              <w:t xml:space="preserve"> </w:t>
            </w:r>
          </w:p>
        </w:tc>
      </w:tr>
    </w:tbl>
    <w:p w:rsidR="00A81902" w:rsidRPr="00961446" w:rsidRDefault="00A81902" w:rsidP="00ED0867">
      <w:pPr>
        <w:shd w:val="clear" w:color="auto" w:fill="FFFFFF" w:themeFill="background1"/>
        <w:spacing w:after="0"/>
        <w:rPr>
          <w:sz w:val="16"/>
          <w:szCs w:val="16"/>
        </w:rPr>
      </w:pPr>
    </w:p>
    <w:sectPr w:rsidR="00A81902" w:rsidRPr="00961446" w:rsidSect="00937A56">
      <w:footerReference w:type="even" r:id="rId16"/>
      <w:footerReference w:type="default" r:id="rId17"/>
      <w:pgSz w:w="12240" w:h="15840"/>
      <w:pgMar w:top="720" w:right="810" w:bottom="810" w:left="63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867" w:rsidRDefault="00ED0867" w:rsidP="00417ACA">
      <w:pPr>
        <w:spacing w:after="0" w:line="240" w:lineRule="auto"/>
      </w:pPr>
      <w:r>
        <w:separator/>
      </w:r>
    </w:p>
  </w:endnote>
  <w:endnote w:type="continuationSeparator" w:id="0">
    <w:p w:rsidR="00ED0867" w:rsidRDefault="00ED0867" w:rsidP="00417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altName w:val="Times New Roman"/>
    <w:charset w:val="00"/>
    <w:family w:val="auto"/>
    <w:pitch w:val="variable"/>
    <w:sig w:usb0="00000000" w:usb1="00000000" w:usb2="00000000" w:usb3="00000000" w:csb0="00000000" w:csb1="00000000"/>
  </w:font>
  <w:font w:name="DBPIDK+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7" w:rsidRDefault="00ED0867" w:rsidP="00717C34">
    <w:pPr>
      <w:pStyle w:val="Footer"/>
      <w:framePr w:wrap="around" w:vAnchor="text" w:hAnchor="margin" w:xAlign="right" w:y="1"/>
      <w:rPr>
        <w:rStyle w:val="PageNumber"/>
        <w:rFonts w:ascii="Calibri" w:hAnsi="Calibri"/>
        <w:sz w:val="22"/>
        <w:szCs w:val="22"/>
      </w:rPr>
    </w:pPr>
    <w:r>
      <w:rPr>
        <w:rStyle w:val="PageNumber"/>
      </w:rPr>
      <w:fldChar w:fldCharType="begin"/>
    </w:r>
    <w:r>
      <w:rPr>
        <w:rStyle w:val="PageNumber"/>
      </w:rPr>
      <w:instrText xml:space="preserve">PAGE  </w:instrText>
    </w:r>
    <w:r>
      <w:rPr>
        <w:rStyle w:val="PageNumber"/>
      </w:rPr>
      <w:fldChar w:fldCharType="end"/>
    </w:r>
  </w:p>
  <w:p w:rsidR="00ED0867" w:rsidRDefault="00ED08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7" w:rsidRDefault="00ED0867" w:rsidP="00717C34">
    <w:pPr>
      <w:pStyle w:val="Footer"/>
      <w:framePr w:wrap="around" w:vAnchor="text" w:hAnchor="margin" w:xAlign="right" w:y="1"/>
      <w:rPr>
        <w:rStyle w:val="PageNumber"/>
        <w:rFonts w:ascii="Calibri" w:hAnsi="Calibri"/>
        <w:sz w:val="22"/>
        <w:szCs w:val="22"/>
      </w:rPr>
    </w:pPr>
    <w:r>
      <w:rPr>
        <w:rStyle w:val="PageNumber"/>
        <w:sz w:val="20"/>
      </w:rPr>
      <w:fldChar w:fldCharType="begin"/>
    </w:r>
    <w:r>
      <w:rPr>
        <w:rStyle w:val="PageNumber"/>
        <w:sz w:val="20"/>
      </w:rPr>
      <w:instrText xml:space="preserve">PAGE  </w:instrText>
    </w:r>
    <w:r>
      <w:rPr>
        <w:rStyle w:val="PageNumber"/>
        <w:sz w:val="20"/>
      </w:rPr>
      <w:fldChar w:fldCharType="separate"/>
    </w:r>
    <w:r w:rsidR="004D044A">
      <w:rPr>
        <w:rStyle w:val="PageNumber"/>
        <w:noProof/>
        <w:sz w:val="20"/>
      </w:rPr>
      <w:t>1</w:t>
    </w:r>
    <w:r>
      <w:rPr>
        <w:rStyle w:val="PageNumber"/>
        <w:sz w:val="20"/>
      </w:rPr>
      <w:fldChar w:fldCharType="end"/>
    </w:r>
  </w:p>
  <w:p w:rsidR="00ED0867" w:rsidRDefault="00ED0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867" w:rsidRDefault="00ED0867" w:rsidP="00417ACA">
      <w:pPr>
        <w:spacing w:after="0" w:line="240" w:lineRule="auto"/>
      </w:pPr>
      <w:r>
        <w:separator/>
      </w:r>
    </w:p>
  </w:footnote>
  <w:footnote w:type="continuationSeparator" w:id="0">
    <w:p w:rsidR="00ED0867" w:rsidRDefault="00ED0867" w:rsidP="00417ACA">
      <w:pPr>
        <w:spacing w:after="0" w:line="240" w:lineRule="auto"/>
      </w:pPr>
      <w:r>
        <w:continuationSeparator/>
      </w:r>
    </w:p>
  </w:footnote>
  <w:footnote w:id="1">
    <w:p w:rsidR="00ED0867" w:rsidRDefault="00ED0867" w:rsidP="00ED0867">
      <w:pPr>
        <w:pStyle w:val="FootnoteText"/>
        <w:shd w:val="clear" w:color="auto" w:fill="FFFFFF" w:themeFill="background1"/>
      </w:pPr>
      <w:r w:rsidRPr="00ED0867">
        <w:rPr>
          <w:rStyle w:val="FootnoteReference"/>
          <w:sz w:val="16"/>
          <w:szCs w:val="16"/>
        </w:rPr>
        <w:footnoteRef/>
      </w:r>
      <w:r w:rsidRPr="00ED0867">
        <w:rPr>
          <w:sz w:val="16"/>
          <w:szCs w:val="16"/>
        </w:rPr>
        <w:t xml:space="preserve"> The calculations are based on best assessments at the PIF stage. They will be re-calibrated at the PPG, and later established with precision through the MRV system application during the life of the project.</w:t>
      </w:r>
    </w:p>
  </w:footnote>
  <w:footnote w:id="2">
    <w:p w:rsidR="00ED0867" w:rsidRDefault="00ED0867">
      <w:pPr>
        <w:pStyle w:val="FootnoteText"/>
      </w:pPr>
      <w:r w:rsidRPr="00AD4193">
        <w:rPr>
          <w:rStyle w:val="FootnoteReference"/>
          <w:sz w:val="16"/>
          <w:szCs w:val="16"/>
        </w:rPr>
        <w:footnoteRef/>
      </w:r>
      <w:r w:rsidRPr="00AD4193">
        <w:rPr>
          <w:sz w:val="16"/>
          <w:szCs w:val="16"/>
        </w:rPr>
        <w:t xml:space="preserve"> </w:t>
      </w:r>
      <w:r w:rsidRPr="00AD4193">
        <w:rPr>
          <w:sz w:val="16"/>
          <w:szCs w:val="16"/>
          <w:lang w:val="en-GB"/>
        </w:rPr>
        <w:t>Based on Global Forest Resources Assessment 2000 by FAO</w:t>
      </w:r>
      <w:r w:rsidRPr="0081461E">
        <w:rPr>
          <w:sz w:val="16"/>
          <w:szCs w:val="16"/>
          <w:lang w:val="en-GB"/>
        </w:rPr>
        <w:t>, and hence based on FAO’s definition of forests.</w:t>
      </w:r>
    </w:p>
  </w:footnote>
  <w:footnote w:id="3">
    <w:p w:rsidR="00ED0867" w:rsidRDefault="00ED0867">
      <w:pPr>
        <w:pStyle w:val="FootnoteText"/>
      </w:pPr>
      <w:r>
        <w:rPr>
          <w:rStyle w:val="FootnoteReference"/>
        </w:rPr>
        <w:footnoteRef/>
      </w:r>
      <w:r>
        <w:t xml:space="preserve"> </w:t>
      </w:r>
      <w:r w:rsidRPr="0081461E">
        <w:rPr>
          <w:sz w:val="16"/>
          <w:szCs w:val="16"/>
        </w:rPr>
        <w:t xml:space="preserve">Quantifying Carbon Budgets </w:t>
      </w:r>
      <w:proofErr w:type="gramStart"/>
      <w:r w:rsidRPr="0081461E">
        <w:rPr>
          <w:sz w:val="16"/>
          <w:szCs w:val="16"/>
        </w:rPr>
        <w:t>Of</w:t>
      </w:r>
      <w:proofErr w:type="gramEnd"/>
      <w:r w:rsidRPr="0081461E">
        <w:rPr>
          <w:sz w:val="16"/>
          <w:szCs w:val="16"/>
        </w:rPr>
        <w:t xml:space="preserve"> Conifer Mediterranean Forest Ecosystems. </w:t>
      </w:r>
      <w:proofErr w:type="gramStart"/>
      <w:r w:rsidRPr="0081461E">
        <w:rPr>
          <w:sz w:val="16"/>
          <w:szCs w:val="16"/>
        </w:rPr>
        <w:t xml:space="preserve">By </w:t>
      </w:r>
      <w:hyperlink r:id="rId1" w:tooltip="View content where Author is Fatih Evrendilek" w:history="1">
        <w:proofErr w:type="spellStart"/>
        <w:r w:rsidRPr="0081461E">
          <w:rPr>
            <w:rStyle w:val="Hyperlink"/>
            <w:sz w:val="16"/>
            <w:szCs w:val="16"/>
          </w:rPr>
          <w:t>Fatih</w:t>
        </w:r>
        <w:proofErr w:type="spellEnd"/>
        <w:r w:rsidRPr="0081461E">
          <w:rPr>
            <w:rStyle w:val="Hyperlink"/>
            <w:sz w:val="16"/>
            <w:szCs w:val="16"/>
          </w:rPr>
          <w:t xml:space="preserve"> </w:t>
        </w:r>
        <w:proofErr w:type="spellStart"/>
        <w:r w:rsidRPr="0081461E">
          <w:rPr>
            <w:rStyle w:val="Hyperlink"/>
            <w:sz w:val="16"/>
            <w:szCs w:val="16"/>
          </w:rPr>
          <w:t>Evrendilek</w:t>
        </w:r>
        <w:proofErr w:type="spellEnd"/>
      </w:hyperlink>
      <w:r w:rsidRPr="0081461E">
        <w:rPr>
          <w:sz w:val="16"/>
          <w:szCs w:val="16"/>
        </w:rPr>
        <w:t>, et.al.</w:t>
      </w:r>
      <w:proofErr w:type="gramEnd"/>
      <w:r w:rsidRPr="0081461E">
        <w:rPr>
          <w:sz w:val="16"/>
          <w:szCs w:val="16"/>
        </w:rPr>
        <w:t xml:space="preserve"> Environmental Monitoring and Assessment V. 119</w:t>
      </w:r>
    </w:p>
  </w:footnote>
  <w:footnote w:id="4">
    <w:p w:rsidR="00ED0867" w:rsidRDefault="00ED0867">
      <w:pPr>
        <w:pStyle w:val="FootnoteText"/>
      </w:pPr>
      <w:r>
        <w:rPr>
          <w:rStyle w:val="FootnoteReference"/>
        </w:rPr>
        <w:footnoteRef/>
      </w:r>
      <w:r>
        <w:t xml:space="preserve"> </w:t>
      </w:r>
      <w:proofErr w:type="gramStart"/>
      <w:r w:rsidRPr="0081461E">
        <w:rPr>
          <w:sz w:val="16"/>
          <w:szCs w:val="16"/>
        </w:rPr>
        <w:t>Calculated on the basis of data presented in the Report of the UNFCCC on the in-depth review of the First National Communication of Turkey.</w:t>
      </w:r>
      <w:proofErr w:type="gramEnd"/>
      <w:r w:rsidRPr="0081461E">
        <w:rPr>
          <w:sz w:val="16"/>
          <w:szCs w:val="16"/>
        </w:rPr>
        <w:t xml:space="preserve"> No precise direct calculations are available.</w:t>
      </w:r>
    </w:p>
  </w:footnote>
  <w:footnote w:id="5">
    <w:p w:rsidR="00ED0867" w:rsidRDefault="00ED0867">
      <w:pPr>
        <w:pStyle w:val="FootnoteText"/>
      </w:pPr>
      <w:r>
        <w:rPr>
          <w:rStyle w:val="FootnoteReference"/>
        </w:rPr>
        <w:footnoteRef/>
      </w:r>
      <w:r>
        <w:t xml:space="preserve"> </w:t>
      </w:r>
      <w:r w:rsidRPr="0081461E">
        <w:rPr>
          <w:sz w:val="16"/>
          <w:szCs w:val="16"/>
        </w:rPr>
        <w:t xml:space="preserve">The First National Communication of Turkey attributes this to </w:t>
      </w:r>
      <w:r w:rsidRPr="0081461E">
        <w:rPr>
          <w:sz w:val="16"/>
          <w:szCs w:val="16"/>
          <w:lang w:val="en-GB"/>
        </w:rPr>
        <w:t>a slow-down in rural development</w:t>
      </w:r>
    </w:p>
  </w:footnote>
  <w:footnote w:id="6">
    <w:p w:rsidR="00ED0867" w:rsidRDefault="00ED0867">
      <w:pPr>
        <w:pStyle w:val="FootnoteText"/>
      </w:pPr>
      <w:r>
        <w:rPr>
          <w:rStyle w:val="FootnoteReference"/>
        </w:rPr>
        <w:footnoteRef/>
      </w:r>
      <w:r>
        <w:t xml:space="preserve"> </w:t>
      </w:r>
      <w:r w:rsidRPr="0081461E">
        <w:rPr>
          <w:sz w:val="16"/>
          <w:szCs w:val="16"/>
        </w:rPr>
        <w:t>These are still classified as forests by Government, although this runs contrary to FAO definition of forests.</w:t>
      </w:r>
    </w:p>
  </w:footnote>
  <w:footnote w:id="7">
    <w:p w:rsidR="00ED0867" w:rsidRDefault="00ED0867">
      <w:pPr>
        <w:pStyle w:val="FootnoteText"/>
      </w:pPr>
      <w:r>
        <w:rPr>
          <w:rStyle w:val="FootnoteReference"/>
        </w:rPr>
        <w:footnoteRef/>
      </w:r>
      <w:r>
        <w:t xml:space="preserve"> </w:t>
      </w:r>
      <w:proofErr w:type="gramStart"/>
      <w:r w:rsidRPr="0081461E">
        <w:rPr>
          <w:sz w:val="16"/>
          <w:szCs w:val="16"/>
        </w:rPr>
        <w:t>Excluding post fire emissions and rehabilitation potential.</w:t>
      </w:r>
      <w:proofErr w:type="gramEnd"/>
    </w:p>
  </w:footnote>
  <w:footnote w:id="8">
    <w:p w:rsidR="00ED0867" w:rsidRDefault="00ED0867">
      <w:pPr>
        <w:pStyle w:val="FootnoteText"/>
      </w:pPr>
      <w:r>
        <w:rPr>
          <w:rStyle w:val="FootnoteReference"/>
        </w:rPr>
        <w:footnoteRef/>
      </w:r>
      <w:r>
        <w:t xml:space="preserve"> </w:t>
      </w:r>
      <w:proofErr w:type="gramStart"/>
      <w:r w:rsidRPr="0081461E">
        <w:rPr>
          <w:sz w:val="16"/>
          <w:szCs w:val="16"/>
        </w:rPr>
        <w:t>General Directorate for Forestry</w:t>
      </w:r>
      <w:r>
        <w:rPr>
          <w:sz w:val="16"/>
          <w:szCs w:val="16"/>
        </w:rPr>
        <w:t>.</w:t>
      </w:r>
      <w:proofErr w:type="gramEnd"/>
    </w:p>
  </w:footnote>
  <w:footnote w:id="9">
    <w:p w:rsidR="00ED0867" w:rsidRDefault="00ED0867" w:rsidP="00796D28">
      <w:pPr>
        <w:pStyle w:val="FootnoteText"/>
      </w:pPr>
      <w:r>
        <w:rPr>
          <w:rStyle w:val="FootnoteReference"/>
        </w:rPr>
        <w:footnoteRef/>
      </w:r>
      <w:r>
        <w:t xml:space="preserve"> </w:t>
      </w:r>
      <w:r w:rsidRPr="000B3B7E">
        <w:rPr>
          <w:sz w:val="16"/>
          <w:szCs w:val="16"/>
        </w:rPr>
        <w:t>METT baseline and target levels will be set at the PPG.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54C"/>
    <w:multiLevelType w:val="hybridMultilevel"/>
    <w:tmpl w:val="CE6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C14D3F"/>
    <w:multiLevelType w:val="hybridMultilevel"/>
    <w:tmpl w:val="BE425E4C"/>
    <w:lvl w:ilvl="0" w:tplc="21DA1ABA">
      <w:start w:val="1"/>
      <w:numFmt w:val="upperLetter"/>
      <w:pStyle w:val="Aa"/>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ED0EB2"/>
    <w:multiLevelType w:val="hybridMultilevel"/>
    <w:tmpl w:val="68644E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5593B4A"/>
    <w:multiLevelType w:val="hybridMultilevel"/>
    <w:tmpl w:val="992A8B6E"/>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FC379F"/>
    <w:multiLevelType w:val="hybridMultilevel"/>
    <w:tmpl w:val="F7A8A2DE"/>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D0701F"/>
    <w:multiLevelType w:val="hybridMultilevel"/>
    <w:tmpl w:val="45E6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F7CBB"/>
    <w:multiLevelType w:val="hybridMultilevel"/>
    <w:tmpl w:val="CC08D592"/>
    <w:lvl w:ilvl="0" w:tplc="D8189F0A">
      <w:start w:val="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9497A"/>
    <w:multiLevelType w:val="hybridMultilevel"/>
    <w:tmpl w:val="553C64D4"/>
    <w:lvl w:ilvl="0" w:tplc="6CDA82A4">
      <w:numFmt w:val="bullet"/>
      <w:lvlText w:val="-"/>
      <w:lvlJc w:val="left"/>
      <w:pPr>
        <w:tabs>
          <w:tab w:val="num" w:pos="720"/>
        </w:tabs>
        <w:ind w:left="720" w:hanging="360"/>
      </w:pPr>
      <w:rPr>
        <w:rFonts w:ascii="Arial" w:eastAsia="Times New Roman" w:hAnsi="Aria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0">
    <w:nsid w:val="2BFC2FDE"/>
    <w:multiLevelType w:val="hybridMultilevel"/>
    <w:tmpl w:val="B2CCE2D6"/>
    <w:lvl w:ilvl="0" w:tplc="CA8E2754">
      <w:start w:val="1"/>
      <w:numFmt w:val="lowerRoman"/>
      <w:lvlText w:val="(%1)"/>
      <w:lvlJc w:val="left"/>
      <w:pPr>
        <w:ind w:left="7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641149E"/>
    <w:multiLevelType w:val="hybridMultilevel"/>
    <w:tmpl w:val="3036D34C"/>
    <w:lvl w:ilvl="0" w:tplc="8DFCA996">
      <w:start w:val="1"/>
      <w:numFmt w:val="bullet"/>
      <w:lvlText w:val="•"/>
      <w:lvlJc w:val="left"/>
      <w:pPr>
        <w:tabs>
          <w:tab w:val="num" w:pos="720"/>
        </w:tabs>
        <w:ind w:left="720" w:hanging="360"/>
      </w:pPr>
      <w:rPr>
        <w:rFonts w:ascii="Times New Roman" w:hAnsi="Times New Roman" w:hint="default"/>
      </w:rPr>
    </w:lvl>
    <w:lvl w:ilvl="1" w:tplc="6B54E5A6" w:tentative="1">
      <w:start w:val="1"/>
      <w:numFmt w:val="bullet"/>
      <w:lvlText w:val="•"/>
      <w:lvlJc w:val="left"/>
      <w:pPr>
        <w:tabs>
          <w:tab w:val="num" w:pos="1440"/>
        </w:tabs>
        <w:ind w:left="1440" w:hanging="360"/>
      </w:pPr>
      <w:rPr>
        <w:rFonts w:ascii="Times New Roman" w:hAnsi="Times New Roman" w:hint="default"/>
      </w:rPr>
    </w:lvl>
    <w:lvl w:ilvl="2" w:tplc="92F4FE64" w:tentative="1">
      <w:start w:val="1"/>
      <w:numFmt w:val="bullet"/>
      <w:lvlText w:val="•"/>
      <w:lvlJc w:val="left"/>
      <w:pPr>
        <w:tabs>
          <w:tab w:val="num" w:pos="2160"/>
        </w:tabs>
        <w:ind w:left="2160" w:hanging="360"/>
      </w:pPr>
      <w:rPr>
        <w:rFonts w:ascii="Times New Roman" w:hAnsi="Times New Roman" w:hint="default"/>
      </w:rPr>
    </w:lvl>
    <w:lvl w:ilvl="3" w:tplc="FBB877F6" w:tentative="1">
      <w:start w:val="1"/>
      <w:numFmt w:val="bullet"/>
      <w:lvlText w:val="•"/>
      <w:lvlJc w:val="left"/>
      <w:pPr>
        <w:tabs>
          <w:tab w:val="num" w:pos="2880"/>
        </w:tabs>
        <w:ind w:left="2880" w:hanging="360"/>
      </w:pPr>
      <w:rPr>
        <w:rFonts w:ascii="Times New Roman" w:hAnsi="Times New Roman" w:hint="default"/>
      </w:rPr>
    </w:lvl>
    <w:lvl w:ilvl="4" w:tplc="9BBE5B60" w:tentative="1">
      <w:start w:val="1"/>
      <w:numFmt w:val="bullet"/>
      <w:lvlText w:val="•"/>
      <w:lvlJc w:val="left"/>
      <w:pPr>
        <w:tabs>
          <w:tab w:val="num" w:pos="3600"/>
        </w:tabs>
        <w:ind w:left="3600" w:hanging="360"/>
      </w:pPr>
      <w:rPr>
        <w:rFonts w:ascii="Times New Roman" w:hAnsi="Times New Roman" w:hint="default"/>
      </w:rPr>
    </w:lvl>
    <w:lvl w:ilvl="5" w:tplc="DD524064" w:tentative="1">
      <w:start w:val="1"/>
      <w:numFmt w:val="bullet"/>
      <w:lvlText w:val="•"/>
      <w:lvlJc w:val="left"/>
      <w:pPr>
        <w:tabs>
          <w:tab w:val="num" w:pos="4320"/>
        </w:tabs>
        <w:ind w:left="4320" w:hanging="360"/>
      </w:pPr>
      <w:rPr>
        <w:rFonts w:ascii="Times New Roman" w:hAnsi="Times New Roman" w:hint="default"/>
      </w:rPr>
    </w:lvl>
    <w:lvl w:ilvl="6" w:tplc="9ED0210A" w:tentative="1">
      <w:start w:val="1"/>
      <w:numFmt w:val="bullet"/>
      <w:lvlText w:val="•"/>
      <w:lvlJc w:val="left"/>
      <w:pPr>
        <w:tabs>
          <w:tab w:val="num" w:pos="5040"/>
        </w:tabs>
        <w:ind w:left="5040" w:hanging="360"/>
      </w:pPr>
      <w:rPr>
        <w:rFonts w:ascii="Times New Roman" w:hAnsi="Times New Roman" w:hint="default"/>
      </w:rPr>
    </w:lvl>
    <w:lvl w:ilvl="7" w:tplc="EA30BE3A" w:tentative="1">
      <w:start w:val="1"/>
      <w:numFmt w:val="bullet"/>
      <w:lvlText w:val="•"/>
      <w:lvlJc w:val="left"/>
      <w:pPr>
        <w:tabs>
          <w:tab w:val="num" w:pos="5760"/>
        </w:tabs>
        <w:ind w:left="5760" w:hanging="360"/>
      </w:pPr>
      <w:rPr>
        <w:rFonts w:ascii="Times New Roman" w:hAnsi="Times New Roman" w:hint="default"/>
      </w:rPr>
    </w:lvl>
    <w:lvl w:ilvl="8" w:tplc="2DD8004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4192987"/>
    <w:multiLevelType w:val="hybridMultilevel"/>
    <w:tmpl w:val="BE684B54"/>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4A247A8"/>
    <w:multiLevelType w:val="hybridMultilevel"/>
    <w:tmpl w:val="27CE8A70"/>
    <w:lvl w:ilvl="0" w:tplc="A92EBBF2">
      <w:start w:val="1"/>
      <w:numFmt w:val="decimal"/>
      <w:pStyle w:val="A"/>
      <w:lvlText w:val="%1."/>
      <w:lvlJc w:val="left"/>
      <w:pPr>
        <w:tabs>
          <w:tab w:val="num" w:pos="1080"/>
        </w:tabs>
        <w:ind w:left="1080" w:hanging="720"/>
      </w:pPr>
      <w:rPr>
        <w:rFonts w:cs="Times New Roman" w:hint="default"/>
        <w:b w:val="0"/>
      </w:rPr>
    </w:lvl>
    <w:lvl w:ilvl="1" w:tplc="4B94F418">
      <w:start w:val="1"/>
      <w:numFmt w:val="lowerRoman"/>
      <w:pStyle w:val="ListParagraph"/>
      <w:lvlText w:val="(%2)"/>
      <w:lvlJc w:val="left"/>
      <w:pPr>
        <w:tabs>
          <w:tab w:val="num" w:pos="900"/>
        </w:tabs>
        <w:ind w:left="9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5DA09DC"/>
    <w:multiLevelType w:val="hybridMultilevel"/>
    <w:tmpl w:val="286AB248"/>
    <w:lvl w:ilvl="0" w:tplc="7524749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A486BEA"/>
    <w:multiLevelType w:val="multilevel"/>
    <w:tmpl w:val="93A0CFA6"/>
    <w:lvl w:ilvl="0">
      <w:start w:val="1"/>
      <w:numFmt w:val="decimal"/>
      <w:lvlText w:val="%1"/>
      <w:lvlJc w:val="left"/>
      <w:pPr>
        <w:ind w:left="360" w:hanging="360"/>
      </w:pPr>
      <w:rPr>
        <w:rFonts w:cs="Times New Roman" w:hint="default"/>
        <w:u w:val="single"/>
      </w:rPr>
    </w:lvl>
    <w:lvl w:ilvl="1">
      <w:start w:val="1"/>
      <w:numFmt w:val="decimal"/>
      <w:lvlText w:val="%1.%2"/>
      <w:lvlJc w:val="left"/>
      <w:pPr>
        <w:ind w:left="432" w:hanging="360"/>
      </w:pPr>
      <w:rPr>
        <w:rFonts w:cs="Times New Roman" w:hint="default"/>
        <w:u w:val="none"/>
      </w:rPr>
    </w:lvl>
    <w:lvl w:ilvl="2">
      <w:start w:val="1"/>
      <w:numFmt w:val="decimal"/>
      <w:lvlText w:val="%1.%2.%3"/>
      <w:lvlJc w:val="left"/>
      <w:pPr>
        <w:ind w:left="504" w:hanging="360"/>
      </w:pPr>
      <w:rPr>
        <w:rFonts w:cs="Times New Roman" w:hint="default"/>
        <w:u w:val="none"/>
      </w:rPr>
    </w:lvl>
    <w:lvl w:ilvl="3">
      <w:start w:val="1"/>
      <w:numFmt w:val="decimal"/>
      <w:lvlText w:val="%1.%2.%3.%4"/>
      <w:lvlJc w:val="left"/>
      <w:pPr>
        <w:ind w:left="936" w:hanging="720"/>
      </w:pPr>
      <w:rPr>
        <w:rFonts w:cs="Times New Roman" w:hint="default"/>
        <w:u w:val="single"/>
      </w:rPr>
    </w:lvl>
    <w:lvl w:ilvl="4">
      <w:start w:val="1"/>
      <w:numFmt w:val="decimal"/>
      <w:lvlText w:val="%1.%2.%3.%4.%5"/>
      <w:lvlJc w:val="left"/>
      <w:pPr>
        <w:ind w:left="1008" w:hanging="720"/>
      </w:pPr>
      <w:rPr>
        <w:rFonts w:cs="Times New Roman" w:hint="default"/>
        <w:u w:val="single"/>
      </w:rPr>
    </w:lvl>
    <w:lvl w:ilvl="5">
      <w:start w:val="1"/>
      <w:numFmt w:val="decimal"/>
      <w:lvlText w:val="%1.%2.%3.%4.%5.%6"/>
      <w:lvlJc w:val="left"/>
      <w:pPr>
        <w:ind w:left="1440" w:hanging="1080"/>
      </w:pPr>
      <w:rPr>
        <w:rFonts w:cs="Times New Roman" w:hint="default"/>
        <w:u w:val="single"/>
      </w:rPr>
    </w:lvl>
    <w:lvl w:ilvl="6">
      <w:start w:val="1"/>
      <w:numFmt w:val="decimal"/>
      <w:lvlText w:val="%1.%2.%3.%4.%5.%6.%7"/>
      <w:lvlJc w:val="left"/>
      <w:pPr>
        <w:ind w:left="1512" w:hanging="1080"/>
      </w:pPr>
      <w:rPr>
        <w:rFonts w:cs="Times New Roman" w:hint="default"/>
        <w:u w:val="single"/>
      </w:rPr>
    </w:lvl>
    <w:lvl w:ilvl="7">
      <w:start w:val="1"/>
      <w:numFmt w:val="decimal"/>
      <w:lvlText w:val="%1.%2.%3.%4.%5.%6.%7.%8"/>
      <w:lvlJc w:val="left"/>
      <w:pPr>
        <w:ind w:left="1584" w:hanging="1080"/>
      </w:pPr>
      <w:rPr>
        <w:rFonts w:cs="Times New Roman" w:hint="default"/>
        <w:u w:val="single"/>
      </w:rPr>
    </w:lvl>
    <w:lvl w:ilvl="8">
      <w:start w:val="1"/>
      <w:numFmt w:val="decimal"/>
      <w:lvlText w:val="%1.%2.%3.%4.%5.%6.%7.%8.%9"/>
      <w:lvlJc w:val="left"/>
      <w:pPr>
        <w:ind w:left="2016" w:hanging="1440"/>
      </w:pPr>
      <w:rPr>
        <w:rFonts w:cs="Times New Roman" w:hint="default"/>
        <w:u w:val="single"/>
      </w:rPr>
    </w:lvl>
  </w:abstractNum>
  <w:abstractNum w:abstractNumId="16">
    <w:nsid w:val="4E000A90"/>
    <w:multiLevelType w:val="hybridMultilevel"/>
    <w:tmpl w:val="5D5E4B90"/>
    <w:lvl w:ilvl="0" w:tplc="4558CEEC">
      <w:start w:val="1"/>
      <w:numFmt w:val="decimal"/>
      <w:pStyle w:val="ParaCharChar"/>
      <w:lvlText w:val="%1."/>
      <w:lvlJc w:val="left"/>
      <w:pPr>
        <w:tabs>
          <w:tab w:val="num" w:pos="360"/>
        </w:tabs>
      </w:pPr>
      <w:rPr>
        <w:rFonts w:cs="Times New Roman" w:hint="default"/>
      </w:rPr>
    </w:lvl>
    <w:lvl w:ilvl="1" w:tplc="DA384D2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E22644"/>
    <w:multiLevelType w:val="hybridMultilevel"/>
    <w:tmpl w:val="5942AC1A"/>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7527B6"/>
    <w:multiLevelType w:val="hybridMultilevel"/>
    <w:tmpl w:val="5BCE41B4"/>
    <w:lvl w:ilvl="0" w:tplc="336C1A5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C66234"/>
    <w:multiLevelType w:val="hybridMultilevel"/>
    <w:tmpl w:val="846ED986"/>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BBD3AFC"/>
    <w:multiLevelType w:val="multilevel"/>
    <w:tmpl w:val="2EEA1D8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0DC2826"/>
    <w:multiLevelType w:val="hybridMultilevel"/>
    <w:tmpl w:val="E07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853E1"/>
    <w:multiLevelType w:val="hybridMultilevel"/>
    <w:tmpl w:val="561CC2E4"/>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6CD56ACA"/>
    <w:multiLevelType w:val="hybridMultilevel"/>
    <w:tmpl w:val="428C8540"/>
    <w:lvl w:ilvl="0" w:tplc="A92EBBF2">
      <w:start w:val="1"/>
      <w:numFmt w:val="decimal"/>
      <w:lvlText w:val="%1."/>
      <w:lvlJc w:val="left"/>
      <w:pPr>
        <w:tabs>
          <w:tab w:val="num" w:pos="1080"/>
        </w:tabs>
        <w:ind w:left="1080" w:hanging="720"/>
      </w:pPr>
      <w:rPr>
        <w:rFonts w:cs="Times New Roman" w:hint="default"/>
        <w:b w:val="0"/>
      </w:rPr>
    </w:lvl>
    <w:lvl w:ilvl="1" w:tplc="04090001">
      <w:start w:val="1"/>
      <w:numFmt w:val="bullet"/>
      <w:lvlText w:val=""/>
      <w:lvlJc w:val="left"/>
      <w:pPr>
        <w:tabs>
          <w:tab w:val="num" w:pos="900"/>
        </w:tabs>
        <w:ind w:left="900" w:hanging="72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9A44A76"/>
    <w:multiLevelType w:val="hybridMultilevel"/>
    <w:tmpl w:val="AD6CAD0A"/>
    <w:lvl w:ilvl="0" w:tplc="D8189F0A">
      <w:start w:val="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
  </w:num>
  <w:num w:numId="4">
    <w:abstractNumId w:val="3"/>
  </w:num>
  <w:num w:numId="5">
    <w:abstractNumId w:val="13"/>
  </w:num>
  <w:num w:numId="6">
    <w:abstractNumId w:val="16"/>
  </w:num>
  <w:num w:numId="7">
    <w:abstractNumId w:val="15"/>
  </w:num>
  <w:num w:numId="8">
    <w:abstractNumId w:val="20"/>
  </w:num>
  <w:num w:numId="9">
    <w:abstractNumId w:val="19"/>
  </w:num>
  <w:num w:numId="10">
    <w:abstractNumId w:val="6"/>
  </w:num>
  <w:num w:numId="11">
    <w:abstractNumId w:val="1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5"/>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18"/>
  </w:num>
  <w:num w:numId="29">
    <w:abstractNumId w:val="7"/>
  </w:num>
  <w:num w:numId="30">
    <w:abstractNumId w:val="21"/>
  </w:num>
  <w:num w:numId="31">
    <w:abstractNumId w:val="8"/>
  </w:num>
  <w:num w:numId="32">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7ACA"/>
    <w:rsid w:val="00003F3B"/>
    <w:rsid w:val="00004755"/>
    <w:rsid w:val="00005F51"/>
    <w:rsid w:val="00006C2F"/>
    <w:rsid w:val="0001041C"/>
    <w:rsid w:val="0001102B"/>
    <w:rsid w:val="00014981"/>
    <w:rsid w:val="00020B7C"/>
    <w:rsid w:val="00021F02"/>
    <w:rsid w:val="000274F9"/>
    <w:rsid w:val="00031676"/>
    <w:rsid w:val="00036DC7"/>
    <w:rsid w:val="00036E5B"/>
    <w:rsid w:val="000403D1"/>
    <w:rsid w:val="000434FB"/>
    <w:rsid w:val="00044807"/>
    <w:rsid w:val="00047BBD"/>
    <w:rsid w:val="00051CF9"/>
    <w:rsid w:val="000523AA"/>
    <w:rsid w:val="0006036D"/>
    <w:rsid w:val="00065D78"/>
    <w:rsid w:val="0006607A"/>
    <w:rsid w:val="00071558"/>
    <w:rsid w:val="000718EE"/>
    <w:rsid w:val="0007372E"/>
    <w:rsid w:val="000742CA"/>
    <w:rsid w:val="00074F6E"/>
    <w:rsid w:val="00085977"/>
    <w:rsid w:val="00091E66"/>
    <w:rsid w:val="000A0A4E"/>
    <w:rsid w:val="000A708D"/>
    <w:rsid w:val="000B22FD"/>
    <w:rsid w:val="000B2465"/>
    <w:rsid w:val="000B3B7E"/>
    <w:rsid w:val="000B7069"/>
    <w:rsid w:val="000C3635"/>
    <w:rsid w:val="000C598B"/>
    <w:rsid w:val="000C6A78"/>
    <w:rsid w:val="000D3AEA"/>
    <w:rsid w:val="000D5A6D"/>
    <w:rsid w:val="000E1B86"/>
    <w:rsid w:val="000F0DC4"/>
    <w:rsid w:val="000F43FA"/>
    <w:rsid w:val="000F69CC"/>
    <w:rsid w:val="00106CBC"/>
    <w:rsid w:val="00107A3F"/>
    <w:rsid w:val="0011099C"/>
    <w:rsid w:val="00111A0C"/>
    <w:rsid w:val="001154FF"/>
    <w:rsid w:val="00115F8E"/>
    <w:rsid w:val="001228FC"/>
    <w:rsid w:val="00126E9E"/>
    <w:rsid w:val="00127FDC"/>
    <w:rsid w:val="00131314"/>
    <w:rsid w:val="0013309D"/>
    <w:rsid w:val="00137C26"/>
    <w:rsid w:val="001427C0"/>
    <w:rsid w:val="00144366"/>
    <w:rsid w:val="00144583"/>
    <w:rsid w:val="0014644A"/>
    <w:rsid w:val="00151A26"/>
    <w:rsid w:val="0016207A"/>
    <w:rsid w:val="00170D06"/>
    <w:rsid w:val="001716A9"/>
    <w:rsid w:val="00173D5A"/>
    <w:rsid w:val="001905BA"/>
    <w:rsid w:val="00196DFE"/>
    <w:rsid w:val="001A0DDC"/>
    <w:rsid w:val="001A1906"/>
    <w:rsid w:val="001A45F2"/>
    <w:rsid w:val="001A4A7A"/>
    <w:rsid w:val="001B3397"/>
    <w:rsid w:val="001B54C7"/>
    <w:rsid w:val="001C0F53"/>
    <w:rsid w:val="001C3750"/>
    <w:rsid w:val="001C60D9"/>
    <w:rsid w:val="001D000C"/>
    <w:rsid w:val="001D4875"/>
    <w:rsid w:val="001E329D"/>
    <w:rsid w:val="001E4C8F"/>
    <w:rsid w:val="001E54A0"/>
    <w:rsid w:val="001E5DEA"/>
    <w:rsid w:val="001F1208"/>
    <w:rsid w:val="00204429"/>
    <w:rsid w:val="00204DBE"/>
    <w:rsid w:val="002135DB"/>
    <w:rsid w:val="002149F3"/>
    <w:rsid w:val="00221B08"/>
    <w:rsid w:val="00221FC8"/>
    <w:rsid w:val="00223D4B"/>
    <w:rsid w:val="002242C2"/>
    <w:rsid w:val="002243AD"/>
    <w:rsid w:val="002357AF"/>
    <w:rsid w:val="002379A1"/>
    <w:rsid w:val="00237DF3"/>
    <w:rsid w:val="002437C9"/>
    <w:rsid w:val="002457D3"/>
    <w:rsid w:val="00245FFA"/>
    <w:rsid w:val="00246AA4"/>
    <w:rsid w:val="00254E85"/>
    <w:rsid w:val="002553F0"/>
    <w:rsid w:val="0025628C"/>
    <w:rsid w:val="00264240"/>
    <w:rsid w:val="00264406"/>
    <w:rsid w:val="00264B12"/>
    <w:rsid w:val="0027028A"/>
    <w:rsid w:val="002808CB"/>
    <w:rsid w:val="00282C59"/>
    <w:rsid w:val="002853E0"/>
    <w:rsid w:val="0029050B"/>
    <w:rsid w:val="002930AC"/>
    <w:rsid w:val="00296474"/>
    <w:rsid w:val="002A49E4"/>
    <w:rsid w:val="002A637E"/>
    <w:rsid w:val="002A6CBF"/>
    <w:rsid w:val="002B7EE9"/>
    <w:rsid w:val="002C0FD3"/>
    <w:rsid w:val="002C1DBA"/>
    <w:rsid w:val="002C3B19"/>
    <w:rsid w:val="002D2EB7"/>
    <w:rsid w:val="002D755A"/>
    <w:rsid w:val="002F195F"/>
    <w:rsid w:val="003011EF"/>
    <w:rsid w:val="00302136"/>
    <w:rsid w:val="00305AF5"/>
    <w:rsid w:val="0031074E"/>
    <w:rsid w:val="00310D6A"/>
    <w:rsid w:val="00316A9D"/>
    <w:rsid w:val="00320287"/>
    <w:rsid w:val="00323962"/>
    <w:rsid w:val="00324FB0"/>
    <w:rsid w:val="003352F4"/>
    <w:rsid w:val="00346296"/>
    <w:rsid w:val="00352CBB"/>
    <w:rsid w:val="003566E2"/>
    <w:rsid w:val="0036561E"/>
    <w:rsid w:val="00365B53"/>
    <w:rsid w:val="00372183"/>
    <w:rsid w:val="00374578"/>
    <w:rsid w:val="00380085"/>
    <w:rsid w:val="00382E7A"/>
    <w:rsid w:val="0038340F"/>
    <w:rsid w:val="003944D5"/>
    <w:rsid w:val="003A08D4"/>
    <w:rsid w:val="003A4806"/>
    <w:rsid w:val="003C1760"/>
    <w:rsid w:val="003D107D"/>
    <w:rsid w:val="003D2212"/>
    <w:rsid w:val="003D4BFE"/>
    <w:rsid w:val="003E4003"/>
    <w:rsid w:val="003E6530"/>
    <w:rsid w:val="003F02CA"/>
    <w:rsid w:val="003F1D6E"/>
    <w:rsid w:val="003F2079"/>
    <w:rsid w:val="003F72B2"/>
    <w:rsid w:val="003F7E71"/>
    <w:rsid w:val="00402949"/>
    <w:rsid w:val="00402CC0"/>
    <w:rsid w:val="00402E97"/>
    <w:rsid w:val="00404817"/>
    <w:rsid w:val="00410034"/>
    <w:rsid w:val="00417ACA"/>
    <w:rsid w:val="004206F6"/>
    <w:rsid w:val="00425E04"/>
    <w:rsid w:val="004273F4"/>
    <w:rsid w:val="00433685"/>
    <w:rsid w:val="00444FEE"/>
    <w:rsid w:val="004479C6"/>
    <w:rsid w:val="00452C8F"/>
    <w:rsid w:val="004538D3"/>
    <w:rsid w:val="004541FF"/>
    <w:rsid w:val="00455866"/>
    <w:rsid w:val="0046188C"/>
    <w:rsid w:val="004622DF"/>
    <w:rsid w:val="004630AA"/>
    <w:rsid w:val="00473997"/>
    <w:rsid w:val="004758EF"/>
    <w:rsid w:val="00476E66"/>
    <w:rsid w:val="004858DB"/>
    <w:rsid w:val="00486BD4"/>
    <w:rsid w:val="00493522"/>
    <w:rsid w:val="004A3491"/>
    <w:rsid w:val="004A3624"/>
    <w:rsid w:val="004C155D"/>
    <w:rsid w:val="004C186A"/>
    <w:rsid w:val="004C32CD"/>
    <w:rsid w:val="004C7094"/>
    <w:rsid w:val="004D044A"/>
    <w:rsid w:val="004D05FB"/>
    <w:rsid w:val="004D07E3"/>
    <w:rsid w:val="004D46DD"/>
    <w:rsid w:val="004E13FB"/>
    <w:rsid w:val="004E3673"/>
    <w:rsid w:val="004F0D6E"/>
    <w:rsid w:val="004F2005"/>
    <w:rsid w:val="004F65EF"/>
    <w:rsid w:val="0050127C"/>
    <w:rsid w:val="00503DFF"/>
    <w:rsid w:val="00515D7C"/>
    <w:rsid w:val="00525AC0"/>
    <w:rsid w:val="00526669"/>
    <w:rsid w:val="00530C9C"/>
    <w:rsid w:val="00531062"/>
    <w:rsid w:val="00532A2D"/>
    <w:rsid w:val="005342F6"/>
    <w:rsid w:val="005347DB"/>
    <w:rsid w:val="0053510F"/>
    <w:rsid w:val="00535E03"/>
    <w:rsid w:val="00536072"/>
    <w:rsid w:val="005450E1"/>
    <w:rsid w:val="00545720"/>
    <w:rsid w:val="00546F55"/>
    <w:rsid w:val="005570B0"/>
    <w:rsid w:val="00562E99"/>
    <w:rsid w:val="00564C35"/>
    <w:rsid w:val="005708E6"/>
    <w:rsid w:val="005722AC"/>
    <w:rsid w:val="00573E47"/>
    <w:rsid w:val="005751C6"/>
    <w:rsid w:val="0057540D"/>
    <w:rsid w:val="00576D2B"/>
    <w:rsid w:val="00576D58"/>
    <w:rsid w:val="00586DEE"/>
    <w:rsid w:val="00587EC4"/>
    <w:rsid w:val="005907E5"/>
    <w:rsid w:val="005961E3"/>
    <w:rsid w:val="005962EB"/>
    <w:rsid w:val="005A0298"/>
    <w:rsid w:val="005B2BB6"/>
    <w:rsid w:val="005B3880"/>
    <w:rsid w:val="005B3FFA"/>
    <w:rsid w:val="005C2979"/>
    <w:rsid w:val="005C3A96"/>
    <w:rsid w:val="005C6921"/>
    <w:rsid w:val="005C6ECF"/>
    <w:rsid w:val="005D0BE0"/>
    <w:rsid w:val="005D18C0"/>
    <w:rsid w:val="005D2665"/>
    <w:rsid w:val="005E0B57"/>
    <w:rsid w:val="005E494C"/>
    <w:rsid w:val="005E5570"/>
    <w:rsid w:val="00600D73"/>
    <w:rsid w:val="006016C2"/>
    <w:rsid w:val="0060175B"/>
    <w:rsid w:val="006108E0"/>
    <w:rsid w:val="00612EAF"/>
    <w:rsid w:val="006143A5"/>
    <w:rsid w:val="00631288"/>
    <w:rsid w:val="00641654"/>
    <w:rsid w:val="00641697"/>
    <w:rsid w:val="0064210C"/>
    <w:rsid w:val="006434FC"/>
    <w:rsid w:val="00646B87"/>
    <w:rsid w:val="00663AA8"/>
    <w:rsid w:val="006672AD"/>
    <w:rsid w:val="0067072B"/>
    <w:rsid w:val="00674726"/>
    <w:rsid w:val="006828B2"/>
    <w:rsid w:val="006828B8"/>
    <w:rsid w:val="00683B20"/>
    <w:rsid w:val="00686E8F"/>
    <w:rsid w:val="00695BC9"/>
    <w:rsid w:val="006A2A5F"/>
    <w:rsid w:val="006A3F22"/>
    <w:rsid w:val="006A6354"/>
    <w:rsid w:val="006B36B8"/>
    <w:rsid w:val="006C5B76"/>
    <w:rsid w:val="006D0A37"/>
    <w:rsid w:val="006D3B11"/>
    <w:rsid w:val="006D71C9"/>
    <w:rsid w:val="006E41DC"/>
    <w:rsid w:val="006E6189"/>
    <w:rsid w:val="006F11A1"/>
    <w:rsid w:val="006F1D87"/>
    <w:rsid w:val="006F42F5"/>
    <w:rsid w:val="006F4B83"/>
    <w:rsid w:val="006F555E"/>
    <w:rsid w:val="00700508"/>
    <w:rsid w:val="0070193D"/>
    <w:rsid w:val="00701C7C"/>
    <w:rsid w:val="00702243"/>
    <w:rsid w:val="00707EAD"/>
    <w:rsid w:val="00713609"/>
    <w:rsid w:val="00717C34"/>
    <w:rsid w:val="00717E0A"/>
    <w:rsid w:val="00727339"/>
    <w:rsid w:val="00727DF4"/>
    <w:rsid w:val="007350B2"/>
    <w:rsid w:val="00736ABE"/>
    <w:rsid w:val="007412D0"/>
    <w:rsid w:val="00742505"/>
    <w:rsid w:val="007426E6"/>
    <w:rsid w:val="0074279E"/>
    <w:rsid w:val="007433EA"/>
    <w:rsid w:val="00744089"/>
    <w:rsid w:val="007523D9"/>
    <w:rsid w:val="007549C1"/>
    <w:rsid w:val="00777CEA"/>
    <w:rsid w:val="007807D9"/>
    <w:rsid w:val="00781C18"/>
    <w:rsid w:val="00782058"/>
    <w:rsid w:val="00793FBC"/>
    <w:rsid w:val="00794537"/>
    <w:rsid w:val="00796D28"/>
    <w:rsid w:val="00797CF2"/>
    <w:rsid w:val="007A0230"/>
    <w:rsid w:val="007A1652"/>
    <w:rsid w:val="007A589E"/>
    <w:rsid w:val="007B0DC9"/>
    <w:rsid w:val="007B181A"/>
    <w:rsid w:val="007B4901"/>
    <w:rsid w:val="007C2276"/>
    <w:rsid w:val="007D5D0B"/>
    <w:rsid w:val="007D6356"/>
    <w:rsid w:val="007F0530"/>
    <w:rsid w:val="007F260F"/>
    <w:rsid w:val="007F7296"/>
    <w:rsid w:val="00801631"/>
    <w:rsid w:val="008045F9"/>
    <w:rsid w:val="00807206"/>
    <w:rsid w:val="0080790E"/>
    <w:rsid w:val="0081461E"/>
    <w:rsid w:val="00816007"/>
    <w:rsid w:val="008162B0"/>
    <w:rsid w:val="008172CE"/>
    <w:rsid w:val="00822532"/>
    <w:rsid w:val="0082384E"/>
    <w:rsid w:val="008244FE"/>
    <w:rsid w:val="00824871"/>
    <w:rsid w:val="00827157"/>
    <w:rsid w:val="00830D77"/>
    <w:rsid w:val="00831B18"/>
    <w:rsid w:val="00832366"/>
    <w:rsid w:val="00834A5C"/>
    <w:rsid w:val="00835E0D"/>
    <w:rsid w:val="008445A3"/>
    <w:rsid w:val="0084632E"/>
    <w:rsid w:val="00847C55"/>
    <w:rsid w:val="00851F53"/>
    <w:rsid w:val="008534C1"/>
    <w:rsid w:val="00856D6E"/>
    <w:rsid w:val="008604DE"/>
    <w:rsid w:val="00863D5A"/>
    <w:rsid w:val="00864372"/>
    <w:rsid w:val="00867196"/>
    <w:rsid w:val="00867C5E"/>
    <w:rsid w:val="00870A38"/>
    <w:rsid w:val="00880E57"/>
    <w:rsid w:val="00881305"/>
    <w:rsid w:val="008840E7"/>
    <w:rsid w:val="00886160"/>
    <w:rsid w:val="00887835"/>
    <w:rsid w:val="00887E7E"/>
    <w:rsid w:val="00892C8D"/>
    <w:rsid w:val="0089525E"/>
    <w:rsid w:val="008A024D"/>
    <w:rsid w:val="008A0D43"/>
    <w:rsid w:val="008B0A27"/>
    <w:rsid w:val="008B5FAF"/>
    <w:rsid w:val="008B62D1"/>
    <w:rsid w:val="008C03B9"/>
    <w:rsid w:val="008C2B2E"/>
    <w:rsid w:val="008C2E49"/>
    <w:rsid w:val="008C384E"/>
    <w:rsid w:val="008C3B8E"/>
    <w:rsid w:val="008C4A19"/>
    <w:rsid w:val="008D18E0"/>
    <w:rsid w:val="008D379B"/>
    <w:rsid w:val="008D549C"/>
    <w:rsid w:val="008E6D68"/>
    <w:rsid w:val="008F06E6"/>
    <w:rsid w:val="008F2682"/>
    <w:rsid w:val="008F30B4"/>
    <w:rsid w:val="008F5E79"/>
    <w:rsid w:val="00902C72"/>
    <w:rsid w:val="00904A31"/>
    <w:rsid w:val="009052A1"/>
    <w:rsid w:val="00905FDF"/>
    <w:rsid w:val="0091119A"/>
    <w:rsid w:val="00912930"/>
    <w:rsid w:val="009134E8"/>
    <w:rsid w:val="00914783"/>
    <w:rsid w:val="00921E34"/>
    <w:rsid w:val="0092243A"/>
    <w:rsid w:val="0092386A"/>
    <w:rsid w:val="00930762"/>
    <w:rsid w:val="00931912"/>
    <w:rsid w:val="00933C48"/>
    <w:rsid w:val="009346F3"/>
    <w:rsid w:val="0093589A"/>
    <w:rsid w:val="009373B7"/>
    <w:rsid w:val="00937A56"/>
    <w:rsid w:val="00946776"/>
    <w:rsid w:val="009571D3"/>
    <w:rsid w:val="00961446"/>
    <w:rsid w:val="009632BD"/>
    <w:rsid w:val="00965A3B"/>
    <w:rsid w:val="00967AFA"/>
    <w:rsid w:val="009718FF"/>
    <w:rsid w:val="00975853"/>
    <w:rsid w:val="009776D5"/>
    <w:rsid w:val="00985695"/>
    <w:rsid w:val="00986D77"/>
    <w:rsid w:val="0098774F"/>
    <w:rsid w:val="00990968"/>
    <w:rsid w:val="009909A8"/>
    <w:rsid w:val="00991F43"/>
    <w:rsid w:val="00997275"/>
    <w:rsid w:val="00997FAD"/>
    <w:rsid w:val="009A1D83"/>
    <w:rsid w:val="009A33BE"/>
    <w:rsid w:val="009A4E30"/>
    <w:rsid w:val="009B0B0C"/>
    <w:rsid w:val="009B1CB4"/>
    <w:rsid w:val="009C5F97"/>
    <w:rsid w:val="009D7AEC"/>
    <w:rsid w:val="009E2A63"/>
    <w:rsid w:val="009E557D"/>
    <w:rsid w:val="009E57D5"/>
    <w:rsid w:val="009E7A0D"/>
    <w:rsid w:val="00A01B1C"/>
    <w:rsid w:val="00A0317A"/>
    <w:rsid w:val="00A06773"/>
    <w:rsid w:val="00A103C3"/>
    <w:rsid w:val="00A11823"/>
    <w:rsid w:val="00A21A76"/>
    <w:rsid w:val="00A23B7F"/>
    <w:rsid w:val="00A31D36"/>
    <w:rsid w:val="00A32283"/>
    <w:rsid w:val="00A3555B"/>
    <w:rsid w:val="00A43738"/>
    <w:rsid w:val="00A43C1F"/>
    <w:rsid w:val="00A546E8"/>
    <w:rsid w:val="00A65910"/>
    <w:rsid w:val="00A70E52"/>
    <w:rsid w:val="00A737E1"/>
    <w:rsid w:val="00A7595C"/>
    <w:rsid w:val="00A77ABF"/>
    <w:rsid w:val="00A81902"/>
    <w:rsid w:val="00A8267B"/>
    <w:rsid w:val="00A8289E"/>
    <w:rsid w:val="00A856D2"/>
    <w:rsid w:val="00A87BDA"/>
    <w:rsid w:val="00A90C1A"/>
    <w:rsid w:val="00A913FC"/>
    <w:rsid w:val="00A92950"/>
    <w:rsid w:val="00A938C9"/>
    <w:rsid w:val="00A9648B"/>
    <w:rsid w:val="00AA0639"/>
    <w:rsid w:val="00AA0B46"/>
    <w:rsid w:val="00AA1710"/>
    <w:rsid w:val="00AA2BB0"/>
    <w:rsid w:val="00AA6620"/>
    <w:rsid w:val="00AB1FBD"/>
    <w:rsid w:val="00AB2462"/>
    <w:rsid w:val="00AB2C34"/>
    <w:rsid w:val="00AB362B"/>
    <w:rsid w:val="00AB672C"/>
    <w:rsid w:val="00AC232C"/>
    <w:rsid w:val="00AC35CC"/>
    <w:rsid w:val="00AD0C64"/>
    <w:rsid w:val="00AD4193"/>
    <w:rsid w:val="00AD786D"/>
    <w:rsid w:val="00AE6C0C"/>
    <w:rsid w:val="00B001D9"/>
    <w:rsid w:val="00B057ED"/>
    <w:rsid w:val="00B07891"/>
    <w:rsid w:val="00B12A81"/>
    <w:rsid w:val="00B13B84"/>
    <w:rsid w:val="00B179BB"/>
    <w:rsid w:val="00B22AED"/>
    <w:rsid w:val="00B23B54"/>
    <w:rsid w:val="00B24CA2"/>
    <w:rsid w:val="00B278B1"/>
    <w:rsid w:val="00B32FA1"/>
    <w:rsid w:val="00B34EC2"/>
    <w:rsid w:val="00B358C3"/>
    <w:rsid w:val="00B37D06"/>
    <w:rsid w:val="00B40806"/>
    <w:rsid w:val="00B44730"/>
    <w:rsid w:val="00B4778A"/>
    <w:rsid w:val="00B47AA8"/>
    <w:rsid w:val="00B53DD8"/>
    <w:rsid w:val="00B63814"/>
    <w:rsid w:val="00B644B6"/>
    <w:rsid w:val="00B656A1"/>
    <w:rsid w:val="00B67E12"/>
    <w:rsid w:val="00B74FB6"/>
    <w:rsid w:val="00B7567F"/>
    <w:rsid w:val="00B775F5"/>
    <w:rsid w:val="00B7760C"/>
    <w:rsid w:val="00B8388B"/>
    <w:rsid w:val="00B85BD1"/>
    <w:rsid w:val="00B93569"/>
    <w:rsid w:val="00BA4164"/>
    <w:rsid w:val="00BA447F"/>
    <w:rsid w:val="00BA58BF"/>
    <w:rsid w:val="00BB2228"/>
    <w:rsid w:val="00BB3FC1"/>
    <w:rsid w:val="00BB67C8"/>
    <w:rsid w:val="00BC26AD"/>
    <w:rsid w:val="00BC594C"/>
    <w:rsid w:val="00BC7CFB"/>
    <w:rsid w:val="00BC7D97"/>
    <w:rsid w:val="00BD06D5"/>
    <w:rsid w:val="00BD0908"/>
    <w:rsid w:val="00BD30AC"/>
    <w:rsid w:val="00BD5389"/>
    <w:rsid w:val="00BE713A"/>
    <w:rsid w:val="00BF0884"/>
    <w:rsid w:val="00BF4247"/>
    <w:rsid w:val="00BF46C3"/>
    <w:rsid w:val="00BF6168"/>
    <w:rsid w:val="00C046E6"/>
    <w:rsid w:val="00C05DC3"/>
    <w:rsid w:val="00C10A4D"/>
    <w:rsid w:val="00C10D27"/>
    <w:rsid w:val="00C15E05"/>
    <w:rsid w:val="00C200C9"/>
    <w:rsid w:val="00C20893"/>
    <w:rsid w:val="00C22A00"/>
    <w:rsid w:val="00C24CF1"/>
    <w:rsid w:val="00C333E3"/>
    <w:rsid w:val="00C36E93"/>
    <w:rsid w:val="00C50FC9"/>
    <w:rsid w:val="00C521CE"/>
    <w:rsid w:val="00C569BE"/>
    <w:rsid w:val="00C57D05"/>
    <w:rsid w:val="00C60BD5"/>
    <w:rsid w:val="00C610A7"/>
    <w:rsid w:val="00C647D6"/>
    <w:rsid w:val="00C67202"/>
    <w:rsid w:val="00C67575"/>
    <w:rsid w:val="00C7295E"/>
    <w:rsid w:val="00C760C2"/>
    <w:rsid w:val="00C8000B"/>
    <w:rsid w:val="00C8089B"/>
    <w:rsid w:val="00C815F9"/>
    <w:rsid w:val="00CA07AC"/>
    <w:rsid w:val="00CA4058"/>
    <w:rsid w:val="00CB776A"/>
    <w:rsid w:val="00CC15AA"/>
    <w:rsid w:val="00CD1E3D"/>
    <w:rsid w:val="00CD3205"/>
    <w:rsid w:val="00CD407B"/>
    <w:rsid w:val="00CE1AF1"/>
    <w:rsid w:val="00CE3535"/>
    <w:rsid w:val="00CE37C2"/>
    <w:rsid w:val="00CE5A3A"/>
    <w:rsid w:val="00CE5D41"/>
    <w:rsid w:val="00CF6ABA"/>
    <w:rsid w:val="00D019D9"/>
    <w:rsid w:val="00D03235"/>
    <w:rsid w:val="00D1329B"/>
    <w:rsid w:val="00D13B9C"/>
    <w:rsid w:val="00D14BAD"/>
    <w:rsid w:val="00D15745"/>
    <w:rsid w:val="00D15D49"/>
    <w:rsid w:val="00D16C44"/>
    <w:rsid w:val="00D21683"/>
    <w:rsid w:val="00D23D30"/>
    <w:rsid w:val="00D26E5F"/>
    <w:rsid w:val="00D3715B"/>
    <w:rsid w:val="00D3797A"/>
    <w:rsid w:val="00D42849"/>
    <w:rsid w:val="00D472CB"/>
    <w:rsid w:val="00D47E47"/>
    <w:rsid w:val="00D54452"/>
    <w:rsid w:val="00D5641D"/>
    <w:rsid w:val="00D67FEF"/>
    <w:rsid w:val="00D729B5"/>
    <w:rsid w:val="00D73496"/>
    <w:rsid w:val="00D75429"/>
    <w:rsid w:val="00D76190"/>
    <w:rsid w:val="00D82C39"/>
    <w:rsid w:val="00D833C4"/>
    <w:rsid w:val="00D91835"/>
    <w:rsid w:val="00D92736"/>
    <w:rsid w:val="00D945C5"/>
    <w:rsid w:val="00D95BC3"/>
    <w:rsid w:val="00D97D98"/>
    <w:rsid w:val="00DA0B98"/>
    <w:rsid w:val="00DA3BBF"/>
    <w:rsid w:val="00DA6AB5"/>
    <w:rsid w:val="00DB04E8"/>
    <w:rsid w:val="00DB365B"/>
    <w:rsid w:val="00DB4CB6"/>
    <w:rsid w:val="00DB4F0C"/>
    <w:rsid w:val="00DC04ED"/>
    <w:rsid w:val="00DC3E0C"/>
    <w:rsid w:val="00DC4419"/>
    <w:rsid w:val="00DD39C6"/>
    <w:rsid w:val="00DD59ED"/>
    <w:rsid w:val="00DE327E"/>
    <w:rsid w:val="00DE4EA4"/>
    <w:rsid w:val="00DE5312"/>
    <w:rsid w:val="00DE6277"/>
    <w:rsid w:val="00DF37A8"/>
    <w:rsid w:val="00DF6103"/>
    <w:rsid w:val="00DF7504"/>
    <w:rsid w:val="00DF76AF"/>
    <w:rsid w:val="00E00AA9"/>
    <w:rsid w:val="00E021F8"/>
    <w:rsid w:val="00E1296F"/>
    <w:rsid w:val="00E20D64"/>
    <w:rsid w:val="00E229C4"/>
    <w:rsid w:val="00E23A74"/>
    <w:rsid w:val="00E343C5"/>
    <w:rsid w:val="00E3502C"/>
    <w:rsid w:val="00E41810"/>
    <w:rsid w:val="00E42BD2"/>
    <w:rsid w:val="00E469C5"/>
    <w:rsid w:val="00E46B34"/>
    <w:rsid w:val="00E47AAD"/>
    <w:rsid w:val="00E50446"/>
    <w:rsid w:val="00E50E8A"/>
    <w:rsid w:val="00E511AE"/>
    <w:rsid w:val="00E60F11"/>
    <w:rsid w:val="00E76E7E"/>
    <w:rsid w:val="00E801A3"/>
    <w:rsid w:val="00E81338"/>
    <w:rsid w:val="00E84E88"/>
    <w:rsid w:val="00E954F0"/>
    <w:rsid w:val="00E96E2C"/>
    <w:rsid w:val="00E9706B"/>
    <w:rsid w:val="00E97B41"/>
    <w:rsid w:val="00EA2882"/>
    <w:rsid w:val="00EA28B2"/>
    <w:rsid w:val="00EB1AFC"/>
    <w:rsid w:val="00EB5E32"/>
    <w:rsid w:val="00EC3137"/>
    <w:rsid w:val="00EC365B"/>
    <w:rsid w:val="00EC4FFC"/>
    <w:rsid w:val="00EC5113"/>
    <w:rsid w:val="00EC588F"/>
    <w:rsid w:val="00EC7327"/>
    <w:rsid w:val="00ED0867"/>
    <w:rsid w:val="00ED50CC"/>
    <w:rsid w:val="00EE05B4"/>
    <w:rsid w:val="00EE2492"/>
    <w:rsid w:val="00EE4002"/>
    <w:rsid w:val="00EE5FD2"/>
    <w:rsid w:val="00EF6FEC"/>
    <w:rsid w:val="00F04F20"/>
    <w:rsid w:val="00F06EF2"/>
    <w:rsid w:val="00F07E9F"/>
    <w:rsid w:val="00F172F6"/>
    <w:rsid w:val="00F1751C"/>
    <w:rsid w:val="00F17DCF"/>
    <w:rsid w:val="00F218DF"/>
    <w:rsid w:val="00F21B60"/>
    <w:rsid w:val="00F23070"/>
    <w:rsid w:val="00F24A6B"/>
    <w:rsid w:val="00F25769"/>
    <w:rsid w:val="00F26A42"/>
    <w:rsid w:val="00F27BD6"/>
    <w:rsid w:val="00F340AF"/>
    <w:rsid w:val="00F34AD6"/>
    <w:rsid w:val="00F36923"/>
    <w:rsid w:val="00F36D35"/>
    <w:rsid w:val="00F41A34"/>
    <w:rsid w:val="00F42085"/>
    <w:rsid w:val="00F4261F"/>
    <w:rsid w:val="00F42930"/>
    <w:rsid w:val="00F457DD"/>
    <w:rsid w:val="00F46381"/>
    <w:rsid w:val="00F47629"/>
    <w:rsid w:val="00F61166"/>
    <w:rsid w:val="00F66AC8"/>
    <w:rsid w:val="00F74B31"/>
    <w:rsid w:val="00F75E84"/>
    <w:rsid w:val="00F76ECC"/>
    <w:rsid w:val="00F775AE"/>
    <w:rsid w:val="00F77775"/>
    <w:rsid w:val="00F80095"/>
    <w:rsid w:val="00F815E7"/>
    <w:rsid w:val="00F84975"/>
    <w:rsid w:val="00F909F7"/>
    <w:rsid w:val="00F92A8A"/>
    <w:rsid w:val="00F94CCE"/>
    <w:rsid w:val="00F96A97"/>
    <w:rsid w:val="00FA5804"/>
    <w:rsid w:val="00FB324D"/>
    <w:rsid w:val="00FB77A0"/>
    <w:rsid w:val="00FC5AEF"/>
    <w:rsid w:val="00FC645E"/>
    <w:rsid w:val="00FC6626"/>
    <w:rsid w:val="00FC6D6C"/>
    <w:rsid w:val="00FC7554"/>
    <w:rsid w:val="00FD2BD4"/>
    <w:rsid w:val="00FD4496"/>
    <w:rsid w:val="00FD7484"/>
    <w:rsid w:val="00FE2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540D"/>
    <w:pPr>
      <w:spacing w:after="200" w:line="276" w:lineRule="auto"/>
    </w:pPr>
  </w:style>
  <w:style w:type="paragraph" w:styleId="Heading1">
    <w:name w:val="heading 1"/>
    <w:basedOn w:val="Normal"/>
    <w:next w:val="Normal"/>
    <w:link w:val="Heading1Char"/>
    <w:uiPriority w:val="99"/>
    <w:qFormat/>
    <w:rsid w:val="00417ACA"/>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9"/>
    <w:qFormat/>
    <w:rsid w:val="00417ACA"/>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uiPriority w:val="99"/>
    <w:qFormat/>
    <w:rsid w:val="00417ACA"/>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9"/>
    <w:qFormat/>
    <w:rsid w:val="00417ACA"/>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uiPriority w:val="99"/>
    <w:qFormat/>
    <w:rsid w:val="00417ACA"/>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417ACA"/>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uiPriority w:val="99"/>
    <w:qFormat/>
    <w:rsid w:val="00417ACA"/>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uiPriority w:val="99"/>
    <w:qFormat/>
    <w:rsid w:val="00417ACA"/>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uiPriority w:val="99"/>
    <w:qFormat/>
    <w:rsid w:val="00417ACA"/>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7ACA"/>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9"/>
    <w:locked/>
    <w:rsid w:val="00417ACA"/>
    <w:rPr>
      <w:rFonts w:ascii="Times New Roman" w:hAnsi="Times New Roman" w:cs="Times New Roman"/>
      <w:i/>
      <w:iCs/>
      <w:sz w:val="24"/>
      <w:szCs w:val="24"/>
    </w:rPr>
  </w:style>
  <w:style w:type="character" w:customStyle="1" w:styleId="Heading3Char">
    <w:name w:val="Heading 3 Char"/>
    <w:basedOn w:val="DefaultParagraphFont"/>
    <w:link w:val="Heading3"/>
    <w:uiPriority w:val="99"/>
    <w:locked/>
    <w:rsid w:val="00417ACA"/>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417ACA"/>
    <w:rPr>
      <w:rFonts w:ascii="Times New Roman Bold" w:hAnsi="Times New Roman Bold" w:cs="Times New Roman"/>
      <w:b/>
      <w:smallCaps/>
      <w:color w:val="FFFFFF"/>
      <w:sz w:val="24"/>
      <w:szCs w:val="24"/>
      <w:shd w:val="clear" w:color="auto" w:fill="595959"/>
    </w:rPr>
  </w:style>
  <w:style w:type="character" w:customStyle="1" w:styleId="Heading5Char">
    <w:name w:val="Heading 5 Char"/>
    <w:basedOn w:val="DefaultParagraphFont"/>
    <w:link w:val="Heading5"/>
    <w:uiPriority w:val="99"/>
    <w:locked/>
    <w:rsid w:val="00417AC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417ACA"/>
    <w:rPr>
      <w:rFonts w:ascii="Times New Roman" w:hAnsi="Times New Roman" w:cs="Times New Roman"/>
      <w:b/>
      <w:bCs/>
      <w:smallCaps/>
      <w:sz w:val="24"/>
      <w:szCs w:val="24"/>
    </w:rPr>
  </w:style>
  <w:style w:type="character" w:customStyle="1" w:styleId="Heading7Char">
    <w:name w:val="Heading 7 Char"/>
    <w:basedOn w:val="DefaultParagraphFont"/>
    <w:link w:val="Heading7"/>
    <w:uiPriority w:val="99"/>
    <w:locked/>
    <w:rsid w:val="00417ACA"/>
    <w:rPr>
      <w:rFonts w:ascii="Times New Roman" w:hAnsi="Times New Roman" w:cs="Times New Roman"/>
      <w:b/>
      <w:bCs/>
      <w:sz w:val="24"/>
      <w:szCs w:val="24"/>
    </w:rPr>
  </w:style>
  <w:style w:type="character" w:customStyle="1" w:styleId="Heading8Char">
    <w:name w:val="Heading 8 Char"/>
    <w:basedOn w:val="DefaultParagraphFont"/>
    <w:link w:val="Heading8"/>
    <w:uiPriority w:val="99"/>
    <w:locked/>
    <w:rsid w:val="00417ACA"/>
    <w:rPr>
      <w:rFonts w:ascii="Times New Roman" w:hAnsi="Times New Roman" w:cs="Times New Roman"/>
      <w:b/>
      <w:bCs/>
      <w:sz w:val="24"/>
      <w:szCs w:val="24"/>
    </w:rPr>
  </w:style>
  <w:style w:type="character" w:customStyle="1" w:styleId="Heading9Char">
    <w:name w:val="Heading 9 Char"/>
    <w:basedOn w:val="DefaultParagraphFont"/>
    <w:link w:val="Heading9"/>
    <w:uiPriority w:val="99"/>
    <w:locked/>
    <w:rsid w:val="00417ACA"/>
    <w:rPr>
      <w:rFonts w:ascii="Times New Roman" w:hAnsi="Times New Roman" w:cs="Times New Roman"/>
      <w:b/>
      <w:bCs/>
      <w:sz w:val="24"/>
      <w:szCs w:val="24"/>
    </w:rPr>
  </w:style>
  <w:style w:type="paragraph" w:styleId="BalloonText">
    <w:name w:val="Balloon Text"/>
    <w:basedOn w:val="Normal"/>
    <w:link w:val="BalloonTextChar1"/>
    <w:uiPriority w:val="99"/>
    <w:semiHidden/>
    <w:rsid w:val="00417A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D2EB7"/>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2D2EB7"/>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2D2EB7"/>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2D2EB7"/>
    <w:rPr>
      <w:rFonts w:ascii="Lucida Grande" w:hAnsi="Lucida Grande" w:cs="Times New Roman"/>
      <w:sz w:val="18"/>
      <w:szCs w:val="18"/>
    </w:rPr>
  </w:style>
  <w:style w:type="paragraph" w:styleId="Footer">
    <w:name w:val="footer"/>
    <w:basedOn w:val="Normal"/>
    <w:link w:val="FooterChar"/>
    <w:uiPriority w:val="99"/>
    <w:rsid w:val="00417AC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417ACA"/>
    <w:rPr>
      <w:rFonts w:ascii="Times New Roman" w:hAnsi="Times New Roman" w:cs="Times New Roman"/>
      <w:sz w:val="24"/>
      <w:szCs w:val="24"/>
    </w:rPr>
  </w:style>
  <w:style w:type="character" w:styleId="PageNumber">
    <w:name w:val="page number"/>
    <w:basedOn w:val="DefaultParagraphFont"/>
    <w:uiPriority w:val="99"/>
    <w:rsid w:val="00417ACA"/>
    <w:rPr>
      <w:rFonts w:cs="Times New Roman"/>
    </w:rPr>
  </w:style>
  <w:style w:type="paragraph" w:styleId="Header">
    <w:name w:val="header"/>
    <w:basedOn w:val="Normal"/>
    <w:link w:val="HeaderChar"/>
    <w:uiPriority w:val="99"/>
    <w:rsid w:val="00417AC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417ACA"/>
    <w:rPr>
      <w:rFonts w:ascii="Times New Roman" w:hAnsi="Times New Roman" w:cs="Times New Roman"/>
      <w:sz w:val="24"/>
      <w:szCs w:val="24"/>
    </w:rPr>
  </w:style>
  <w:style w:type="paragraph" w:styleId="BodyText">
    <w:name w:val="Body Text"/>
    <w:basedOn w:val="Normal"/>
    <w:link w:val="BodyTextChar"/>
    <w:uiPriority w:val="99"/>
    <w:rsid w:val="00417ACA"/>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locked/>
    <w:rsid w:val="00417ACA"/>
    <w:rPr>
      <w:rFonts w:ascii="Times New Roman" w:hAnsi="Times New Roman" w:cs="Times New Roman"/>
      <w:sz w:val="24"/>
      <w:szCs w:val="24"/>
    </w:rPr>
  </w:style>
  <w:style w:type="paragraph" w:styleId="Caption">
    <w:name w:val="caption"/>
    <w:basedOn w:val="Normal"/>
    <w:next w:val="Normal"/>
    <w:uiPriority w:val="99"/>
    <w:qFormat/>
    <w:rsid w:val="00417ACA"/>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uiPriority w:val="99"/>
    <w:rsid w:val="00417ACA"/>
    <w:pPr>
      <w:spacing w:after="0" w:line="240" w:lineRule="auto"/>
    </w:pPr>
    <w:rPr>
      <w:rFonts w:ascii="Times New Roman" w:eastAsia="Times New Roman" w:hAnsi="Times New Roman"/>
      <w:b/>
      <w:bCs/>
      <w:smallCaps/>
      <w:sz w:val="24"/>
      <w:szCs w:val="24"/>
    </w:rPr>
  </w:style>
  <w:style w:type="character" w:customStyle="1" w:styleId="BodyText2Char">
    <w:name w:val="Body Text 2 Char"/>
    <w:basedOn w:val="DefaultParagraphFont"/>
    <w:link w:val="BodyText2"/>
    <w:uiPriority w:val="99"/>
    <w:locked/>
    <w:rsid w:val="00417ACA"/>
    <w:rPr>
      <w:rFonts w:ascii="Times New Roman" w:hAnsi="Times New Roman" w:cs="Times New Roman"/>
      <w:b/>
      <w:bCs/>
      <w:smallCaps/>
      <w:sz w:val="24"/>
      <w:szCs w:val="24"/>
    </w:rPr>
  </w:style>
  <w:style w:type="paragraph" w:customStyle="1" w:styleId="Outline">
    <w:name w:val="Outline"/>
    <w:basedOn w:val="Normal"/>
    <w:uiPriority w:val="99"/>
    <w:rsid w:val="00417ACA"/>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uiPriority w:val="99"/>
    <w:rsid w:val="00417ACA"/>
    <w:pPr>
      <w:spacing w:after="0" w:line="240" w:lineRule="auto"/>
      <w:ind w:left="360"/>
    </w:pPr>
    <w:rPr>
      <w:rFonts w:ascii="Times New Roman" w:eastAsia="Times New Roman" w:hAnsi="Times New Roman"/>
      <w:i/>
      <w:iCs/>
      <w:szCs w:val="24"/>
    </w:rPr>
  </w:style>
  <w:style w:type="character" w:customStyle="1" w:styleId="BodyTextIndent2Char">
    <w:name w:val="Body Text Indent 2 Char"/>
    <w:basedOn w:val="DefaultParagraphFont"/>
    <w:link w:val="BodyTextIndent2"/>
    <w:uiPriority w:val="99"/>
    <w:locked/>
    <w:rsid w:val="00417ACA"/>
    <w:rPr>
      <w:rFonts w:ascii="Times New Roman" w:hAnsi="Times New Roman" w:cs="Times New Roman"/>
      <w:i/>
      <w:iCs/>
      <w:sz w:val="24"/>
      <w:szCs w:val="24"/>
    </w:rPr>
  </w:style>
  <w:style w:type="character" w:styleId="Hyperlink">
    <w:name w:val="Hyperlink"/>
    <w:basedOn w:val="DefaultParagraphFont"/>
    <w:uiPriority w:val="99"/>
    <w:rsid w:val="00417ACA"/>
    <w:rPr>
      <w:rFonts w:cs="Times New Roman"/>
      <w:color w:val="0000FF"/>
      <w:u w:val="single"/>
    </w:rPr>
  </w:style>
  <w:style w:type="paragraph" w:styleId="BodyTextIndent">
    <w:name w:val="Body Text Indent"/>
    <w:basedOn w:val="Normal"/>
    <w:link w:val="BodyTextIndentChar"/>
    <w:uiPriority w:val="99"/>
    <w:rsid w:val="00417ACA"/>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417ACA"/>
    <w:rPr>
      <w:rFonts w:ascii="Times New Roman" w:hAnsi="Times New Roman" w:cs="Times New Roman"/>
      <w:sz w:val="24"/>
      <w:szCs w:val="24"/>
    </w:rPr>
  </w:style>
  <w:style w:type="paragraph" w:styleId="BodyTextIndent3">
    <w:name w:val="Body Text Indent 3"/>
    <w:basedOn w:val="Normal"/>
    <w:link w:val="BodyTextIndent3Char"/>
    <w:uiPriority w:val="99"/>
    <w:rsid w:val="00417ACA"/>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417ACA"/>
    <w:rPr>
      <w:rFonts w:ascii="Times New Roman" w:hAnsi="Times New Roman" w:cs="Times New Roman"/>
      <w:sz w:val="24"/>
      <w:szCs w:val="24"/>
    </w:rPr>
  </w:style>
  <w:style w:type="character" w:customStyle="1" w:styleId="BalloonTextChar1">
    <w:name w:val="Balloon Text Char1"/>
    <w:basedOn w:val="DefaultParagraphFont"/>
    <w:link w:val="BalloonText"/>
    <w:uiPriority w:val="99"/>
    <w:semiHidden/>
    <w:locked/>
    <w:rsid w:val="00417ACA"/>
    <w:rPr>
      <w:rFonts w:ascii="Tahoma" w:hAnsi="Tahoma" w:cs="Tahoma"/>
      <w:sz w:val="16"/>
      <w:szCs w:val="16"/>
    </w:rPr>
  </w:style>
  <w:style w:type="table" w:styleId="TableGrid">
    <w:name w:val="Table Grid"/>
    <w:basedOn w:val="TableNormal"/>
    <w:uiPriority w:val="99"/>
    <w:rsid w:val="00417AC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
    <w:basedOn w:val="Normal"/>
    <w:link w:val="FootnoteTextChar1"/>
    <w:uiPriority w:val="99"/>
    <w:rsid w:val="00417ACA"/>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link w:val="FootnoteText"/>
    <w:uiPriority w:val="99"/>
    <w:locked/>
    <w:rsid w:val="00D14BAD"/>
    <w:rPr>
      <w:rFonts w:cs="Times New Roman"/>
      <w:sz w:val="20"/>
      <w:szCs w:val="20"/>
      <w:lang w:val="en-US" w:eastAsia="en-US"/>
    </w:rPr>
  </w:style>
  <w:style w:type="character" w:customStyle="1" w:styleId="FootnoteTextChar1">
    <w:name w:val="Footnote Text Char1"/>
    <w:aliases w:val="Geneva 9 Char1,Font: Geneva 9 Char1,Boston 10 Char1,f Char1,otnote Text Char1,Footnote Char1,ft Char1,Char Char Char Char Char1,single space Char1,Fußnote Char1,ADB Char Char Char2,ADB Char Char Char Char1,FOOTNOTES Char,fn Char"/>
    <w:basedOn w:val="DefaultParagraphFont"/>
    <w:link w:val="FootnoteText"/>
    <w:uiPriority w:val="99"/>
    <w:locked/>
    <w:rsid w:val="00417ACA"/>
    <w:rPr>
      <w:rFonts w:ascii="Times New Roman" w:hAnsi="Times New Roman" w:cs="Times New Roman"/>
      <w:sz w:val="20"/>
      <w:szCs w:val="20"/>
    </w:rPr>
  </w:style>
  <w:style w:type="character" w:styleId="FootnoteReference">
    <w:name w:val="footnote reference"/>
    <w:aliases w:val="16 Point,Superscript 6 Point,Superscript 6 Point + 11 pt,ftref,BVI fnr,BVI fnr Car Car,BVI fnr Car,BVI fnr Car Car Car Car,Footnote text"/>
    <w:basedOn w:val="DefaultParagraphFont"/>
    <w:uiPriority w:val="99"/>
    <w:rsid w:val="00417ACA"/>
    <w:rPr>
      <w:rFonts w:cs="Times New Roman"/>
      <w:vertAlign w:val="superscript"/>
    </w:rPr>
  </w:style>
  <w:style w:type="character" w:styleId="FollowedHyperlink">
    <w:name w:val="FollowedHyperlink"/>
    <w:basedOn w:val="DefaultParagraphFont"/>
    <w:uiPriority w:val="99"/>
    <w:rsid w:val="00417ACA"/>
    <w:rPr>
      <w:rFonts w:cs="Times New Roman"/>
      <w:color w:val="606420"/>
      <w:u w:val="single"/>
    </w:rPr>
  </w:style>
  <w:style w:type="paragraph" w:styleId="DocumentMap">
    <w:name w:val="Document Map"/>
    <w:basedOn w:val="Normal"/>
    <w:link w:val="DocumentMapChar"/>
    <w:uiPriority w:val="99"/>
    <w:semiHidden/>
    <w:rsid w:val="00417A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417ACA"/>
    <w:rPr>
      <w:rFonts w:ascii="Tahoma" w:hAnsi="Tahoma" w:cs="Tahoma"/>
      <w:sz w:val="20"/>
      <w:szCs w:val="20"/>
      <w:shd w:val="clear" w:color="auto" w:fill="000080"/>
    </w:rPr>
  </w:style>
  <w:style w:type="paragraph" w:customStyle="1" w:styleId="MainParanoChapter">
    <w:name w:val="Main Para no Chapter #"/>
    <w:basedOn w:val="Normal"/>
    <w:link w:val="MainParanoChapterChar"/>
    <w:autoRedefine/>
    <w:uiPriority w:val="99"/>
    <w:rsid w:val="00417ACA"/>
    <w:pPr>
      <w:numPr>
        <w:numId w:val="4"/>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417ACA"/>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99"/>
    <w:qFormat/>
    <w:rsid w:val="00EE2492"/>
    <w:pPr>
      <w:numPr>
        <w:ilvl w:val="1"/>
        <w:numId w:val="5"/>
      </w:numPr>
      <w:spacing w:after="80" w:line="240" w:lineRule="auto"/>
      <w:contextualSpacing/>
    </w:pPr>
    <w:rPr>
      <w:rFonts w:ascii="Times New Roman" w:eastAsia="Times New Roman" w:hAnsi="Times New Roman"/>
      <w:szCs w:val="18"/>
      <w:lang w:val="en-GB"/>
    </w:rPr>
  </w:style>
  <w:style w:type="character" w:customStyle="1" w:styleId="MainParanoChapterChar">
    <w:name w:val="Main Para no Chapter # Char"/>
    <w:basedOn w:val="DefaultParagraphFont"/>
    <w:link w:val="MainParanoChapter"/>
    <w:uiPriority w:val="99"/>
    <w:locked/>
    <w:rsid w:val="00417ACA"/>
    <w:rPr>
      <w:rFonts w:ascii="Times New Roman" w:hAnsi="Times New Roman" w:cs="Times New Roman"/>
      <w:color w:val="000000"/>
      <w:sz w:val="24"/>
      <w:szCs w:val="24"/>
      <w:lang w:val="en-US" w:eastAsia="en-US"/>
    </w:rPr>
  </w:style>
  <w:style w:type="paragraph" w:styleId="NoSpacing">
    <w:name w:val="No Spacing"/>
    <w:uiPriority w:val="99"/>
    <w:qFormat/>
    <w:rsid w:val="00417ACA"/>
    <w:rPr>
      <w:rFonts w:eastAsia="Times New Roman"/>
    </w:rPr>
  </w:style>
  <w:style w:type="character" w:styleId="CommentReference">
    <w:name w:val="annotation reference"/>
    <w:basedOn w:val="DefaultParagraphFont"/>
    <w:uiPriority w:val="99"/>
    <w:rsid w:val="00417ACA"/>
    <w:rPr>
      <w:rFonts w:cs="Times New Roman"/>
      <w:sz w:val="16"/>
      <w:szCs w:val="16"/>
    </w:rPr>
  </w:style>
  <w:style w:type="paragraph" w:styleId="CommentText">
    <w:name w:val="annotation text"/>
    <w:basedOn w:val="Normal"/>
    <w:link w:val="CommentTextChar"/>
    <w:uiPriority w:val="99"/>
    <w:rsid w:val="00417AC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417A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417ACA"/>
    <w:rPr>
      <w:b/>
      <w:bCs/>
    </w:rPr>
  </w:style>
  <w:style w:type="character" w:customStyle="1" w:styleId="CommentSubjectChar">
    <w:name w:val="Comment Subject Char"/>
    <w:basedOn w:val="CommentTextChar"/>
    <w:link w:val="CommentSubject"/>
    <w:uiPriority w:val="99"/>
    <w:locked/>
    <w:rsid w:val="00417ACA"/>
    <w:rPr>
      <w:b/>
      <w:bCs/>
    </w:rPr>
  </w:style>
  <w:style w:type="paragraph" w:customStyle="1" w:styleId="A">
    <w:name w:val="A"/>
    <w:basedOn w:val="Normal"/>
    <w:uiPriority w:val="99"/>
    <w:rsid w:val="003E4003"/>
    <w:pPr>
      <w:numPr>
        <w:numId w:val="5"/>
      </w:numPr>
      <w:spacing w:after="100" w:line="240" w:lineRule="auto"/>
      <w:jc w:val="both"/>
    </w:pPr>
    <w:rPr>
      <w:rFonts w:ascii="Times New Roman" w:eastAsia="Times New Roman" w:hAnsi="Times New Roman"/>
    </w:rPr>
  </w:style>
  <w:style w:type="paragraph" w:customStyle="1" w:styleId="aaa">
    <w:name w:val="aaa"/>
    <w:basedOn w:val="A"/>
    <w:uiPriority w:val="99"/>
    <w:rsid w:val="003E4003"/>
    <w:pPr>
      <w:jc w:val="left"/>
    </w:pPr>
  </w:style>
  <w:style w:type="paragraph" w:customStyle="1" w:styleId="B">
    <w:name w:val="B"/>
    <w:basedOn w:val="Normal"/>
    <w:link w:val="BChar"/>
    <w:uiPriority w:val="99"/>
    <w:rsid w:val="00BC594C"/>
    <w:pPr>
      <w:spacing w:before="80" w:after="0" w:line="240" w:lineRule="auto"/>
    </w:pPr>
    <w:rPr>
      <w:rFonts w:ascii="Times New Roman" w:eastAsia="Times New Roman" w:hAnsi="Times New Roman"/>
      <w:sz w:val="18"/>
      <w:szCs w:val="18"/>
    </w:rPr>
  </w:style>
  <w:style w:type="character" w:customStyle="1" w:styleId="BChar">
    <w:name w:val="B Char"/>
    <w:basedOn w:val="DefaultParagraphFont"/>
    <w:link w:val="B"/>
    <w:uiPriority w:val="99"/>
    <w:locked/>
    <w:rsid w:val="00BC594C"/>
    <w:rPr>
      <w:rFonts w:ascii="Times New Roman" w:hAnsi="Times New Roman" w:cs="Times New Roman"/>
      <w:sz w:val="18"/>
      <w:szCs w:val="18"/>
    </w:rPr>
  </w:style>
  <w:style w:type="paragraph" w:customStyle="1" w:styleId="Normal1">
    <w:name w:val="Normal1"/>
    <w:uiPriority w:val="99"/>
    <w:rsid w:val="0050127C"/>
    <w:pPr>
      <w:widowControl w:val="0"/>
    </w:pPr>
    <w:rPr>
      <w:rFonts w:ascii="Arial" w:eastAsia="Times New Roman" w:hAnsi="Arial"/>
      <w:b/>
      <w:sz w:val="20"/>
      <w:szCs w:val="20"/>
      <w:lang w:val="ru-RU" w:eastAsia="ru-RU"/>
    </w:rPr>
  </w:style>
  <w:style w:type="character" w:customStyle="1" w:styleId="sciname">
    <w:name w:val="sciname"/>
    <w:basedOn w:val="DefaultParagraphFont"/>
    <w:uiPriority w:val="99"/>
    <w:rsid w:val="005342F6"/>
    <w:rPr>
      <w:rFonts w:cs="Times New Roman"/>
      <w:i/>
      <w:iCs/>
    </w:rPr>
  </w:style>
  <w:style w:type="paragraph" w:customStyle="1" w:styleId="aaaa">
    <w:name w:val="aaaa"/>
    <w:basedOn w:val="A"/>
    <w:uiPriority w:val="99"/>
    <w:rsid w:val="008D379B"/>
    <w:pPr>
      <w:numPr>
        <w:numId w:val="0"/>
      </w:numPr>
      <w:tabs>
        <w:tab w:val="num" w:pos="360"/>
        <w:tab w:val="num" w:pos="720"/>
      </w:tabs>
      <w:jc w:val="left"/>
    </w:pPr>
  </w:style>
  <w:style w:type="paragraph" w:customStyle="1" w:styleId="a0">
    <w:name w:val="Стиль"/>
    <w:uiPriority w:val="99"/>
    <w:rsid w:val="00F75E84"/>
    <w:pPr>
      <w:widowControl w:val="0"/>
      <w:autoSpaceDE w:val="0"/>
      <w:autoSpaceDN w:val="0"/>
      <w:adjustRightInd w:val="0"/>
      <w:spacing w:before="100" w:after="100"/>
    </w:pPr>
    <w:rPr>
      <w:rFonts w:ascii="Times New Roman" w:eastAsia="Times New Roman" w:hAnsi="Times New Roman"/>
      <w:sz w:val="24"/>
      <w:szCs w:val="20"/>
      <w:lang w:val="ru-RU"/>
    </w:rPr>
  </w:style>
  <w:style w:type="character" w:customStyle="1" w:styleId="apple-style-span">
    <w:name w:val="apple-style-span"/>
    <w:basedOn w:val="DefaultParagraphFont"/>
    <w:uiPriority w:val="99"/>
    <w:rsid w:val="00F75E84"/>
    <w:rPr>
      <w:rFonts w:cs="Times New Roman"/>
    </w:rPr>
  </w:style>
  <w:style w:type="character" w:styleId="Strong">
    <w:name w:val="Strong"/>
    <w:basedOn w:val="DefaultParagraphFont"/>
    <w:uiPriority w:val="99"/>
    <w:qFormat/>
    <w:rsid w:val="00A11823"/>
    <w:rPr>
      <w:rFonts w:cs="Times New Roman"/>
      <w:b/>
      <w:bCs/>
    </w:rPr>
  </w:style>
  <w:style w:type="paragraph" w:styleId="Revision">
    <w:name w:val="Revision"/>
    <w:hidden/>
    <w:uiPriority w:val="99"/>
    <w:rsid w:val="0092386A"/>
  </w:style>
  <w:style w:type="paragraph" w:customStyle="1" w:styleId="ParaCharChar">
    <w:name w:val="Para Char Char"/>
    <w:basedOn w:val="Normal"/>
    <w:link w:val="ParaCharCharChar"/>
    <w:autoRedefine/>
    <w:uiPriority w:val="99"/>
    <w:rsid w:val="00535E03"/>
    <w:pPr>
      <w:numPr>
        <w:numId w:val="6"/>
      </w:numPr>
      <w:tabs>
        <w:tab w:val="left" w:pos="720"/>
      </w:tabs>
      <w:spacing w:before="120" w:after="0" w:line="240" w:lineRule="auto"/>
      <w:jc w:val="both"/>
    </w:pPr>
    <w:rPr>
      <w:rFonts w:ascii="Times New Roman" w:eastAsia="Times New Roman" w:hAnsi="Times New Roman"/>
      <w:bCs/>
      <w:iCs/>
      <w:noProof/>
      <w:color w:val="000000"/>
      <w:lang w:val="en-GB"/>
    </w:rPr>
  </w:style>
  <w:style w:type="character" w:customStyle="1" w:styleId="ParaCharCharChar">
    <w:name w:val="Para Char Char Char"/>
    <w:basedOn w:val="DefaultParagraphFont"/>
    <w:link w:val="ParaCharChar"/>
    <w:uiPriority w:val="99"/>
    <w:locked/>
    <w:rsid w:val="00535E03"/>
    <w:rPr>
      <w:rFonts w:ascii="Times New Roman" w:hAnsi="Times New Roman" w:cs="Times New Roman"/>
      <w:bCs/>
      <w:iCs/>
      <w:noProof/>
      <w:color w:val="000000"/>
      <w:lang w:val="en-GB" w:eastAsia="en-US"/>
    </w:rPr>
  </w:style>
  <w:style w:type="paragraph" w:customStyle="1" w:styleId="TableText">
    <w:name w:val="TableText"/>
    <w:link w:val="TableTextChar"/>
    <w:autoRedefine/>
    <w:uiPriority w:val="99"/>
    <w:rsid w:val="00144583"/>
    <w:pPr>
      <w:tabs>
        <w:tab w:val="left" w:pos="-720"/>
      </w:tabs>
      <w:suppressAutoHyphens/>
    </w:pPr>
    <w:rPr>
      <w:rFonts w:ascii="Times New Roman" w:eastAsia="Times New Roman" w:hAnsi="Times New Roman"/>
      <w:sz w:val="18"/>
      <w:szCs w:val="18"/>
      <w:lang w:val="en-GB"/>
    </w:rPr>
  </w:style>
  <w:style w:type="character" w:customStyle="1" w:styleId="TableTextChar">
    <w:name w:val="TableText Char"/>
    <w:basedOn w:val="DefaultParagraphFont"/>
    <w:link w:val="TableText"/>
    <w:uiPriority w:val="99"/>
    <w:locked/>
    <w:rsid w:val="00144583"/>
    <w:rPr>
      <w:rFonts w:ascii="Times New Roman" w:hAnsi="Times New Roman" w:cs="Times New Roman"/>
      <w:sz w:val="18"/>
      <w:szCs w:val="18"/>
      <w:lang w:val="en-GB" w:eastAsia="en-US" w:bidi="ar-SA"/>
    </w:rPr>
  </w:style>
  <w:style w:type="paragraph" w:customStyle="1" w:styleId="Aa">
    <w:name w:val="Aa"/>
    <w:basedOn w:val="A"/>
    <w:uiPriority w:val="99"/>
    <w:rsid w:val="00DD59ED"/>
    <w:pPr>
      <w:numPr>
        <w:numId w:val="3"/>
      </w:numPr>
      <w:tabs>
        <w:tab w:val="clear" w:pos="720"/>
        <w:tab w:val="num" w:pos="360"/>
      </w:tabs>
      <w:ind w:left="0" w:firstLine="0"/>
      <w:jc w:val="left"/>
    </w:pPr>
  </w:style>
  <w:style w:type="paragraph" w:customStyle="1" w:styleId="Dismaintext">
    <w:name w:val="Dis_main_text"/>
    <w:basedOn w:val="Normal"/>
    <w:link w:val="DismaintextChar"/>
    <w:uiPriority w:val="99"/>
    <w:rsid w:val="00EC365B"/>
    <w:pPr>
      <w:spacing w:after="0" w:line="264" w:lineRule="auto"/>
      <w:ind w:firstLine="720"/>
      <w:jc w:val="both"/>
    </w:pPr>
    <w:rPr>
      <w:rFonts w:ascii="Times New Roman" w:eastAsia="Times New Roman" w:hAnsi="Times New Roman"/>
      <w:color w:val="000000"/>
      <w:sz w:val="27"/>
      <w:szCs w:val="27"/>
      <w:lang w:val="ru-RU" w:eastAsia="ru-RU"/>
    </w:rPr>
  </w:style>
  <w:style w:type="character" w:customStyle="1" w:styleId="DismaintextChar">
    <w:name w:val="Dis_main_text Char"/>
    <w:basedOn w:val="DefaultParagraphFont"/>
    <w:link w:val="Dismaintext"/>
    <w:uiPriority w:val="99"/>
    <w:locked/>
    <w:rsid w:val="00EC365B"/>
    <w:rPr>
      <w:rFonts w:ascii="Times New Roman" w:hAnsi="Times New Roman" w:cs="Times New Roman"/>
      <w:color w:val="000000"/>
      <w:sz w:val="27"/>
      <w:szCs w:val="27"/>
    </w:rPr>
  </w:style>
  <w:style w:type="paragraph" w:styleId="NormalWeb">
    <w:name w:val="Normal (Web)"/>
    <w:basedOn w:val="Normal"/>
    <w:uiPriority w:val="99"/>
    <w:semiHidden/>
    <w:rsid w:val="00473997"/>
    <w:pPr>
      <w:spacing w:before="100" w:beforeAutospacing="1" w:after="100" w:afterAutospacing="1" w:line="240" w:lineRule="auto"/>
    </w:pPr>
    <w:rPr>
      <w:rFonts w:ascii="Arial" w:eastAsia="Times New Roman" w:hAnsi="Arial" w:cs="Arial"/>
      <w:sz w:val="20"/>
      <w:szCs w:val="20"/>
    </w:rPr>
  </w:style>
  <w:style w:type="table" w:customStyle="1" w:styleId="TableGrid1">
    <w:name w:val="Table Grid1"/>
    <w:uiPriority w:val="99"/>
    <w:rsid w:val="00B34EC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34EC2"/>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125148">
      <w:marLeft w:val="0"/>
      <w:marRight w:val="0"/>
      <w:marTop w:val="0"/>
      <w:marBottom w:val="0"/>
      <w:divBdr>
        <w:top w:val="none" w:sz="0" w:space="0" w:color="auto"/>
        <w:left w:val="none" w:sz="0" w:space="0" w:color="auto"/>
        <w:bottom w:val="none" w:sz="0" w:space="0" w:color="auto"/>
        <w:right w:val="none" w:sz="0" w:space="0" w:color="auto"/>
      </w:divBdr>
    </w:div>
    <w:div w:id="36125149">
      <w:marLeft w:val="0"/>
      <w:marRight w:val="0"/>
      <w:marTop w:val="0"/>
      <w:marBottom w:val="0"/>
      <w:divBdr>
        <w:top w:val="none" w:sz="0" w:space="0" w:color="auto"/>
        <w:left w:val="none" w:sz="0" w:space="0" w:color="auto"/>
        <w:bottom w:val="none" w:sz="0" w:space="0" w:color="auto"/>
        <w:right w:val="none" w:sz="0" w:space="0" w:color="auto"/>
      </w:divBdr>
    </w:div>
    <w:div w:id="36125150">
      <w:marLeft w:val="0"/>
      <w:marRight w:val="0"/>
      <w:marTop w:val="0"/>
      <w:marBottom w:val="0"/>
      <w:divBdr>
        <w:top w:val="none" w:sz="0" w:space="0" w:color="auto"/>
        <w:left w:val="none" w:sz="0" w:space="0" w:color="auto"/>
        <w:bottom w:val="none" w:sz="0" w:space="0" w:color="auto"/>
        <w:right w:val="none" w:sz="0" w:space="0" w:color="auto"/>
      </w:divBdr>
    </w:div>
    <w:div w:id="36125151">
      <w:marLeft w:val="5"/>
      <w:marRight w:val="15"/>
      <w:marTop w:val="0"/>
      <w:marBottom w:val="0"/>
      <w:divBdr>
        <w:top w:val="none" w:sz="0" w:space="0" w:color="auto"/>
        <w:left w:val="none" w:sz="0" w:space="0" w:color="auto"/>
        <w:bottom w:val="none" w:sz="0" w:space="0" w:color="auto"/>
        <w:right w:val="none" w:sz="0" w:space="0" w:color="auto"/>
      </w:divBdr>
    </w:div>
    <w:div w:id="36125152">
      <w:marLeft w:val="0"/>
      <w:marRight w:val="0"/>
      <w:marTop w:val="0"/>
      <w:marBottom w:val="0"/>
      <w:divBdr>
        <w:top w:val="none" w:sz="0" w:space="0" w:color="auto"/>
        <w:left w:val="none" w:sz="0" w:space="0" w:color="auto"/>
        <w:bottom w:val="none" w:sz="0" w:space="0" w:color="auto"/>
        <w:right w:val="none" w:sz="0" w:space="0" w:color="auto"/>
      </w:divBdr>
    </w:div>
    <w:div w:id="36125153">
      <w:marLeft w:val="0"/>
      <w:marRight w:val="0"/>
      <w:marTop w:val="0"/>
      <w:marBottom w:val="0"/>
      <w:divBdr>
        <w:top w:val="none" w:sz="0" w:space="0" w:color="auto"/>
        <w:left w:val="none" w:sz="0" w:space="0" w:color="auto"/>
        <w:bottom w:val="none" w:sz="0" w:space="0" w:color="auto"/>
        <w:right w:val="none" w:sz="0" w:space="0" w:color="auto"/>
      </w:divBdr>
    </w:div>
    <w:div w:id="36125154">
      <w:marLeft w:val="0"/>
      <w:marRight w:val="0"/>
      <w:marTop w:val="0"/>
      <w:marBottom w:val="0"/>
      <w:divBdr>
        <w:top w:val="none" w:sz="0" w:space="0" w:color="auto"/>
        <w:left w:val="none" w:sz="0" w:space="0" w:color="auto"/>
        <w:bottom w:val="none" w:sz="0" w:space="0" w:color="auto"/>
        <w:right w:val="none" w:sz="0" w:space="0" w:color="auto"/>
      </w:divBdr>
    </w:div>
    <w:div w:id="36125155">
      <w:marLeft w:val="0"/>
      <w:marRight w:val="0"/>
      <w:marTop w:val="0"/>
      <w:marBottom w:val="0"/>
      <w:divBdr>
        <w:top w:val="none" w:sz="0" w:space="0" w:color="auto"/>
        <w:left w:val="none" w:sz="0" w:space="0" w:color="auto"/>
        <w:bottom w:val="none" w:sz="0" w:space="0" w:color="auto"/>
        <w:right w:val="none" w:sz="0" w:space="0" w:color="auto"/>
      </w:divBdr>
    </w:div>
    <w:div w:id="36125156">
      <w:marLeft w:val="0"/>
      <w:marRight w:val="0"/>
      <w:marTop w:val="0"/>
      <w:marBottom w:val="0"/>
      <w:divBdr>
        <w:top w:val="none" w:sz="0" w:space="0" w:color="auto"/>
        <w:left w:val="none" w:sz="0" w:space="0" w:color="auto"/>
        <w:bottom w:val="none" w:sz="0" w:space="0" w:color="auto"/>
        <w:right w:val="none" w:sz="0" w:space="0" w:color="auto"/>
      </w:divBdr>
    </w:div>
    <w:div w:id="36125157">
      <w:marLeft w:val="0"/>
      <w:marRight w:val="0"/>
      <w:marTop w:val="0"/>
      <w:marBottom w:val="0"/>
      <w:divBdr>
        <w:top w:val="none" w:sz="0" w:space="0" w:color="auto"/>
        <w:left w:val="none" w:sz="0" w:space="0" w:color="auto"/>
        <w:bottom w:val="none" w:sz="0" w:space="0" w:color="auto"/>
        <w:right w:val="none" w:sz="0" w:space="0" w:color="auto"/>
      </w:divBdr>
    </w:div>
    <w:div w:id="36125158">
      <w:marLeft w:val="0"/>
      <w:marRight w:val="0"/>
      <w:marTop w:val="0"/>
      <w:marBottom w:val="0"/>
      <w:divBdr>
        <w:top w:val="none" w:sz="0" w:space="0" w:color="auto"/>
        <w:left w:val="none" w:sz="0" w:space="0" w:color="auto"/>
        <w:bottom w:val="none" w:sz="0" w:space="0" w:color="auto"/>
        <w:right w:val="none" w:sz="0" w:space="0" w:color="auto"/>
      </w:divBdr>
    </w:div>
    <w:div w:id="36125159">
      <w:marLeft w:val="0"/>
      <w:marRight w:val="0"/>
      <w:marTop w:val="0"/>
      <w:marBottom w:val="0"/>
      <w:divBdr>
        <w:top w:val="none" w:sz="0" w:space="0" w:color="auto"/>
        <w:left w:val="none" w:sz="0" w:space="0" w:color="auto"/>
        <w:bottom w:val="none" w:sz="0" w:space="0" w:color="auto"/>
        <w:right w:val="none" w:sz="0" w:space="0" w:color="auto"/>
      </w:divBdr>
    </w:div>
    <w:div w:id="36125160">
      <w:marLeft w:val="0"/>
      <w:marRight w:val="0"/>
      <w:marTop w:val="0"/>
      <w:marBottom w:val="0"/>
      <w:divBdr>
        <w:top w:val="none" w:sz="0" w:space="0" w:color="auto"/>
        <w:left w:val="none" w:sz="0" w:space="0" w:color="auto"/>
        <w:bottom w:val="none" w:sz="0" w:space="0" w:color="auto"/>
        <w:right w:val="none" w:sz="0" w:space="0" w:color="auto"/>
      </w:divBdr>
    </w:div>
    <w:div w:id="36125161">
      <w:marLeft w:val="0"/>
      <w:marRight w:val="0"/>
      <w:marTop w:val="0"/>
      <w:marBottom w:val="0"/>
      <w:divBdr>
        <w:top w:val="none" w:sz="0" w:space="0" w:color="auto"/>
        <w:left w:val="none" w:sz="0" w:space="0" w:color="auto"/>
        <w:bottom w:val="none" w:sz="0" w:space="0" w:color="auto"/>
        <w:right w:val="none" w:sz="0" w:space="0" w:color="auto"/>
      </w:divBdr>
    </w:div>
    <w:div w:id="36125162">
      <w:marLeft w:val="0"/>
      <w:marRight w:val="0"/>
      <w:marTop w:val="0"/>
      <w:marBottom w:val="0"/>
      <w:divBdr>
        <w:top w:val="none" w:sz="0" w:space="0" w:color="auto"/>
        <w:left w:val="none" w:sz="0" w:space="0" w:color="auto"/>
        <w:bottom w:val="none" w:sz="0" w:space="0" w:color="auto"/>
        <w:right w:val="none" w:sz="0" w:space="0" w:color="auto"/>
      </w:divBdr>
    </w:div>
    <w:div w:id="36125163">
      <w:marLeft w:val="0"/>
      <w:marRight w:val="0"/>
      <w:marTop w:val="0"/>
      <w:marBottom w:val="0"/>
      <w:divBdr>
        <w:top w:val="none" w:sz="0" w:space="0" w:color="auto"/>
        <w:left w:val="none" w:sz="0" w:space="0" w:color="auto"/>
        <w:bottom w:val="none" w:sz="0" w:space="0" w:color="auto"/>
        <w:right w:val="none" w:sz="0" w:space="0" w:color="auto"/>
      </w:divBdr>
    </w:div>
    <w:div w:id="36125164">
      <w:marLeft w:val="0"/>
      <w:marRight w:val="0"/>
      <w:marTop w:val="0"/>
      <w:marBottom w:val="0"/>
      <w:divBdr>
        <w:top w:val="none" w:sz="0" w:space="0" w:color="auto"/>
        <w:left w:val="none" w:sz="0" w:space="0" w:color="auto"/>
        <w:bottom w:val="none" w:sz="0" w:space="0" w:color="auto"/>
        <w:right w:val="none" w:sz="0" w:space="0" w:color="auto"/>
      </w:divBdr>
    </w:div>
    <w:div w:id="36125165">
      <w:marLeft w:val="0"/>
      <w:marRight w:val="0"/>
      <w:marTop w:val="0"/>
      <w:marBottom w:val="0"/>
      <w:divBdr>
        <w:top w:val="none" w:sz="0" w:space="0" w:color="auto"/>
        <w:left w:val="none" w:sz="0" w:space="0" w:color="auto"/>
        <w:bottom w:val="none" w:sz="0" w:space="0" w:color="auto"/>
        <w:right w:val="none" w:sz="0" w:space="0" w:color="auto"/>
      </w:divBdr>
    </w:div>
    <w:div w:id="36125166">
      <w:marLeft w:val="0"/>
      <w:marRight w:val="0"/>
      <w:marTop w:val="0"/>
      <w:marBottom w:val="0"/>
      <w:divBdr>
        <w:top w:val="none" w:sz="0" w:space="0" w:color="auto"/>
        <w:left w:val="none" w:sz="0" w:space="0" w:color="auto"/>
        <w:bottom w:val="none" w:sz="0" w:space="0" w:color="auto"/>
        <w:right w:val="none" w:sz="0" w:space="0" w:color="auto"/>
      </w:divBdr>
    </w:div>
    <w:div w:id="36125167">
      <w:marLeft w:val="0"/>
      <w:marRight w:val="0"/>
      <w:marTop w:val="0"/>
      <w:marBottom w:val="0"/>
      <w:divBdr>
        <w:top w:val="none" w:sz="0" w:space="0" w:color="auto"/>
        <w:left w:val="none" w:sz="0" w:space="0" w:color="auto"/>
        <w:bottom w:val="none" w:sz="0" w:space="0" w:color="auto"/>
        <w:right w:val="none" w:sz="0" w:space="0" w:color="auto"/>
      </w:divBdr>
    </w:div>
    <w:div w:id="36125168">
      <w:marLeft w:val="0"/>
      <w:marRight w:val="0"/>
      <w:marTop w:val="0"/>
      <w:marBottom w:val="0"/>
      <w:divBdr>
        <w:top w:val="none" w:sz="0" w:space="0" w:color="auto"/>
        <w:left w:val="none" w:sz="0" w:space="0" w:color="auto"/>
        <w:bottom w:val="none" w:sz="0" w:space="0" w:color="auto"/>
        <w:right w:val="none" w:sz="0" w:space="0" w:color="auto"/>
      </w:divBdr>
    </w:div>
    <w:div w:id="3612516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gefweb.org/uploadedFiles/Projects/Templates_and_Guidelines/OFP%20Endorsement%20Template-Aug9rev.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fccc.int/files/meetings/cop_16/application/pdf/cop16_lca.pdf" TargetMode="External"/><Relationship Id="rId5" Type="http://schemas.openxmlformats.org/officeDocument/2006/relationships/footnotes" Target="footnotes.xml"/><Relationship Id="rId15" Type="http://schemas.openxmlformats.org/officeDocument/2006/relationships/hyperlink" Target="mailto:Maxim.vergeichik@undp.org" TargetMode="External"/><Relationship Id="rId10" Type="http://schemas.openxmlformats.org/officeDocument/2006/relationships/hyperlink" Target="http://www.thegef.org/gef/sites/thegef.org/files/documents/CPE-Global_Environmental_Benefits_Assessment_Outlin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fweb.org/uploadedFiles/Documents/Council_Documents__(PDF_DOC)/GEF_31/C.31.12%20Operational%20Guidelines%20for%20Incremental%20Costs.pdf" TargetMode="External"/><Relationship Id="rId14" Type="http://schemas.openxmlformats.org/officeDocument/2006/relationships/hyperlink" Target="mailto:Adriana.dinu@undp.org"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springerlink.com/content/?Author=Fatih+Evrendi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D65F4-F298-49D0-9770-37F48C89798E}"/>
</file>

<file path=customXml/itemProps2.xml><?xml version="1.0" encoding="utf-8"?>
<ds:datastoreItem xmlns:ds="http://schemas.openxmlformats.org/officeDocument/2006/customXml" ds:itemID="{73D57087-34E1-42C9-915C-0727E0723068}"/>
</file>

<file path=customXml/itemProps3.xml><?xml version="1.0" encoding="utf-8"?>
<ds:datastoreItem xmlns:ds="http://schemas.openxmlformats.org/officeDocument/2006/customXml" ds:itemID="{3400F35F-94F4-4A8D-8266-75D6C1450BF8}"/>
</file>

<file path=docProps/app.xml><?xml version="1.0" encoding="utf-8"?>
<Properties xmlns="http://schemas.openxmlformats.org/officeDocument/2006/extended-properties" xmlns:vt="http://schemas.openxmlformats.org/officeDocument/2006/docPropsVTypes">
  <Template>Normal.dotm</Template>
  <TotalTime>0</TotalTime>
  <Pages>14</Pages>
  <Words>11490</Words>
  <Characters>67100</Characters>
  <Application>Microsoft Office Word</Application>
  <DocSecurity>0</DocSecurity>
  <Lines>559</Lines>
  <Paragraphs>156</Paragraphs>
  <ScaleCrop>false</ScaleCrop>
  <HeadingPairs>
    <vt:vector size="2" baseType="variant">
      <vt:variant>
        <vt:lpstr>Title</vt:lpstr>
      </vt:variant>
      <vt:variant>
        <vt:i4>1</vt:i4>
      </vt:variant>
    </vt:vector>
  </HeadingPairs>
  <TitlesOfParts>
    <vt:vector size="1" baseType="lpstr">
      <vt:lpstr>PROJECT IDENTIFICATION FORM (PIF)</vt:lpstr>
    </vt:vector>
  </TitlesOfParts>
  <Company>UNDP Russia</Company>
  <LinksUpToDate>false</LinksUpToDate>
  <CharactersWithSpaces>78434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IDENTIFICATION FORM (PIF)</dc:title>
  <dc:creator>maxim.vergeichik</dc:creator>
  <cp:lastModifiedBy>wb155260</cp:lastModifiedBy>
  <cp:revision>2</cp:revision>
  <cp:lastPrinted>2011-02-17T13:40:00Z</cp:lastPrinted>
  <dcterms:created xsi:type="dcterms:W3CDTF">2011-04-25T21:14:00Z</dcterms:created>
  <dcterms:modified xsi:type="dcterms:W3CDTF">2011-04-25T21:14:00Z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