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96029" w:rsidRDefault="00381AA0">
      <w:pPr>
        <w:autoSpaceDE w:val="0"/>
        <w:autoSpaceDN w:val="0"/>
        <w:adjustRightInd w:val="0"/>
        <w:ind w:left="2340" w:right="-900"/>
        <w:rPr>
          <w:rFonts w:ascii="Times New Roman Bold" w:hAnsi="Times New Roman Bold" w:cs="Times New Roman Bold"/>
          <w:b/>
          <w:bCs/>
          <w:caps/>
          <w:color w:val="000000"/>
          <w:sz w:val="22"/>
          <w:szCs w:val="22"/>
        </w:rPr>
      </w:pPr>
      <w:r>
        <w:rPr>
          <w:rFonts w:ascii="Times New Roman Bold" w:hAnsi="Times New Roman Bold"/>
          <w:b/>
          <w:bCs/>
          <w:caps/>
          <w:noProof/>
          <w:sz w:val="22"/>
          <w:szCs w:val="2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-320675</wp:posOffset>
            </wp:positionV>
            <wp:extent cx="1143000" cy="1031875"/>
            <wp:effectExtent l="19050" t="0" r="0" b="0"/>
            <wp:wrapNone/>
            <wp:docPr id="3" name="Picture 2"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color"/>
                    <pic:cNvPicPr>
                      <a:picLocks noChangeAspect="1" noChangeArrowheads="1"/>
                    </pic:cNvPicPr>
                  </pic:nvPicPr>
                  <pic:blipFill>
                    <a:blip r:embed="rId8" cstate="print"/>
                    <a:srcRect/>
                    <a:stretch>
                      <a:fillRect/>
                    </a:stretch>
                  </pic:blipFill>
                  <pic:spPr bwMode="auto">
                    <a:xfrm>
                      <a:off x="0" y="0"/>
                      <a:ext cx="1143000" cy="1031875"/>
                    </a:xfrm>
                    <a:prstGeom prst="rect">
                      <a:avLst/>
                    </a:prstGeom>
                    <a:noFill/>
                  </pic:spPr>
                </pic:pic>
              </a:graphicData>
            </a:graphic>
          </wp:anchor>
        </w:drawing>
      </w:r>
      <w:r w:rsidR="00496029">
        <w:rPr>
          <w:rFonts w:ascii="Times New Roman Bold" w:hAnsi="Times New Roman Bold" w:cs="Times New Roman Bold"/>
          <w:b/>
          <w:bCs/>
          <w:caps/>
          <w:color w:val="000000"/>
          <w:sz w:val="22"/>
          <w:szCs w:val="22"/>
        </w:rPr>
        <w:t xml:space="preserve">request for project preparation grant (PPG) </w:t>
      </w:r>
    </w:p>
    <w:p w:rsidR="00496029" w:rsidRDefault="00496029">
      <w:pPr>
        <w:autoSpaceDE w:val="0"/>
        <w:autoSpaceDN w:val="0"/>
        <w:adjustRightInd w:val="0"/>
        <w:ind w:left="2340"/>
        <w:rPr>
          <w:rFonts w:ascii="Times New Roman Bold" w:hAnsi="Times New Roman Bold"/>
          <w:b/>
          <w:bCs/>
          <w:color w:val="000000"/>
          <w:sz w:val="22"/>
          <w:szCs w:val="22"/>
        </w:rPr>
      </w:pPr>
      <w:r>
        <w:rPr>
          <w:rFonts w:ascii="Times New Roman Bold" w:hAnsi="Times New Roman Bold"/>
          <w:b/>
          <w:bCs/>
          <w:smallCaps/>
          <w:color w:val="000000"/>
          <w:sz w:val="22"/>
          <w:szCs w:val="22"/>
        </w:rPr>
        <w:t xml:space="preserve">Project Type: </w:t>
      </w:r>
      <w:r w:rsidR="00443143">
        <w:rPr>
          <w:rFonts w:ascii="Times New Roman Bold" w:hAnsi="Times New Roman Bold"/>
          <w:b/>
          <w:bCs/>
          <w:smallCaps/>
          <w:color w:val="000000"/>
          <w:sz w:val="22"/>
          <w:szCs w:val="22"/>
        </w:rPr>
        <w:fldChar w:fldCharType="begin">
          <w:ffData>
            <w:name w:val="Dropdown7"/>
            <w:enabled/>
            <w:calcOnExit w:val="0"/>
            <w:ddList>
              <w:listEntry w:val="Full-sized Project"/>
              <w:listEntry w:val="(choose project type)"/>
              <w:listEntry w:val="Medium-sized Project"/>
              <w:listEntry w:val="Enabling Activity"/>
            </w:ddList>
          </w:ffData>
        </w:fldChar>
      </w:r>
      <w:bookmarkStart w:id="0" w:name="Dropdown7"/>
      <w:r>
        <w:rPr>
          <w:rFonts w:ascii="Times New Roman Bold" w:hAnsi="Times New Roman Bold"/>
          <w:b/>
          <w:bCs/>
          <w:smallCaps/>
          <w:color w:val="000000"/>
          <w:sz w:val="22"/>
          <w:szCs w:val="22"/>
        </w:rPr>
        <w:instrText xml:space="preserve"> FORMDROPDOWN </w:instrText>
      </w:r>
      <w:r w:rsidR="008E7CC1" w:rsidRPr="00443143">
        <w:rPr>
          <w:rFonts w:ascii="Times New Roman Bold" w:hAnsi="Times New Roman Bold"/>
          <w:b/>
          <w:bCs/>
          <w:smallCaps/>
          <w:color w:val="000000"/>
          <w:sz w:val="22"/>
          <w:szCs w:val="22"/>
        </w:rPr>
      </w:r>
      <w:r w:rsidR="00443143">
        <w:rPr>
          <w:rFonts w:ascii="Times New Roman Bold" w:hAnsi="Times New Roman Bold"/>
          <w:b/>
          <w:bCs/>
          <w:smallCaps/>
          <w:color w:val="000000"/>
          <w:sz w:val="22"/>
          <w:szCs w:val="22"/>
        </w:rPr>
        <w:fldChar w:fldCharType="end"/>
      </w:r>
      <w:bookmarkEnd w:id="0"/>
      <w:r>
        <w:rPr>
          <w:rFonts w:ascii="Times New Roman Bold" w:hAnsi="Times New Roman Bold"/>
          <w:b/>
          <w:bCs/>
          <w:smallCaps/>
          <w:color w:val="000000"/>
          <w:sz w:val="22"/>
          <w:szCs w:val="22"/>
        </w:rPr>
        <w:t xml:space="preserve">  </w:t>
      </w:r>
    </w:p>
    <w:p w:rsidR="00496029" w:rsidRDefault="00496029">
      <w:pPr>
        <w:autoSpaceDE w:val="0"/>
        <w:autoSpaceDN w:val="0"/>
        <w:adjustRightInd w:val="0"/>
        <w:ind w:left="1800" w:firstLine="540"/>
        <w:rPr>
          <w:rFonts w:ascii="Times New Roman Bold" w:hAnsi="Times New Roman Bold" w:cs="Times New Roman Bold"/>
          <w:b/>
          <w:bCs/>
          <w:color w:val="000000"/>
          <w:sz w:val="22"/>
          <w:szCs w:val="22"/>
        </w:rPr>
      </w:pPr>
      <w:r>
        <w:rPr>
          <w:rFonts w:ascii="Times New Roman Bold" w:hAnsi="Times New Roman Bold" w:cs="Times New Roman Bold"/>
          <w:b/>
          <w:bCs/>
          <w:smallCaps/>
          <w:color w:val="000000"/>
          <w:sz w:val="22"/>
          <w:szCs w:val="22"/>
        </w:rPr>
        <w:t>the GEF Trust Fund</w:t>
      </w:r>
    </w:p>
    <w:p w:rsidR="00496029" w:rsidRDefault="00496029" w:rsidP="00496029">
      <w:pPr>
        <w:pStyle w:val="Footer"/>
        <w:tabs>
          <w:tab w:val="clear" w:pos="4320"/>
          <w:tab w:val="clear" w:pos="8640"/>
          <w:tab w:val="left" w:pos="9000"/>
        </w:tabs>
        <w:ind w:right="360"/>
        <w:jc w:val="right"/>
        <w:rPr>
          <w:sz w:val="22"/>
          <w:szCs w:val="22"/>
        </w:rPr>
      </w:pPr>
      <w:r>
        <w:rPr>
          <w:b/>
          <w:sz w:val="22"/>
          <w:szCs w:val="22"/>
        </w:rPr>
        <w:t>S</w:t>
      </w:r>
      <w:r w:rsidRPr="00A8267D">
        <w:rPr>
          <w:b/>
          <w:sz w:val="22"/>
          <w:szCs w:val="22"/>
        </w:rPr>
        <w:t>ubmission</w:t>
      </w:r>
      <w:r>
        <w:rPr>
          <w:b/>
          <w:sz w:val="22"/>
          <w:szCs w:val="22"/>
        </w:rPr>
        <w:t xml:space="preserve"> date</w:t>
      </w:r>
      <w:r>
        <w:rPr>
          <w:sz w:val="22"/>
          <w:szCs w:val="22"/>
        </w:rPr>
        <w:t xml:space="preserve">:  </w:t>
      </w:r>
      <w:r w:rsidR="005A5D65">
        <w:rPr>
          <w:sz w:val="22"/>
          <w:szCs w:val="22"/>
        </w:rPr>
        <w:t>May 1</w:t>
      </w:r>
      <w:r w:rsidR="00436977">
        <w:rPr>
          <w:sz w:val="22"/>
          <w:szCs w:val="22"/>
        </w:rPr>
        <w:t>4</w:t>
      </w:r>
      <w:r w:rsidR="005A5D65">
        <w:rPr>
          <w:sz w:val="22"/>
          <w:szCs w:val="22"/>
        </w:rPr>
        <w:t>,</w:t>
      </w:r>
      <w:r>
        <w:rPr>
          <w:sz w:val="22"/>
          <w:szCs w:val="22"/>
        </w:rPr>
        <w:t xml:space="preserve"> 2009</w:t>
      </w:r>
    </w:p>
    <w:p w:rsidR="00496029" w:rsidRPr="007F33FB" w:rsidRDefault="00496029" w:rsidP="00496029">
      <w:pPr>
        <w:pStyle w:val="Footer"/>
        <w:tabs>
          <w:tab w:val="clear" w:pos="4320"/>
          <w:tab w:val="clear" w:pos="8640"/>
        </w:tabs>
        <w:ind w:right="330"/>
        <w:jc w:val="right"/>
        <w:rPr>
          <w:b/>
          <w:sz w:val="22"/>
          <w:szCs w:val="22"/>
        </w:rPr>
      </w:pPr>
      <w:r>
        <w:rPr>
          <w:b/>
          <w:sz w:val="22"/>
          <w:szCs w:val="22"/>
        </w:rPr>
        <w:t xml:space="preserve">Re-submission date:  </w:t>
      </w:r>
      <w:r w:rsidR="00036BA0" w:rsidRPr="00AD1F00">
        <w:rPr>
          <w:sz w:val="22"/>
          <w:szCs w:val="22"/>
        </w:rPr>
        <w:t>June 29, 2009</w:t>
      </w:r>
    </w:p>
    <w:p w:rsidR="00496029" w:rsidRPr="008151F2" w:rsidRDefault="00496029" w:rsidP="00496029">
      <w:pPr>
        <w:rPr>
          <w:sz w:val="22"/>
          <w:szCs w:val="22"/>
        </w:rPr>
      </w:pPr>
      <w:r w:rsidRPr="008151F2">
        <w:rPr>
          <w:rFonts w:ascii="Times New Roman Bold" w:hAnsi="Times New Roman Bold"/>
          <w:b/>
          <w:smallCaps/>
          <w:sz w:val="22"/>
          <w:szCs w:val="22"/>
        </w:rPr>
        <w:t>GEFSEC Project ID:</w:t>
      </w:r>
      <w:r w:rsidRPr="008151F2">
        <w:rPr>
          <w:sz w:val="22"/>
          <w:szCs w:val="22"/>
        </w:rPr>
        <w:t xml:space="preserve"> </w:t>
      </w:r>
      <w:r>
        <w:rPr>
          <w:sz w:val="22"/>
          <w:szCs w:val="22"/>
        </w:rPr>
        <w:t>3779</w:t>
      </w:r>
    </w:p>
    <w:p w:rsidR="00496029" w:rsidRPr="008151F2" w:rsidRDefault="00496029" w:rsidP="00496029">
      <w:pPr>
        <w:rPr>
          <w:rFonts w:ascii="Times New Roman Bold" w:hAnsi="Times New Roman Bold"/>
          <w:b/>
          <w:smallCaps/>
          <w:sz w:val="22"/>
          <w:szCs w:val="22"/>
        </w:rPr>
      </w:pPr>
      <w:r w:rsidRPr="008151F2">
        <w:rPr>
          <w:rFonts w:ascii="Times New Roman Bold" w:hAnsi="Times New Roman Bold"/>
          <w:b/>
          <w:smallCaps/>
          <w:sz w:val="22"/>
          <w:szCs w:val="22"/>
        </w:rPr>
        <w:t xml:space="preserve">GEF </w:t>
      </w:r>
      <w:proofErr w:type="gramStart"/>
      <w:r w:rsidRPr="008151F2">
        <w:rPr>
          <w:rFonts w:ascii="Times New Roman Bold" w:hAnsi="Times New Roman Bold"/>
          <w:b/>
          <w:smallCaps/>
          <w:sz w:val="22"/>
          <w:szCs w:val="22"/>
        </w:rPr>
        <w:t>Agency  Project</w:t>
      </w:r>
      <w:proofErr w:type="gramEnd"/>
      <w:r w:rsidRPr="008151F2">
        <w:rPr>
          <w:rFonts w:ascii="Times New Roman Bold" w:hAnsi="Times New Roman Bold"/>
          <w:b/>
          <w:smallCaps/>
          <w:sz w:val="22"/>
          <w:szCs w:val="22"/>
        </w:rPr>
        <w:t xml:space="preserve"> ID: </w:t>
      </w:r>
      <w:r w:rsidRPr="008151F2">
        <w:rPr>
          <w:sz w:val="22"/>
          <w:szCs w:val="22"/>
        </w:rPr>
        <w:t>P113167</w:t>
      </w:r>
    </w:p>
    <w:p w:rsidR="00496029" w:rsidRPr="008151F2" w:rsidRDefault="00496029" w:rsidP="00496029">
      <w:pPr>
        <w:rPr>
          <w:sz w:val="22"/>
          <w:szCs w:val="22"/>
        </w:rPr>
      </w:pPr>
      <w:proofErr w:type="gramStart"/>
      <w:r w:rsidRPr="008151F2">
        <w:rPr>
          <w:rFonts w:ascii="Times New Roman Bold" w:hAnsi="Times New Roman Bold"/>
          <w:b/>
          <w:smallCaps/>
          <w:sz w:val="22"/>
          <w:szCs w:val="22"/>
        </w:rPr>
        <w:t>Country(</w:t>
      </w:r>
      <w:proofErr w:type="gramEnd"/>
      <w:r w:rsidRPr="008151F2">
        <w:rPr>
          <w:rFonts w:ascii="Times New Roman Bold" w:hAnsi="Times New Roman Bold"/>
          <w:b/>
          <w:smallCaps/>
          <w:sz w:val="22"/>
          <w:szCs w:val="22"/>
        </w:rPr>
        <w:t>ies):</w:t>
      </w:r>
      <w:r w:rsidRPr="008151F2">
        <w:rPr>
          <w:sz w:val="22"/>
          <w:szCs w:val="22"/>
        </w:rPr>
        <w:t xml:space="preserve"> Cameroon, CAR, Democratic Republic of Congo, Equatorial Guinea, Gabon, Republic of Congo</w:t>
      </w:r>
    </w:p>
    <w:p w:rsidR="00496029" w:rsidRPr="008151F2" w:rsidRDefault="00496029" w:rsidP="00496029">
      <w:pPr>
        <w:rPr>
          <w:sz w:val="22"/>
          <w:szCs w:val="22"/>
        </w:rPr>
      </w:pPr>
      <w:r w:rsidRPr="008151F2">
        <w:rPr>
          <w:rFonts w:ascii="Times New Roman Bold" w:hAnsi="Times New Roman Bold"/>
          <w:b/>
          <w:smallCaps/>
          <w:sz w:val="22"/>
          <w:szCs w:val="22"/>
        </w:rPr>
        <w:t>Project Title:</w:t>
      </w:r>
      <w:r w:rsidRPr="008151F2">
        <w:rPr>
          <w:sz w:val="22"/>
          <w:szCs w:val="22"/>
        </w:rPr>
        <w:t xml:space="preserve"> Enhancing Institutional Capacities on REDD issues for Sustainable Forest Management in the Congo Basin</w:t>
      </w:r>
    </w:p>
    <w:p w:rsidR="00496029" w:rsidRPr="008151F2" w:rsidRDefault="00496029" w:rsidP="00496029">
      <w:pPr>
        <w:rPr>
          <w:sz w:val="22"/>
          <w:szCs w:val="22"/>
        </w:rPr>
      </w:pPr>
      <w:r w:rsidRPr="008151F2">
        <w:rPr>
          <w:rFonts w:ascii="Times New Roman Bold" w:hAnsi="Times New Roman Bold"/>
          <w:b/>
          <w:smallCaps/>
          <w:sz w:val="22"/>
          <w:szCs w:val="22"/>
        </w:rPr>
        <w:t xml:space="preserve">GEF </w:t>
      </w:r>
      <w:proofErr w:type="gramStart"/>
      <w:r w:rsidRPr="008151F2">
        <w:rPr>
          <w:rFonts w:ascii="Times New Roman Bold" w:hAnsi="Times New Roman Bold"/>
          <w:b/>
          <w:smallCaps/>
          <w:sz w:val="22"/>
          <w:szCs w:val="22"/>
        </w:rPr>
        <w:t>Agency(</w:t>
      </w:r>
      <w:proofErr w:type="gramEnd"/>
      <w:r w:rsidRPr="008151F2">
        <w:rPr>
          <w:rFonts w:ascii="Times New Roman Bold" w:hAnsi="Times New Roman Bold"/>
          <w:b/>
          <w:smallCaps/>
          <w:sz w:val="22"/>
          <w:szCs w:val="22"/>
        </w:rPr>
        <w:t>ies)</w:t>
      </w:r>
      <w:r w:rsidRPr="008151F2">
        <w:rPr>
          <w:smallCaps/>
          <w:sz w:val="22"/>
          <w:szCs w:val="22"/>
        </w:rPr>
        <w:t>:</w:t>
      </w:r>
      <w:r w:rsidRPr="008151F2">
        <w:rPr>
          <w:sz w:val="22"/>
          <w:szCs w:val="22"/>
        </w:rPr>
        <w:t xml:space="preserve"> World Bank</w:t>
      </w:r>
    </w:p>
    <w:p w:rsidR="00496029" w:rsidRPr="008151F2" w:rsidRDefault="00496029" w:rsidP="00496029">
      <w:pPr>
        <w:rPr>
          <w:sz w:val="22"/>
          <w:szCs w:val="22"/>
        </w:rPr>
      </w:pPr>
      <w:r w:rsidRPr="008151F2">
        <w:rPr>
          <w:rFonts w:ascii="Times New Roman Bold" w:hAnsi="Times New Roman Bold"/>
          <w:b/>
          <w:smallCaps/>
          <w:sz w:val="22"/>
          <w:szCs w:val="22"/>
        </w:rPr>
        <w:t xml:space="preserve">Other Executing partners: </w:t>
      </w:r>
      <w:r w:rsidRPr="008151F2">
        <w:rPr>
          <w:sz w:val="22"/>
          <w:szCs w:val="22"/>
        </w:rPr>
        <w:t>AFD, CIRAD, COMIFAC, WWF, WCS, ONFI, FRM, Ministries in charge of Environment and/or Forests in the six countries.</w:t>
      </w:r>
    </w:p>
    <w:p w:rsidR="00496029" w:rsidRPr="008151F2" w:rsidRDefault="00496029" w:rsidP="00496029">
      <w:pPr>
        <w:rPr>
          <w:sz w:val="22"/>
          <w:szCs w:val="22"/>
        </w:rPr>
      </w:pPr>
      <w:r w:rsidRPr="008151F2">
        <w:rPr>
          <w:rFonts w:ascii="Times New Roman Bold" w:hAnsi="Times New Roman Bold"/>
          <w:b/>
          <w:smallCaps/>
          <w:sz w:val="22"/>
          <w:szCs w:val="22"/>
        </w:rPr>
        <w:t>GEF Focal Area:</w:t>
      </w:r>
      <w:r w:rsidRPr="008151F2">
        <w:rPr>
          <w:sz w:val="22"/>
          <w:szCs w:val="22"/>
        </w:rPr>
        <w:t xml:space="preserve"> </w:t>
      </w:r>
      <w:r w:rsidR="00443143" w:rsidRPr="008151F2">
        <w:rPr>
          <w:sz w:val="22"/>
          <w:szCs w:val="22"/>
        </w:rPr>
        <w:fldChar w:fldCharType="begin"/>
      </w:r>
      <w:r w:rsidRPr="008151F2">
        <w:rPr>
          <w:sz w:val="22"/>
          <w:szCs w:val="22"/>
        </w:rPr>
        <w:instrText xml:space="preserve"> FORMDROPDOWN </w:instrText>
      </w:r>
      <w:r w:rsidR="00443143" w:rsidRPr="008151F2">
        <w:rPr>
          <w:sz w:val="22"/>
          <w:szCs w:val="22"/>
        </w:rPr>
        <w:fldChar w:fldCharType="end"/>
      </w:r>
      <w:r w:rsidRPr="008151F2">
        <w:rPr>
          <w:sz w:val="22"/>
          <w:szCs w:val="22"/>
        </w:rPr>
        <w:t>Climate Change, Sustainable Forest Management</w:t>
      </w:r>
    </w:p>
    <w:p w:rsidR="00496029" w:rsidRPr="008151F2" w:rsidRDefault="00496029" w:rsidP="00496029">
      <w:pPr>
        <w:spacing w:after="120"/>
        <w:rPr>
          <w:sz w:val="22"/>
          <w:szCs w:val="22"/>
        </w:rPr>
      </w:pPr>
      <w:r w:rsidRPr="008151F2">
        <w:rPr>
          <w:b/>
          <w:smallCaps/>
          <w:sz w:val="22"/>
          <w:szCs w:val="22"/>
        </w:rPr>
        <w:t>GEF-4 Strategic program</w:t>
      </w:r>
      <w:r w:rsidRPr="008151F2">
        <w:rPr>
          <w:sz w:val="22"/>
          <w:szCs w:val="22"/>
        </w:rPr>
        <w:t>: CC-SP 6: Management of LULUCF as a means to protect carbon stocks and reduce GHG emissions; SFM: Biodiversity/Climate Change/Land Degradation SP “Management of LULUCF as a means to protect Carbon stocks and reduce GHG emissions”.</w:t>
      </w:r>
    </w:p>
    <w:p w:rsidR="00496029" w:rsidRPr="008151F2" w:rsidRDefault="00496029" w:rsidP="00496029">
      <w:pPr>
        <w:spacing w:after="120"/>
        <w:rPr>
          <w:sz w:val="22"/>
          <w:szCs w:val="22"/>
        </w:rPr>
      </w:pPr>
      <w:r w:rsidRPr="008151F2">
        <w:rPr>
          <w:rFonts w:ascii="Times New Roman Bold" w:hAnsi="Times New Roman Bold"/>
          <w:b/>
          <w:smallCaps/>
          <w:sz w:val="22"/>
          <w:szCs w:val="22"/>
        </w:rPr>
        <w:t xml:space="preserve">Name of parent program/umbrella project: </w:t>
      </w:r>
      <w:r w:rsidRPr="008151F2">
        <w:rPr>
          <w:sz w:val="22"/>
          <w:szCs w:val="22"/>
        </w:rPr>
        <w:t>Strategic Program for the Sustainable Forest Management in the Congo Basin</w:t>
      </w:r>
    </w:p>
    <w:p w:rsidR="00496029" w:rsidRPr="00D278DD" w:rsidRDefault="00496029" w:rsidP="00496029">
      <w:pPr>
        <w:spacing w:after="120"/>
        <w:rPr>
          <w:rFonts w:ascii="Times New Roman Bold" w:hAnsi="Times New Roman Bold"/>
          <w:b/>
          <w:smallCaps/>
          <w:sz w:val="22"/>
          <w:szCs w:val="22"/>
        </w:rPr>
      </w:pPr>
    </w:p>
    <w:p w:rsidR="00496029" w:rsidRPr="00A66C2E" w:rsidRDefault="00496029" w:rsidP="00496029">
      <w:pPr>
        <w:spacing w:after="120"/>
        <w:rPr>
          <w:rFonts w:ascii="Times New Roman Bold" w:hAnsi="Times New Roman Bold"/>
          <w:b/>
          <w:smallCaps/>
          <w:sz w:val="22"/>
          <w:szCs w:val="22"/>
        </w:rPr>
      </w:pPr>
      <w:r w:rsidRPr="00A66C2E">
        <w:rPr>
          <w:rFonts w:ascii="Times New Roman Bold" w:hAnsi="Times New Roman Bold"/>
          <w:b/>
          <w:smallCaps/>
          <w:sz w:val="22"/>
          <w:szCs w:val="22"/>
        </w:rPr>
        <w:t xml:space="preserve">a.   Project preparation Implementation Timeframe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tblGrid>
      <w:tr w:rsidR="00496029" w:rsidRPr="005C54FA">
        <w:tc>
          <w:tcPr>
            <w:tcW w:w="3600" w:type="dxa"/>
          </w:tcPr>
          <w:p w:rsidR="00496029" w:rsidRPr="005C54FA" w:rsidRDefault="00496029" w:rsidP="00496029">
            <w:pPr>
              <w:rPr>
                <w:rFonts w:cs="Times New Roman Bold"/>
                <w:sz w:val="20"/>
                <w:szCs w:val="20"/>
              </w:rPr>
            </w:pPr>
            <w:r w:rsidRPr="005C54FA">
              <w:rPr>
                <w:rFonts w:cs="Times New Roman Bold"/>
                <w:sz w:val="20"/>
                <w:szCs w:val="20"/>
              </w:rPr>
              <w:t>Start date</w:t>
            </w:r>
          </w:p>
        </w:tc>
        <w:tc>
          <w:tcPr>
            <w:tcW w:w="2340" w:type="dxa"/>
          </w:tcPr>
          <w:p w:rsidR="00496029" w:rsidRPr="005C54FA" w:rsidRDefault="00496029" w:rsidP="00496029">
            <w:pPr>
              <w:jc w:val="center"/>
              <w:rPr>
                <w:rFonts w:cs="Times New Roman Bold"/>
                <w:sz w:val="20"/>
                <w:szCs w:val="20"/>
              </w:rPr>
            </w:pPr>
            <w:r>
              <w:rPr>
                <w:rFonts w:cs="Times New Roman Bold"/>
                <w:sz w:val="20"/>
                <w:szCs w:val="20"/>
              </w:rPr>
              <w:t>April 2009</w:t>
            </w:r>
            <w:r w:rsidRPr="005C54FA">
              <w:rPr>
                <w:rFonts w:cs="Times New Roman Bold"/>
                <w:sz w:val="20"/>
                <w:szCs w:val="20"/>
              </w:rPr>
              <w:t xml:space="preserve"> (expected)</w:t>
            </w:r>
          </w:p>
        </w:tc>
      </w:tr>
      <w:tr w:rsidR="00496029" w:rsidRPr="005C54FA">
        <w:tc>
          <w:tcPr>
            <w:tcW w:w="3600" w:type="dxa"/>
          </w:tcPr>
          <w:p w:rsidR="00496029" w:rsidRPr="005C54FA" w:rsidRDefault="00496029" w:rsidP="00496029">
            <w:pPr>
              <w:rPr>
                <w:rFonts w:cs="Times New Roman Bold"/>
                <w:sz w:val="20"/>
                <w:szCs w:val="20"/>
              </w:rPr>
            </w:pPr>
            <w:r w:rsidRPr="005C54FA">
              <w:rPr>
                <w:rFonts w:cs="Times New Roman Bold"/>
                <w:sz w:val="20"/>
                <w:szCs w:val="20"/>
              </w:rPr>
              <w:t>Completion date</w:t>
            </w:r>
          </w:p>
        </w:tc>
        <w:tc>
          <w:tcPr>
            <w:tcW w:w="2340" w:type="dxa"/>
          </w:tcPr>
          <w:p w:rsidR="00496029" w:rsidRPr="005C54FA" w:rsidRDefault="00496029" w:rsidP="00496029">
            <w:pPr>
              <w:jc w:val="center"/>
              <w:rPr>
                <w:rFonts w:cs="Times New Roman Bold"/>
                <w:sz w:val="20"/>
                <w:szCs w:val="20"/>
              </w:rPr>
            </w:pPr>
            <w:r>
              <w:rPr>
                <w:rFonts w:cs="Times New Roman Bold"/>
                <w:sz w:val="20"/>
                <w:szCs w:val="20"/>
              </w:rPr>
              <w:t xml:space="preserve">June 2010 </w:t>
            </w:r>
            <w:r w:rsidRPr="005C54FA">
              <w:rPr>
                <w:rFonts w:cs="Times New Roman Bold"/>
                <w:sz w:val="20"/>
                <w:szCs w:val="20"/>
              </w:rPr>
              <w:t>(expected)</w:t>
            </w:r>
          </w:p>
        </w:tc>
      </w:tr>
    </w:tbl>
    <w:p w:rsidR="00496029" w:rsidRDefault="00496029">
      <w:pPr>
        <w:rPr>
          <w:rFonts w:ascii="Times New Roman Bold" w:hAnsi="Times New Roman Bold"/>
          <w:b/>
          <w:smallCaps/>
          <w:sz w:val="22"/>
          <w:szCs w:val="22"/>
        </w:rPr>
      </w:pPr>
    </w:p>
    <w:p w:rsidR="00496029" w:rsidRDefault="00496029">
      <w:pPr>
        <w:spacing w:after="80"/>
        <w:rPr>
          <w:rFonts w:ascii="Times New Roman Bold" w:hAnsi="Times New Roman Bold"/>
          <w:b/>
          <w:smallCaps/>
          <w:sz w:val="22"/>
          <w:szCs w:val="22"/>
        </w:rPr>
      </w:pPr>
      <w:r>
        <w:rPr>
          <w:rFonts w:ascii="Times New Roman Bold" w:hAnsi="Times New Roman Bold"/>
          <w:b/>
          <w:smallCaps/>
          <w:sz w:val="22"/>
          <w:szCs w:val="22"/>
        </w:rPr>
        <w:t>b.   project preparation activities ($)</w:t>
      </w:r>
      <w:r>
        <w:rPr>
          <w:sz w:val="22"/>
          <w:szCs w:val="22"/>
        </w:rPr>
        <w:t xml:space="preserve">  </w:t>
      </w:r>
      <w:r>
        <w:rPr>
          <w:rFonts w:ascii="Times New Roman Bold" w:hAnsi="Times New Roman Bold"/>
          <w:b/>
          <w:smallCaps/>
          <w:sz w:val="22"/>
          <w:szCs w:val="22"/>
        </w:rPr>
        <w:tab/>
      </w:r>
      <w:r w:rsidR="00036BA0">
        <w:rPr>
          <w:rFonts w:ascii="Times New Roman Bold" w:hAnsi="Times New Roman Bold"/>
          <w:b/>
          <w:smallCaps/>
          <w:sz w:val="22"/>
          <w:szCs w:val="22"/>
        </w:rPr>
        <w:t>399</w:t>
      </w:r>
      <w:r>
        <w:rPr>
          <w:rFonts w:ascii="Times New Roman Bold" w:hAnsi="Times New Roman Bold"/>
          <w:b/>
          <w:smallCaps/>
          <w:sz w:val="22"/>
          <w:szCs w:val="22"/>
        </w:rPr>
        <w:t>,000</w:t>
      </w:r>
    </w:p>
    <w:p w:rsidR="00E10621" w:rsidRDefault="00E1062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496029">
        <w:tc>
          <w:tcPr>
            <w:tcW w:w="9576" w:type="dxa"/>
          </w:tcPr>
          <w:p w:rsidR="00496029" w:rsidRDefault="00496029" w:rsidP="00496029">
            <w:pPr>
              <w:jc w:val="both"/>
              <w:rPr>
                <w:sz w:val="22"/>
              </w:rPr>
            </w:pPr>
          </w:p>
          <w:p w:rsidR="00496029" w:rsidRPr="00A15FB7" w:rsidRDefault="00496029" w:rsidP="00496029">
            <w:pPr>
              <w:jc w:val="both"/>
              <w:rPr>
                <w:sz w:val="22"/>
                <w:szCs w:val="22"/>
              </w:rPr>
            </w:pPr>
            <w:r>
              <w:rPr>
                <w:sz w:val="22"/>
              </w:rPr>
              <w:t xml:space="preserve">The </w:t>
            </w:r>
            <w:r w:rsidRPr="00A15FB7">
              <w:rPr>
                <w:sz w:val="22"/>
              </w:rPr>
              <w:t>Project Development Objective</w:t>
            </w:r>
            <w:r>
              <w:rPr>
                <w:sz w:val="22"/>
              </w:rPr>
              <w:t xml:space="preserve"> of the proposed regional project on REDD is to </w:t>
            </w:r>
            <w:r w:rsidRPr="002F40E1">
              <w:rPr>
                <w:sz w:val="22"/>
              </w:rPr>
              <w:t>strengthen the capacities of the Congo Basin countries on REDD issues</w:t>
            </w:r>
            <w:r>
              <w:rPr>
                <w:sz w:val="22"/>
              </w:rPr>
              <w:t>, and help prepare</w:t>
            </w:r>
            <w:r>
              <w:rPr>
                <w:sz w:val="22"/>
                <w:szCs w:val="22"/>
              </w:rPr>
              <w:t xml:space="preserve"> themselves to take advantage of a future, large-scale, system of positive carbon-based incentives for sustainable forest management. It will be articulated around three major components: (i) </w:t>
            </w:r>
            <w:r w:rsidRPr="00A15FB7">
              <w:rPr>
                <w:sz w:val="22"/>
                <w:szCs w:val="22"/>
              </w:rPr>
              <w:t>Strengthening knowledge on REDD at local, national and regional levels</w:t>
            </w:r>
            <w:r>
              <w:rPr>
                <w:sz w:val="22"/>
                <w:szCs w:val="22"/>
              </w:rPr>
              <w:t xml:space="preserve">; (ii) </w:t>
            </w:r>
            <w:r w:rsidRPr="00A15FB7">
              <w:rPr>
                <w:sz w:val="22"/>
                <w:szCs w:val="22"/>
              </w:rPr>
              <w:t>Building</w:t>
            </w:r>
            <w:r w:rsidRPr="00A15FB7">
              <w:rPr>
                <w:sz w:val="20"/>
                <w:szCs w:val="20"/>
              </w:rPr>
              <w:t xml:space="preserve"> </w:t>
            </w:r>
            <w:r w:rsidRPr="00A15FB7">
              <w:rPr>
                <w:sz w:val="22"/>
                <w:szCs w:val="22"/>
              </w:rPr>
              <w:t>Technical Capacities for measurement and monitoring of carbon stocks in the Congo Basin Forests</w:t>
            </w:r>
            <w:r>
              <w:rPr>
                <w:sz w:val="22"/>
                <w:szCs w:val="22"/>
              </w:rPr>
              <w:t xml:space="preserve">, and (iii) </w:t>
            </w:r>
            <w:r w:rsidRPr="00A15FB7">
              <w:rPr>
                <w:rFonts w:hAnsi="Times New Roman Bold"/>
                <w:sz w:val="22"/>
                <w:szCs w:val="22"/>
              </w:rPr>
              <w:t>Mainstreaming</w:t>
            </w:r>
            <w:r w:rsidRPr="00A15FB7">
              <w:rPr>
                <w:sz w:val="22"/>
                <w:szCs w:val="22"/>
              </w:rPr>
              <w:t xml:space="preserve"> REDD concept in SFM projects</w:t>
            </w:r>
            <w:r w:rsidR="00665A13">
              <w:rPr>
                <w:sz w:val="22"/>
                <w:szCs w:val="22"/>
              </w:rPr>
              <w:t>.</w:t>
            </w:r>
          </w:p>
          <w:p w:rsidR="00496029" w:rsidRDefault="00496029">
            <w:pPr>
              <w:rPr>
                <w:sz w:val="22"/>
                <w:szCs w:val="22"/>
              </w:rPr>
            </w:pPr>
          </w:p>
          <w:p w:rsidR="00496029" w:rsidRDefault="00496029">
            <w:pPr>
              <w:rPr>
                <w:sz w:val="22"/>
                <w:szCs w:val="22"/>
              </w:rPr>
            </w:pPr>
            <w:r>
              <w:rPr>
                <w:sz w:val="22"/>
                <w:szCs w:val="22"/>
              </w:rPr>
              <w:t>The PPG will finance the following groups of activities, all designed to contribute to the preparation of the regional project</w:t>
            </w:r>
            <w:r w:rsidR="00C12A15">
              <w:rPr>
                <w:sz w:val="22"/>
                <w:szCs w:val="22"/>
              </w:rPr>
              <w:t xml:space="preserve"> (see budget details in Table 1 below)</w:t>
            </w:r>
            <w:r>
              <w:rPr>
                <w:sz w:val="22"/>
                <w:szCs w:val="22"/>
              </w:rPr>
              <w:t>:</w:t>
            </w:r>
          </w:p>
          <w:p w:rsidR="00496029" w:rsidRDefault="00496029">
            <w:pPr>
              <w:rPr>
                <w:sz w:val="22"/>
                <w:szCs w:val="22"/>
              </w:rPr>
            </w:pPr>
          </w:p>
          <w:p w:rsidR="00496029" w:rsidRPr="00853A0B" w:rsidRDefault="00496029">
            <w:pPr>
              <w:rPr>
                <w:b/>
                <w:sz w:val="22"/>
                <w:szCs w:val="22"/>
              </w:rPr>
            </w:pPr>
            <w:r w:rsidRPr="00853A0B">
              <w:rPr>
                <w:b/>
                <w:sz w:val="22"/>
                <w:szCs w:val="22"/>
              </w:rPr>
              <w:t xml:space="preserve">1. Baseline Assessment &amp; Gap Analysis: </w:t>
            </w:r>
          </w:p>
          <w:p w:rsidR="00496029" w:rsidRDefault="00496029">
            <w:pPr>
              <w:rPr>
                <w:sz w:val="22"/>
                <w:szCs w:val="22"/>
              </w:rPr>
            </w:pPr>
          </w:p>
          <w:p w:rsidR="00496029" w:rsidRDefault="00496029" w:rsidP="00496029">
            <w:pPr>
              <w:ind w:left="360"/>
              <w:jc w:val="both"/>
              <w:rPr>
                <w:sz w:val="22"/>
                <w:szCs w:val="22"/>
              </w:rPr>
            </w:pPr>
            <w:r w:rsidRPr="004404F7">
              <w:rPr>
                <w:sz w:val="22"/>
                <w:szCs w:val="22"/>
              </w:rPr>
              <w:t>(i)</w:t>
            </w:r>
            <w:r>
              <w:rPr>
                <w:i/>
                <w:sz w:val="22"/>
                <w:szCs w:val="22"/>
              </w:rPr>
              <w:t xml:space="preserve"> Policy &amp; I</w:t>
            </w:r>
            <w:r w:rsidRPr="00853A0B">
              <w:rPr>
                <w:i/>
                <w:sz w:val="22"/>
                <w:szCs w:val="22"/>
              </w:rPr>
              <w:t xml:space="preserve">nstitutional </w:t>
            </w:r>
            <w:r>
              <w:rPr>
                <w:i/>
                <w:sz w:val="22"/>
                <w:szCs w:val="22"/>
              </w:rPr>
              <w:t>Review</w:t>
            </w:r>
            <w:r>
              <w:rPr>
                <w:sz w:val="22"/>
                <w:szCs w:val="22"/>
              </w:rPr>
              <w:t xml:space="preserve">: </w:t>
            </w:r>
            <w:r w:rsidRPr="00CE5051">
              <w:rPr>
                <w:sz w:val="22"/>
                <w:szCs w:val="22"/>
              </w:rPr>
              <w:t xml:space="preserve">This </w:t>
            </w:r>
            <w:r>
              <w:rPr>
                <w:sz w:val="22"/>
                <w:szCs w:val="22"/>
              </w:rPr>
              <w:t>study</w:t>
            </w:r>
            <w:r w:rsidRPr="00CE5051">
              <w:rPr>
                <w:sz w:val="22"/>
                <w:szCs w:val="22"/>
              </w:rPr>
              <w:t xml:space="preserve"> will assess</w:t>
            </w:r>
            <w:r>
              <w:rPr>
                <w:sz w:val="22"/>
                <w:szCs w:val="22"/>
              </w:rPr>
              <w:t>, at the national as well as at the regional level,</w:t>
            </w:r>
            <w:r w:rsidRPr="00CE5051">
              <w:rPr>
                <w:sz w:val="22"/>
                <w:szCs w:val="22"/>
              </w:rPr>
              <w:t xml:space="preserve"> </w:t>
            </w:r>
            <w:r>
              <w:rPr>
                <w:sz w:val="22"/>
                <w:szCs w:val="22"/>
              </w:rPr>
              <w:t xml:space="preserve">the </w:t>
            </w:r>
            <w:r w:rsidRPr="00CE5051">
              <w:rPr>
                <w:sz w:val="22"/>
                <w:szCs w:val="22"/>
              </w:rPr>
              <w:t xml:space="preserve">institutional </w:t>
            </w:r>
            <w:r>
              <w:rPr>
                <w:sz w:val="22"/>
                <w:szCs w:val="22"/>
              </w:rPr>
              <w:t>“</w:t>
            </w:r>
            <w:r w:rsidRPr="00CE5051">
              <w:rPr>
                <w:sz w:val="22"/>
                <w:szCs w:val="22"/>
              </w:rPr>
              <w:t>readiness</w:t>
            </w:r>
            <w:r>
              <w:rPr>
                <w:sz w:val="22"/>
                <w:szCs w:val="22"/>
              </w:rPr>
              <w:t>”</w:t>
            </w:r>
            <w:r w:rsidRPr="00CE5051">
              <w:rPr>
                <w:sz w:val="22"/>
                <w:szCs w:val="22"/>
              </w:rPr>
              <w:t xml:space="preserve"> for the REDD agenda, </w:t>
            </w:r>
            <w:r>
              <w:rPr>
                <w:sz w:val="22"/>
                <w:szCs w:val="22"/>
              </w:rPr>
              <w:t>i.e. the policy framework (land tenure, forest policies), the institutional set-up, the existing technical capacities (incl. on forest monitoring) and the decision-making process on REDD issues. A specific focus will be on the analysis of the principle of “</w:t>
            </w:r>
            <w:r w:rsidRPr="001D38C4">
              <w:rPr>
                <w:i/>
                <w:sz w:val="22"/>
                <w:szCs w:val="22"/>
              </w:rPr>
              <w:t>subsidiarity</w:t>
            </w:r>
            <w:r>
              <w:rPr>
                <w:sz w:val="22"/>
                <w:szCs w:val="22"/>
              </w:rPr>
              <w:t>” between the regional and national level</w:t>
            </w:r>
            <w:r w:rsidR="00423BB0">
              <w:rPr>
                <w:sz w:val="22"/>
                <w:szCs w:val="22"/>
              </w:rPr>
              <w:t xml:space="preserve">, </w:t>
            </w:r>
            <w:r w:rsidR="00665A13">
              <w:rPr>
                <w:sz w:val="22"/>
                <w:szCs w:val="22"/>
              </w:rPr>
              <w:t xml:space="preserve">as well </w:t>
            </w:r>
            <w:proofErr w:type="gramStart"/>
            <w:r w:rsidR="00665A13">
              <w:rPr>
                <w:sz w:val="22"/>
                <w:szCs w:val="22"/>
              </w:rPr>
              <w:t xml:space="preserve">as  </w:t>
            </w:r>
            <w:r w:rsidR="00423BB0">
              <w:rPr>
                <w:sz w:val="22"/>
                <w:szCs w:val="22"/>
              </w:rPr>
              <w:t>articulations</w:t>
            </w:r>
            <w:proofErr w:type="gramEnd"/>
            <w:r w:rsidR="00423BB0">
              <w:rPr>
                <w:sz w:val="22"/>
                <w:szCs w:val="22"/>
              </w:rPr>
              <w:t xml:space="preserve"> of institutional linkages between the national and regional levels</w:t>
            </w:r>
            <w:r>
              <w:rPr>
                <w:sz w:val="22"/>
                <w:szCs w:val="22"/>
              </w:rPr>
              <w:t xml:space="preserve">. </w:t>
            </w:r>
          </w:p>
          <w:p w:rsidR="00496029" w:rsidRDefault="00496029" w:rsidP="00496029">
            <w:pPr>
              <w:ind w:left="360"/>
              <w:jc w:val="both"/>
              <w:rPr>
                <w:sz w:val="22"/>
                <w:szCs w:val="22"/>
              </w:rPr>
            </w:pPr>
          </w:p>
          <w:p w:rsidR="00496029" w:rsidRDefault="00496029" w:rsidP="00496029">
            <w:pPr>
              <w:ind w:left="360"/>
              <w:jc w:val="both"/>
              <w:rPr>
                <w:sz w:val="22"/>
                <w:szCs w:val="22"/>
              </w:rPr>
            </w:pPr>
            <w:r>
              <w:rPr>
                <w:sz w:val="22"/>
                <w:szCs w:val="22"/>
              </w:rPr>
              <w:t>The study will</w:t>
            </w:r>
            <w:r w:rsidRPr="00CE5051">
              <w:rPr>
                <w:sz w:val="22"/>
                <w:szCs w:val="22"/>
              </w:rPr>
              <w:t xml:space="preserve"> </w:t>
            </w:r>
            <w:r>
              <w:rPr>
                <w:sz w:val="22"/>
                <w:szCs w:val="22"/>
              </w:rPr>
              <w:t xml:space="preserve">help draw a map of institutional roles and responsibilities both at the national and regional levels, highlighting key stakeholders involved in the REDD agenda, and will </w:t>
            </w:r>
            <w:r w:rsidRPr="00CE5051">
              <w:rPr>
                <w:sz w:val="22"/>
                <w:szCs w:val="22"/>
              </w:rPr>
              <w:t xml:space="preserve">identify </w:t>
            </w:r>
            <w:r>
              <w:rPr>
                <w:sz w:val="22"/>
                <w:szCs w:val="22"/>
              </w:rPr>
              <w:t>weaknesses and gaps. As part of the study,</w:t>
            </w:r>
            <w:r w:rsidRPr="00CE5051">
              <w:rPr>
                <w:sz w:val="22"/>
                <w:szCs w:val="22"/>
              </w:rPr>
              <w:t xml:space="preserve"> a capacity needs assessment </w:t>
            </w:r>
            <w:r>
              <w:rPr>
                <w:sz w:val="22"/>
                <w:szCs w:val="22"/>
              </w:rPr>
              <w:t xml:space="preserve">will be carried out for each of the Congo Basin countries and proposals for institutional arrangements/adjustments will be developed. Based on findings, </w:t>
            </w:r>
            <w:r w:rsidRPr="00CE5051">
              <w:rPr>
                <w:sz w:val="22"/>
                <w:szCs w:val="22"/>
              </w:rPr>
              <w:t>a capacity building plan</w:t>
            </w:r>
            <w:r>
              <w:rPr>
                <w:sz w:val="22"/>
                <w:szCs w:val="22"/>
              </w:rPr>
              <w:t xml:space="preserve"> with</w:t>
            </w:r>
            <w:r w:rsidRPr="00CE5051">
              <w:rPr>
                <w:sz w:val="22"/>
                <w:szCs w:val="22"/>
              </w:rPr>
              <w:t xml:space="preserve"> elements </w:t>
            </w:r>
            <w:r>
              <w:rPr>
                <w:sz w:val="22"/>
                <w:szCs w:val="22"/>
              </w:rPr>
              <w:t xml:space="preserve">for institutional strengthening, for technical assistance as well as for </w:t>
            </w:r>
            <w:r w:rsidRPr="00CE5051">
              <w:rPr>
                <w:sz w:val="22"/>
                <w:szCs w:val="22"/>
              </w:rPr>
              <w:t>investment</w:t>
            </w:r>
            <w:r>
              <w:rPr>
                <w:sz w:val="22"/>
                <w:szCs w:val="22"/>
              </w:rPr>
              <w:t>s, will be elaborated for both national and regional entities, taking into account the available co-financing.</w:t>
            </w:r>
            <w:r w:rsidR="00423BB0">
              <w:rPr>
                <w:sz w:val="22"/>
                <w:szCs w:val="22"/>
              </w:rPr>
              <w:t xml:space="preserve"> The </w:t>
            </w:r>
            <w:proofErr w:type="gramStart"/>
            <w:r w:rsidR="00423BB0">
              <w:rPr>
                <w:sz w:val="22"/>
                <w:szCs w:val="22"/>
              </w:rPr>
              <w:t>study will</w:t>
            </w:r>
            <w:proofErr w:type="gramEnd"/>
            <w:r w:rsidR="00423BB0">
              <w:rPr>
                <w:sz w:val="22"/>
                <w:szCs w:val="22"/>
              </w:rPr>
              <w:t xml:space="preserve"> also the articulation of institutional linkages between the national and regional levels.</w:t>
            </w:r>
          </w:p>
          <w:p w:rsidR="00496029" w:rsidRDefault="00496029" w:rsidP="00496029">
            <w:pPr>
              <w:ind w:left="360"/>
              <w:jc w:val="both"/>
              <w:rPr>
                <w:sz w:val="22"/>
                <w:szCs w:val="22"/>
              </w:rPr>
            </w:pPr>
          </w:p>
          <w:p w:rsidR="00847DFD" w:rsidRDefault="00496029">
            <w:pPr>
              <w:ind w:left="360"/>
              <w:jc w:val="both"/>
              <w:rPr>
                <w:sz w:val="22"/>
                <w:szCs w:val="22"/>
              </w:rPr>
            </w:pPr>
            <w:r>
              <w:rPr>
                <w:sz w:val="22"/>
                <w:szCs w:val="22"/>
              </w:rPr>
              <w:t xml:space="preserve">At the country-level, such an institutional analysis is part of the preparation process of the R-Plan, and will be financed by the FCPF Readiness Mechanism for four </w:t>
            </w:r>
            <w:r w:rsidR="001D22E6">
              <w:rPr>
                <w:sz w:val="22"/>
                <w:szCs w:val="22"/>
              </w:rPr>
              <w:t xml:space="preserve">out of the six </w:t>
            </w:r>
            <w:r>
              <w:rPr>
                <w:sz w:val="22"/>
                <w:szCs w:val="22"/>
              </w:rPr>
              <w:t xml:space="preserve">countries </w:t>
            </w:r>
            <w:r w:rsidR="001D22E6">
              <w:rPr>
                <w:sz w:val="22"/>
                <w:szCs w:val="22"/>
              </w:rPr>
              <w:t xml:space="preserve">of the Congo Basin </w:t>
            </w:r>
            <w:r>
              <w:rPr>
                <w:sz w:val="22"/>
                <w:szCs w:val="22"/>
              </w:rPr>
              <w:t>(</w:t>
            </w:r>
            <w:r w:rsidR="005F4588">
              <w:rPr>
                <w:sz w:val="22"/>
                <w:szCs w:val="22"/>
              </w:rPr>
              <w:t xml:space="preserve">more specifically: </w:t>
            </w:r>
            <w:r>
              <w:rPr>
                <w:sz w:val="22"/>
                <w:szCs w:val="22"/>
              </w:rPr>
              <w:t xml:space="preserve">Cameroon, Gabon, DRC and Rep. of Congo). </w:t>
            </w:r>
            <w:r w:rsidR="00AE064C">
              <w:rPr>
                <w:sz w:val="22"/>
                <w:szCs w:val="22"/>
              </w:rPr>
              <w:t xml:space="preserve">GEF </w:t>
            </w:r>
            <w:r>
              <w:rPr>
                <w:sz w:val="22"/>
                <w:szCs w:val="22"/>
              </w:rPr>
              <w:t xml:space="preserve">PPG </w:t>
            </w:r>
            <w:r w:rsidR="00AE064C">
              <w:rPr>
                <w:sz w:val="22"/>
                <w:szCs w:val="22"/>
              </w:rPr>
              <w:t xml:space="preserve">funding </w:t>
            </w:r>
            <w:r>
              <w:rPr>
                <w:sz w:val="22"/>
                <w:szCs w:val="22"/>
              </w:rPr>
              <w:t xml:space="preserve">will therefore focus on </w:t>
            </w:r>
            <w:r w:rsidR="00AE064C">
              <w:rPr>
                <w:sz w:val="22"/>
                <w:szCs w:val="22"/>
              </w:rPr>
              <w:t xml:space="preserve">assessment of </w:t>
            </w:r>
            <w:r>
              <w:rPr>
                <w:sz w:val="22"/>
                <w:szCs w:val="22"/>
              </w:rPr>
              <w:t>regional level aspects</w:t>
            </w:r>
            <w:r w:rsidR="001D22E6">
              <w:rPr>
                <w:sz w:val="22"/>
                <w:szCs w:val="22"/>
              </w:rPr>
              <w:t xml:space="preserve">; </w:t>
            </w:r>
            <w:r w:rsidR="00AE064C">
              <w:rPr>
                <w:sz w:val="22"/>
                <w:szCs w:val="22"/>
              </w:rPr>
              <w:t>GEF PPG funding will further carry out a basic country-level assessment for those CAR and Equ</w:t>
            </w:r>
            <w:r w:rsidR="00467FF8">
              <w:rPr>
                <w:sz w:val="22"/>
                <w:szCs w:val="22"/>
              </w:rPr>
              <w:t xml:space="preserve">atorial Guinea. Both countries – although selected by the FCPF - </w:t>
            </w:r>
            <w:r w:rsidR="00AE064C">
              <w:rPr>
                <w:sz w:val="22"/>
                <w:szCs w:val="22"/>
              </w:rPr>
              <w:t>will not receive financial support from the FCPF</w:t>
            </w:r>
            <w:r w:rsidR="00467FF8">
              <w:rPr>
                <w:sz w:val="22"/>
                <w:szCs w:val="22"/>
              </w:rPr>
              <w:t xml:space="preserve">. </w:t>
            </w:r>
            <w:r w:rsidR="00AE064C">
              <w:rPr>
                <w:sz w:val="22"/>
                <w:szCs w:val="22"/>
              </w:rPr>
              <w:t xml:space="preserve"> </w:t>
            </w:r>
            <w:r w:rsidR="00467FF8">
              <w:rPr>
                <w:sz w:val="22"/>
                <w:szCs w:val="22"/>
              </w:rPr>
              <w:t xml:space="preserve">In order to avoid substitution of the FCPF Readiness Mechanism in the countries, </w:t>
            </w:r>
            <w:r w:rsidR="00AE064C">
              <w:rPr>
                <w:sz w:val="22"/>
                <w:szCs w:val="22"/>
              </w:rPr>
              <w:t xml:space="preserve">GEF funding will </w:t>
            </w:r>
            <w:r w:rsidR="00467FF8">
              <w:rPr>
                <w:sz w:val="22"/>
                <w:szCs w:val="22"/>
              </w:rPr>
              <w:t>be limited to a very</w:t>
            </w:r>
            <w:r w:rsidR="00423BB0">
              <w:rPr>
                <w:sz w:val="22"/>
                <w:szCs w:val="22"/>
              </w:rPr>
              <w:t xml:space="preserve"> basic country-level assessment </w:t>
            </w:r>
            <w:r w:rsidR="00467FF8">
              <w:rPr>
                <w:sz w:val="22"/>
                <w:szCs w:val="22"/>
              </w:rPr>
              <w:t xml:space="preserve">necessary to ensure </w:t>
            </w:r>
            <w:r w:rsidR="00423BB0">
              <w:rPr>
                <w:sz w:val="22"/>
                <w:szCs w:val="22"/>
              </w:rPr>
              <w:t xml:space="preserve">regional harmonization </w:t>
            </w:r>
            <w:r w:rsidR="00467FF8">
              <w:rPr>
                <w:sz w:val="22"/>
                <w:szCs w:val="22"/>
              </w:rPr>
              <w:t>for the purposes of this project</w:t>
            </w:r>
            <w:r>
              <w:rPr>
                <w:sz w:val="22"/>
                <w:szCs w:val="22"/>
              </w:rPr>
              <w:t xml:space="preserve">. </w:t>
            </w:r>
          </w:p>
          <w:p w:rsidR="00496029" w:rsidRDefault="00496029" w:rsidP="00496029">
            <w:pPr>
              <w:jc w:val="both"/>
              <w:rPr>
                <w:sz w:val="22"/>
                <w:szCs w:val="22"/>
              </w:rPr>
            </w:pPr>
          </w:p>
          <w:p w:rsidR="00496029" w:rsidRPr="00CE5051" w:rsidRDefault="00496029" w:rsidP="00496029">
            <w:pPr>
              <w:ind w:left="360"/>
              <w:jc w:val="both"/>
              <w:rPr>
                <w:sz w:val="22"/>
                <w:szCs w:val="22"/>
              </w:rPr>
            </w:pPr>
            <w:r>
              <w:rPr>
                <w:sz w:val="22"/>
                <w:szCs w:val="22"/>
              </w:rPr>
              <w:t xml:space="preserve">This study will </w:t>
            </w:r>
            <w:r w:rsidRPr="00CE5051">
              <w:rPr>
                <w:sz w:val="22"/>
                <w:szCs w:val="22"/>
              </w:rPr>
              <w:t xml:space="preserve">directly feed into </w:t>
            </w:r>
            <w:r>
              <w:rPr>
                <w:sz w:val="22"/>
                <w:szCs w:val="22"/>
              </w:rPr>
              <w:t xml:space="preserve">the </w:t>
            </w:r>
            <w:r w:rsidRPr="00CE5051">
              <w:rPr>
                <w:sz w:val="22"/>
                <w:szCs w:val="22"/>
              </w:rPr>
              <w:t xml:space="preserve">design of </w:t>
            </w:r>
            <w:r>
              <w:rPr>
                <w:sz w:val="22"/>
                <w:szCs w:val="22"/>
              </w:rPr>
              <w:t xml:space="preserve">the Project Component 1. </w:t>
            </w:r>
          </w:p>
          <w:p w:rsidR="00496029" w:rsidRPr="004404F7" w:rsidRDefault="00496029" w:rsidP="00496029">
            <w:pPr>
              <w:rPr>
                <w:sz w:val="22"/>
                <w:szCs w:val="22"/>
              </w:rPr>
            </w:pPr>
          </w:p>
          <w:p w:rsidR="00496029" w:rsidRPr="00CE5051" w:rsidRDefault="00496029" w:rsidP="00496029">
            <w:pPr>
              <w:ind w:left="360"/>
              <w:rPr>
                <w:sz w:val="22"/>
                <w:szCs w:val="22"/>
              </w:rPr>
            </w:pPr>
            <w:r w:rsidRPr="004404F7">
              <w:rPr>
                <w:i/>
                <w:sz w:val="22"/>
                <w:szCs w:val="22"/>
                <w:u w:val="single"/>
              </w:rPr>
              <w:t>Consultant</w:t>
            </w:r>
            <w:r w:rsidRPr="00CE5051">
              <w:rPr>
                <w:sz w:val="22"/>
                <w:szCs w:val="22"/>
              </w:rPr>
              <w:t>: Institutional specialist</w:t>
            </w:r>
            <w:r>
              <w:rPr>
                <w:sz w:val="22"/>
                <w:szCs w:val="22"/>
              </w:rPr>
              <w:t xml:space="preserve"> (1 international and 2 national)</w:t>
            </w:r>
          </w:p>
          <w:p w:rsidR="00496029" w:rsidRDefault="00496029" w:rsidP="00496029">
            <w:pPr>
              <w:rPr>
                <w:sz w:val="22"/>
                <w:szCs w:val="22"/>
              </w:rPr>
            </w:pPr>
          </w:p>
          <w:p w:rsidR="00496029" w:rsidRDefault="00496029" w:rsidP="00496029">
            <w:pPr>
              <w:ind w:left="360"/>
              <w:jc w:val="both"/>
              <w:rPr>
                <w:sz w:val="22"/>
                <w:szCs w:val="22"/>
              </w:rPr>
            </w:pPr>
            <w:r w:rsidRPr="004404F7">
              <w:rPr>
                <w:sz w:val="22"/>
                <w:szCs w:val="22"/>
              </w:rPr>
              <w:t>(ii)</w:t>
            </w:r>
            <w:r>
              <w:rPr>
                <w:i/>
                <w:sz w:val="22"/>
                <w:szCs w:val="22"/>
              </w:rPr>
              <w:t xml:space="preserve"> Gap a</w:t>
            </w:r>
            <w:r w:rsidRPr="004404F7">
              <w:rPr>
                <w:i/>
                <w:sz w:val="22"/>
                <w:szCs w:val="22"/>
              </w:rPr>
              <w:t>nalysis of capacities on forest monitoring and Carbon measurement</w:t>
            </w:r>
            <w:r>
              <w:rPr>
                <w:sz w:val="22"/>
                <w:szCs w:val="22"/>
              </w:rPr>
              <w:t xml:space="preserve">: </w:t>
            </w:r>
            <w:r w:rsidRPr="00CE5051">
              <w:rPr>
                <w:sz w:val="22"/>
                <w:szCs w:val="22"/>
              </w:rPr>
              <w:t xml:space="preserve">A stock-taking exercise will provide a better understanding of the data already available on forest resources in </w:t>
            </w:r>
            <w:r>
              <w:rPr>
                <w:sz w:val="22"/>
                <w:szCs w:val="22"/>
              </w:rPr>
              <w:t xml:space="preserve">each of the six countries of </w:t>
            </w:r>
            <w:r w:rsidRPr="00CE5051">
              <w:rPr>
                <w:sz w:val="22"/>
                <w:szCs w:val="22"/>
              </w:rPr>
              <w:t>the Congo Basin</w:t>
            </w:r>
            <w:r>
              <w:rPr>
                <w:sz w:val="22"/>
                <w:szCs w:val="22"/>
              </w:rPr>
              <w:t xml:space="preserve"> as well as in the regional organization OFAC</w:t>
            </w:r>
            <w:r w:rsidRPr="00CE5051">
              <w:rPr>
                <w:sz w:val="22"/>
                <w:szCs w:val="22"/>
              </w:rPr>
              <w:t xml:space="preserve">. </w:t>
            </w:r>
            <w:r>
              <w:rPr>
                <w:sz w:val="22"/>
                <w:szCs w:val="22"/>
              </w:rPr>
              <w:t xml:space="preserve">It will take account of the on-going activities related to Carbon measurement (e.g. </w:t>
            </w:r>
            <w:r w:rsidRPr="00C74E13">
              <w:rPr>
                <w:sz w:val="22"/>
                <w:szCs w:val="22"/>
              </w:rPr>
              <w:t>GAF</w:t>
            </w:r>
            <w:r>
              <w:rPr>
                <w:sz w:val="22"/>
                <w:szCs w:val="22"/>
              </w:rPr>
              <w:t xml:space="preserve"> project in Cameroon, WRHC project in DR</w:t>
            </w:r>
            <w:r w:rsidR="00467FF8">
              <w:rPr>
                <w:sz w:val="22"/>
                <w:szCs w:val="22"/>
              </w:rPr>
              <w:t>C, etc.</w:t>
            </w:r>
            <w:r>
              <w:rPr>
                <w:sz w:val="22"/>
                <w:szCs w:val="22"/>
              </w:rPr>
              <w:t xml:space="preserve">) as well as the planned activities (e.g. installment of a satellite station in Libreville), with potential large impacts on Carbon measurement/monitoring issues. The collected data </w:t>
            </w:r>
            <w:r w:rsidRPr="00CE5051">
              <w:rPr>
                <w:sz w:val="22"/>
                <w:szCs w:val="22"/>
              </w:rPr>
              <w:t>will be fed into the regional knowledge base</w:t>
            </w:r>
            <w:r>
              <w:rPr>
                <w:sz w:val="22"/>
                <w:szCs w:val="22"/>
              </w:rPr>
              <w:t xml:space="preserve"> (OFAC-managed) and in national databases (if available)</w:t>
            </w:r>
            <w:r w:rsidRPr="00CE5051">
              <w:rPr>
                <w:sz w:val="22"/>
                <w:szCs w:val="22"/>
              </w:rPr>
              <w:t xml:space="preserve">. </w:t>
            </w:r>
          </w:p>
          <w:p w:rsidR="00496029" w:rsidRDefault="00496029" w:rsidP="00496029">
            <w:pPr>
              <w:ind w:left="360"/>
              <w:jc w:val="both"/>
              <w:rPr>
                <w:sz w:val="22"/>
                <w:szCs w:val="22"/>
              </w:rPr>
            </w:pPr>
          </w:p>
          <w:p w:rsidR="00496029" w:rsidRDefault="00496029" w:rsidP="00496029">
            <w:pPr>
              <w:ind w:left="360"/>
              <w:jc w:val="both"/>
              <w:rPr>
                <w:sz w:val="22"/>
                <w:szCs w:val="22"/>
              </w:rPr>
            </w:pPr>
            <w:r w:rsidRPr="00CE5051">
              <w:rPr>
                <w:sz w:val="22"/>
                <w:szCs w:val="22"/>
              </w:rPr>
              <w:t xml:space="preserve">A gap analysis will help to identify the scope of </w:t>
            </w:r>
            <w:r>
              <w:rPr>
                <w:sz w:val="22"/>
                <w:szCs w:val="22"/>
              </w:rPr>
              <w:t xml:space="preserve">activities </w:t>
            </w:r>
            <w:r w:rsidRPr="00CE5051">
              <w:rPr>
                <w:sz w:val="22"/>
                <w:szCs w:val="22"/>
              </w:rPr>
              <w:t xml:space="preserve">that will need to be carried out </w:t>
            </w:r>
            <w:r>
              <w:rPr>
                <w:sz w:val="22"/>
                <w:szCs w:val="22"/>
              </w:rPr>
              <w:t xml:space="preserve">in the six countries </w:t>
            </w:r>
            <w:r w:rsidRPr="00CE5051">
              <w:rPr>
                <w:sz w:val="22"/>
                <w:szCs w:val="22"/>
              </w:rPr>
              <w:t xml:space="preserve">during project implementation in order to </w:t>
            </w:r>
            <w:r>
              <w:rPr>
                <w:sz w:val="22"/>
                <w:szCs w:val="22"/>
              </w:rPr>
              <w:t xml:space="preserve">collect appropriate ground data, according to an harmonized methodology for the Congo Basin (see technical studies below on Carbon Measurement Methodology), and to </w:t>
            </w:r>
            <w:r w:rsidRPr="00CE5051">
              <w:rPr>
                <w:sz w:val="22"/>
                <w:szCs w:val="22"/>
              </w:rPr>
              <w:t>produce comprehensive vegetation/carbon stock maps</w:t>
            </w:r>
            <w:r>
              <w:rPr>
                <w:sz w:val="22"/>
                <w:szCs w:val="22"/>
              </w:rPr>
              <w:t xml:space="preserve"> both at the national and regional levels</w:t>
            </w:r>
            <w:r w:rsidRPr="00CE5051">
              <w:rPr>
                <w:sz w:val="22"/>
                <w:szCs w:val="22"/>
              </w:rPr>
              <w:t>. This gap analysis will feed directly into the design of Project Component 2</w:t>
            </w:r>
            <w:proofErr w:type="gramStart"/>
            <w:r>
              <w:rPr>
                <w:sz w:val="22"/>
                <w:szCs w:val="22"/>
              </w:rPr>
              <w:t>;</w:t>
            </w:r>
            <w:proofErr w:type="gramEnd"/>
            <w:r>
              <w:rPr>
                <w:sz w:val="22"/>
                <w:szCs w:val="22"/>
              </w:rPr>
              <w:t xml:space="preserve"> as well as the institutional review (see above). Outcomes from the national analysis, conducted under the FCPF Readiness Mechanism, will also contribute to the design of the Component 2.</w:t>
            </w:r>
          </w:p>
          <w:p w:rsidR="00496029" w:rsidRPr="00CE5051" w:rsidRDefault="00496029" w:rsidP="00496029">
            <w:pPr>
              <w:ind w:left="360"/>
              <w:jc w:val="both"/>
              <w:rPr>
                <w:sz w:val="22"/>
                <w:szCs w:val="22"/>
              </w:rPr>
            </w:pPr>
          </w:p>
          <w:p w:rsidR="00496029" w:rsidRPr="00CE5051" w:rsidRDefault="00496029" w:rsidP="00496029">
            <w:pPr>
              <w:ind w:left="360"/>
              <w:rPr>
                <w:sz w:val="22"/>
                <w:szCs w:val="22"/>
              </w:rPr>
            </w:pPr>
            <w:r w:rsidRPr="00FE4050">
              <w:rPr>
                <w:i/>
                <w:sz w:val="22"/>
                <w:szCs w:val="22"/>
                <w:u w:val="single"/>
              </w:rPr>
              <w:t>Consultant</w:t>
            </w:r>
            <w:r w:rsidRPr="00CE5051">
              <w:rPr>
                <w:sz w:val="22"/>
                <w:szCs w:val="22"/>
              </w:rPr>
              <w:t>: Forest specialist/GIS specialist</w:t>
            </w:r>
            <w:r>
              <w:rPr>
                <w:sz w:val="22"/>
                <w:szCs w:val="22"/>
              </w:rPr>
              <w:t xml:space="preserve"> (1 international and 3 national)</w:t>
            </w:r>
          </w:p>
          <w:p w:rsidR="00496029" w:rsidRDefault="00496029" w:rsidP="00496029">
            <w:pPr>
              <w:rPr>
                <w:sz w:val="22"/>
                <w:szCs w:val="22"/>
              </w:rPr>
            </w:pPr>
          </w:p>
          <w:p w:rsidR="00496029" w:rsidRPr="00853A0B" w:rsidRDefault="00496029" w:rsidP="00496029">
            <w:pPr>
              <w:rPr>
                <w:b/>
                <w:sz w:val="22"/>
                <w:szCs w:val="22"/>
              </w:rPr>
            </w:pPr>
            <w:r>
              <w:rPr>
                <w:b/>
                <w:sz w:val="22"/>
                <w:szCs w:val="22"/>
              </w:rPr>
              <w:t>2</w:t>
            </w:r>
            <w:r w:rsidRPr="00853A0B">
              <w:rPr>
                <w:b/>
                <w:sz w:val="22"/>
                <w:szCs w:val="22"/>
              </w:rPr>
              <w:t xml:space="preserve">. </w:t>
            </w:r>
            <w:r>
              <w:rPr>
                <w:b/>
                <w:sz w:val="22"/>
                <w:szCs w:val="22"/>
              </w:rPr>
              <w:t>Technical studies</w:t>
            </w:r>
            <w:r w:rsidRPr="00853A0B">
              <w:rPr>
                <w:b/>
                <w:sz w:val="22"/>
                <w:szCs w:val="22"/>
              </w:rPr>
              <w:t xml:space="preserve">: </w:t>
            </w:r>
          </w:p>
          <w:p w:rsidR="00496029" w:rsidRDefault="00496029" w:rsidP="00496029">
            <w:pPr>
              <w:rPr>
                <w:sz w:val="22"/>
                <w:szCs w:val="22"/>
              </w:rPr>
            </w:pPr>
          </w:p>
          <w:p w:rsidR="00E10621" w:rsidRDefault="00E10621" w:rsidP="00E10621">
            <w:pPr>
              <w:ind w:left="360"/>
              <w:jc w:val="both"/>
              <w:rPr>
                <w:sz w:val="22"/>
                <w:szCs w:val="22"/>
              </w:rPr>
            </w:pPr>
            <w:r>
              <w:rPr>
                <w:sz w:val="22"/>
                <w:szCs w:val="22"/>
              </w:rPr>
              <w:t xml:space="preserve">(i) </w:t>
            </w:r>
            <w:r w:rsidRPr="00E10621">
              <w:rPr>
                <w:i/>
                <w:sz w:val="22"/>
                <w:szCs w:val="22"/>
              </w:rPr>
              <w:t>Diagnosis of land tenure scheme</w:t>
            </w:r>
            <w:r w:rsidR="00131EF3">
              <w:rPr>
                <w:i/>
                <w:sz w:val="22"/>
                <w:szCs w:val="22"/>
              </w:rPr>
              <w:t>s</w:t>
            </w:r>
            <w:r w:rsidRPr="00E10621">
              <w:rPr>
                <w:i/>
                <w:sz w:val="22"/>
                <w:szCs w:val="22"/>
              </w:rPr>
              <w:t xml:space="preserve"> and existing benefit sharing mechanisms</w:t>
            </w:r>
          </w:p>
          <w:p w:rsidR="00E10621" w:rsidRPr="00EB4B7F" w:rsidRDefault="00E10621" w:rsidP="00E10621">
            <w:pPr>
              <w:ind w:left="360"/>
              <w:jc w:val="both"/>
              <w:rPr>
                <w:sz w:val="22"/>
                <w:szCs w:val="22"/>
              </w:rPr>
            </w:pPr>
            <w:r>
              <w:rPr>
                <w:noProof/>
                <w:sz w:val="22"/>
                <w:szCs w:val="22"/>
              </w:rPr>
              <w:t xml:space="preserve">Overall, the project should have an overwhelmingly positive impact on the environment and society, as it aims to generate global environmental benefits, provide </w:t>
            </w:r>
            <w:r w:rsidRPr="00D36215">
              <w:rPr>
                <w:color w:val="000000"/>
                <w:sz w:val="22"/>
                <w:szCs w:val="22"/>
              </w:rPr>
              <w:t xml:space="preserve">capacity building and </w:t>
            </w:r>
            <w:r>
              <w:rPr>
                <w:color w:val="000000"/>
                <w:sz w:val="22"/>
                <w:szCs w:val="22"/>
              </w:rPr>
              <w:t xml:space="preserve">develop </w:t>
            </w:r>
            <w:r w:rsidRPr="00D36215">
              <w:rPr>
                <w:color w:val="000000"/>
                <w:sz w:val="22"/>
                <w:szCs w:val="22"/>
              </w:rPr>
              <w:t>improved method</w:t>
            </w:r>
            <w:r>
              <w:rPr>
                <w:color w:val="000000"/>
                <w:sz w:val="22"/>
                <w:szCs w:val="22"/>
              </w:rPr>
              <w:t xml:space="preserve">ologies for sustainable forest management. </w:t>
            </w:r>
          </w:p>
          <w:p w:rsidR="00E10621" w:rsidRDefault="00E10621" w:rsidP="00E10621">
            <w:pPr>
              <w:ind w:left="360"/>
              <w:jc w:val="both"/>
              <w:rPr>
                <w:noProof/>
                <w:sz w:val="22"/>
                <w:szCs w:val="22"/>
              </w:rPr>
            </w:pPr>
          </w:p>
          <w:p w:rsidR="00E10621" w:rsidRDefault="00E10621" w:rsidP="00E10621">
            <w:pPr>
              <w:ind w:left="360"/>
              <w:jc w:val="both"/>
              <w:rPr>
                <w:noProof/>
                <w:sz w:val="22"/>
                <w:szCs w:val="22"/>
              </w:rPr>
            </w:pPr>
            <w:r>
              <w:rPr>
                <w:noProof/>
                <w:sz w:val="22"/>
                <w:szCs w:val="22"/>
              </w:rPr>
              <w:t xml:space="preserve">Specifically on the </w:t>
            </w:r>
            <w:r w:rsidRPr="00EB4B7F">
              <w:rPr>
                <w:i/>
                <w:noProof/>
                <w:sz w:val="22"/>
                <w:szCs w:val="22"/>
              </w:rPr>
              <w:t>social aspects</w:t>
            </w:r>
            <w:r>
              <w:rPr>
                <w:noProof/>
                <w:sz w:val="22"/>
                <w:szCs w:val="22"/>
              </w:rPr>
              <w:t xml:space="preserve">, two diagnosis studies will be conducted during the preparation phase. The first study will specifically focus on an analysis of land tenure and land uses issues in the Congo Basin countries, highlighting the potential grey areas in terms of land ownership and land access (special attention will of course be given to </w:t>
            </w:r>
            <w:r>
              <w:rPr>
                <w:i/>
                <w:iCs/>
                <w:noProof/>
                <w:sz w:val="22"/>
                <w:szCs w:val="22"/>
              </w:rPr>
              <w:t>indigenous communities</w:t>
            </w:r>
            <w:r>
              <w:rPr>
                <w:noProof/>
                <w:sz w:val="22"/>
                <w:szCs w:val="22"/>
              </w:rPr>
              <w:t>). The second study will focus on the diagnosis of the existing benefit-sharing mechanism in place in the different countries (e.g. forest fiscality) with an assessment of their efficiencies and their main bottlenecks.</w:t>
            </w:r>
          </w:p>
          <w:p w:rsidR="00E10621" w:rsidRDefault="00E10621" w:rsidP="00E10621">
            <w:pPr>
              <w:ind w:left="360"/>
              <w:jc w:val="both"/>
              <w:rPr>
                <w:sz w:val="22"/>
                <w:szCs w:val="22"/>
              </w:rPr>
            </w:pPr>
          </w:p>
          <w:p w:rsidR="00E10621" w:rsidRDefault="00E10621" w:rsidP="00E10621">
            <w:pPr>
              <w:ind w:left="360"/>
              <w:jc w:val="both"/>
              <w:rPr>
                <w:noProof/>
                <w:sz w:val="22"/>
                <w:szCs w:val="22"/>
              </w:rPr>
            </w:pPr>
            <w:r>
              <w:rPr>
                <w:noProof/>
                <w:sz w:val="22"/>
                <w:szCs w:val="22"/>
              </w:rPr>
              <w:t xml:space="preserve">The above two studies do not intend to be comprehensive and answer all the questions on land tenure, indigenous people and benefit sharing mechanisms. Instead they are aimed at providing the level of information necessary for adquate project design. The two studies are therefore intented to provide a basic knowledge and background on the current land tenure situation in the six Congo Basin countries and on the status (or lack) of existing benefit sharing mechanisms, including existing barriers.  </w:t>
            </w:r>
          </w:p>
          <w:p w:rsidR="00E10621" w:rsidRDefault="00E10621" w:rsidP="00E10621">
            <w:pPr>
              <w:ind w:left="360"/>
              <w:jc w:val="both"/>
              <w:rPr>
                <w:noProof/>
                <w:sz w:val="22"/>
                <w:szCs w:val="22"/>
              </w:rPr>
            </w:pPr>
            <w:r>
              <w:rPr>
                <w:noProof/>
                <w:sz w:val="22"/>
                <w:szCs w:val="22"/>
              </w:rPr>
              <w:t xml:space="preserve">Outputs of the two studies will help design the activities planned under the Component 1 on equitbale </w:t>
            </w:r>
            <w:r w:rsidRPr="007941E4">
              <w:rPr>
                <w:sz w:val="22"/>
                <w:szCs w:val="22"/>
              </w:rPr>
              <w:t>sharing mechanisms of REDD benefits to local forest communities</w:t>
            </w:r>
            <w:r>
              <w:rPr>
                <w:noProof/>
                <w:sz w:val="22"/>
                <w:szCs w:val="22"/>
              </w:rPr>
              <w:t xml:space="preserve"> (i.e. Component 1).</w:t>
            </w:r>
          </w:p>
          <w:p w:rsidR="00751334" w:rsidRDefault="00751334" w:rsidP="00E10621">
            <w:pPr>
              <w:ind w:left="360"/>
              <w:jc w:val="both"/>
              <w:rPr>
                <w:noProof/>
                <w:sz w:val="22"/>
                <w:szCs w:val="22"/>
              </w:rPr>
            </w:pPr>
          </w:p>
          <w:p w:rsidR="00751334" w:rsidRDefault="00751334" w:rsidP="00E10621">
            <w:pPr>
              <w:ind w:left="360"/>
              <w:jc w:val="both"/>
              <w:rPr>
                <w:noProof/>
                <w:sz w:val="22"/>
                <w:szCs w:val="22"/>
              </w:rPr>
            </w:pPr>
            <w:r>
              <w:rPr>
                <w:noProof/>
                <w:sz w:val="22"/>
                <w:szCs w:val="22"/>
              </w:rPr>
              <w:t xml:space="preserve">While the study on land tenure schemes will be financed by GEF, co-financing has been secured from FAO for the carrying out the study on benefit-sharing mechansims. </w:t>
            </w:r>
          </w:p>
          <w:p w:rsidR="00E10621" w:rsidRDefault="00E10621" w:rsidP="00E10621">
            <w:pPr>
              <w:ind w:left="360"/>
              <w:jc w:val="both"/>
              <w:rPr>
                <w:noProof/>
                <w:sz w:val="22"/>
                <w:szCs w:val="22"/>
              </w:rPr>
            </w:pPr>
          </w:p>
          <w:p w:rsidR="00751334" w:rsidRDefault="00E10621" w:rsidP="00E10621">
            <w:pPr>
              <w:ind w:left="360"/>
              <w:jc w:val="both"/>
              <w:rPr>
                <w:sz w:val="22"/>
                <w:szCs w:val="22"/>
              </w:rPr>
            </w:pPr>
            <w:r w:rsidRPr="004404F7">
              <w:rPr>
                <w:i/>
                <w:sz w:val="22"/>
                <w:szCs w:val="22"/>
                <w:u w:val="single"/>
              </w:rPr>
              <w:t>Consultant</w:t>
            </w:r>
            <w:r w:rsidRPr="00CE5051">
              <w:rPr>
                <w:sz w:val="22"/>
                <w:szCs w:val="22"/>
              </w:rPr>
              <w:t xml:space="preserve">: </w:t>
            </w:r>
            <w:r>
              <w:rPr>
                <w:sz w:val="22"/>
                <w:szCs w:val="22"/>
              </w:rPr>
              <w:t xml:space="preserve">Land tenure specialist (1 international and 3 national); </w:t>
            </w:r>
          </w:p>
          <w:p w:rsidR="00E10621" w:rsidRDefault="00E10621" w:rsidP="00E10621">
            <w:pPr>
              <w:ind w:left="360"/>
              <w:jc w:val="both"/>
              <w:rPr>
                <w:noProof/>
                <w:sz w:val="22"/>
                <w:szCs w:val="22"/>
              </w:rPr>
            </w:pPr>
          </w:p>
          <w:p w:rsidR="00496029" w:rsidRDefault="00496029" w:rsidP="00E10621">
            <w:pPr>
              <w:ind w:left="360"/>
              <w:jc w:val="both"/>
              <w:rPr>
                <w:sz w:val="22"/>
                <w:szCs w:val="22"/>
              </w:rPr>
            </w:pPr>
            <w:r>
              <w:rPr>
                <w:sz w:val="22"/>
                <w:szCs w:val="22"/>
              </w:rPr>
              <w:t>(i</w:t>
            </w:r>
            <w:r w:rsidR="00E10621">
              <w:rPr>
                <w:sz w:val="22"/>
                <w:szCs w:val="22"/>
              </w:rPr>
              <w:t>i</w:t>
            </w:r>
            <w:r>
              <w:rPr>
                <w:sz w:val="22"/>
                <w:szCs w:val="22"/>
              </w:rPr>
              <w:t xml:space="preserve">) </w:t>
            </w:r>
            <w:r w:rsidRPr="00F016A8">
              <w:rPr>
                <w:i/>
                <w:sz w:val="22"/>
                <w:szCs w:val="22"/>
              </w:rPr>
              <w:t>Definition of a Carbon measurement (and monitoring) methodology</w:t>
            </w:r>
            <w:r>
              <w:rPr>
                <w:sz w:val="22"/>
                <w:szCs w:val="22"/>
              </w:rPr>
              <w:t xml:space="preserve">: </w:t>
            </w:r>
            <w:r w:rsidRPr="00CE5051">
              <w:rPr>
                <w:sz w:val="22"/>
                <w:szCs w:val="22"/>
              </w:rPr>
              <w:t xml:space="preserve">The preparation phase aims to clarify the approach and methodology to be taken for the measurement and monitoring of carbon stocks in the Congo Basin Forests. The methodology will build on the findings and results from the GEF </w:t>
            </w:r>
            <w:r>
              <w:rPr>
                <w:sz w:val="22"/>
                <w:szCs w:val="22"/>
              </w:rPr>
              <w:t>G</w:t>
            </w:r>
            <w:r w:rsidRPr="00CE5051">
              <w:rPr>
                <w:sz w:val="22"/>
                <w:szCs w:val="22"/>
              </w:rPr>
              <w:t xml:space="preserve">lobal Carbon Benefit Project, which is implemented in parallel to the preparation phase of this project. </w:t>
            </w:r>
            <w:r>
              <w:rPr>
                <w:sz w:val="22"/>
                <w:szCs w:val="22"/>
              </w:rPr>
              <w:t xml:space="preserve">It will also take into account the different </w:t>
            </w:r>
            <w:proofErr w:type="gramStart"/>
            <w:r>
              <w:rPr>
                <w:sz w:val="22"/>
                <w:szCs w:val="22"/>
              </w:rPr>
              <w:t>on-going</w:t>
            </w:r>
            <w:proofErr w:type="gramEnd"/>
            <w:r>
              <w:rPr>
                <w:sz w:val="22"/>
                <w:szCs w:val="22"/>
              </w:rPr>
              <w:t xml:space="preserve"> and planned initiatives (identified under the study on forest monitoring, see above). </w:t>
            </w:r>
          </w:p>
          <w:p w:rsidR="00496029" w:rsidRDefault="00496029" w:rsidP="00496029">
            <w:pPr>
              <w:ind w:left="360"/>
              <w:jc w:val="both"/>
              <w:rPr>
                <w:sz w:val="22"/>
                <w:szCs w:val="22"/>
              </w:rPr>
            </w:pPr>
          </w:p>
          <w:p w:rsidR="00496029" w:rsidRDefault="00496029" w:rsidP="00496029">
            <w:pPr>
              <w:ind w:left="360"/>
              <w:jc w:val="both"/>
              <w:rPr>
                <w:sz w:val="22"/>
                <w:szCs w:val="22"/>
              </w:rPr>
            </w:pPr>
            <w:r w:rsidRPr="00CE5051">
              <w:rPr>
                <w:sz w:val="22"/>
                <w:szCs w:val="22"/>
              </w:rPr>
              <w:t xml:space="preserve">As part of project preparation, expert input will be sought </w:t>
            </w:r>
            <w:r>
              <w:rPr>
                <w:sz w:val="22"/>
                <w:szCs w:val="22"/>
              </w:rPr>
              <w:t xml:space="preserve">to (i) better define </w:t>
            </w:r>
            <w:r w:rsidRPr="00CE5051">
              <w:rPr>
                <w:sz w:val="22"/>
                <w:szCs w:val="22"/>
              </w:rPr>
              <w:t xml:space="preserve">how to adapt the </w:t>
            </w:r>
            <w:r>
              <w:rPr>
                <w:sz w:val="22"/>
                <w:szCs w:val="22"/>
              </w:rPr>
              <w:t xml:space="preserve">existing </w:t>
            </w:r>
            <w:r w:rsidRPr="00CE5051">
              <w:rPr>
                <w:sz w:val="22"/>
                <w:szCs w:val="22"/>
              </w:rPr>
              <w:t>methodolog</w:t>
            </w:r>
            <w:r>
              <w:rPr>
                <w:sz w:val="22"/>
                <w:szCs w:val="22"/>
              </w:rPr>
              <w:t xml:space="preserve">ies </w:t>
            </w:r>
            <w:r w:rsidRPr="00CE5051">
              <w:rPr>
                <w:sz w:val="22"/>
                <w:szCs w:val="22"/>
              </w:rPr>
              <w:t>towards the knowledg</w:t>
            </w:r>
            <w:r>
              <w:rPr>
                <w:sz w:val="22"/>
                <w:szCs w:val="22"/>
              </w:rPr>
              <w:t xml:space="preserve">e available for the Congo Basin, </w:t>
            </w:r>
            <w:r w:rsidRPr="00CE5051">
              <w:rPr>
                <w:sz w:val="22"/>
                <w:szCs w:val="22"/>
              </w:rPr>
              <w:t xml:space="preserve">how to </w:t>
            </w:r>
            <w:r>
              <w:rPr>
                <w:sz w:val="22"/>
                <w:szCs w:val="22"/>
              </w:rPr>
              <w:t xml:space="preserve">build on existing activities and create synergies, and (ii) propose a Congo Basin-specific methodology for carbon measurement/monitoring, compliant with the IPCC guidelines, along with a detailed plan for field surveys and scientific works to be carried out at the country level by the national entities (mostly Forest Departments) during the project implementation. </w:t>
            </w:r>
          </w:p>
          <w:p w:rsidR="00496029" w:rsidRDefault="00496029" w:rsidP="00496029">
            <w:pPr>
              <w:ind w:left="360"/>
              <w:jc w:val="both"/>
              <w:rPr>
                <w:sz w:val="22"/>
                <w:szCs w:val="22"/>
              </w:rPr>
            </w:pPr>
          </w:p>
          <w:p w:rsidR="00496029" w:rsidRDefault="00496029" w:rsidP="00496029">
            <w:pPr>
              <w:ind w:left="360"/>
              <w:jc w:val="both"/>
              <w:rPr>
                <w:sz w:val="22"/>
                <w:szCs w:val="22"/>
              </w:rPr>
            </w:pPr>
            <w:r>
              <w:rPr>
                <w:sz w:val="22"/>
                <w:szCs w:val="22"/>
              </w:rPr>
              <w:t xml:space="preserve">It will determine the needs in terms of technical capacities, both at the national and regional level, and will propose a framework for technical coordination between the national and the regional institutions, with clear roles and responsibilities (e.g. data collection, data analysis). Needs for capacity building will be determined in details and will complete the capacity building plan elaborated under the Institutional review activity for both national and regional entities (see above). </w:t>
            </w:r>
          </w:p>
          <w:p w:rsidR="00496029" w:rsidRDefault="00496029" w:rsidP="00496029">
            <w:pPr>
              <w:ind w:left="360"/>
              <w:jc w:val="both"/>
              <w:rPr>
                <w:sz w:val="22"/>
                <w:szCs w:val="22"/>
              </w:rPr>
            </w:pPr>
          </w:p>
          <w:p w:rsidR="00496029" w:rsidRPr="00CE5051" w:rsidRDefault="000B3B9F" w:rsidP="00496029">
            <w:pPr>
              <w:ind w:left="360"/>
              <w:jc w:val="both"/>
              <w:rPr>
                <w:sz w:val="22"/>
                <w:szCs w:val="22"/>
              </w:rPr>
            </w:pPr>
            <w:r>
              <w:rPr>
                <w:sz w:val="22"/>
                <w:szCs w:val="22"/>
              </w:rPr>
              <w:t>Co-financing from the WB (FCPF) will provide for c</w:t>
            </w:r>
            <w:r w:rsidR="00435BD5">
              <w:rPr>
                <w:sz w:val="22"/>
                <w:szCs w:val="22"/>
              </w:rPr>
              <w:t>o</w:t>
            </w:r>
            <w:r>
              <w:rPr>
                <w:sz w:val="22"/>
                <w:szCs w:val="22"/>
              </w:rPr>
              <w:t xml:space="preserve">mplementary activities contributing to the development of a carbon measurement methodology. </w:t>
            </w:r>
            <w:r w:rsidR="00496029">
              <w:rPr>
                <w:sz w:val="22"/>
                <w:szCs w:val="22"/>
              </w:rPr>
              <w:t xml:space="preserve">The results of this study will </w:t>
            </w:r>
            <w:r w:rsidR="00496029" w:rsidRPr="00CE5051">
              <w:rPr>
                <w:sz w:val="22"/>
                <w:szCs w:val="22"/>
              </w:rPr>
              <w:t xml:space="preserve">directly feed into </w:t>
            </w:r>
            <w:r w:rsidR="00496029">
              <w:rPr>
                <w:sz w:val="22"/>
                <w:szCs w:val="22"/>
              </w:rPr>
              <w:t xml:space="preserve">the </w:t>
            </w:r>
            <w:r w:rsidR="00496029" w:rsidRPr="00CE5051">
              <w:rPr>
                <w:sz w:val="22"/>
                <w:szCs w:val="22"/>
              </w:rPr>
              <w:t xml:space="preserve">design of </w:t>
            </w:r>
            <w:r w:rsidR="00496029">
              <w:rPr>
                <w:sz w:val="22"/>
                <w:szCs w:val="22"/>
              </w:rPr>
              <w:t>the Project Component 2.</w:t>
            </w:r>
          </w:p>
          <w:p w:rsidR="00496029" w:rsidRDefault="00496029" w:rsidP="00496029">
            <w:pPr>
              <w:ind w:left="360"/>
              <w:rPr>
                <w:sz w:val="22"/>
                <w:szCs w:val="22"/>
              </w:rPr>
            </w:pPr>
          </w:p>
          <w:p w:rsidR="00496029" w:rsidRPr="00CE5051" w:rsidRDefault="00496029" w:rsidP="00496029">
            <w:pPr>
              <w:ind w:left="360"/>
              <w:jc w:val="both"/>
              <w:rPr>
                <w:sz w:val="22"/>
                <w:szCs w:val="22"/>
              </w:rPr>
            </w:pPr>
            <w:r w:rsidRPr="00FE4050">
              <w:rPr>
                <w:i/>
                <w:sz w:val="22"/>
                <w:szCs w:val="22"/>
                <w:u w:val="single"/>
              </w:rPr>
              <w:t>Consultant</w:t>
            </w:r>
            <w:r w:rsidRPr="00CE5051">
              <w:rPr>
                <w:i/>
                <w:sz w:val="22"/>
                <w:szCs w:val="22"/>
              </w:rPr>
              <w:t>:</w:t>
            </w:r>
            <w:r w:rsidRPr="00CE5051">
              <w:rPr>
                <w:sz w:val="22"/>
                <w:szCs w:val="22"/>
              </w:rPr>
              <w:t xml:space="preserve"> Research/academic institution</w:t>
            </w:r>
            <w:r>
              <w:rPr>
                <w:sz w:val="22"/>
                <w:szCs w:val="22"/>
              </w:rPr>
              <w:t xml:space="preserve"> (1 international, 6 national). Since the OFAC is the regional institution in charge of forest monitoring, it is expected that they play a critical role in this activity.</w:t>
            </w:r>
          </w:p>
          <w:p w:rsidR="00496029" w:rsidRDefault="00496029" w:rsidP="00496029">
            <w:pPr>
              <w:rPr>
                <w:sz w:val="22"/>
                <w:szCs w:val="22"/>
              </w:rPr>
            </w:pPr>
          </w:p>
          <w:p w:rsidR="005319C5" w:rsidRDefault="00496029" w:rsidP="005319C5">
            <w:pPr>
              <w:ind w:left="360"/>
              <w:jc w:val="both"/>
              <w:rPr>
                <w:sz w:val="22"/>
                <w:szCs w:val="22"/>
              </w:rPr>
            </w:pPr>
            <w:r>
              <w:rPr>
                <w:sz w:val="22"/>
                <w:szCs w:val="22"/>
              </w:rPr>
              <w:t>(ii</w:t>
            </w:r>
            <w:r w:rsidR="00E10621">
              <w:rPr>
                <w:sz w:val="22"/>
                <w:szCs w:val="22"/>
              </w:rPr>
              <w:t>i</w:t>
            </w:r>
            <w:r>
              <w:rPr>
                <w:sz w:val="22"/>
                <w:szCs w:val="22"/>
              </w:rPr>
              <w:t xml:space="preserve">) </w:t>
            </w:r>
            <w:r w:rsidR="000B3B9F">
              <w:rPr>
                <w:i/>
                <w:sz w:val="22"/>
                <w:szCs w:val="22"/>
              </w:rPr>
              <w:t>Identification</w:t>
            </w:r>
            <w:r w:rsidR="000B3B9F" w:rsidRPr="00237815">
              <w:rPr>
                <w:i/>
                <w:sz w:val="22"/>
                <w:szCs w:val="22"/>
              </w:rPr>
              <w:t xml:space="preserve"> </w:t>
            </w:r>
            <w:r w:rsidRPr="00237815">
              <w:rPr>
                <w:i/>
                <w:sz w:val="22"/>
                <w:szCs w:val="22"/>
              </w:rPr>
              <w:t>of SFM projects</w:t>
            </w:r>
            <w:r w:rsidR="000B3B9F">
              <w:rPr>
                <w:i/>
                <w:sz w:val="22"/>
                <w:szCs w:val="22"/>
              </w:rPr>
              <w:t>, respective carbon baselines, and supplemental project-level activities</w:t>
            </w:r>
            <w:r>
              <w:rPr>
                <w:i/>
                <w:sz w:val="22"/>
                <w:szCs w:val="22"/>
              </w:rPr>
              <w:t xml:space="preserve"> </w:t>
            </w:r>
            <w:r w:rsidR="000B3B9F">
              <w:rPr>
                <w:i/>
                <w:sz w:val="22"/>
                <w:szCs w:val="22"/>
              </w:rPr>
              <w:t xml:space="preserve">for the </w:t>
            </w:r>
            <w:r>
              <w:rPr>
                <w:i/>
                <w:sz w:val="22"/>
                <w:szCs w:val="22"/>
              </w:rPr>
              <w:t>carbon benefit analysis</w:t>
            </w:r>
            <w:r>
              <w:rPr>
                <w:sz w:val="22"/>
                <w:szCs w:val="22"/>
              </w:rPr>
              <w:t xml:space="preserve">: </w:t>
            </w:r>
            <w:r w:rsidR="005319C5">
              <w:rPr>
                <w:sz w:val="22"/>
                <w:szCs w:val="22"/>
              </w:rPr>
              <w:t xml:space="preserve">The PPG request reflects some adjustments in the design of project component 3 since approval of the PIF. While the objectives and expected outcomes of this component financed by the GEF and co-financed by other donors, have remained unchanged, the scope of the activities specifically financed by the GEF, has been sharpened and focused on assessment-oriented activities to evaluate carbon benefits (or losses) from different types of intervention addressing deforestation and forest degradation. No new pilot project would be developed and entirely financed by GEF under Component 3, but instead the project would build on existing co-financed SFM projects with GEF financing focused on measuring the carbon impact of the selected SFM pilots. GEF funding would further support innovative models to promote integration of the REDD concept in future SFM programs in the Congo Basin. Three major reasons underline this adjustment of the Component 3: (a) the timeframe of the project (5 years) is unsuitable to establish new pilot projects and get scientifically reliable data on potential carbon benefits, (b) there is already a significant number of ongoing SFM projects in the region, for which carbon benefits could be assessed, and (c) the UK-financed Congo Basin Forest Fund (CBFF of about US$200 million), as well as other initiatives (including WB projects) will support further SFM projects in the Congo Basin, which provides an opportunity to instill a more strategic approach to integration of REDD concept into forest management activities. Further, projects under the CBFF are currently selected on an ad-hoc basis and the GEF project could support consideration of potential carbon benefits as part of a more strategic CBFF vision. </w:t>
            </w:r>
          </w:p>
          <w:p w:rsidR="005319C5" w:rsidRDefault="005319C5" w:rsidP="005319C5">
            <w:pPr>
              <w:ind w:left="360"/>
              <w:jc w:val="both"/>
              <w:rPr>
                <w:sz w:val="22"/>
                <w:szCs w:val="22"/>
              </w:rPr>
            </w:pPr>
          </w:p>
          <w:p w:rsidR="005319C5" w:rsidRDefault="005319C5" w:rsidP="005319C5">
            <w:pPr>
              <w:ind w:left="360"/>
              <w:jc w:val="both"/>
              <w:rPr>
                <w:sz w:val="22"/>
                <w:szCs w:val="22"/>
              </w:rPr>
            </w:pPr>
            <w:r>
              <w:rPr>
                <w:sz w:val="22"/>
                <w:szCs w:val="22"/>
              </w:rPr>
              <w:t>Aim of the GEF-financed assessment-oriented activities under the overall project is therefore the development of a toolkit to help integrate the REDD concept in future SFM projects. The toolkit will be based on a cost-benefit-analysis of different types of SFM activities compared with currently practiced unsustainable forest use activities. The cost assessment will include input and operating cost of sustainable/unsustainable forest management/use activities, while the benefits assessment will compare potential revenue streams, e.g. potential carbon revenue generated from SFM activities versus benefits from unsustainable business-as-usual (such as encroachment agriculture, etc.). All cost-benefit-assessments will be scaled in terms of immediate, medium and long-term benefits and will thus provide a tool for enabling land users and planners to make strategic decisions for forest management investments. The toolkit will further help donors and investors to estimate the scale of incremental short-term funding needed to make SFM investments competitive with destructive use of forest resources.</w:t>
            </w:r>
          </w:p>
          <w:p w:rsidR="005319C5" w:rsidRDefault="005319C5" w:rsidP="005319C5">
            <w:pPr>
              <w:jc w:val="both"/>
              <w:rPr>
                <w:sz w:val="22"/>
                <w:szCs w:val="22"/>
              </w:rPr>
            </w:pPr>
          </w:p>
          <w:p w:rsidR="005319C5" w:rsidRDefault="005319C5" w:rsidP="005319C5">
            <w:pPr>
              <w:ind w:left="360"/>
              <w:jc w:val="both"/>
              <w:rPr>
                <w:sz w:val="22"/>
                <w:szCs w:val="22"/>
              </w:rPr>
            </w:pPr>
            <w:r>
              <w:rPr>
                <w:sz w:val="22"/>
                <w:szCs w:val="22"/>
              </w:rPr>
              <w:t>Accordingly, the preparatory activities to be financed under the PPF will focus on the following steps:</w:t>
            </w:r>
          </w:p>
          <w:p w:rsidR="005319C5" w:rsidRDefault="005319C5" w:rsidP="005319C5">
            <w:pPr>
              <w:numPr>
                <w:ilvl w:val="0"/>
                <w:numId w:val="9"/>
              </w:numPr>
              <w:ind w:left="1080" w:hanging="360"/>
              <w:jc w:val="both"/>
              <w:rPr>
                <w:sz w:val="22"/>
                <w:szCs w:val="22"/>
              </w:rPr>
            </w:pPr>
            <w:r>
              <w:rPr>
                <w:sz w:val="22"/>
                <w:szCs w:val="22"/>
              </w:rPr>
              <w:t>Identif</w:t>
            </w:r>
            <w:r w:rsidR="00B413E4">
              <w:rPr>
                <w:sz w:val="22"/>
                <w:szCs w:val="22"/>
              </w:rPr>
              <w:t>ication of</w:t>
            </w:r>
            <w:r>
              <w:rPr>
                <w:sz w:val="22"/>
                <w:szCs w:val="22"/>
              </w:rPr>
              <w:t xml:space="preserve"> ongoing SFM projects with demonstrated high impacts on poverty alleviation and forest conservation and high potential for carbon-based revenue, </w:t>
            </w:r>
          </w:p>
          <w:p w:rsidR="005319C5" w:rsidRDefault="005319C5" w:rsidP="005319C5">
            <w:pPr>
              <w:numPr>
                <w:ilvl w:val="0"/>
                <w:numId w:val="9"/>
              </w:numPr>
              <w:ind w:left="1080" w:hanging="360"/>
              <w:jc w:val="both"/>
              <w:rPr>
                <w:sz w:val="22"/>
                <w:szCs w:val="22"/>
              </w:rPr>
            </w:pPr>
            <w:r>
              <w:rPr>
                <w:sz w:val="22"/>
                <w:szCs w:val="22"/>
              </w:rPr>
              <w:t xml:space="preserve">Development of proxy-indicators to measure carbon benefits already achieved under the selected ongoing SFM projects and to track further carbon benefits during the lifetime of the project, </w:t>
            </w:r>
          </w:p>
          <w:p w:rsidR="005319C5" w:rsidRPr="00004CD6" w:rsidRDefault="005319C5" w:rsidP="005319C5">
            <w:pPr>
              <w:numPr>
                <w:ilvl w:val="0"/>
                <w:numId w:val="9"/>
              </w:numPr>
              <w:ind w:left="1080" w:hanging="360"/>
              <w:jc w:val="both"/>
              <w:rPr>
                <w:sz w:val="22"/>
                <w:szCs w:val="22"/>
              </w:rPr>
            </w:pPr>
            <w:r>
              <w:rPr>
                <w:sz w:val="22"/>
                <w:szCs w:val="22"/>
              </w:rPr>
              <w:t>I</w:t>
            </w:r>
            <w:r w:rsidRPr="00004CD6">
              <w:rPr>
                <w:sz w:val="22"/>
                <w:szCs w:val="22"/>
              </w:rPr>
              <w:t xml:space="preserve">dentification of supplemental </w:t>
            </w:r>
            <w:r>
              <w:rPr>
                <w:sz w:val="22"/>
                <w:szCs w:val="22"/>
              </w:rPr>
              <w:t xml:space="preserve">activities to the SFM pilot projects that will be implemented with incremental GEF funding under the full project, e.g. </w:t>
            </w:r>
            <w:r w:rsidRPr="00004CD6">
              <w:rPr>
                <w:sz w:val="22"/>
                <w:szCs w:val="22"/>
              </w:rPr>
              <w:t>monitoring and assessment activities to ensure adequate data and information for the cost-benefit-analysis</w:t>
            </w:r>
            <w:r>
              <w:rPr>
                <w:sz w:val="22"/>
                <w:szCs w:val="22"/>
              </w:rPr>
              <w:t xml:space="preserve">-that could then feed into toolkits, to be elaborated during the project implementation, for a scaling up of successful SFM projects in other Congo Basin countries-. </w:t>
            </w:r>
          </w:p>
          <w:p w:rsidR="005319C5" w:rsidRDefault="005319C5" w:rsidP="005319C5">
            <w:pPr>
              <w:jc w:val="both"/>
              <w:rPr>
                <w:sz w:val="22"/>
                <w:szCs w:val="22"/>
              </w:rPr>
            </w:pPr>
          </w:p>
          <w:p w:rsidR="005319C5" w:rsidRDefault="005319C5" w:rsidP="005319C5">
            <w:pPr>
              <w:ind w:left="360"/>
              <w:jc w:val="both"/>
              <w:rPr>
                <w:sz w:val="22"/>
                <w:szCs w:val="22"/>
              </w:rPr>
            </w:pPr>
            <w:r>
              <w:rPr>
                <w:sz w:val="22"/>
                <w:szCs w:val="22"/>
              </w:rPr>
              <w:t>More specifically, the selection process under Step (1) “</w:t>
            </w:r>
            <w:r w:rsidRPr="00A454C9">
              <w:rPr>
                <w:i/>
                <w:sz w:val="22"/>
                <w:szCs w:val="22"/>
              </w:rPr>
              <w:t>Identification of SFM pilots</w:t>
            </w:r>
            <w:r>
              <w:rPr>
                <w:i/>
                <w:sz w:val="22"/>
                <w:szCs w:val="22"/>
              </w:rPr>
              <w:t>”</w:t>
            </w:r>
            <w:r>
              <w:rPr>
                <w:sz w:val="22"/>
                <w:szCs w:val="22"/>
              </w:rPr>
              <w:t xml:space="preserve"> will include: First, an inventory of different ongoing SFM projects and initiatives implemented in the different countries of the Congo Basin will be put together. Second, pilot projects for carbon impact measurement will be selected from the inventory. At least one pilot project, will be chosen for each of the following thematic areas as originally outlined in the PIF: </w:t>
            </w:r>
          </w:p>
          <w:p w:rsidR="005319C5" w:rsidRDefault="005319C5" w:rsidP="005319C5">
            <w:pPr>
              <w:numPr>
                <w:ilvl w:val="0"/>
                <w:numId w:val="8"/>
              </w:numPr>
              <w:jc w:val="both"/>
              <w:rPr>
                <w:sz w:val="22"/>
                <w:szCs w:val="22"/>
              </w:rPr>
            </w:pPr>
            <w:r>
              <w:rPr>
                <w:sz w:val="22"/>
                <w:szCs w:val="22"/>
              </w:rPr>
              <w:t>SFM of fuelwood supply basin;</w:t>
            </w:r>
          </w:p>
          <w:p w:rsidR="005319C5" w:rsidRDefault="005319C5" w:rsidP="005319C5">
            <w:pPr>
              <w:numPr>
                <w:ilvl w:val="0"/>
                <w:numId w:val="8"/>
              </w:numPr>
              <w:jc w:val="both"/>
              <w:rPr>
                <w:sz w:val="22"/>
                <w:szCs w:val="22"/>
              </w:rPr>
            </w:pPr>
            <w:r>
              <w:rPr>
                <w:sz w:val="22"/>
                <w:szCs w:val="22"/>
              </w:rPr>
              <w:t>Sustainable management of production forests;</w:t>
            </w:r>
          </w:p>
          <w:p w:rsidR="005319C5" w:rsidRDefault="005319C5" w:rsidP="005319C5">
            <w:pPr>
              <w:numPr>
                <w:ilvl w:val="0"/>
                <w:numId w:val="8"/>
              </w:numPr>
              <w:jc w:val="both"/>
              <w:rPr>
                <w:sz w:val="22"/>
                <w:szCs w:val="22"/>
              </w:rPr>
            </w:pPr>
            <w:r>
              <w:rPr>
                <w:sz w:val="22"/>
                <w:szCs w:val="22"/>
              </w:rPr>
              <w:t xml:space="preserve">Protection of forest margins against agricultural encroachment. </w:t>
            </w:r>
          </w:p>
          <w:p w:rsidR="005319C5" w:rsidRDefault="005319C5" w:rsidP="005319C5">
            <w:pPr>
              <w:jc w:val="both"/>
              <w:rPr>
                <w:sz w:val="22"/>
                <w:szCs w:val="22"/>
              </w:rPr>
            </w:pPr>
          </w:p>
          <w:p w:rsidR="005319C5" w:rsidRDefault="005319C5" w:rsidP="005319C5">
            <w:pPr>
              <w:ind w:left="360"/>
              <w:jc w:val="both"/>
              <w:rPr>
                <w:sz w:val="22"/>
                <w:szCs w:val="22"/>
              </w:rPr>
            </w:pPr>
            <w:r>
              <w:rPr>
                <w:sz w:val="22"/>
                <w:szCs w:val="22"/>
              </w:rPr>
              <w:t xml:space="preserve">Other selection criteria that will be taken into consideration include: </w:t>
            </w:r>
          </w:p>
          <w:p w:rsidR="005319C5" w:rsidRDefault="005319C5" w:rsidP="005319C5">
            <w:pPr>
              <w:numPr>
                <w:ilvl w:val="0"/>
                <w:numId w:val="8"/>
              </w:numPr>
              <w:jc w:val="both"/>
              <w:rPr>
                <w:sz w:val="22"/>
                <w:szCs w:val="22"/>
              </w:rPr>
            </w:pPr>
            <w:r>
              <w:rPr>
                <w:sz w:val="22"/>
                <w:szCs w:val="22"/>
              </w:rPr>
              <w:t>Poverty alleviation impact achieved on the ground or likely to be achieved;</w:t>
            </w:r>
          </w:p>
          <w:p w:rsidR="005319C5" w:rsidRDefault="005319C5" w:rsidP="005319C5">
            <w:pPr>
              <w:numPr>
                <w:ilvl w:val="0"/>
                <w:numId w:val="8"/>
              </w:numPr>
              <w:jc w:val="both"/>
              <w:rPr>
                <w:sz w:val="22"/>
                <w:szCs w:val="22"/>
              </w:rPr>
            </w:pPr>
            <w:r>
              <w:rPr>
                <w:sz w:val="22"/>
                <w:szCs w:val="22"/>
              </w:rPr>
              <w:t>Environmental conservation impact achieved or likely to be achieved;</w:t>
            </w:r>
          </w:p>
          <w:p w:rsidR="005319C5" w:rsidRDefault="005319C5" w:rsidP="005319C5">
            <w:pPr>
              <w:numPr>
                <w:ilvl w:val="0"/>
                <w:numId w:val="8"/>
              </w:numPr>
              <w:jc w:val="both"/>
              <w:rPr>
                <w:sz w:val="22"/>
                <w:szCs w:val="22"/>
              </w:rPr>
            </w:pPr>
            <w:r>
              <w:rPr>
                <w:sz w:val="22"/>
                <w:szCs w:val="22"/>
              </w:rPr>
              <w:t xml:space="preserve">Replication potential under a future carbon-based incentive mechanism (decrease of GHG emissions and/or C sequestration). </w:t>
            </w:r>
          </w:p>
          <w:p w:rsidR="005319C5" w:rsidRDefault="005319C5" w:rsidP="005319C5">
            <w:pPr>
              <w:numPr>
                <w:ilvl w:val="0"/>
                <w:numId w:val="8"/>
              </w:numPr>
              <w:jc w:val="both"/>
              <w:rPr>
                <w:sz w:val="22"/>
                <w:szCs w:val="22"/>
              </w:rPr>
            </w:pPr>
            <w:r>
              <w:rPr>
                <w:sz w:val="22"/>
                <w:szCs w:val="22"/>
              </w:rPr>
              <w:t xml:space="preserve">Availability of monitoring data on impact achieved in terms of reduced deforestation and forest degradation. </w:t>
            </w:r>
          </w:p>
          <w:p w:rsidR="005319C5" w:rsidRDefault="005319C5" w:rsidP="005319C5">
            <w:pPr>
              <w:jc w:val="both"/>
              <w:rPr>
                <w:sz w:val="22"/>
                <w:szCs w:val="22"/>
              </w:rPr>
            </w:pPr>
          </w:p>
          <w:p w:rsidR="005319C5" w:rsidRDefault="005319C5" w:rsidP="005319C5">
            <w:pPr>
              <w:ind w:left="360"/>
              <w:jc w:val="both"/>
              <w:rPr>
                <w:sz w:val="22"/>
                <w:szCs w:val="22"/>
              </w:rPr>
            </w:pPr>
            <w:r>
              <w:rPr>
                <w:sz w:val="22"/>
                <w:szCs w:val="22"/>
              </w:rPr>
              <w:t>Selection criteria will be further fine-tuned as project preparation commences. Though it is not possible to anticipate the outcomes of the selection process, particular attention will be given to geographic coverage of selected projects across the Congo Basin. F</w:t>
            </w:r>
            <w:r w:rsidRPr="00EE50E9">
              <w:rPr>
                <w:sz w:val="22"/>
                <w:szCs w:val="22"/>
              </w:rPr>
              <w:t xml:space="preserve">ield visits </w:t>
            </w:r>
            <w:r>
              <w:rPr>
                <w:sz w:val="22"/>
                <w:szCs w:val="22"/>
              </w:rPr>
              <w:t>to</w:t>
            </w:r>
            <w:r w:rsidRPr="00EE50E9">
              <w:rPr>
                <w:sz w:val="22"/>
                <w:szCs w:val="22"/>
              </w:rPr>
              <w:t xml:space="preserve"> pre-identified pilot projects will be carried</w:t>
            </w:r>
            <w:r>
              <w:rPr>
                <w:sz w:val="22"/>
                <w:szCs w:val="22"/>
              </w:rPr>
              <w:t xml:space="preserve"> out as needed</w:t>
            </w:r>
            <w:r w:rsidRPr="00EE50E9">
              <w:rPr>
                <w:sz w:val="22"/>
                <w:szCs w:val="22"/>
              </w:rPr>
              <w:t>.</w:t>
            </w:r>
          </w:p>
          <w:p w:rsidR="005319C5" w:rsidRDefault="005319C5" w:rsidP="005319C5">
            <w:pPr>
              <w:ind w:left="360"/>
              <w:jc w:val="both"/>
              <w:rPr>
                <w:sz w:val="22"/>
                <w:szCs w:val="22"/>
              </w:rPr>
            </w:pPr>
          </w:p>
          <w:p w:rsidR="005319C5" w:rsidRDefault="005319C5" w:rsidP="005319C5">
            <w:pPr>
              <w:ind w:left="360"/>
              <w:jc w:val="both"/>
              <w:rPr>
                <w:sz w:val="22"/>
                <w:szCs w:val="22"/>
              </w:rPr>
            </w:pPr>
            <w:r>
              <w:rPr>
                <w:sz w:val="22"/>
                <w:szCs w:val="22"/>
              </w:rPr>
              <w:t>Under Step (2) “</w:t>
            </w:r>
            <w:r>
              <w:rPr>
                <w:i/>
                <w:sz w:val="22"/>
                <w:szCs w:val="22"/>
              </w:rPr>
              <w:t xml:space="preserve">Development of proxy indicators”, </w:t>
            </w:r>
            <w:r>
              <w:rPr>
                <w:sz w:val="22"/>
                <w:szCs w:val="22"/>
              </w:rPr>
              <w:t xml:space="preserve">carbon impact coefficients will be adapted to the specific context of each selected SFM pilots to roughly estimate carbon impact already achieved. </w:t>
            </w:r>
          </w:p>
          <w:p w:rsidR="005319C5" w:rsidRDefault="005319C5" w:rsidP="005319C5">
            <w:pPr>
              <w:ind w:left="360"/>
              <w:jc w:val="both"/>
              <w:rPr>
                <w:sz w:val="22"/>
                <w:szCs w:val="22"/>
              </w:rPr>
            </w:pPr>
          </w:p>
          <w:p w:rsidR="00496029" w:rsidRDefault="005319C5" w:rsidP="00496029">
            <w:pPr>
              <w:ind w:left="360"/>
              <w:jc w:val="both"/>
              <w:rPr>
                <w:sz w:val="22"/>
                <w:szCs w:val="22"/>
              </w:rPr>
            </w:pPr>
            <w:r>
              <w:rPr>
                <w:sz w:val="22"/>
                <w:szCs w:val="22"/>
              </w:rPr>
              <w:t>Under Step (3) “</w:t>
            </w:r>
            <w:r w:rsidRPr="00CE79D7">
              <w:rPr>
                <w:i/>
                <w:sz w:val="22"/>
                <w:szCs w:val="22"/>
              </w:rPr>
              <w:t>Identification of supplemental activities</w:t>
            </w:r>
            <w:r>
              <w:rPr>
                <w:sz w:val="22"/>
                <w:szCs w:val="22"/>
              </w:rPr>
              <w:t xml:space="preserve">”, additional activities that are not included in the design of the selected co-financed SFM pilot projects will be identified. Additional incremental activities may include specific monitoring or assessment activities that are necessary to ensure adequate data collection and information to calculate and track carbon benefits and/or overall impact in terms of reduced deforestation and forest degradation. </w:t>
            </w:r>
          </w:p>
          <w:p w:rsidR="00496029" w:rsidRDefault="00496029" w:rsidP="00496029">
            <w:pPr>
              <w:ind w:left="360"/>
              <w:rPr>
                <w:sz w:val="22"/>
                <w:szCs w:val="22"/>
              </w:rPr>
            </w:pPr>
          </w:p>
          <w:p w:rsidR="00496029" w:rsidRPr="00CE5051" w:rsidRDefault="00496029" w:rsidP="00496029">
            <w:pPr>
              <w:ind w:left="360"/>
              <w:rPr>
                <w:sz w:val="22"/>
                <w:szCs w:val="22"/>
              </w:rPr>
            </w:pPr>
            <w:r w:rsidRPr="004404F7">
              <w:rPr>
                <w:i/>
                <w:sz w:val="22"/>
                <w:szCs w:val="22"/>
                <w:u w:val="single"/>
              </w:rPr>
              <w:t>Consultant</w:t>
            </w:r>
            <w:r w:rsidRPr="00CE5051">
              <w:rPr>
                <w:sz w:val="22"/>
                <w:szCs w:val="22"/>
              </w:rPr>
              <w:t xml:space="preserve">: </w:t>
            </w:r>
            <w:r>
              <w:rPr>
                <w:sz w:val="22"/>
                <w:szCs w:val="22"/>
              </w:rPr>
              <w:t>Forest/Energy Specialists (2 international and 4 national)</w:t>
            </w:r>
          </w:p>
          <w:p w:rsidR="00496029" w:rsidRDefault="00496029" w:rsidP="00496029">
            <w:pPr>
              <w:ind w:left="360"/>
              <w:rPr>
                <w:sz w:val="22"/>
                <w:szCs w:val="22"/>
              </w:rPr>
            </w:pPr>
          </w:p>
          <w:p w:rsidR="00496029" w:rsidRPr="00CE5051" w:rsidRDefault="00496029" w:rsidP="00496029">
            <w:pPr>
              <w:ind w:left="360"/>
              <w:jc w:val="both"/>
              <w:rPr>
                <w:sz w:val="22"/>
                <w:szCs w:val="22"/>
              </w:rPr>
            </w:pPr>
            <w:r>
              <w:rPr>
                <w:sz w:val="22"/>
                <w:szCs w:val="22"/>
              </w:rPr>
              <w:t>(i</w:t>
            </w:r>
            <w:r w:rsidR="00E10621">
              <w:rPr>
                <w:sz w:val="22"/>
                <w:szCs w:val="22"/>
              </w:rPr>
              <w:t>v</w:t>
            </w:r>
            <w:r>
              <w:rPr>
                <w:sz w:val="22"/>
                <w:szCs w:val="22"/>
              </w:rPr>
              <w:t xml:space="preserve">) </w:t>
            </w:r>
            <w:r w:rsidRPr="00555427">
              <w:rPr>
                <w:bCs/>
                <w:i/>
                <w:sz w:val="22"/>
                <w:szCs w:val="22"/>
              </w:rPr>
              <w:t>Definition of key M&amp;E indicators and system parameters</w:t>
            </w:r>
            <w:r>
              <w:rPr>
                <w:bCs/>
                <w:i/>
                <w:sz w:val="22"/>
                <w:szCs w:val="22"/>
              </w:rPr>
              <w:t xml:space="preserve">: </w:t>
            </w:r>
            <w:r w:rsidRPr="00CE5051">
              <w:rPr>
                <w:sz w:val="22"/>
                <w:szCs w:val="22"/>
              </w:rPr>
              <w:t>This activity</w:t>
            </w:r>
            <w:r>
              <w:rPr>
                <w:sz w:val="22"/>
                <w:szCs w:val="22"/>
              </w:rPr>
              <w:t xml:space="preserve"> </w:t>
            </w:r>
            <w:r w:rsidRPr="00CE5051">
              <w:rPr>
                <w:sz w:val="22"/>
                <w:szCs w:val="22"/>
              </w:rPr>
              <w:t xml:space="preserve">will generate the project-wide M&amp;E system for the overall regional project, including a draft M&amp;E manual. The work will include </w:t>
            </w:r>
            <w:r>
              <w:rPr>
                <w:sz w:val="22"/>
                <w:szCs w:val="22"/>
              </w:rPr>
              <w:t xml:space="preserve">the </w:t>
            </w:r>
            <w:r w:rsidRPr="00CE5051">
              <w:rPr>
                <w:sz w:val="22"/>
                <w:szCs w:val="22"/>
              </w:rPr>
              <w:t xml:space="preserve">identification </w:t>
            </w:r>
            <w:r>
              <w:rPr>
                <w:sz w:val="22"/>
                <w:szCs w:val="22"/>
              </w:rPr>
              <w:t xml:space="preserve">of the key indicators and the modalities </w:t>
            </w:r>
            <w:r w:rsidRPr="00CE5051">
              <w:rPr>
                <w:sz w:val="22"/>
                <w:szCs w:val="22"/>
              </w:rPr>
              <w:t>to measure</w:t>
            </w:r>
            <w:r>
              <w:rPr>
                <w:sz w:val="22"/>
                <w:szCs w:val="22"/>
              </w:rPr>
              <w:t xml:space="preserve">/monitor </w:t>
            </w:r>
            <w:r w:rsidRPr="00CE5051">
              <w:rPr>
                <w:sz w:val="22"/>
                <w:szCs w:val="22"/>
              </w:rPr>
              <w:t xml:space="preserve">project results. </w:t>
            </w:r>
            <w:r>
              <w:rPr>
                <w:sz w:val="22"/>
                <w:szCs w:val="22"/>
              </w:rPr>
              <w:t xml:space="preserve">Some aspects of the M&amp;E system would be </w:t>
            </w:r>
            <w:r w:rsidRPr="00CE5051">
              <w:rPr>
                <w:sz w:val="22"/>
                <w:szCs w:val="22"/>
              </w:rPr>
              <w:t>further developed during PY1</w:t>
            </w:r>
            <w:r>
              <w:rPr>
                <w:sz w:val="22"/>
                <w:szCs w:val="22"/>
              </w:rPr>
              <w:t>.</w:t>
            </w:r>
          </w:p>
          <w:p w:rsidR="00496029" w:rsidRDefault="00496029" w:rsidP="00496029">
            <w:pPr>
              <w:rPr>
                <w:sz w:val="22"/>
                <w:szCs w:val="22"/>
              </w:rPr>
            </w:pPr>
          </w:p>
          <w:p w:rsidR="00496029" w:rsidRPr="00CE5051" w:rsidRDefault="00496029" w:rsidP="00496029">
            <w:pPr>
              <w:ind w:left="360"/>
              <w:rPr>
                <w:sz w:val="22"/>
                <w:szCs w:val="22"/>
              </w:rPr>
            </w:pPr>
            <w:r w:rsidRPr="004404F7">
              <w:rPr>
                <w:i/>
                <w:sz w:val="22"/>
                <w:szCs w:val="22"/>
                <w:u w:val="single"/>
              </w:rPr>
              <w:t>Consultant</w:t>
            </w:r>
            <w:r w:rsidRPr="00CE5051">
              <w:rPr>
                <w:sz w:val="22"/>
                <w:szCs w:val="22"/>
              </w:rPr>
              <w:t xml:space="preserve">: </w:t>
            </w:r>
            <w:r>
              <w:rPr>
                <w:sz w:val="22"/>
                <w:szCs w:val="22"/>
              </w:rPr>
              <w:t>M&amp;E Specialist (1 international and 1 national)</w:t>
            </w:r>
          </w:p>
          <w:p w:rsidR="00496029" w:rsidRDefault="00496029" w:rsidP="00496029">
            <w:pPr>
              <w:rPr>
                <w:sz w:val="22"/>
                <w:szCs w:val="22"/>
              </w:rPr>
            </w:pPr>
          </w:p>
          <w:p w:rsidR="005319C5" w:rsidRDefault="005319C5" w:rsidP="005319C5">
            <w:pPr>
              <w:ind w:left="360"/>
              <w:jc w:val="both"/>
              <w:rPr>
                <w:sz w:val="22"/>
                <w:szCs w:val="22"/>
              </w:rPr>
            </w:pPr>
            <w:r w:rsidRPr="00466B8E">
              <w:rPr>
                <w:sz w:val="22"/>
                <w:szCs w:val="22"/>
              </w:rPr>
              <w:t>(v)</w:t>
            </w:r>
            <w:r w:rsidRPr="00207810">
              <w:rPr>
                <w:i/>
                <w:sz w:val="22"/>
                <w:szCs w:val="22"/>
              </w:rPr>
              <w:t xml:space="preserve"> Analysis of the </w:t>
            </w:r>
            <w:r w:rsidR="0094019E">
              <w:rPr>
                <w:i/>
                <w:sz w:val="22"/>
                <w:szCs w:val="22"/>
              </w:rPr>
              <w:t>D</w:t>
            </w:r>
            <w:r w:rsidRPr="00207810">
              <w:rPr>
                <w:i/>
                <w:sz w:val="22"/>
                <w:szCs w:val="22"/>
              </w:rPr>
              <w:t xml:space="preserve">rivers of Deforestation and </w:t>
            </w:r>
            <w:r w:rsidR="0094019E">
              <w:rPr>
                <w:i/>
                <w:sz w:val="22"/>
                <w:szCs w:val="22"/>
              </w:rPr>
              <w:t>F</w:t>
            </w:r>
            <w:r w:rsidRPr="00207810">
              <w:rPr>
                <w:i/>
                <w:sz w:val="22"/>
                <w:szCs w:val="22"/>
              </w:rPr>
              <w:t>orest Degradation in the Congo Basin</w:t>
            </w:r>
            <w:r>
              <w:rPr>
                <w:sz w:val="22"/>
                <w:szCs w:val="22"/>
              </w:rPr>
              <w:t xml:space="preserve">: </w:t>
            </w:r>
            <w:r w:rsidR="0094019E">
              <w:rPr>
                <w:sz w:val="22"/>
                <w:szCs w:val="22"/>
              </w:rPr>
              <w:t>A</w:t>
            </w:r>
            <w:r>
              <w:rPr>
                <w:sz w:val="22"/>
                <w:szCs w:val="22"/>
              </w:rPr>
              <w:t xml:space="preserve">n ambitious, multi-partner study has been launched to better define the future drivers in the Congo Basin. </w:t>
            </w:r>
            <w:r w:rsidR="0094019E">
              <w:rPr>
                <w:sz w:val="22"/>
                <w:szCs w:val="22"/>
              </w:rPr>
              <w:t xml:space="preserve">This analysis is entirely co-financed by the World Bank (PROFOR, TFESSD, FCPF) and DFID-EFO, but </w:t>
            </w:r>
            <w:r>
              <w:rPr>
                <w:sz w:val="22"/>
                <w:szCs w:val="22"/>
              </w:rPr>
              <w:t xml:space="preserve">its outcomes are likely to be critical in the design of the proposed </w:t>
            </w:r>
            <w:r w:rsidR="0094019E">
              <w:rPr>
                <w:sz w:val="22"/>
                <w:szCs w:val="22"/>
              </w:rPr>
              <w:t xml:space="preserve">regional </w:t>
            </w:r>
            <w:r>
              <w:rPr>
                <w:sz w:val="22"/>
                <w:szCs w:val="22"/>
              </w:rPr>
              <w:t>project</w:t>
            </w:r>
            <w:r w:rsidR="0094019E">
              <w:rPr>
                <w:sz w:val="22"/>
                <w:szCs w:val="22"/>
              </w:rPr>
              <w:t xml:space="preserve">; </w:t>
            </w:r>
            <w:r>
              <w:rPr>
                <w:sz w:val="22"/>
                <w:szCs w:val="22"/>
              </w:rPr>
              <w:t xml:space="preserve">specifically </w:t>
            </w:r>
            <w:r w:rsidR="005B5A86">
              <w:rPr>
                <w:sz w:val="22"/>
                <w:szCs w:val="22"/>
              </w:rPr>
              <w:t>it’s</w:t>
            </w:r>
            <w:r>
              <w:rPr>
                <w:sz w:val="22"/>
                <w:szCs w:val="22"/>
              </w:rPr>
              <w:t xml:space="preserve"> Component 1. </w:t>
            </w:r>
          </w:p>
          <w:p w:rsidR="005319C5" w:rsidRPr="00CE5051" w:rsidRDefault="005319C5" w:rsidP="00496029">
            <w:pPr>
              <w:ind w:left="360"/>
              <w:rPr>
                <w:sz w:val="22"/>
                <w:szCs w:val="22"/>
              </w:rPr>
            </w:pPr>
          </w:p>
          <w:p w:rsidR="00496029" w:rsidRDefault="00131EF3" w:rsidP="00496029">
            <w:pPr>
              <w:rPr>
                <w:sz w:val="22"/>
                <w:szCs w:val="22"/>
              </w:rPr>
            </w:pPr>
            <w:r>
              <w:rPr>
                <w:b/>
                <w:sz w:val="22"/>
                <w:szCs w:val="22"/>
              </w:rPr>
              <w:t>3</w:t>
            </w:r>
            <w:r w:rsidR="00496029" w:rsidRPr="00853A0B">
              <w:rPr>
                <w:b/>
                <w:sz w:val="22"/>
                <w:szCs w:val="22"/>
              </w:rPr>
              <w:t xml:space="preserve">. </w:t>
            </w:r>
            <w:r w:rsidR="00496029">
              <w:rPr>
                <w:b/>
                <w:sz w:val="22"/>
                <w:szCs w:val="22"/>
              </w:rPr>
              <w:t>Consultation process</w:t>
            </w:r>
            <w:r w:rsidR="00496029" w:rsidRPr="00853A0B">
              <w:rPr>
                <w:b/>
                <w:sz w:val="22"/>
                <w:szCs w:val="22"/>
              </w:rPr>
              <w:t xml:space="preserve">: </w:t>
            </w:r>
          </w:p>
          <w:p w:rsidR="00496029" w:rsidRDefault="00496029" w:rsidP="00496029">
            <w:pPr>
              <w:rPr>
                <w:sz w:val="22"/>
                <w:szCs w:val="22"/>
              </w:rPr>
            </w:pPr>
          </w:p>
          <w:p w:rsidR="00496029" w:rsidRDefault="00496029" w:rsidP="00496029">
            <w:pPr>
              <w:jc w:val="both"/>
              <w:rPr>
                <w:sz w:val="22"/>
                <w:szCs w:val="22"/>
              </w:rPr>
            </w:pPr>
            <w:r>
              <w:rPr>
                <w:sz w:val="22"/>
                <w:szCs w:val="22"/>
              </w:rPr>
              <w:t xml:space="preserve">Consultations with key stakeholders will be conducted on all aspects of the project design. Consultations will be held to present the different preparation studies and the proposed project </w:t>
            </w:r>
            <w:r w:rsidR="005B5A86">
              <w:rPr>
                <w:sz w:val="22"/>
                <w:szCs w:val="22"/>
              </w:rPr>
              <w:t>design</w:t>
            </w:r>
            <w:r>
              <w:rPr>
                <w:sz w:val="22"/>
                <w:szCs w:val="22"/>
              </w:rPr>
              <w:t xml:space="preserve"> validate expected project impacts with stakeholders including NGOs and communities. </w:t>
            </w:r>
          </w:p>
          <w:p w:rsidR="00496029" w:rsidRDefault="00496029" w:rsidP="00496029">
            <w:pPr>
              <w:rPr>
                <w:sz w:val="22"/>
                <w:szCs w:val="22"/>
              </w:rPr>
            </w:pPr>
          </w:p>
          <w:p w:rsidR="00E10621" w:rsidRDefault="00AC0B62" w:rsidP="00496029">
            <w:pPr>
              <w:autoSpaceDE w:val="0"/>
              <w:autoSpaceDN w:val="0"/>
              <w:adjustRightInd w:val="0"/>
              <w:jc w:val="both"/>
              <w:rPr>
                <w:sz w:val="22"/>
                <w:szCs w:val="22"/>
              </w:rPr>
            </w:pPr>
            <w:r>
              <w:rPr>
                <w:sz w:val="22"/>
                <w:szCs w:val="22"/>
              </w:rPr>
              <w:t>S</w:t>
            </w:r>
            <w:r w:rsidR="00496029" w:rsidRPr="00CE5051">
              <w:rPr>
                <w:sz w:val="22"/>
                <w:szCs w:val="22"/>
              </w:rPr>
              <w:t xml:space="preserve">takeholder consultations will help to build public awareness and capacities for REDD issues at regional, national and local levels. </w:t>
            </w:r>
            <w:r w:rsidR="00496029">
              <w:rPr>
                <w:sz w:val="22"/>
                <w:szCs w:val="22"/>
              </w:rPr>
              <w:t xml:space="preserve">The process is critical </w:t>
            </w:r>
            <w:r w:rsidR="00496029">
              <w:rPr>
                <w:color w:val="000000"/>
                <w:sz w:val="22"/>
                <w:szCs w:val="22"/>
              </w:rPr>
              <w:t xml:space="preserve">during the preparation phase </w:t>
            </w:r>
            <w:r w:rsidR="00496029">
              <w:rPr>
                <w:sz w:val="22"/>
                <w:szCs w:val="22"/>
              </w:rPr>
              <w:t xml:space="preserve">to </w:t>
            </w:r>
            <w:r w:rsidR="00496029" w:rsidRPr="00D36215">
              <w:rPr>
                <w:color w:val="000000"/>
                <w:sz w:val="22"/>
                <w:szCs w:val="22"/>
              </w:rPr>
              <w:t>ensure free, prior, and informed consultations with key stakeholders, most particularly forest dwelling indigenous people</w:t>
            </w:r>
            <w:r w:rsidR="00496029">
              <w:rPr>
                <w:color w:val="000000"/>
                <w:sz w:val="22"/>
                <w:szCs w:val="22"/>
              </w:rPr>
              <w:t xml:space="preserve">. </w:t>
            </w:r>
            <w:r w:rsidR="00496029" w:rsidRPr="00CE5051">
              <w:rPr>
                <w:sz w:val="22"/>
                <w:szCs w:val="22"/>
              </w:rPr>
              <w:t xml:space="preserve">Most importantly, this activity will identify further awareness raising needs and recommend tools and mechanisms for full stakeholder participation in the REDD process during project implementation. </w:t>
            </w:r>
          </w:p>
          <w:p w:rsidR="00E10621" w:rsidRDefault="00E10621" w:rsidP="00496029">
            <w:pPr>
              <w:autoSpaceDE w:val="0"/>
              <w:autoSpaceDN w:val="0"/>
              <w:adjustRightInd w:val="0"/>
              <w:jc w:val="both"/>
              <w:rPr>
                <w:sz w:val="22"/>
                <w:szCs w:val="22"/>
              </w:rPr>
            </w:pPr>
          </w:p>
          <w:p w:rsidR="00E10621" w:rsidRDefault="00E10621" w:rsidP="00E10621">
            <w:pPr>
              <w:autoSpaceDE w:val="0"/>
              <w:autoSpaceDN w:val="0"/>
              <w:adjustRightInd w:val="0"/>
              <w:jc w:val="both"/>
              <w:rPr>
                <w:sz w:val="22"/>
                <w:szCs w:val="22"/>
              </w:rPr>
            </w:pPr>
            <w:r>
              <w:rPr>
                <w:sz w:val="22"/>
                <w:szCs w:val="22"/>
              </w:rPr>
              <w:t xml:space="preserve">Key output of the consultation process will be the development of a detailed communication and outreach strategy for the full-sized project, including input to </w:t>
            </w:r>
            <w:r w:rsidRPr="00CE5051">
              <w:rPr>
                <w:sz w:val="22"/>
                <w:szCs w:val="22"/>
              </w:rPr>
              <w:t xml:space="preserve">targeted communications materials </w:t>
            </w:r>
            <w:r>
              <w:rPr>
                <w:sz w:val="22"/>
                <w:szCs w:val="22"/>
              </w:rPr>
              <w:t xml:space="preserve">for different target audience groups. Based on the participatory consultation process during the preparation phase, the communication strategy will respond directly to the information needs of the stakeholders at all levels. </w:t>
            </w:r>
          </w:p>
          <w:p w:rsidR="00AC0B62" w:rsidRDefault="00AC0B62" w:rsidP="00E10621">
            <w:pPr>
              <w:autoSpaceDE w:val="0"/>
              <w:autoSpaceDN w:val="0"/>
              <w:adjustRightInd w:val="0"/>
              <w:jc w:val="both"/>
              <w:rPr>
                <w:sz w:val="22"/>
                <w:szCs w:val="22"/>
              </w:rPr>
            </w:pPr>
          </w:p>
          <w:p w:rsidR="00AC0B62" w:rsidRDefault="00AC0B62" w:rsidP="00E10621">
            <w:pPr>
              <w:autoSpaceDE w:val="0"/>
              <w:autoSpaceDN w:val="0"/>
              <w:adjustRightInd w:val="0"/>
              <w:jc w:val="both"/>
              <w:rPr>
                <w:sz w:val="22"/>
                <w:szCs w:val="22"/>
              </w:rPr>
            </w:pPr>
            <w:r>
              <w:rPr>
                <w:sz w:val="22"/>
                <w:szCs w:val="22"/>
              </w:rPr>
              <w:t>For the participatory process, substantial co-financing will be made available by AFD to finance workshops to build public awareness and capacities for REDD issues in the sub-region.</w:t>
            </w:r>
          </w:p>
          <w:p w:rsidR="00496029" w:rsidRPr="00FE4050" w:rsidRDefault="00496029" w:rsidP="00496029">
            <w:pPr>
              <w:tabs>
                <w:tab w:val="num" w:pos="432"/>
              </w:tabs>
              <w:rPr>
                <w:bCs/>
                <w:sz w:val="22"/>
                <w:szCs w:val="22"/>
              </w:rPr>
            </w:pPr>
          </w:p>
          <w:p w:rsidR="00496029" w:rsidRPr="00CE5051" w:rsidRDefault="00496029" w:rsidP="00496029">
            <w:pPr>
              <w:tabs>
                <w:tab w:val="num" w:pos="432"/>
              </w:tabs>
              <w:ind w:left="360"/>
              <w:rPr>
                <w:bCs/>
                <w:sz w:val="22"/>
                <w:szCs w:val="22"/>
              </w:rPr>
            </w:pPr>
            <w:r w:rsidRPr="000B1B4D">
              <w:rPr>
                <w:bCs/>
                <w:i/>
                <w:sz w:val="22"/>
                <w:szCs w:val="22"/>
                <w:u w:val="single"/>
              </w:rPr>
              <w:t>Consultant</w:t>
            </w:r>
            <w:r w:rsidRPr="00CE5051">
              <w:rPr>
                <w:b/>
                <w:bCs/>
                <w:i/>
                <w:sz w:val="22"/>
                <w:szCs w:val="22"/>
              </w:rPr>
              <w:t xml:space="preserve">: </w:t>
            </w:r>
            <w:r w:rsidRPr="00CE5051">
              <w:rPr>
                <w:bCs/>
                <w:sz w:val="22"/>
                <w:szCs w:val="22"/>
              </w:rPr>
              <w:t>Communication/community participation specialist</w:t>
            </w:r>
            <w:r>
              <w:rPr>
                <w:bCs/>
                <w:sz w:val="22"/>
                <w:szCs w:val="22"/>
              </w:rPr>
              <w:t xml:space="preserve"> (1 international and 3 national)</w:t>
            </w:r>
          </w:p>
          <w:p w:rsidR="00496029" w:rsidRDefault="00496029" w:rsidP="00496029">
            <w:pPr>
              <w:rPr>
                <w:sz w:val="22"/>
                <w:szCs w:val="22"/>
              </w:rPr>
            </w:pPr>
          </w:p>
          <w:p w:rsidR="00496029" w:rsidRPr="00CE5051" w:rsidRDefault="00131EF3" w:rsidP="00496029">
            <w:pPr>
              <w:tabs>
                <w:tab w:val="num" w:pos="432"/>
              </w:tabs>
              <w:rPr>
                <w:b/>
                <w:bCs/>
                <w:sz w:val="22"/>
                <w:szCs w:val="22"/>
              </w:rPr>
            </w:pPr>
            <w:r>
              <w:rPr>
                <w:b/>
                <w:bCs/>
                <w:sz w:val="22"/>
                <w:szCs w:val="22"/>
              </w:rPr>
              <w:t>4</w:t>
            </w:r>
            <w:r w:rsidR="00496029">
              <w:rPr>
                <w:b/>
                <w:bCs/>
                <w:sz w:val="22"/>
                <w:szCs w:val="22"/>
              </w:rPr>
              <w:t xml:space="preserve">. </w:t>
            </w:r>
            <w:r w:rsidR="00A73225">
              <w:rPr>
                <w:b/>
                <w:bCs/>
                <w:sz w:val="22"/>
                <w:szCs w:val="22"/>
              </w:rPr>
              <w:t>Technical input to project preparation and readiness for implementation</w:t>
            </w:r>
            <w:r w:rsidR="00E10621">
              <w:rPr>
                <w:b/>
                <w:bCs/>
                <w:sz w:val="22"/>
                <w:szCs w:val="22"/>
              </w:rPr>
              <w:t xml:space="preserve"> </w:t>
            </w:r>
          </w:p>
          <w:p w:rsidR="00496029" w:rsidRDefault="00496029" w:rsidP="00496029">
            <w:pPr>
              <w:jc w:val="both"/>
              <w:rPr>
                <w:sz w:val="22"/>
                <w:szCs w:val="22"/>
              </w:rPr>
            </w:pPr>
          </w:p>
          <w:p w:rsidR="000428A2" w:rsidRDefault="00496029" w:rsidP="00496029">
            <w:pPr>
              <w:jc w:val="both"/>
              <w:rPr>
                <w:sz w:val="22"/>
                <w:szCs w:val="22"/>
              </w:rPr>
            </w:pPr>
            <w:r w:rsidRPr="00CE5051">
              <w:rPr>
                <w:sz w:val="22"/>
                <w:szCs w:val="22"/>
              </w:rPr>
              <w:t xml:space="preserve">This activity </w:t>
            </w:r>
            <w:r>
              <w:rPr>
                <w:sz w:val="22"/>
                <w:szCs w:val="22"/>
              </w:rPr>
              <w:t xml:space="preserve">provides targeted technical </w:t>
            </w:r>
            <w:r w:rsidR="003F6A2E">
              <w:rPr>
                <w:sz w:val="22"/>
                <w:szCs w:val="22"/>
              </w:rPr>
              <w:t xml:space="preserve">input </w:t>
            </w:r>
            <w:r>
              <w:rPr>
                <w:sz w:val="22"/>
                <w:szCs w:val="22"/>
              </w:rPr>
              <w:t xml:space="preserve">to </w:t>
            </w:r>
            <w:r w:rsidR="003F6A2E">
              <w:rPr>
                <w:sz w:val="22"/>
                <w:szCs w:val="22"/>
              </w:rPr>
              <w:t>support t</w:t>
            </w:r>
            <w:r>
              <w:rPr>
                <w:sz w:val="22"/>
                <w:szCs w:val="22"/>
              </w:rPr>
              <w:t xml:space="preserve">he COMIFAC Secretariat and national stakeholders </w:t>
            </w:r>
            <w:r w:rsidR="003F6A2E">
              <w:rPr>
                <w:sz w:val="22"/>
                <w:szCs w:val="22"/>
              </w:rPr>
              <w:t xml:space="preserve">with carrying out </w:t>
            </w:r>
            <w:r>
              <w:rPr>
                <w:sz w:val="22"/>
                <w:szCs w:val="22"/>
              </w:rPr>
              <w:t>preparation activities</w:t>
            </w:r>
            <w:r w:rsidR="000E0FCC">
              <w:rPr>
                <w:sz w:val="22"/>
                <w:szCs w:val="22"/>
              </w:rPr>
              <w:t xml:space="preserve"> and project design input</w:t>
            </w:r>
            <w:r>
              <w:rPr>
                <w:sz w:val="22"/>
                <w:szCs w:val="22"/>
              </w:rPr>
              <w:t xml:space="preserve"> that fall under the responsibility of the grant recipie</w:t>
            </w:r>
            <w:r w:rsidR="003F6A2E">
              <w:rPr>
                <w:sz w:val="22"/>
                <w:szCs w:val="22"/>
              </w:rPr>
              <w:t>nt,</w:t>
            </w:r>
            <w:r>
              <w:rPr>
                <w:sz w:val="22"/>
                <w:szCs w:val="22"/>
              </w:rPr>
              <w:t xml:space="preserve"> which include</w:t>
            </w:r>
            <w:r w:rsidR="003F6A2E">
              <w:rPr>
                <w:sz w:val="22"/>
                <w:szCs w:val="22"/>
              </w:rPr>
              <w:t xml:space="preserve"> </w:t>
            </w:r>
            <w:r w:rsidRPr="00CE5051">
              <w:rPr>
                <w:sz w:val="22"/>
                <w:szCs w:val="22"/>
              </w:rPr>
              <w:t xml:space="preserve">preparation of the </w:t>
            </w:r>
            <w:r>
              <w:rPr>
                <w:sz w:val="22"/>
                <w:szCs w:val="22"/>
              </w:rPr>
              <w:t>P</w:t>
            </w:r>
            <w:r w:rsidRPr="00CE5051">
              <w:rPr>
                <w:sz w:val="22"/>
                <w:szCs w:val="22"/>
              </w:rPr>
              <w:t xml:space="preserve">roject </w:t>
            </w:r>
            <w:r>
              <w:rPr>
                <w:sz w:val="22"/>
                <w:szCs w:val="22"/>
              </w:rPr>
              <w:t>I</w:t>
            </w:r>
            <w:r w:rsidRPr="00CE5051">
              <w:rPr>
                <w:sz w:val="22"/>
                <w:szCs w:val="22"/>
              </w:rPr>
              <w:t xml:space="preserve">mplementation </w:t>
            </w:r>
            <w:r>
              <w:rPr>
                <w:sz w:val="22"/>
                <w:szCs w:val="22"/>
              </w:rPr>
              <w:t>M</w:t>
            </w:r>
            <w:r w:rsidRPr="00CE5051">
              <w:rPr>
                <w:sz w:val="22"/>
                <w:szCs w:val="22"/>
              </w:rPr>
              <w:t>anual</w:t>
            </w:r>
            <w:r>
              <w:rPr>
                <w:sz w:val="22"/>
                <w:szCs w:val="22"/>
              </w:rPr>
              <w:t xml:space="preserve"> </w:t>
            </w:r>
            <w:r w:rsidR="000E0FCC">
              <w:rPr>
                <w:sz w:val="22"/>
                <w:szCs w:val="22"/>
              </w:rPr>
              <w:t xml:space="preserve">including detailed institutional arrangements for project implementation across regional and national institutions, as well as various sub-manual with detailed procedural arrangement for day-to-day project coordination, implementation, monitoring and reporting. </w:t>
            </w:r>
          </w:p>
          <w:p w:rsidR="000428A2" w:rsidRDefault="000428A2" w:rsidP="00496029">
            <w:pPr>
              <w:jc w:val="both"/>
              <w:rPr>
                <w:sz w:val="22"/>
                <w:szCs w:val="22"/>
              </w:rPr>
            </w:pPr>
          </w:p>
          <w:p w:rsidR="00847DFD" w:rsidRDefault="000E0FCC" w:rsidP="00847DFD">
            <w:pPr>
              <w:jc w:val="both"/>
              <w:rPr>
                <w:b/>
                <w:bCs/>
                <w:sz w:val="22"/>
                <w:szCs w:val="22"/>
              </w:rPr>
            </w:pPr>
            <w:r>
              <w:rPr>
                <w:sz w:val="22"/>
                <w:szCs w:val="22"/>
              </w:rPr>
              <w:t>In addition</w:t>
            </w:r>
            <w:r w:rsidR="000428A2">
              <w:rPr>
                <w:sz w:val="22"/>
                <w:szCs w:val="22"/>
              </w:rPr>
              <w:t xml:space="preserve">, </w:t>
            </w:r>
            <w:r>
              <w:rPr>
                <w:sz w:val="22"/>
                <w:szCs w:val="22"/>
              </w:rPr>
              <w:t>training sessions will be he</w:t>
            </w:r>
            <w:r w:rsidR="00264FB6">
              <w:rPr>
                <w:sz w:val="22"/>
                <w:szCs w:val="22"/>
              </w:rPr>
              <w:t>ld to strengthen operational capacities and ensure implementation readiness of key staff as per implementation arrangements for the full-sized project.</w:t>
            </w:r>
          </w:p>
          <w:p w:rsidR="00847DFD" w:rsidRDefault="00847DFD" w:rsidP="00847DFD">
            <w:pPr>
              <w:ind w:left="720"/>
              <w:jc w:val="both"/>
              <w:rPr>
                <w:sz w:val="22"/>
                <w:szCs w:val="22"/>
              </w:rPr>
            </w:pPr>
          </w:p>
          <w:p w:rsidR="00496029" w:rsidRPr="00CE5051" w:rsidRDefault="00496029" w:rsidP="00496029">
            <w:pPr>
              <w:ind w:left="360"/>
              <w:rPr>
                <w:sz w:val="22"/>
                <w:szCs w:val="22"/>
              </w:rPr>
            </w:pPr>
            <w:r w:rsidRPr="004404F7">
              <w:rPr>
                <w:i/>
                <w:sz w:val="22"/>
                <w:szCs w:val="22"/>
                <w:u w:val="single"/>
              </w:rPr>
              <w:t>Consultant</w:t>
            </w:r>
            <w:r w:rsidR="00C5211A">
              <w:rPr>
                <w:i/>
                <w:sz w:val="22"/>
                <w:szCs w:val="22"/>
                <w:u w:val="single"/>
              </w:rPr>
              <w:t>s</w:t>
            </w:r>
            <w:r w:rsidRPr="00CE5051">
              <w:rPr>
                <w:sz w:val="22"/>
                <w:szCs w:val="22"/>
              </w:rPr>
              <w:t xml:space="preserve">: </w:t>
            </w:r>
            <w:r w:rsidR="00E10621">
              <w:rPr>
                <w:sz w:val="22"/>
                <w:szCs w:val="22"/>
              </w:rPr>
              <w:t>Technical e</w:t>
            </w:r>
            <w:r>
              <w:rPr>
                <w:sz w:val="22"/>
                <w:szCs w:val="22"/>
              </w:rPr>
              <w:t>xpert</w:t>
            </w:r>
            <w:r w:rsidR="004B403C">
              <w:rPr>
                <w:sz w:val="22"/>
                <w:szCs w:val="22"/>
              </w:rPr>
              <w:t>ise on Institutional arrangements and project design (2 </w:t>
            </w:r>
            <w:r>
              <w:rPr>
                <w:sz w:val="22"/>
                <w:szCs w:val="22"/>
              </w:rPr>
              <w:t xml:space="preserve">international), </w:t>
            </w:r>
            <w:r w:rsidR="00E93E3A">
              <w:rPr>
                <w:sz w:val="22"/>
                <w:szCs w:val="22"/>
              </w:rPr>
              <w:t>Project development and design</w:t>
            </w:r>
            <w:r>
              <w:rPr>
                <w:sz w:val="22"/>
                <w:szCs w:val="22"/>
              </w:rPr>
              <w:t xml:space="preserve"> experts (</w:t>
            </w:r>
            <w:r w:rsidR="004B403C">
              <w:rPr>
                <w:sz w:val="22"/>
                <w:szCs w:val="22"/>
              </w:rPr>
              <w:t xml:space="preserve">3 national </w:t>
            </w:r>
            <w:r w:rsidR="00E93E3A">
              <w:rPr>
                <w:sz w:val="22"/>
                <w:szCs w:val="22"/>
              </w:rPr>
              <w:t>and 1 international for the development of the PIM as well as sub-manuals</w:t>
            </w:r>
            <w:r>
              <w:rPr>
                <w:sz w:val="22"/>
                <w:szCs w:val="22"/>
              </w:rPr>
              <w:t xml:space="preserve">) and </w:t>
            </w:r>
            <w:r w:rsidR="000D48D9">
              <w:rPr>
                <w:sz w:val="22"/>
                <w:szCs w:val="22"/>
              </w:rPr>
              <w:t xml:space="preserve">a </w:t>
            </w:r>
            <w:r w:rsidR="00015899">
              <w:rPr>
                <w:sz w:val="22"/>
                <w:szCs w:val="22"/>
              </w:rPr>
              <w:t xml:space="preserve">Capacity building specialist </w:t>
            </w:r>
            <w:r>
              <w:rPr>
                <w:sz w:val="22"/>
                <w:szCs w:val="22"/>
              </w:rPr>
              <w:t>(1 national</w:t>
            </w:r>
            <w:r w:rsidR="000D48D9">
              <w:rPr>
                <w:sz w:val="22"/>
                <w:szCs w:val="22"/>
              </w:rPr>
              <w:t xml:space="preserve"> for the training key staff to build capacities for implementation readiness</w:t>
            </w:r>
            <w:r>
              <w:rPr>
                <w:sz w:val="22"/>
                <w:szCs w:val="22"/>
              </w:rPr>
              <w:t>)</w:t>
            </w:r>
            <w:r w:rsidR="004B403C">
              <w:rPr>
                <w:sz w:val="22"/>
                <w:szCs w:val="22"/>
              </w:rPr>
              <w:t>.</w:t>
            </w:r>
          </w:p>
          <w:p w:rsidR="00496029" w:rsidRDefault="00496029" w:rsidP="00496029">
            <w:pPr>
              <w:jc w:val="both"/>
              <w:rPr>
                <w:sz w:val="22"/>
                <w:szCs w:val="22"/>
              </w:rPr>
            </w:pPr>
          </w:p>
          <w:p w:rsidR="00496029" w:rsidRDefault="00131EF3" w:rsidP="00496029">
            <w:pPr>
              <w:jc w:val="both"/>
              <w:rPr>
                <w:sz w:val="22"/>
                <w:szCs w:val="22"/>
              </w:rPr>
            </w:pPr>
            <w:r>
              <w:rPr>
                <w:b/>
                <w:bCs/>
                <w:sz w:val="22"/>
                <w:szCs w:val="22"/>
              </w:rPr>
              <w:t>5</w:t>
            </w:r>
            <w:r w:rsidR="00496029">
              <w:rPr>
                <w:b/>
                <w:bCs/>
                <w:sz w:val="22"/>
                <w:szCs w:val="22"/>
              </w:rPr>
              <w:t xml:space="preserve">. Technical support to PPG implementation by </w:t>
            </w:r>
            <w:r w:rsidR="00A73225">
              <w:rPr>
                <w:b/>
                <w:bCs/>
                <w:sz w:val="22"/>
                <w:szCs w:val="22"/>
              </w:rPr>
              <w:t xml:space="preserve">the </w:t>
            </w:r>
            <w:r w:rsidR="00496029">
              <w:rPr>
                <w:b/>
                <w:bCs/>
                <w:sz w:val="22"/>
                <w:szCs w:val="22"/>
              </w:rPr>
              <w:t xml:space="preserve">Recipient </w:t>
            </w:r>
          </w:p>
          <w:p w:rsidR="00496029" w:rsidRDefault="00496029" w:rsidP="00496029">
            <w:pPr>
              <w:jc w:val="both"/>
              <w:rPr>
                <w:sz w:val="22"/>
                <w:szCs w:val="22"/>
              </w:rPr>
            </w:pPr>
          </w:p>
          <w:p w:rsidR="00F5171F" w:rsidRDefault="00496029" w:rsidP="00496029">
            <w:pPr>
              <w:jc w:val="both"/>
              <w:rPr>
                <w:sz w:val="22"/>
                <w:szCs w:val="22"/>
              </w:rPr>
            </w:pPr>
            <w:r>
              <w:rPr>
                <w:sz w:val="22"/>
                <w:szCs w:val="22"/>
              </w:rPr>
              <w:t>The COMIFAC Secretariat is responsible for the coordination of the preparatory activities for the regional REDD project</w:t>
            </w:r>
            <w:r w:rsidR="003650FD">
              <w:rPr>
                <w:sz w:val="22"/>
                <w:szCs w:val="22"/>
              </w:rPr>
              <w:t xml:space="preserve">, including preparation of TORs for consultant services, </w:t>
            </w:r>
            <w:r w:rsidR="00F5171F">
              <w:rPr>
                <w:sz w:val="22"/>
                <w:szCs w:val="22"/>
              </w:rPr>
              <w:t xml:space="preserve">supervision and technical guidance of consultants, as well as fiduciary accountability for GEF grant funds received. </w:t>
            </w:r>
          </w:p>
          <w:p w:rsidR="00F5171F" w:rsidRDefault="00F5171F" w:rsidP="00F5171F">
            <w:pPr>
              <w:jc w:val="both"/>
              <w:rPr>
                <w:sz w:val="22"/>
                <w:szCs w:val="22"/>
              </w:rPr>
            </w:pPr>
          </w:p>
          <w:p w:rsidR="00F5171F" w:rsidRPr="00CE5051" w:rsidRDefault="00F5171F" w:rsidP="00F5171F">
            <w:pPr>
              <w:jc w:val="both"/>
              <w:rPr>
                <w:i/>
                <w:sz w:val="22"/>
                <w:szCs w:val="22"/>
              </w:rPr>
            </w:pPr>
            <w:r>
              <w:rPr>
                <w:sz w:val="22"/>
                <w:szCs w:val="22"/>
              </w:rPr>
              <w:t xml:space="preserve">Co-financing from the </w:t>
            </w:r>
            <w:r w:rsidRPr="00555427">
              <w:rPr>
                <w:i/>
                <w:sz w:val="22"/>
                <w:szCs w:val="22"/>
              </w:rPr>
              <w:t>Agence Française de Développement</w:t>
            </w:r>
            <w:r>
              <w:rPr>
                <w:sz w:val="22"/>
                <w:szCs w:val="22"/>
              </w:rPr>
              <w:t xml:space="preserve"> with support from major NGOs (i.e. WWF) will fully cover cost of two REDD expert (an international as well as national expert), who will provide technical assistance to the COMIFAC Secretariat on all REDD-related activities, including the preparation of the regional GEF project. The two REDD experts are expected to contribute significantly to coordination of the preparation activities, in particular the development of ToRs as well as on the supervision and quality review of the outputs. The international expert will furthermore transfer knowledge to the national expert. </w:t>
            </w:r>
          </w:p>
          <w:p w:rsidR="00496029" w:rsidRDefault="00496029" w:rsidP="00496029">
            <w:pPr>
              <w:jc w:val="both"/>
              <w:rPr>
                <w:sz w:val="22"/>
                <w:szCs w:val="22"/>
              </w:rPr>
            </w:pPr>
          </w:p>
          <w:p w:rsidR="00847DFD" w:rsidRDefault="00496029" w:rsidP="00847DFD">
            <w:pPr>
              <w:jc w:val="both"/>
              <w:rPr>
                <w:sz w:val="22"/>
                <w:szCs w:val="22"/>
              </w:rPr>
            </w:pPr>
            <w:r w:rsidRPr="00492B1A">
              <w:rPr>
                <w:sz w:val="22"/>
                <w:szCs w:val="22"/>
              </w:rPr>
              <w:t xml:space="preserve">An assessment on </w:t>
            </w:r>
            <w:r>
              <w:rPr>
                <w:sz w:val="22"/>
                <w:szCs w:val="22"/>
              </w:rPr>
              <w:t>f</w:t>
            </w:r>
            <w:r w:rsidRPr="00492B1A">
              <w:rPr>
                <w:sz w:val="22"/>
                <w:szCs w:val="22"/>
              </w:rPr>
              <w:t xml:space="preserve">inancial management and </w:t>
            </w:r>
            <w:r>
              <w:rPr>
                <w:sz w:val="22"/>
                <w:szCs w:val="22"/>
              </w:rPr>
              <w:t>p</w:t>
            </w:r>
            <w:r w:rsidRPr="00492B1A">
              <w:rPr>
                <w:sz w:val="22"/>
                <w:szCs w:val="22"/>
              </w:rPr>
              <w:t xml:space="preserve">rocurement capacities </w:t>
            </w:r>
            <w:r w:rsidR="009A2A2F">
              <w:rPr>
                <w:sz w:val="22"/>
                <w:szCs w:val="22"/>
              </w:rPr>
              <w:t>of</w:t>
            </w:r>
            <w:r w:rsidR="009A2A2F" w:rsidRPr="00492B1A">
              <w:rPr>
                <w:sz w:val="22"/>
                <w:szCs w:val="22"/>
              </w:rPr>
              <w:t xml:space="preserve"> the COMIFAC Executive Secretariat </w:t>
            </w:r>
            <w:r w:rsidRPr="00492B1A">
              <w:rPr>
                <w:sz w:val="22"/>
                <w:szCs w:val="22"/>
              </w:rPr>
              <w:t xml:space="preserve">has recently been conducted and has confirmed adequate capacities </w:t>
            </w:r>
            <w:r>
              <w:rPr>
                <w:sz w:val="22"/>
                <w:szCs w:val="22"/>
              </w:rPr>
              <w:t>for implementation of</w:t>
            </w:r>
            <w:r w:rsidRPr="00492B1A">
              <w:rPr>
                <w:sz w:val="22"/>
                <w:szCs w:val="22"/>
              </w:rPr>
              <w:t xml:space="preserve"> the proposed PPG. However, to ensure full compliance with </w:t>
            </w:r>
            <w:r>
              <w:rPr>
                <w:sz w:val="22"/>
                <w:szCs w:val="22"/>
              </w:rPr>
              <w:t>fiduciary</w:t>
            </w:r>
            <w:r w:rsidRPr="00492B1A">
              <w:rPr>
                <w:sz w:val="22"/>
                <w:szCs w:val="22"/>
              </w:rPr>
              <w:t xml:space="preserve"> requirements</w:t>
            </w:r>
            <w:r w:rsidR="009A2A2F">
              <w:rPr>
                <w:sz w:val="22"/>
                <w:szCs w:val="22"/>
              </w:rPr>
              <w:t xml:space="preserve"> </w:t>
            </w:r>
            <w:r w:rsidR="003650FD">
              <w:rPr>
                <w:sz w:val="22"/>
                <w:szCs w:val="22"/>
              </w:rPr>
              <w:t xml:space="preserve">(such as accountability, reporting, etc.) </w:t>
            </w:r>
            <w:r w:rsidR="009A2A2F">
              <w:rPr>
                <w:sz w:val="22"/>
                <w:szCs w:val="22"/>
              </w:rPr>
              <w:t>and further capacity building towards readiness for implementation of the full-sized project</w:t>
            </w:r>
            <w:r>
              <w:rPr>
                <w:sz w:val="22"/>
                <w:szCs w:val="22"/>
              </w:rPr>
              <w:t xml:space="preserve">, </w:t>
            </w:r>
            <w:r w:rsidR="009A2A2F">
              <w:rPr>
                <w:sz w:val="22"/>
                <w:szCs w:val="22"/>
              </w:rPr>
              <w:t>additional technical support</w:t>
            </w:r>
            <w:r w:rsidRPr="00492B1A">
              <w:rPr>
                <w:sz w:val="22"/>
                <w:szCs w:val="22"/>
              </w:rPr>
              <w:t xml:space="preserve"> </w:t>
            </w:r>
            <w:r w:rsidR="009A2A2F">
              <w:rPr>
                <w:sz w:val="22"/>
                <w:szCs w:val="22"/>
              </w:rPr>
              <w:t xml:space="preserve">for strengthening financial as well as procurement accountability </w:t>
            </w:r>
            <w:r>
              <w:rPr>
                <w:sz w:val="22"/>
                <w:szCs w:val="22"/>
              </w:rPr>
              <w:t xml:space="preserve">is required </w:t>
            </w:r>
            <w:r w:rsidR="009A2A2F">
              <w:rPr>
                <w:sz w:val="22"/>
                <w:szCs w:val="22"/>
              </w:rPr>
              <w:t xml:space="preserve">during </w:t>
            </w:r>
            <w:r>
              <w:rPr>
                <w:sz w:val="22"/>
                <w:szCs w:val="22"/>
              </w:rPr>
              <w:t>the preparation period.</w:t>
            </w:r>
            <w:r w:rsidR="00F5171F">
              <w:rPr>
                <w:sz w:val="22"/>
                <w:szCs w:val="22"/>
              </w:rPr>
              <w:t xml:space="preserve"> </w:t>
            </w:r>
            <w:proofErr w:type="gramStart"/>
            <w:r w:rsidR="00F5171F">
              <w:rPr>
                <w:sz w:val="22"/>
                <w:szCs w:val="22"/>
              </w:rPr>
              <w:t>Cost for additional technical support will be covered by the GEF PPG</w:t>
            </w:r>
            <w:proofErr w:type="gramEnd"/>
            <w:r w:rsidR="00F5171F">
              <w:rPr>
                <w:sz w:val="22"/>
                <w:szCs w:val="22"/>
              </w:rPr>
              <w:t>.</w:t>
            </w:r>
          </w:p>
          <w:p w:rsidR="00496029" w:rsidRPr="00CE5051" w:rsidRDefault="00496029" w:rsidP="00496029">
            <w:pPr>
              <w:tabs>
                <w:tab w:val="num" w:pos="432"/>
              </w:tabs>
              <w:ind w:left="360"/>
              <w:rPr>
                <w:i/>
                <w:sz w:val="22"/>
                <w:szCs w:val="22"/>
              </w:rPr>
            </w:pPr>
          </w:p>
          <w:p w:rsidR="00496029" w:rsidRPr="00555427" w:rsidRDefault="00496029" w:rsidP="00496029">
            <w:pPr>
              <w:tabs>
                <w:tab w:val="num" w:pos="432"/>
              </w:tabs>
              <w:rPr>
                <w:b/>
                <w:bCs/>
                <w:sz w:val="22"/>
                <w:szCs w:val="22"/>
              </w:rPr>
            </w:pPr>
            <w:r w:rsidRPr="00555427">
              <w:rPr>
                <w:i/>
                <w:sz w:val="22"/>
                <w:szCs w:val="22"/>
                <w:u w:val="single"/>
              </w:rPr>
              <w:t>Consultants</w:t>
            </w:r>
            <w:r>
              <w:rPr>
                <w:i/>
                <w:sz w:val="22"/>
                <w:szCs w:val="22"/>
              </w:rPr>
              <w:t xml:space="preserve">: </w:t>
            </w:r>
            <w:r w:rsidRPr="006C1723">
              <w:rPr>
                <w:sz w:val="22"/>
                <w:szCs w:val="22"/>
              </w:rPr>
              <w:t>Account</w:t>
            </w:r>
            <w:r>
              <w:rPr>
                <w:sz w:val="22"/>
                <w:szCs w:val="22"/>
              </w:rPr>
              <w:t>ing expert</w:t>
            </w:r>
            <w:r w:rsidRPr="006C1723">
              <w:rPr>
                <w:sz w:val="22"/>
                <w:szCs w:val="22"/>
              </w:rPr>
              <w:t xml:space="preserve"> (1 national), Procurement </w:t>
            </w:r>
            <w:r w:rsidR="00E93E3A">
              <w:rPr>
                <w:sz w:val="22"/>
                <w:szCs w:val="22"/>
              </w:rPr>
              <w:t xml:space="preserve">specialist </w:t>
            </w:r>
            <w:r w:rsidRPr="006C1723">
              <w:rPr>
                <w:sz w:val="22"/>
                <w:szCs w:val="22"/>
              </w:rPr>
              <w:t>(1 national)</w:t>
            </w:r>
            <w:r>
              <w:rPr>
                <w:sz w:val="22"/>
                <w:szCs w:val="22"/>
              </w:rPr>
              <w:t>.</w:t>
            </w:r>
          </w:p>
          <w:p w:rsidR="00496029" w:rsidRDefault="00496029">
            <w:pPr>
              <w:ind w:left="360"/>
              <w:rPr>
                <w:sz w:val="22"/>
                <w:szCs w:val="22"/>
              </w:rPr>
            </w:pPr>
          </w:p>
        </w:tc>
      </w:tr>
    </w:tbl>
    <w:p w:rsidR="00496029" w:rsidRDefault="00496029">
      <w:pPr>
        <w:rPr>
          <w:b/>
          <w:bCs/>
        </w:rPr>
      </w:pPr>
    </w:p>
    <w:p w:rsidR="00C118F1" w:rsidRPr="00C12A15" w:rsidRDefault="00C12A15">
      <w:pPr>
        <w:rPr>
          <w:b/>
        </w:rPr>
      </w:pPr>
      <w:r>
        <w:rPr>
          <w:b/>
        </w:rPr>
        <w:t xml:space="preserve">Tab.1: </w:t>
      </w:r>
      <w:r w:rsidR="00847DFD" w:rsidRPr="00847DFD">
        <w:rPr>
          <w:b/>
        </w:rPr>
        <w:t>Detailed overview of preparation ac</w:t>
      </w:r>
      <w:r w:rsidR="00124020">
        <w:rPr>
          <w:b/>
        </w:rPr>
        <w:t>tivities and financing sources: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278"/>
        <w:gridCol w:w="1040"/>
        <w:gridCol w:w="1111"/>
        <w:gridCol w:w="1728"/>
        <w:gridCol w:w="1419"/>
      </w:tblGrid>
      <w:tr w:rsidR="00E0233E" w:rsidRPr="00822043">
        <w:trPr>
          <w:trHeight w:val="800"/>
        </w:trPr>
        <w:tc>
          <w:tcPr>
            <w:tcW w:w="2234" w:type="pct"/>
            <w:shd w:val="clear" w:color="auto" w:fill="auto"/>
            <w:vAlign w:val="bottom"/>
          </w:tcPr>
          <w:p w:rsidR="00E0233E" w:rsidRPr="00822043" w:rsidRDefault="00E0233E" w:rsidP="00E0233E">
            <w:pPr>
              <w:spacing w:before="2" w:after="2"/>
              <w:jc w:val="center"/>
              <w:rPr>
                <w:b/>
                <w:bCs/>
                <w:sz w:val="20"/>
                <w:szCs w:val="20"/>
              </w:rPr>
            </w:pPr>
            <w:r w:rsidRPr="00822043">
              <w:rPr>
                <w:b/>
                <w:bCs/>
                <w:sz w:val="20"/>
                <w:szCs w:val="20"/>
              </w:rPr>
              <w:t>Preparation Activity</w:t>
            </w:r>
          </w:p>
        </w:tc>
        <w:tc>
          <w:tcPr>
            <w:tcW w:w="543" w:type="pct"/>
            <w:shd w:val="clear" w:color="auto" w:fill="auto"/>
            <w:vAlign w:val="bottom"/>
          </w:tcPr>
          <w:p w:rsidR="00E0233E" w:rsidRPr="00822043" w:rsidRDefault="00E0233E" w:rsidP="00E0233E">
            <w:pPr>
              <w:spacing w:before="2" w:after="2"/>
              <w:jc w:val="center"/>
              <w:rPr>
                <w:b/>
                <w:bCs/>
                <w:sz w:val="20"/>
                <w:szCs w:val="20"/>
              </w:rPr>
            </w:pPr>
            <w:r w:rsidRPr="00822043">
              <w:rPr>
                <w:b/>
                <w:bCs/>
                <w:sz w:val="20"/>
                <w:szCs w:val="20"/>
              </w:rPr>
              <w:t>GEF ($)</w:t>
            </w:r>
          </w:p>
        </w:tc>
        <w:tc>
          <w:tcPr>
            <w:tcW w:w="580" w:type="pct"/>
            <w:vAlign w:val="bottom"/>
          </w:tcPr>
          <w:p w:rsidR="00E0233E" w:rsidRPr="00822043" w:rsidRDefault="00E0233E" w:rsidP="00E0233E">
            <w:pPr>
              <w:spacing w:before="2" w:after="2"/>
              <w:jc w:val="center"/>
              <w:rPr>
                <w:b/>
                <w:bCs/>
                <w:sz w:val="20"/>
                <w:szCs w:val="20"/>
              </w:rPr>
            </w:pPr>
            <w:r w:rsidRPr="00822043">
              <w:rPr>
                <w:b/>
                <w:bCs/>
                <w:sz w:val="20"/>
                <w:szCs w:val="20"/>
              </w:rPr>
              <w:t>Co-financing ($)</w:t>
            </w:r>
          </w:p>
        </w:tc>
        <w:tc>
          <w:tcPr>
            <w:tcW w:w="902" w:type="pct"/>
            <w:vAlign w:val="bottom"/>
          </w:tcPr>
          <w:p w:rsidR="00E0233E" w:rsidRPr="00822043" w:rsidRDefault="00E0233E" w:rsidP="00E0233E">
            <w:pPr>
              <w:spacing w:before="2" w:after="2"/>
              <w:jc w:val="center"/>
              <w:rPr>
                <w:b/>
                <w:bCs/>
                <w:sz w:val="20"/>
                <w:szCs w:val="20"/>
              </w:rPr>
            </w:pPr>
            <w:r w:rsidRPr="00822043">
              <w:rPr>
                <w:b/>
                <w:bCs/>
                <w:sz w:val="20"/>
                <w:szCs w:val="20"/>
              </w:rPr>
              <w:t>Co-financing source</w:t>
            </w:r>
          </w:p>
        </w:tc>
        <w:tc>
          <w:tcPr>
            <w:tcW w:w="741" w:type="pct"/>
            <w:shd w:val="clear" w:color="auto" w:fill="auto"/>
            <w:vAlign w:val="bottom"/>
          </w:tcPr>
          <w:p w:rsidR="00E0233E" w:rsidRPr="00822043" w:rsidRDefault="00E0233E" w:rsidP="00E0233E">
            <w:pPr>
              <w:spacing w:before="2" w:after="2"/>
              <w:jc w:val="center"/>
              <w:rPr>
                <w:b/>
                <w:bCs/>
                <w:sz w:val="20"/>
                <w:szCs w:val="20"/>
              </w:rPr>
            </w:pPr>
            <w:r w:rsidRPr="00822043">
              <w:rPr>
                <w:b/>
                <w:bCs/>
                <w:sz w:val="20"/>
                <w:szCs w:val="20"/>
              </w:rPr>
              <w:t>Total ($)</w:t>
            </w:r>
          </w:p>
        </w:tc>
      </w:tr>
      <w:tr w:rsidR="00E0233E" w:rsidRPr="00822043">
        <w:trPr>
          <w:trHeight w:val="260"/>
        </w:trPr>
        <w:tc>
          <w:tcPr>
            <w:tcW w:w="2234" w:type="pct"/>
            <w:shd w:val="clear" w:color="auto" w:fill="A6A6A6" w:themeFill="background1" w:themeFillShade="A6"/>
          </w:tcPr>
          <w:p w:rsidR="00E0233E" w:rsidRPr="00822043" w:rsidRDefault="00E0233E" w:rsidP="00E0233E">
            <w:pPr>
              <w:spacing w:before="2" w:after="2"/>
              <w:rPr>
                <w:b/>
                <w:bCs/>
                <w:sz w:val="20"/>
                <w:szCs w:val="20"/>
              </w:rPr>
            </w:pPr>
            <w:r w:rsidRPr="00822043">
              <w:rPr>
                <w:b/>
                <w:bCs/>
                <w:sz w:val="20"/>
                <w:szCs w:val="20"/>
              </w:rPr>
              <w:t>1. Baseline Assessment &amp; Gap Analysis</w:t>
            </w:r>
          </w:p>
        </w:tc>
        <w:tc>
          <w:tcPr>
            <w:tcW w:w="543" w:type="pct"/>
            <w:shd w:val="clear" w:color="auto" w:fill="A6A6A6" w:themeFill="background1" w:themeFillShade="A6"/>
          </w:tcPr>
          <w:p w:rsidR="00E0233E" w:rsidRPr="00822043" w:rsidRDefault="00E0233E" w:rsidP="00E0233E">
            <w:pPr>
              <w:spacing w:before="2" w:after="2"/>
              <w:jc w:val="right"/>
              <w:rPr>
                <w:b/>
                <w:bCs/>
                <w:sz w:val="20"/>
                <w:szCs w:val="20"/>
              </w:rPr>
            </w:pPr>
            <w:r w:rsidRPr="00822043">
              <w:rPr>
                <w:b/>
                <w:bCs/>
                <w:sz w:val="20"/>
                <w:szCs w:val="20"/>
              </w:rPr>
              <w:t>50,500</w:t>
            </w:r>
          </w:p>
        </w:tc>
        <w:tc>
          <w:tcPr>
            <w:tcW w:w="580" w:type="pct"/>
            <w:shd w:val="clear" w:color="auto" w:fill="A6A6A6" w:themeFill="background1" w:themeFillShade="A6"/>
          </w:tcPr>
          <w:p w:rsidR="00E0233E" w:rsidRPr="00822043" w:rsidRDefault="00E0233E" w:rsidP="00E0233E">
            <w:pPr>
              <w:spacing w:before="2" w:after="2"/>
              <w:jc w:val="right"/>
              <w:rPr>
                <w:b/>
                <w:bCs/>
                <w:sz w:val="20"/>
                <w:szCs w:val="20"/>
              </w:rPr>
            </w:pPr>
            <w:r w:rsidRPr="00822043">
              <w:rPr>
                <w:b/>
                <w:bCs/>
                <w:sz w:val="20"/>
                <w:szCs w:val="20"/>
              </w:rPr>
              <w:t>60,000</w:t>
            </w:r>
          </w:p>
        </w:tc>
        <w:tc>
          <w:tcPr>
            <w:tcW w:w="902" w:type="pct"/>
            <w:shd w:val="clear" w:color="auto" w:fill="A6A6A6" w:themeFill="background1" w:themeFillShade="A6"/>
          </w:tcPr>
          <w:p w:rsidR="00E0233E" w:rsidRPr="00822043" w:rsidRDefault="00E0233E" w:rsidP="00E0233E">
            <w:pPr>
              <w:spacing w:before="2" w:after="2"/>
              <w:jc w:val="center"/>
              <w:rPr>
                <w:b/>
                <w:bCs/>
                <w:sz w:val="20"/>
                <w:szCs w:val="20"/>
              </w:rPr>
            </w:pPr>
          </w:p>
        </w:tc>
        <w:tc>
          <w:tcPr>
            <w:tcW w:w="741" w:type="pct"/>
            <w:shd w:val="clear" w:color="auto" w:fill="A6A6A6" w:themeFill="background1" w:themeFillShade="A6"/>
          </w:tcPr>
          <w:p w:rsidR="00E0233E" w:rsidRPr="00822043" w:rsidRDefault="00E0233E" w:rsidP="00E0233E">
            <w:pPr>
              <w:spacing w:before="2" w:after="2"/>
              <w:jc w:val="right"/>
              <w:rPr>
                <w:b/>
                <w:bCs/>
                <w:sz w:val="20"/>
                <w:szCs w:val="20"/>
              </w:rPr>
            </w:pPr>
            <w:r w:rsidRPr="00822043">
              <w:rPr>
                <w:b/>
                <w:bCs/>
                <w:sz w:val="20"/>
                <w:szCs w:val="20"/>
              </w:rPr>
              <w:t>110,500</w:t>
            </w:r>
          </w:p>
        </w:tc>
      </w:tr>
      <w:tr w:rsidR="00E0233E" w:rsidRPr="00822043">
        <w:trPr>
          <w:trHeight w:val="260"/>
        </w:trPr>
        <w:tc>
          <w:tcPr>
            <w:tcW w:w="2234" w:type="pct"/>
            <w:shd w:val="clear" w:color="auto" w:fill="auto"/>
          </w:tcPr>
          <w:p w:rsidR="00E0233E" w:rsidRPr="00822043" w:rsidRDefault="00E0233E" w:rsidP="00E0233E">
            <w:pPr>
              <w:spacing w:before="2" w:after="2"/>
              <w:rPr>
                <w:sz w:val="20"/>
                <w:szCs w:val="20"/>
              </w:rPr>
            </w:pPr>
            <w:r w:rsidRPr="00822043">
              <w:rPr>
                <w:sz w:val="20"/>
                <w:szCs w:val="20"/>
              </w:rPr>
              <w:t>1.1. Policy &amp; Institutional review (i)*</w:t>
            </w:r>
          </w:p>
        </w:tc>
        <w:tc>
          <w:tcPr>
            <w:tcW w:w="543" w:type="pct"/>
            <w:shd w:val="clear" w:color="auto" w:fill="auto"/>
          </w:tcPr>
          <w:p w:rsidR="00E0233E" w:rsidRPr="00822043" w:rsidRDefault="00E0233E" w:rsidP="00E0233E">
            <w:pPr>
              <w:spacing w:before="2" w:after="2"/>
              <w:jc w:val="right"/>
              <w:rPr>
                <w:sz w:val="20"/>
                <w:szCs w:val="20"/>
              </w:rPr>
            </w:pPr>
            <w:r w:rsidRPr="00822043">
              <w:rPr>
                <w:sz w:val="20"/>
                <w:szCs w:val="20"/>
              </w:rPr>
              <w:t>26,750</w:t>
            </w:r>
          </w:p>
        </w:tc>
        <w:tc>
          <w:tcPr>
            <w:tcW w:w="580" w:type="pct"/>
          </w:tcPr>
          <w:p w:rsidR="00E0233E" w:rsidRPr="00822043" w:rsidRDefault="00E0233E" w:rsidP="00E0233E">
            <w:pPr>
              <w:spacing w:before="2" w:after="2"/>
              <w:jc w:val="right"/>
              <w:rPr>
                <w:sz w:val="20"/>
                <w:szCs w:val="20"/>
              </w:rPr>
            </w:pPr>
            <w:r w:rsidRPr="00822043">
              <w:rPr>
                <w:sz w:val="20"/>
                <w:szCs w:val="20"/>
              </w:rPr>
              <w:t>60,000</w:t>
            </w:r>
          </w:p>
        </w:tc>
        <w:tc>
          <w:tcPr>
            <w:tcW w:w="902" w:type="pct"/>
          </w:tcPr>
          <w:p w:rsidR="00E0233E" w:rsidRPr="00822043" w:rsidRDefault="00E0233E" w:rsidP="00E0233E">
            <w:pPr>
              <w:spacing w:before="2" w:after="2"/>
              <w:jc w:val="center"/>
              <w:rPr>
                <w:sz w:val="20"/>
                <w:szCs w:val="20"/>
              </w:rPr>
            </w:pPr>
            <w:r>
              <w:rPr>
                <w:sz w:val="20"/>
                <w:szCs w:val="20"/>
              </w:rPr>
              <w:t>World Bank (</w:t>
            </w:r>
            <w:r w:rsidRPr="00822043">
              <w:rPr>
                <w:sz w:val="20"/>
                <w:szCs w:val="20"/>
              </w:rPr>
              <w:t>FCPF</w:t>
            </w:r>
            <w:r>
              <w:rPr>
                <w:sz w:val="20"/>
                <w:szCs w:val="20"/>
              </w:rPr>
              <w:t>)</w:t>
            </w:r>
            <w:r w:rsidR="009128A0">
              <w:rPr>
                <w:sz w:val="20"/>
                <w:szCs w:val="20"/>
              </w:rPr>
              <w:t xml:space="preserve"> </w:t>
            </w:r>
            <w:r w:rsidR="00847DFD" w:rsidRPr="00847DFD">
              <w:rPr>
                <w:sz w:val="20"/>
                <w:szCs w:val="20"/>
                <w:vertAlign w:val="superscript"/>
              </w:rPr>
              <w:t>(i)</w:t>
            </w:r>
          </w:p>
        </w:tc>
        <w:tc>
          <w:tcPr>
            <w:tcW w:w="741" w:type="pct"/>
            <w:shd w:val="clear" w:color="auto" w:fill="auto"/>
          </w:tcPr>
          <w:p w:rsidR="00E0233E" w:rsidRPr="00822043" w:rsidRDefault="00E0233E" w:rsidP="00E0233E">
            <w:pPr>
              <w:spacing w:before="2" w:after="2"/>
              <w:jc w:val="right"/>
              <w:rPr>
                <w:sz w:val="20"/>
                <w:szCs w:val="20"/>
              </w:rPr>
            </w:pPr>
            <w:r w:rsidRPr="00822043">
              <w:rPr>
                <w:sz w:val="20"/>
                <w:szCs w:val="20"/>
              </w:rPr>
              <w:t>86,750</w:t>
            </w:r>
          </w:p>
        </w:tc>
      </w:tr>
      <w:tr w:rsidR="00E0233E" w:rsidRPr="00822043">
        <w:trPr>
          <w:trHeight w:val="280"/>
        </w:trPr>
        <w:tc>
          <w:tcPr>
            <w:tcW w:w="2234" w:type="pct"/>
            <w:shd w:val="clear" w:color="auto" w:fill="auto"/>
          </w:tcPr>
          <w:p w:rsidR="00E0233E" w:rsidRPr="00822043" w:rsidRDefault="00E0233E" w:rsidP="00E0233E">
            <w:pPr>
              <w:spacing w:before="2" w:after="2"/>
              <w:rPr>
                <w:sz w:val="20"/>
                <w:szCs w:val="20"/>
              </w:rPr>
            </w:pPr>
            <w:r w:rsidRPr="00822043">
              <w:rPr>
                <w:sz w:val="20"/>
                <w:szCs w:val="20"/>
              </w:rPr>
              <w:t>1.2. Forest Monitoring / Carbon data</w:t>
            </w:r>
          </w:p>
        </w:tc>
        <w:tc>
          <w:tcPr>
            <w:tcW w:w="543" w:type="pct"/>
            <w:shd w:val="clear" w:color="auto" w:fill="auto"/>
          </w:tcPr>
          <w:p w:rsidR="00E0233E" w:rsidRPr="00822043" w:rsidRDefault="00E0233E" w:rsidP="00E0233E">
            <w:pPr>
              <w:spacing w:before="2" w:after="2"/>
              <w:jc w:val="right"/>
              <w:rPr>
                <w:sz w:val="20"/>
                <w:szCs w:val="20"/>
              </w:rPr>
            </w:pPr>
            <w:r w:rsidRPr="00822043">
              <w:rPr>
                <w:sz w:val="20"/>
                <w:szCs w:val="20"/>
              </w:rPr>
              <w:t>23,750</w:t>
            </w:r>
          </w:p>
        </w:tc>
        <w:tc>
          <w:tcPr>
            <w:tcW w:w="580" w:type="pct"/>
            <w:shd w:val="clear" w:color="auto" w:fill="auto"/>
          </w:tcPr>
          <w:p w:rsidR="00E0233E" w:rsidRPr="00822043" w:rsidRDefault="00E0233E" w:rsidP="00E0233E">
            <w:pPr>
              <w:spacing w:before="2" w:after="2"/>
              <w:jc w:val="right"/>
              <w:rPr>
                <w:sz w:val="20"/>
                <w:szCs w:val="20"/>
              </w:rPr>
            </w:pPr>
            <w:r w:rsidRPr="00822043">
              <w:rPr>
                <w:sz w:val="20"/>
                <w:szCs w:val="20"/>
              </w:rPr>
              <w:t> </w:t>
            </w:r>
          </w:p>
        </w:tc>
        <w:tc>
          <w:tcPr>
            <w:tcW w:w="902" w:type="pct"/>
          </w:tcPr>
          <w:p w:rsidR="00E0233E" w:rsidRPr="00822043" w:rsidRDefault="00E0233E" w:rsidP="00E0233E">
            <w:pPr>
              <w:spacing w:before="2" w:after="2"/>
              <w:jc w:val="center"/>
              <w:rPr>
                <w:sz w:val="20"/>
                <w:szCs w:val="20"/>
              </w:rPr>
            </w:pPr>
          </w:p>
        </w:tc>
        <w:tc>
          <w:tcPr>
            <w:tcW w:w="741" w:type="pct"/>
            <w:shd w:val="clear" w:color="auto" w:fill="auto"/>
          </w:tcPr>
          <w:p w:rsidR="00E0233E" w:rsidRPr="00822043" w:rsidRDefault="00E0233E" w:rsidP="00E0233E">
            <w:pPr>
              <w:spacing w:before="2" w:after="2"/>
              <w:jc w:val="right"/>
              <w:rPr>
                <w:sz w:val="20"/>
                <w:szCs w:val="20"/>
              </w:rPr>
            </w:pPr>
            <w:r w:rsidRPr="00822043">
              <w:rPr>
                <w:sz w:val="20"/>
                <w:szCs w:val="20"/>
              </w:rPr>
              <w:t>23,750</w:t>
            </w:r>
          </w:p>
        </w:tc>
      </w:tr>
      <w:tr w:rsidR="00E0233E" w:rsidRPr="00822043">
        <w:trPr>
          <w:trHeight w:val="260"/>
        </w:trPr>
        <w:tc>
          <w:tcPr>
            <w:tcW w:w="2234" w:type="pct"/>
            <w:shd w:val="clear" w:color="auto" w:fill="A6A6A6" w:themeFill="background1" w:themeFillShade="A6"/>
          </w:tcPr>
          <w:p w:rsidR="00E0233E" w:rsidRPr="00822043" w:rsidRDefault="00E0233E" w:rsidP="0016500B">
            <w:pPr>
              <w:spacing w:before="2" w:after="2"/>
              <w:rPr>
                <w:b/>
                <w:bCs/>
                <w:sz w:val="20"/>
                <w:szCs w:val="20"/>
              </w:rPr>
            </w:pPr>
            <w:r w:rsidRPr="00822043">
              <w:rPr>
                <w:b/>
                <w:bCs/>
                <w:sz w:val="20"/>
                <w:szCs w:val="20"/>
              </w:rPr>
              <w:t>2. Technical studies</w:t>
            </w:r>
          </w:p>
        </w:tc>
        <w:tc>
          <w:tcPr>
            <w:tcW w:w="543" w:type="pct"/>
            <w:shd w:val="clear" w:color="auto" w:fill="A6A6A6" w:themeFill="background1" w:themeFillShade="A6"/>
          </w:tcPr>
          <w:p w:rsidR="00E0233E" w:rsidRPr="00822043" w:rsidRDefault="00E0233E" w:rsidP="0016500B">
            <w:pPr>
              <w:spacing w:before="2" w:after="2"/>
              <w:jc w:val="right"/>
              <w:rPr>
                <w:b/>
                <w:bCs/>
                <w:sz w:val="20"/>
                <w:szCs w:val="20"/>
              </w:rPr>
            </w:pPr>
            <w:r w:rsidRPr="00822043">
              <w:rPr>
                <w:b/>
                <w:bCs/>
                <w:sz w:val="20"/>
                <w:szCs w:val="20"/>
              </w:rPr>
              <w:t>137,000</w:t>
            </w:r>
          </w:p>
        </w:tc>
        <w:tc>
          <w:tcPr>
            <w:tcW w:w="580" w:type="pct"/>
            <w:shd w:val="clear" w:color="auto" w:fill="A6A6A6" w:themeFill="background1" w:themeFillShade="A6"/>
          </w:tcPr>
          <w:p w:rsidR="00E0233E" w:rsidRPr="00822043" w:rsidRDefault="00E0233E" w:rsidP="0016500B">
            <w:pPr>
              <w:spacing w:before="2" w:after="2"/>
              <w:jc w:val="right"/>
              <w:rPr>
                <w:b/>
                <w:bCs/>
                <w:sz w:val="20"/>
                <w:szCs w:val="20"/>
              </w:rPr>
            </w:pPr>
            <w:r w:rsidRPr="00822043">
              <w:rPr>
                <w:b/>
                <w:bCs/>
                <w:sz w:val="20"/>
                <w:szCs w:val="20"/>
              </w:rPr>
              <w:t>565,000</w:t>
            </w:r>
          </w:p>
        </w:tc>
        <w:tc>
          <w:tcPr>
            <w:tcW w:w="902" w:type="pct"/>
            <w:shd w:val="solid" w:color="A6A6A6" w:themeColor="background1" w:themeShade="A6" w:fill="auto"/>
          </w:tcPr>
          <w:p w:rsidR="00E0233E" w:rsidRPr="00822043" w:rsidRDefault="00E0233E" w:rsidP="0016500B">
            <w:pPr>
              <w:spacing w:before="2" w:after="2"/>
              <w:jc w:val="center"/>
              <w:rPr>
                <w:b/>
                <w:bCs/>
                <w:sz w:val="20"/>
                <w:szCs w:val="20"/>
              </w:rPr>
            </w:pPr>
          </w:p>
        </w:tc>
        <w:tc>
          <w:tcPr>
            <w:tcW w:w="741" w:type="pct"/>
            <w:shd w:val="solid" w:color="A6A6A6" w:themeColor="background1" w:themeShade="A6" w:fill="auto"/>
          </w:tcPr>
          <w:p w:rsidR="00E0233E" w:rsidRPr="00822043" w:rsidRDefault="00E0233E" w:rsidP="0016500B">
            <w:pPr>
              <w:spacing w:before="2" w:after="2"/>
              <w:jc w:val="right"/>
              <w:rPr>
                <w:b/>
                <w:bCs/>
                <w:sz w:val="20"/>
                <w:szCs w:val="20"/>
              </w:rPr>
            </w:pPr>
            <w:r w:rsidRPr="00822043">
              <w:rPr>
                <w:b/>
                <w:bCs/>
                <w:sz w:val="20"/>
                <w:szCs w:val="20"/>
              </w:rPr>
              <w:t>702,000</w:t>
            </w:r>
          </w:p>
        </w:tc>
      </w:tr>
      <w:tr w:rsidR="00E0233E" w:rsidRPr="00822043">
        <w:trPr>
          <w:trHeight w:val="300"/>
        </w:trPr>
        <w:tc>
          <w:tcPr>
            <w:tcW w:w="2234" w:type="pct"/>
            <w:shd w:val="clear" w:color="auto" w:fill="auto"/>
          </w:tcPr>
          <w:p w:rsidR="00E0233E" w:rsidRPr="00822043" w:rsidRDefault="00E0233E" w:rsidP="0016500B">
            <w:pPr>
              <w:spacing w:before="2" w:after="2"/>
              <w:rPr>
                <w:sz w:val="20"/>
                <w:szCs w:val="20"/>
              </w:rPr>
            </w:pPr>
            <w:proofErr w:type="gramStart"/>
            <w:r w:rsidRPr="00822043">
              <w:rPr>
                <w:sz w:val="20"/>
                <w:szCs w:val="20"/>
              </w:rPr>
              <w:t>2.1 .</w:t>
            </w:r>
            <w:proofErr w:type="gramEnd"/>
            <w:r w:rsidRPr="00822043">
              <w:rPr>
                <w:sz w:val="20"/>
                <w:szCs w:val="20"/>
              </w:rPr>
              <w:t xml:space="preserve"> Diagnosis of land tenure schemes and existing benefit sharing mechanisms</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r>
      <w:tr w:rsidR="00E0233E"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2.1.1. Study on Land tenure</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30,000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30,000</w:t>
            </w:r>
          </w:p>
        </w:tc>
      </w:tr>
      <w:tr w:rsidR="00E0233E"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2.1.2. Study on Benefit-sharing mechanism</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25,000</w:t>
            </w:r>
          </w:p>
        </w:tc>
        <w:tc>
          <w:tcPr>
            <w:tcW w:w="902" w:type="pct"/>
            <w:shd w:val="clear" w:color="auto" w:fill="auto"/>
          </w:tcPr>
          <w:p w:rsidR="00E0233E" w:rsidRPr="00822043" w:rsidRDefault="00E0233E" w:rsidP="0016500B">
            <w:pPr>
              <w:spacing w:before="2" w:after="2"/>
              <w:jc w:val="center"/>
              <w:rPr>
                <w:sz w:val="20"/>
                <w:szCs w:val="20"/>
              </w:rPr>
            </w:pPr>
            <w:r w:rsidRPr="00822043">
              <w:rPr>
                <w:sz w:val="20"/>
                <w:szCs w:val="20"/>
              </w:rPr>
              <w:t>FAO</w:t>
            </w: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25,000</w:t>
            </w:r>
          </w:p>
        </w:tc>
      </w:tr>
      <w:tr w:rsidR="00E0233E"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2.2. Carbon Measurement/Monitoring Methodology (i)**</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34,500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40,000</w:t>
            </w:r>
          </w:p>
        </w:tc>
        <w:tc>
          <w:tcPr>
            <w:tcW w:w="902" w:type="pct"/>
          </w:tcPr>
          <w:p w:rsidR="00E0233E" w:rsidRPr="00822043" w:rsidRDefault="00E0233E" w:rsidP="0016500B">
            <w:pPr>
              <w:spacing w:before="2" w:after="2"/>
              <w:jc w:val="center"/>
              <w:rPr>
                <w:sz w:val="20"/>
                <w:szCs w:val="20"/>
              </w:rPr>
            </w:pPr>
            <w:r>
              <w:rPr>
                <w:sz w:val="20"/>
                <w:szCs w:val="20"/>
              </w:rPr>
              <w:t>World Bank (</w:t>
            </w:r>
            <w:r w:rsidRPr="00822043">
              <w:rPr>
                <w:sz w:val="20"/>
                <w:szCs w:val="20"/>
              </w:rPr>
              <w:t>FCPF</w:t>
            </w:r>
            <w:r>
              <w:rPr>
                <w:sz w:val="20"/>
                <w:szCs w:val="20"/>
              </w:rPr>
              <w:t>)</w:t>
            </w:r>
            <w:r w:rsidR="009128A0">
              <w:rPr>
                <w:sz w:val="20"/>
                <w:szCs w:val="20"/>
              </w:rPr>
              <w:t xml:space="preserve"> </w:t>
            </w:r>
            <w:r w:rsidR="00847DFD" w:rsidRPr="00847DFD">
              <w:rPr>
                <w:sz w:val="20"/>
                <w:szCs w:val="20"/>
                <w:vertAlign w:val="superscript"/>
              </w:rPr>
              <w:t>(i)</w:t>
            </w:r>
            <w:r w:rsidR="009128A0">
              <w:rPr>
                <w:sz w:val="20"/>
                <w:szCs w:val="20"/>
              </w:rPr>
              <w:t xml:space="preserve"> </w:t>
            </w: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74,500</w:t>
            </w:r>
          </w:p>
        </w:tc>
      </w:tr>
      <w:tr w:rsidR="00E0233E" w:rsidRPr="00822043">
        <w:trPr>
          <w:trHeight w:val="280"/>
        </w:trPr>
        <w:tc>
          <w:tcPr>
            <w:tcW w:w="2234" w:type="pct"/>
            <w:shd w:val="clear" w:color="auto" w:fill="auto"/>
          </w:tcPr>
          <w:p w:rsidR="00E0233E" w:rsidRPr="00822043" w:rsidRDefault="00E0233E" w:rsidP="0016500B">
            <w:pPr>
              <w:spacing w:before="2" w:after="2"/>
              <w:rPr>
                <w:sz w:val="20"/>
                <w:szCs w:val="20"/>
              </w:rPr>
            </w:pPr>
            <w:r w:rsidRPr="00822043">
              <w:rPr>
                <w:sz w:val="20"/>
                <w:szCs w:val="20"/>
              </w:rPr>
              <w:t>2.3. Identification of SFM projects, respective carbon baselines, and supplemental project-level activities</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58,500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58,500</w:t>
            </w:r>
          </w:p>
        </w:tc>
      </w:tr>
      <w:tr w:rsidR="00E0233E"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2.4. M&amp;E key indicators and system parameters</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14,000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14,000</w:t>
            </w:r>
          </w:p>
        </w:tc>
      </w:tr>
      <w:tr w:rsidR="00E0233E"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2.5. Analysis of drivers of deforestation (ii)</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500,000</w:t>
            </w:r>
          </w:p>
        </w:tc>
        <w:tc>
          <w:tcPr>
            <w:tcW w:w="902" w:type="pct"/>
          </w:tcPr>
          <w:p w:rsidR="00E0233E" w:rsidRPr="00822043" w:rsidRDefault="00E0233E" w:rsidP="0016500B">
            <w:pPr>
              <w:spacing w:before="2" w:after="2"/>
              <w:jc w:val="center"/>
              <w:rPr>
                <w:sz w:val="20"/>
                <w:szCs w:val="20"/>
              </w:rPr>
            </w:pPr>
            <w:r w:rsidRPr="00822043">
              <w:rPr>
                <w:sz w:val="20"/>
                <w:szCs w:val="20"/>
              </w:rPr>
              <w:t>World Bank (PROFOR, TFESSD, FCPF</w:t>
            </w:r>
            <w:r w:rsidR="005B5A86">
              <w:rPr>
                <w:sz w:val="20"/>
                <w:szCs w:val="20"/>
              </w:rPr>
              <w:t>)</w:t>
            </w:r>
            <w:r>
              <w:rPr>
                <w:sz w:val="20"/>
                <w:szCs w:val="20"/>
              </w:rPr>
              <w:t xml:space="preserve">, </w:t>
            </w:r>
            <w:r w:rsidRPr="00822043">
              <w:rPr>
                <w:sz w:val="20"/>
                <w:szCs w:val="20"/>
              </w:rPr>
              <w:t>DFID</w:t>
            </w:r>
            <w:r w:rsidR="005B5A86">
              <w:rPr>
                <w:sz w:val="20"/>
                <w:szCs w:val="20"/>
              </w:rPr>
              <w:t xml:space="preserve">- </w:t>
            </w:r>
            <w:r w:rsidRPr="00822043">
              <w:rPr>
                <w:sz w:val="20"/>
                <w:szCs w:val="20"/>
              </w:rPr>
              <w:t>E</w:t>
            </w:r>
            <w:r w:rsidR="005B5A86">
              <w:rPr>
                <w:sz w:val="20"/>
                <w:szCs w:val="20"/>
              </w:rPr>
              <w:t>FO</w:t>
            </w:r>
            <w:r w:rsidR="009128A0">
              <w:rPr>
                <w:sz w:val="20"/>
                <w:szCs w:val="20"/>
              </w:rPr>
              <w:t xml:space="preserve"> </w:t>
            </w:r>
            <w:r w:rsidR="00847DFD" w:rsidRPr="00847DFD">
              <w:rPr>
                <w:sz w:val="20"/>
                <w:szCs w:val="20"/>
                <w:vertAlign w:val="superscript"/>
              </w:rPr>
              <w:t>(ii)</w:t>
            </w: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500,000</w:t>
            </w:r>
          </w:p>
        </w:tc>
      </w:tr>
      <w:tr w:rsidR="00E0233E" w:rsidRPr="00822043">
        <w:trPr>
          <w:trHeight w:val="260"/>
        </w:trPr>
        <w:tc>
          <w:tcPr>
            <w:tcW w:w="2234" w:type="pct"/>
            <w:shd w:val="solid" w:color="A6A6A6" w:themeColor="background1" w:themeShade="A6" w:fill="auto"/>
          </w:tcPr>
          <w:p w:rsidR="00E0233E" w:rsidRPr="00822043" w:rsidRDefault="00E0233E" w:rsidP="0016500B">
            <w:pPr>
              <w:spacing w:before="2" w:after="2"/>
              <w:rPr>
                <w:b/>
                <w:bCs/>
                <w:sz w:val="20"/>
                <w:szCs w:val="20"/>
              </w:rPr>
            </w:pPr>
            <w:r w:rsidRPr="00822043">
              <w:rPr>
                <w:b/>
                <w:bCs/>
                <w:sz w:val="20"/>
                <w:szCs w:val="20"/>
              </w:rPr>
              <w:t xml:space="preserve">3. Consultative Participatory Process </w:t>
            </w:r>
            <w:r w:rsidRPr="00822043">
              <w:rPr>
                <w:sz w:val="20"/>
                <w:szCs w:val="20"/>
              </w:rPr>
              <w:t xml:space="preserve">(iii) </w:t>
            </w:r>
          </w:p>
        </w:tc>
        <w:tc>
          <w:tcPr>
            <w:tcW w:w="543" w:type="pct"/>
            <w:shd w:val="solid" w:color="A6A6A6" w:themeColor="background1" w:themeShade="A6" w:fill="auto"/>
          </w:tcPr>
          <w:p w:rsidR="00E0233E" w:rsidRPr="00822043" w:rsidRDefault="00E0233E" w:rsidP="0016500B">
            <w:pPr>
              <w:spacing w:before="2" w:after="2"/>
              <w:jc w:val="right"/>
              <w:rPr>
                <w:b/>
                <w:bCs/>
                <w:sz w:val="20"/>
                <w:szCs w:val="20"/>
              </w:rPr>
            </w:pPr>
            <w:r w:rsidRPr="00822043">
              <w:rPr>
                <w:b/>
                <w:bCs/>
                <w:sz w:val="20"/>
                <w:szCs w:val="20"/>
              </w:rPr>
              <w:t>90,</w:t>
            </w:r>
            <w:r w:rsidR="00E012FA">
              <w:rPr>
                <w:b/>
                <w:bCs/>
                <w:sz w:val="20"/>
                <w:szCs w:val="20"/>
              </w:rPr>
              <w:t>0</w:t>
            </w:r>
            <w:r w:rsidRPr="00822043">
              <w:rPr>
                <w:b/>
                <w:bCs/>
                <w:sz w:val="20"/>
                <w:szCs w:val="20"/>
              </w:rPr>
              <w:t>00</w:t>
            </w:r>
          </w:p>
        </w:tc>
        <w:tc>
          <w:tcPr>
            <w:tcW w:w="580" w:type="pct"/>
            <w:shd w:val="solid" w:color="A6A6A6" w:themeColor="background1" w:themeShade="A6" w:fill="auto"/>
          </w:tcPr>
          <w:p w:rsidR="00E0233E" w:rsidRPr="00822043" w:rsidRDefault="00E0233E" w:rsidP="0016500B">
            <w:pPr>
              <w:spacing w:before="2" w:after="2"/>
              <w:jc w:val="right"/>
              <w:rPr>
                <w:b/>
                <w:bCs/>
                <w:sz w:val="20"/>
                <w:szCs w:val="20"/>
              </w:rPr>
            </w:pPr>
            <w:r w:rsidRPr="00822043">
              <w:rPr>
                <w:b/>
                <w:bCs/>
                <w:sz w:val="20"/>
                <w:szCs w:val="20"/>
              </w:rPr>
              <w:t>300,000</w:t>
            </w:r>
          </w:p>
        </w:tc>
        <w:tc>
          <w:tcPr>
            <w:tcW w:w="902" w:type="pct"/>
            <w:shd w:val="solid" w:color="A6A6A6" w:themeColor="background1" w:themeShade="A6" w:fill="auto"/>
          </w:tcPr>
          <w:p w:rsidR="00E0233E" w:rsidRPr="00822043" w:rsidRDefault="00CB5FEA" w:rsidP="0016500B">
            <w:pPr>
              <w:spacing w:before="2" w:after="2"/>
              <w:jc w:val="center"/>
              <w:rPr>
                <w:b/>
                <w:bCs/>
                <w:sz w:val="20"/>
                <w:szCs w:val="20"/>
              </w:rPr>
            </w:pPr>
            <w:r>
              <w:rPr>
                <w:b/>
                <w:bCs/>
                <w:sz w:val="20"/>
                <w:szCs w:val="20"/>
              </w:rPr>
              <w:t xml:space="preserve">AFD </w:t>
            </w:r>
            <w:r w:rsidR="00847DFD" w:rsidRPr="00847DFD">
              <w:rPr>
                <w:b/>
                <w:bCs/>
                <w:sz w:val="20"/>
                <w:szCs w:val="20"/>
                <w:vertAlign w:val="superscript"/>
              </w:rPr>
              <w:t>(iii)</w:t>
            </w:r>
          </w:p>
        </w:tc>
        <w:tc>
          <w:tcPr>
            <w:tcW w:w="741" w:type="pct"/>
            <w:shd w:val="solid" w:color="A6A6A6" w:themeColor="background1" w:themeShade="A6" w:fill="auto"/>
          </w:tcPr>
          <w:p w:rsidR="00E0233E" w:rsidRPr="00822043" w:rsidRDefault="00E0233E" w:rsidP="0016500B">
            <w:pPr>
              <w:spacing w:before="2" w:after="2"/>
              <w:jc w:val="right"/>
              <w:rPr>
                <w:b/>
                <w:bCs/>
                <w:sz w:val="20"/>
                <w:szCs w:val="20"/>
              </w:rPr>
            </w:pPr>
            <w:r w:rsidRPr="00822043">
              <w:rPr>
                <w:b/>
                <w:bCs/>
                <w:sz w:val="20"/>
                <w:szCs w:val="20"/>
              </w:rPr>
              <w:t>390,</w:t>
            </w:r>
            <w:r w:rsidR="00E012FA">
              <w:rPr>
                <w:b/>
                <w:bCs/>
                <w:sz w:val="20"/>
                <w:szCs w:val="20"/>
              </w:rPr>
              <w:t>0</w:t>
            </w:r>
            <w:r w:rsidRPr="00822043">
              <w:rPr>
                <w:b/>
                <w:bCs/>
                <w:sz w:val="20"/>
                <w:szCs w:val="20"/>
              </w:rPr>
              <w:t>00</w:t>
            </w:r>
          </w:p>
        </w:tc>
      </w:tr>
      <w:tr w:rsidR="0016500B"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3.1. Workshop on Institutional framework &amp; C. Measur. Methodol.</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24,000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24,000</w:t>
            </w:r>
          </w:p>
        </w:tc>
      </w:tr>
      <w:tr w:rsidR="0016500B"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3.2. Workshop on SFM projects &amp; Project design (incl. M&amp;E)</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24,000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24,000</w:t>
            </w:r>
          </w:p>
        </w:tc>
      </w:tr>
      <w:tr w:rsidR="0016500B"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 xml:space="preserve">3.3. Workshop on social issues </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23,000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23,000</w:t>
            </w:r>
          </w:p>
        </w:tc>
      </w:tr>
      <w:tr w:rsidR="00E0233E" w:rsidRPr="00822043">
        <w:trPr>
          <w:trHeight w:val="280"/>
        </w:trPr>
        <w:tc>
          <w:tcPr>
            <w:tcW w:w="2234" w:type="pct"/>
            <w:shd w:val="clear" w:color="auto" w:fill="auto"/>
          </w:tcPr>
          <w:p w:rsidR="00E0233E" w:rsidRPr="00822043" w:rsidRDefault="00E0233E" w:rsidP="0016500B">
            <w:pPr>
              <w:spacing w:before="2" w:after="2"/>
              <w:rPr>
                <w:sz w:val="20"/>
                <w:szCs w:val="20"/>
              </w:rPr>
            </w:pPr>
            <w:r w:rsidRPr="00822043">
              <w:rPr>
                <w:sz w:val="20"/>
                <w:szCs w:val="20"/>
              </w:rPr>
              <w:t>3.5. Communication on REDD</w:t>
            </w:r>
          </w:p>
        </w:tc>
        <w:tc>
          <w:tcPr>
            <w:tcW w:w="543" w:type="pct"/>
            <w:shd w:val="clear" w:color="auto" w:fill="auto"/>
            <w:noWrap/>
            <w:vAlign w:val="bottom"/>
          </w:tcPr>
          <w:p w:rsidR="00E0233E" w:rsidRPr="00822043" w:rsidRDefault="00E0233E" w:rsidP="0016500B">
            <w:pPr>
              <w:spacing w:before="2" w:after="2"/>
              <w:jc w:val="right"/>
              <w:rPr>
                <w:sz w:val="20"/>
                <w:szCs w:val="20"/>
              </w:rPr>
            </w:pPr>
            <w:r w:rsidRPr="00822043">
              <w:rPr>
                <w:sz w:val="20"/>
                <w:szCs w:val="20"/>
              </w:rPr>
              <w:t>19,</w:t>
            </w:r>
            <w:r w:rsidR="00E012FA">
              <w:rPr>
                <w:sz w:val="20"/>
                <w:szCs w:val="20"/>
              </w:rPr>
              <w:t>0</w:t>
            </w:r>
            <w:r w:rsidRPr="00822043">
              <w:rPr>
                <w:sz w:val="20"/>
                <w:szCs w:val="20"/>
              </w:rPr>
              <w:t>00</w:t>
            </w:r>
          </w:p>
        </w:tc>
        <w:tc>
          <w:tcPr>
            <w:tcW w:w="580" w:type="pct"/>
            <w:shd w:val="clear" w:color="auto" w:fill="auto"/>
            <w:vAlign w:val="bottom"/>
          </w:tcPr>
          <w:p w:rsidR="00E0233E" w:rsidRPr="00822043" w:rsidRDefault="00E0233E" w:rsidP="0016500B">
            <w:pPr>
              <w:spacing w:before="2" w:after="2"/>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19,</w:t>
            </w:r>
            <w:r w:rsidR="00E012FA">
              <w:rPr>
                <w:sz w:val="20"/>
                <w:szCs w:val="20"/>
              </w:rPr>
              <w:t>0</w:t>
            </w:r>
            <w:r w:rsidRPr="00822043">
              <w:rPr>
                <w:sz w:val="20"/>
                <w:szCs w:val="20"/>
              </w:rPr>
              <w:t>00</w:t>
            </w:r>
          </w:p>
        </w:tc>
      </w:tr>
      <w:tr w:rsidR="00E0233E" w:rsidRPr="00822043">
        <w:trPr>
          <w:trHeight w:val="260"/>
        </w:trPr>
        <w:tc>
          <w:tcPr>
            <w:tcW w:w="2234" w:type="pct"/>
            <w:shd w:val="solid" w:color="A6A6A6" w:themeColor="background1" w:themeShade="A6" w:fill="auto"/>
          </w:tcPr>
          <w:p w:rsidR="00E0233E" w:rsidRPr="00822043" w:rsidRDefault="00E0233E" w:rsidP="0016500B">
            <w:pPr>
              <w:spacing w:before="2" w:after="2"/>
              <w:rPr>
                <w:b/>
                <w:bCs/>
                <w:sz w:val="20"/>
                <w:szCs w:val="20"/>
              </w:rPr>
            </w:pPr>
            <w:r w:rsidRPr="00822043">
              <w:rPr>
                <w:b/>
                <w:bCs/>
                <w:sz w:val="20"/>
                <w:szCs w:val="20"/>
              </w:rPr>
              <w:t xml:space="preserve">4. </w:t>
            </w:r>
            <w:r>
              <w:rPr>
                <w:b/>
                <w:bCs/>
                <w:sz w:val="20"/>
                <w:szCs w:val="20"/>
              </w:rPr>
              <w:t>Technical input to project preparation &amp; r</w:t>
            </w:r>
            <w:r w:rsidRPr="00822043">
              <w:rPr>
                <w:b/>
                <w:bCs/>
                <w:sz w:val="20"/>
                <w:szCs w:val="20"/>
              </w:rPr>
              <w:t>eadiness for implementation</w:t>
            </w:r>
          </w:p>
        </w:tc>
        <w:tc>
          <w:tcPr>
            <w:tcW w:w="543" w:type="pct"/>
            <w:shd w:val="solid" w:color="A6A6A6" w:themeColor="background1" w:themeShade="A6" w:fill="auto"/>
          </w:tcPr>
          <w:p w:rsidR="00E0233E" w:rsidRPr="00822043" w:rsidRDefault="00E0233E" w:rsidP="0016500B">
            <w:pPr>
              <w:spacing w:before="2" w:after="2"/>
              <w:jc w:val="right"/>
              <w:rPr>
                <w:b/>
                <w:bCs/>
                <w:sz w:val="20"/>
                <w:szCs w:val="20"/>
              </w:rPr>
            </w:pPr>
            <w:r>
              <w:rPr>
                <w:b/>
                <w:bCs/>
                <w:sz w:val="20"/>
                <w:szCs w:val="20"/>
              </w:rPr>
              <w:t>82,3</w:t>
            </w:r>
            <w:r w:rsidRPr="00822043">
              <w:rPr>
                <w:b/>
                <w:bCs/>
                <w:sz w:val="20"/>
                <w:szCs w:val="20"/>
              </w:rPr>
              <w:t>00</w:t>
            </w:r>
          </w:p>
        </w:tc>
        <w:tc>
          <w:tcPr>
            <w:tcW w:w="580" w:type="pct"/>
            <w:shd w:val="solid" w:color="A6A6A6" w:themeColor="background1" w:themeShade="A6" w:fill="auto"/>
          </w:tcPr>
          <w:p w:rsidR="00E0233E" w:rsidRPr="00822043" w:rsidRDefault="00E0233E" w:rsidP="0016500B">
            <w:pPr>
              <w:spacing w:before="2" w:after="2"/>
              <w:jc w:val="right"/>
              <w:rPr>
                <w:b/>
                <w:bCs/>
                <w:sz w:val="20"/>
                <w:szCs w:val="20"/>
              </w:rPr>
            </w:pPr>
            <w:r w:rsidRPr="00822043">
              <w:rPr>
                <w:b/>
                <w:bCs/>
                <w:sz w:val="20"/>
                <w:szCs w:val="20"/>
              </w:rPr>
              <w:t> </w:t>
            </w:r>
          </w:p>
        </w:tc>
        <w:tc>
          <w:tcPr>
            <w:tcW w:w="902" w:type="pct"/>
            <w:shd w:val="solid" w:color="A6A6A6" w:themeColor="background1" w:themeShade="A6" w:fill="auto"/>
          </w:tcPr>
          <w:p w:rsidR="00E0233E" w:rsidRPr="00822043" w:rsidRDefault="00E0233E" w:rsidP="0016500B">
            <w:pPr>
              <w:spacing w:before="2" w:after="2"/>
              <w:jc w:val="center"/>
              <w:rPr>
                <w:b/>
                <w:bCs/>
                <w:sz w:val="20"/>
                <w:szCs w:val="20"/>
              </w:rPr>
            </w:pPr>
          </w:p>
        </w:tc>
        <w:tc>
          <w:tcPr>
            <w:tcW w:w="741" w:type="pct"/>
            <w:shd w:val="solid" w:color="A6A6A6" w:themeColor="background1" w:themeShade="A6" w:fill="auto"/>
          </w:tcPr>
          <w:p w:rsidR="00E0233E" w:rsidRPr="00822043" w:rsidRDefault="00E0233E" w:rsidP="0016500B">
            <w:pPr>
              <w:spacing w:before="2" w:after="2"/>
              <w:jc w:val="right"/>
              <w:rPr>
                <w:b/>
                <w:bCs/>
                <w:sz w:val="20"/>
                <w:szCs w:val="20"/>
              </w:rPr>
            </w:pPr>
            <w:r>
              <w:rPr>
                <w:b/>
                <w:bCs/>
                <w:sz w:val="20"/>
                <w:szCs w:val="20"/>
              </w:rPr>
              <w:t>82,3</w:t>
            </w:r>
            <w:r w:rsidRPr="00822043">
              <w:rPr>
                <w:b/>
                <w:bCs/>
                <w:sz w:val="20"/>
                <w:szCs w:val="20"/>
              </w:rPr>
              <w:t>00</w:t>
            </w:r>
          </w:p>
        </w:tc>
      </w:tr>
      <w:tr w:rsidR="0016500B"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 xml:space="preserve">4.1. </w:t>
            </w:r>
            <w:r>
              <w:rPr>
                <w:sz w:val="20"/>
                <w:szCs w:val="20"/>
              </w:rPr>
              <w:t>Technical input to Institutional A</w:t>
            </w:r>
            <w:r w:rsidRPr="00822043">
              <w:rPr>
                <w:sz w:val="20"/>
                <w:szCs w:val="20"/>
              </w:rPr>
              <w:t xml:space="preserve">rrangements / Project </w:t>
            </w:r>
            <w:r>
              <w:rPr>
                <w:sz w:val="20"/>
                <w:szCs w:val="20"/>
              </w:rPr>
              <w:t>design</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33,000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33,000</w:t>
            </w:r>
          </w:p>
        </w:tc>
      </w:tr>
      <w:tr w:rsidR="0016500B"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4.2. Project Implementation Manual and Sub-manuals</w:t>
            </w:r>
          </w:p>
        </w:tc>
        <w:tc>
          <w:tcPr>
            <w:tcW w:w="543" w:type="pct"/>
            <w:shd w:val="clear" w:color="auto" w:fill="auto"/>
          </w:tcPr>
          <w:p w:rsidR="00E0233E" w:rsidRPr="00822043" w:rsidRDefault="00E0233E" w:rsidP="0016500B">
            <w:pPr>
              <w:spacing w:before="2" w:after="2"/>
              <w:jc w:val="right"/>
              <w:rPr>
                <w:sz w:val="20"/>
                <w:szCs w:val="20"/>
              </w:rPr>
            </w:pPr>
            <w:r>
              <w:rPr>
                <w:sz w:val="20"/>
                <w:szCs w:val="20"/>
              </w:rPr>
              <w:t>31</w:t>
            </w:r>
            <w:r w:rsidRPr="00822043">
              <w:rPr>
                <w:sz w:val="20"/>
                <w:szCs w:val="20"/>
              </w:rPr>
              <w:t>,500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Pr>
                <w:sz w:val="20"/>
                <w:szCs w:val="20"/>
              </w:rPr>
              <w:t>31</w:t>
            </w:r>
            <w:r w:rsidRPr="00822043">
              <w:rPr>
                <w:sz w:val="20"/>
                <w:szCs w:val="20"/>
              </w:rPr>
              <w:t>,500</w:t>
            </w:r>
          </w:p>
        </w:tc>
      </w:tr>
      <w:tr w:rsidR="0016500B"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4.3. Training sessions for implementation readiness</w:t>
            </w:r>
          </w:p>
        </w:tc>
        <w:tc>
          <w:tcPr>
            <w:tcW w:w="543" w:type="pct"/>
            <w:shd w:val="clear" w:color="auto" w:fill="auto"/>
          </w:tcPr>
          <w:p w:rsidR="00E0233E" w:rsidRPr="00822043" w:rsidRDefault="00E0233E" w:rsidP="0016500B">
            <w:pPr>
              <w:spacing w:before="2" w:after="2"/>
              <w:jc w:val="right"/>
              <w:rPr>
                <w:sz w:val="20"/>
                <w:szCs w:val="20"/>
              </w:rPr>
            </w:pPr>
            <w:r>
              <w:rPr>
                <w:sz w:val="20"/>
                <w:szCs w:val="20"/>
              </w:rPr>
              <w:t>12,8</w:t>
            </w:r>
            <w:r w:rsidRPr="00822043">
              <w:rPr>
                <w:sz w:val="20"/>
                <w:szCs w:val="20"/>
              </w:rPr>
              <w:t>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Pr>
                <w:sz w:val="20"/>
                <w:szCs w:val="20"/>
              </w:rPr>
              <w:t>12,8</w:t>
            </w:r>
            <w:r w:rsidRPr="00822043">
              <w:rPr>
                <w:sz w:val="20"/>
                <w:szCs w:val="20"/>
              </w:rPr>
              <w:t>00</w:t>
            </w:r>
          </w:p>
        </w:tc>
      </w:tr>
      <w:tr w:rsidR="0016500B" w:rsidRPr="00822043">
        <w:trPr>
          <w:trHeight w:val="300"/>
        </w:trPr>
        <w:tc>
          <w:tcPr>
            <w:tcW w:w="2234" w:type="pct"/>
            <w:shd w:val="clear" w:color="auto" w:fill="auto"/>
          </w:tcPr>
          <w:p w:rsidR="00E0233E" w:rsidRPr="00822043" w:rsidRDefault="00E0233E" w:rsidP="0016500B">
            <w:pPr>
              <w:spacing w:before="2" w:after="2"/>
              <w:rPr>
                <w:sz w:val="20"/>
                <w:szCs w:val="20"/>
              </w:rPr>
            </w:pPr>
            <w:r w:rsidRPr="00822043">
              <w:rPr>
                <w:sz w:val="20"/>
                <w:szCs w:val="20"/>
              </w:rPr>
              <w:t>4.4.Supplemental operating cost for project preparation</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5,000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sidRPr="00822043">
              <w:rPr>
                <w:sz w:val="20"/>
                <w:szCs w:val="20"/>
              </w:rPr>
              <w:t>5,000</w:t>
            </w:r>
          </w:p>
        </w:tc>
      </w:tr>
      <w:tr w:rsidR="00E0233E" w:rsidRPr="00822043">
        <w:trPr>
          <w:trHeight w:val="260"/>
        </w:trPr>
        <w:tc>
          <w:tcPr>
            <w:tcW w:w="2234" w:type="pct"/>
            <w:shd w:val="solid" w:color="A6A6A6" w:themeColor="background1" w:themeShade="A6" w:fill="auto"/>
          </w:tcPr>
          <w:p w:rsidR="00E0233E" w:rsidRPr="00822043" w:rsidRDefault="00E0233E" w:rsidP="0016500B">
            <w:pPr>
              <w:spacing w:before="2" w:after="2"/>
              <w:rPr>
                <w:b/>
                <w:bCs/>
                <w:sz w:val="20"/>
                <w:szCs w:val="20"/>
              </w:rPr>
            </w:pPr>
            <w:r w:rsidRPr="00822043">
              <w:rPr>
                <w:b/>
                <w:bCs/>
                <w:sz w:val="20"/>
                <w:szCs w:val="20"/>
              </w:rPr>
              <w:t>5. Technical support to PPG implementation by the Recipient</w:t>
            </w:r>
          </w:p>
        </w:tc>
        <w:tc>
          <w:tcPr>
            <w:tcW w:w="543" w:type="pct"/>
            <w:shd w:val="solid" w:color="A6A6A6" w:themeColor="background1" w:themeShade="A6" w:fill="auto"/>
          </w:tcPr>
          <w:p w:rsidR="00E0233E" w:rsidRPr="00822043" w:rsidRDefault="00E0233E" w:rsidP="0016500B">
            <w:pPr>
              <w:spacing w:before="2" w:after="2"/>
              <w:jc w:val="right"/>
              <w:rPr>
                <w:b/>
                <w:bCs/>
                <w:sz w:val="20"/>
                <w:szCs w:val="20"/>
              </w:rPr>
            </w:pPr>
            <w:r>
              <w:rPr>
                <w:b/>
                <w:bCs/>
                <w:sz w:val="20"/>
                <w:szCs w:val="20"/>
              </w:rPr>
              <w:t>39,2</w:t>
            </w:r>
            <w:r w:rsidRPr="00822043">
              <w:rPr>
                <w:b/>
                <w:bCs/>
                <w:sz w:val="20"/>
                <w:szCs w:val="20"/>
              </w:rPr>
              <w:t>00</w:t>
            </w:r>
          </w:p>
        </w:tc>
        <w:tc>
          <w:tcPr>
            <w:tcW w:w="580" w:type="pct"/>
            <w:shd w:val="solid" w:color="A6A6A6" w:themeColor="background1" w:themeShade="A6" w:fill="auto"/>
          </w:tcPr>
          <w:p w:rsidR="00E0233E" w:rsidRPr="00822043" w:rsidRDefault="00E0233E" w:rsidP="0016500B">
            <w:pPr>
              <w:spacing w:before="2" w:after="2"/>
              <w:jc w:val="right"/>
              <w:rPr>
                <w:b/>
                <w:bCs/>
                <w:sz w:val="20"/>
                <w:szCs w:val="20"/>
              </w:rPr>
            </w:pPr>
            <w:r w:rsidRPr="00822043">
              <w:rPr>
                <w:b/>
                <w:bCs/>
                <w:sz w:val="20"/>
                <w:szCs w:val="20"/>
              </w:rPr>
              <w:t>154,000</w:t>
            </w:r>
          </w:p>
        </w:tc>
        <w:tc>
          <w:tcPr>
            <w:tcW w:w="902" w:type="pct"/>
            <w:shd w:val="solid" w:color="A6A6A6" w:themeColor="background1" w:themeShade="A6" w:fill="auto"/>
          </w:tcPr>
          <w:p w:rsidR="00E0233E" w:rsidRPr="00822043" w:rsidRDefault="00E0233E" w:rsidP="0016500B">
            <w:pPr>
              <w:spacing w:before="2" w:after="2"/>
              <w:jc w:val="center"/>
              <w:rPr>
                <w:b/>
                <w:bCs/>
                <w:sz w:val="20"/>
                <w:szCs w:val="20"/>
              </w:rPr>
            </w:pPr>
          </w:p>
        </w:tc>
        <w:tc>
          <w:tcPr>
            <w:tcW w:w="741" w:type="pct"/>
            <w:shd w:val="solid" w:color="A6A6A6" w:themeColor="background1" w:themeShade="A6" w:fill="auto"/>
          </w:tcPr>
          <w:p w:rsidR="00E0233E" w:rsidRPr="00822043" w:rsidRDefault="00E0233E" w:rsidP="0016500B">
            <w:pPr>
              <w:spacing w:before="2" w:after="2"/>
              <w:jc w:val="right"/>
              <w:rPr>
                <w:b/>
                <w:bCs/>
                <w:sz w:val="20"/>
                <w:szCs w:val="20"/>
              </w:rPr>
            </w:pPr>
            <w:r>
              <w:rPr>
                <w:b/>
                <w:bCs/>
                <w:sz w:val="20"/>
                <w:szCs w:val="20"/>
              </w:rPr>
              <w:t>193,2</w:t>
            </w:r>
            <w:r w:rsidRPr="00822043">
              <w:rPr>
                <w:b/>
                <w:bCs/>
                <w:sz w:val="20"/>
                <w:szCs w:val="20"/>
              </w:rPr>
              <w:t>00</w:t>
            </w:r>
          </w:p>
        </w:tc>
      </w:tr>
      <w:tr w:rsidR="00E0233E"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5.1. Recruitment of a REDD experts (one national, one international)</w:t>
            </w:r>
          </w:p>
        </w:tc>
        <w:tc>
          <w:tcPr>
            <w:tcW w:w="543"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154,000</w:t>
            </w:r>
          </w:p>
        </w:tc>
        <w:tc>
          <w:tcPr>
            <w:tcW w:w="902" w:type="pct"/>
          </w:tcPr>
          <w:p w:rsidR="00E0233E" w:rsidRPr="00822043" w:rsidRDefault="00E0233E" w:rsidP="0016500B">
            <w:pPr>
              <w:spacing w:before="2" w:after="2"/>
              <w:jc w:val="center"/>
              <w:rPr>
                <w:sz w:val="20"/>
                <w:szCs w:val="20"/>
              </w:rPr>
            </w:pPr>
            <w:r w:rsidRPr="00822043">
              <w:rPr>
                <w:sz w:val="20"/>
                <w:szCs w:val="20"/>
              </w:rPr>
              <w:t>AFD &amp; NGOs (WWF)</w:t>
            </w:r>
            <w:r w:rsidR="009128A0">
              <w:rPr>
                <w:sz w:val="20"/>
                <w:szCs w:val="20"/>
              </w:rPr>
              <w:t xml:space="preserve"> </w:t>
            </w:r>
            <w:r w:rsidR="00847DFD" w:rsidRPr="00847DFD">
              <w:rPr>
                <w:sz w:val="20"/>
                <w:szCs w:val="20"/>
                <w:vertAlign w:val="superscript"/>
              </w:rPr>
              <w:t>(iv)</w:t>
            </w:r>
          </w:p>
        </w:tc>
        <w:tc>
          <w:tcPr>
            <w:tcW w:w="741" w:type="pct"/>
            <w:shd w:val="clear" w:color="auto" w:fill="auto"/>
          </w:tcPr>
          <w:p w:rsidR="00E0233E" w:rsidRPr="00822043" w:rsidRDefault="00E0233E" w:rsidP="0016500B">
            <w:pPr>
              <w:spacing w:before="2" w:after="2"/>
              <w:jc w:val="right"/>
              <w:rPr>
                <w:sz w:val="20"/>
                <w:szCs w:val="20"/>
              </w:rPr>
            </w:pPr>
            <w:r>
              <w:rPr>
                <w:sz w:val="20"/>
                <w:szCs w:val="20"/>
              </w:rPr>
              <w:t>154</w:t>
            </w:r>
            <w:r w:rsidRPr="00822043">
              <w:rPr>
                <w:sz w:val="20"/>
                <w:szCs w:val="20"/>
              </w:rPr>
              <w:t>,000</w:t>
            </w:r>
          </w:p>
        </w:tc>
      </w:tr>
      <w:tr w:rsidR="0016500B"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5.2. Technical support for PPG implementation - financial accountability</w:t>
            </w:r>
          </w:p>
        </w:tc>
        <w:tc>
          <w:tcPr>
            <w:tcW w:w="543" w:type="pct"/>
            <w:shd w:val="clear" w:color="auto" w:fill="auto"/>
          </w:tcPr>
          <w:p w:rsidR="00E0233E" w:rsidRPr="00822043" w:rsidRDefault="00E0233E" w:rsidP="0016500B">
            <w:pPr>
              <w:spacing w:before="2" w:after="2"/>
              <w:jc w:val="right"/>
              <w:rPr>
                <w:sz w:val="20"/>
                <w:szCs w:val="20"/>
              </w:rPr>
            </w:pPr>
            <w:r>
              <w:rPr>
                <w:sz w:val="20"/>
                <w:szCs w:val="20"/>
              </w:rPr>
              <w:t>28</w:t>
            </w:r>
            <w:r w:rsidRPr="00822043">
              <w:rPr>
                <w:sz w:val="20"/>
                <w:szCs w:val="20"/>
              </w:rPr>
              <w:t>,000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Pr>
                <w:sz w:val="20"/>
                <w:szCs w:val="20"/>
              </w:rPr>
              <w:t>28</w:t>
            </w:r>
            <w:r w:rsidRPr="00822043">
              <w:rPr>
                <w:sz w:val="20"/>
                <w:szCs w:val="20"/>
              </w:rPr>
              <w:t>,000</w:t>
            </w:r>
          </w:p>
        </w:tc>
      </w:tr>
      <w:tr w:rsidR="0016500B" w:rsidRPr="00822043">
        <w:trPr>
          <w:trHeight w:val="260"/>
        </w:trPr>
        <w:tc>
          <w:tcPr>
            <w:tcW w:w="2234" w:type="pct"/>
            <w:shd w:val="clear" w:color="auto" w:fill="auto"/>
          </w:tcPr>
          <w:p w:rsidR="00E0233E" w:rsidRPr="00822043" w:rsidRDefault="00E0233E" w:rsidP="0016500B">
            <w:pPr>
              <w:spacing w:before="2" w:after="2"/>
              <w:rPr>
                <w:sz w:val="20"/>
                <w:szCs w:val="20"/>
              </w:rPr>
            </w:pPr>
            <w:r w:rsidRPr="00822043">
              <w:rPr>
                <w:sz w:val="20"/>
                <w:szCs w:val="20"/>
              </w:rPr>
              <w:t xml:space="preserve">5.3. Technical support for PPG implement. - </w:t>
            </w:r>
            <w:proofErr w:type="gramStart"/>
            <w:r w:rsidRPr="00822043">
              <w:rPr>
                <w:sz w:val="20"/>
                <w:szCs w:val="20"/>
              </w:rPr>
              <w:t>procurement</w:t>
            </w:r>
            <w:proofErr w:type="gramEnd"/>
          </w:p>
        </w:tc>
        <w:tc>
          <w:tcPr>
            <w:tcW w:w="543" w:type="pct"/>
            <w:shd w:val="clear" w:color="auto" w:fill="auto"/>
          </w:tcPr>
          <w:p w:rsidR="00E0233E" w:rsidRPr="00822043" w:rsidRDefault="00E0233E" w:rsidP="0016500B">
            <w:pPr>
              <w:spacing w:before="2" w:after="2"/>
              <w:jc w:val="right"/>
              <w:rPr>
                <w:sz w:val="20"/>
                <w:szCs w:val="20"/>
              </w:rPr>
            </w:pPr>
            <w:r>
              <w:rPr>
                <w:sz w:val="20"/>
                <w:szCs w:val="20"/>
              </w:rPr>
              <w:t>11,2</w:t>
            </w:r>
            <w:r w:rsidRPr="00822043">
              <w:rPr>
                <w:sz w:val="20"/>
                <w:szCs w:val="20"/>
              </w:rPr>
              <w:t>00</w:t>
            </w:r>
          </w:p>
        </w:tc>
        <w:tc>
          <w:tcPr>
            <w:tcW w:w="580" w:type="pct"/>
            <w:shd w:val="clear" w:color="auto" w:fill="auto"/>
          </w:tcPr>
          <w:p w:rsidR="00E0233E" w:rsidRPr="00822043" w:rsidRDefault="00E0233E" w:rsidP="0016500B">
            <w:pPr>
              <w:spacing w:before="2" w:after="2"/>
              <w:jc w:val="right"/>
              <w:rPr>
                <w:sz w:val="20"/>
                <w:szCs w:val="20"/>
              </w:rPr>
            </w:pPr>
            <w:r w:rsidRPr="00822043">
              <w:rPr>
                <w:sz w:val="20"/>
                <w:szCs w:val="20"/>
              </w:rPr>
              <w:t> </w:t>
            </w:r>
          </w:p>
        </w:tc>
        <w:tc>
          <w:tcPr>
            <w:tcW w:w="902" w:type="pct"/>
          </w:tcPr>
          <w:p w:rsidR="00E0233E" w:rsidRPr="00822043" w:rsidRDefault="00E0233E" w:rsidP="0016500B">
            <w:pPr>
              <w:spacing w:before="2" w:after="2"/>
              <w:jc w:val="center"/>
              <w:rPr>
                <w:sz w:val="20"/>
                <w:szCs w:val="20"/>
              </w:rPr>
            </w:pPr>
          </w:p>
        </w:tc>
        <w:tc>
          <w:tcPr>
            <w:tcW w:w="741" w:type="pct"/>
            <w:shd w:val="clear" w:color="auto" w:fill="auto"/>
          </w:tcPr>
          <w:p w:rsidR="00E0233E" w:rsidRPr="00822043" w:rsidRDefault="00E0233E" w:rsidP="0016500B">
            <w:pPr>
              <w:spacing w:before="2" w:after="2"/>
              <w:jc w:val="right"/>
              <w:rPr>
                <w:sz w:val="20"/>
                <w:szCs w:val="20"/>
              </w:rPr>
            </w:pPr>
            <w:r>
              <w:rPr>
                <w:sz w:val="20"/>
                <w:szCs w:val="20"/>
              </w:rPr>
              <w:t>11,2</w:t>
            </w:r>
            <w:r w:rsidRPr="00822043">
              <w:rPr>
                <w:sz w:val="20"/>
                <w:szCs w:val="20"/>
              </w:rPr>
              <w:t>00</w:t>
            </w:r>
          </w:p>
        </w:tc>
      </w:tr>
      <w:tr w:rsidR="0016500B" w:rsidRPr="00822043">
        <w:trPr>
          <w:trHeight w:val="280"/>
        </w:trPr>
        <w:tc>
          <w:tcPr>
            <w:tcW w:w="2234" w:type="pct"/>
            <w:shd w:val="clear" w:color="auto" w:fill="auto"/>
            <w:vAlign w:val="center"/>
          </w:tcPr>
          <w:p w:rsidR="00E0233E" w:rsidRPr="00822043" w:rsidRDefault="00E0233E" w:rsidP="0016500B">
            <w:pPr>
              <w:spacing w:before="2" w:after="2"/>
              <w:rPr>
                <w:b/>
                <w:bCs/>
                <w:sz w:val="20"/>
                <w:szCs w:val="20"/>
              </w:rPr>
            </w:pPr>
            <w:r w:rsidRPr="00822043">
              <w:rPr>
                <w:b/>
                <w:bCs/>
                <w:sz w:val="20"/>
                <w:szCs w:val="20"/>
              </w:rPr>
              <w:t xml:space="preserve">Total </w:t>
            </w:r>
          </w:p>
        </w:tc>
        <w:tc>
          <w:tcPr>
            <w:tcW w:w="543" w:type="pct"/>
            <w:shd w:val="clear" w:color="auto" w:fill="auto"/>
            <w:vAlign w:val="center"/>
          </w:tcPr>
          <w:p w:rsidR="00E0233E" w:rsidRPr="00822043" w:rsidRDefault="00E0233E" w:rsidP="0016500B">
            <w:pPr>
              <w:spacing w:before="2" w:after="2"/>
              <w:jc w:val="right"/>
              <w:rPr>
                <w:b/>
                <w:bCs/>
                <w:sz w:val="20"/>
                <w:szCs w:val="20"/>
              </w:rPr>
            </w:pPr>
            <w:r>
              <w:rPr>
                <w:b/>
                <w:bCs/>
                <w:sz w:val="20"/>
                <w:szCs w:val="20"/>
              </w:rPr>
              <w:t>399,0</w:t>
            </w:r>
            <w:r w:rsidRPr="00822043">
              <w:rPr>
                <w:b/>
                <w:bCs/>
                <w:sz w:val="20"/>
                <w:szCs w:val="20"/>
              </w:rPr>
              <w:t>00</w:t>
            </w:r>
          </w:p>
        </w:tc>
        <w:tc>
          <w:tcPr>
            <w:tcW w:w="580" w:type="pct"/>
            <w:shd w:val="clear" w:color="auto" w:fill="auto"/>
            <w:vAlign w:val="center"/>
          </w:tcPr>
          <w:p w:rsidR="00E0233E" w:rsidRPr="00822043" w:rsidRDefault="00E0233E" w:rsidP="0016500B">
            <w:pPr>
              <w:spacing w:before="2" w:after="2"/>
              <w:jc w:val="right"/>
              <w:rPr>
                <w:b/>
                <w:bCs/>
                <w:sz w:val="20"/>
                <w:szCs w:val="20"/>
              </w:rPr>
            </w:pPr>
            <w:r w:rsidRPr="00822043">
              <w:rPr>
                <w:b/>
                <w:bCs/>
                <w:sz w:val="20"/>
                <w:szCs w:val="20"/>
              </w:rPr>
              <w:t>1,079,000</w:t>
            </w:r>
          </w:p>
        </w:tc>
        <w:tc>
          <w:tcPr>
            <w:tcW w:w="902" w:type="pct"/>
            <w:vAlign w:val="center"/>
          </w:tcPr>
          <w:p w:rsidR="00E0233E" w:rsidRPr="00822043" w:rsidRDefault="00E0233E" w:rsidP="0016500B">
            <w:pPr>
              <w:spacing w:before="2" w:after="2"/>
              <w:jc w:val="center"/>
              <w:rPr>
                <w:b/>
                <w:bCs/>
                <w:sz w:val="20"/>
                <w:szCs w:val="20"/>
              </w:rPr>
            </w:pPr>
          </w:p>
        </w:tc>
        <w:tc>
          <w:tcPr>
            <w:tcW w:w="741" w:type="pct"/>
            <w:shd w:val="clear" w:color="auto" w:fill="auto"/>
            <w:vAlign w:val="center"/>
          </w:tcPr>
          <w:p w:rsidR="00E0233E" w:rsidRPr="00822043" w:rsidRDefault="00E0233E" w:rsidP="0016500B">
            <w:pPr>
              <w:spacing w:before="2" w:after="2"/>
              <w:jc w:val="right"/>
              <w:rPr>
                <w:b/>
                <w:bCs/>
                <w:sz w:val="20"/>
                <w:szCs w:val="20"/>
              </w:rPr>
            </w:pPr>
            <w:r>
              <w:rPr>
                <w:b/>
                <w:bCs/>
                <w:sz w:val="20"/>
                <w:szCs w:val="20"/>
              </w:rPr>
              <w:t>1,478,0</w:t>
            </w:r>
            <w:r w:rsidRPr="00822043">
              <w:rPr>
                <w:b/>
                <w:bCs/>
                <w:sz w:val="20"/>
                <w:szCs w:val="20"/>
              </w:rPr>
              <w:t>00</w:t>
            </w:r>
          </w:p>
        </w:tc>
      </w:tr>
    </w:tbl>
    <w:p w:rsidR="00E0233E" w:rsidRDefault="00E0233E"/>
    <w:p w:rsidR="00496029" w:rsidRPr="00D82546" w:rsidRDefault="00496029" w:rsidP="00496029">
      <w:pPr>
        <w:jc w:val="both"/>
        <w:rPr>
          <w:sz w:val="20"/>
          <w:szCs w:val="20"/>
        </w:rPr>
      </w:pPr>
      <w:r w:rsidRPr="00D82546">
        <w:rPr>
          <w:sz w:val="20"/>
          <w:szCs w:val="20"/>
        </w:rPr>
        <w:t xml:space="preserve">(i) Assumptions for co-financing have been made on the basis of the FCPF R-Plan already prepared by the Congo Basin countries: * FCPF R-Plan includes an institutional/policy review at the national level. </w:t>
      </w:r>
    </w:p>
    <w:p w:rsidR="00496029" w:rsidRPr="00D82546" w:rsidRDefault="00496029" w:rsidP="00496029">
      <w:pPr>
        <w:jc w:val="both"/>
        <w:rPr>
          <w:sz w:val="20"/>
          <w:szCs w:val="20"/>
        </w:rPr>
      </w:pPr>
      <w:r w:rsidRPr="00D82546">
        <w:rPr>
          <w:sz w:val="20"/>
          <w:szCs w:val="20"/>
        </w:rPr>
        <w:t xml:space="preserve">** FCPF R-Plan includes some works on identifying a Monitoring, Reporting and Verification system of forest cover changes. </w:t>
      </w:r>
    </w:p>
    <w:p w:rsidR="00496029" w:rsidRDefault="00496029" w:rsidP="00496029">
      <w:pPr>
        <w:jc w:val="both"/>
        <w:rPr>
          <w:sz w:val="20"/>
          <w:szCs w:val="20"/>
        </w:rPr>
      </w:pPr>
      <w:r w:rsidRPr="00D82546">
        <w:rPr>
          <w:sz w:val="20"/>
          <w:szCs w:val="20"/>
        </w:rPr>
        <w:t xml:space="preserve">(ii) Analytical work is </w:t>
      </w:r>
      <w:proofErr w:type="gramStart"/>
      <w:r w:rsidRPr="00D82546">
        <w:rPr>
          <w:sz w:val="20"/>
          <w:szCs w:val="20"/>
        </w:rPr>
        <w:t>on-going</w:t>
      </w:r>
      <w:proofErr w:type="gramEnd"/>
      <w:r w:rsidRPr="00D82546">
        <w:rPr>
          <w:sz w:val="20"/>
          <w:szCs w:val="20"/>
        </w:rPr>
        <w:t xml:space="preserve"> on the </w:t>
      </w:r>
      <w:r w:rsidR="0087640B">
        <w:rPr>
          <w:sz w:val="20"/>
          <w:szCs w:val="20"/>
        </w:rPr>
        <w:t>“</w:t>
      </w:r>
      <w:r w:rsidRPr="00D82546">
        <w:rPr>
          <w:sz w:val="20"/>
          <w:szCs w:val="20"/>
        </w:rPr>
        <w:t xml:space="preserve">Drivers of </w:t>
      </w:r>
      <w:r w:rsidR="0087640B">
        <w:rPr>
          <w:sz w:val="20"/>
          <w:szCs w:val="20"/>
        </w:rPr>
        <w:t>D</w:t>
      </w:r>
      <w:r w:rsidRPr="00D82546">
        <w:rPr>
          <w:sz w:val="20"/>
          <w:szCs w:val="20"/>
        </w:rPr>
        <w:t>eforestation in the Congo Basin</w:t>
      </w:r>
      <w:r w:rsidR="0087640B">
        <w:rPr>
          <w:sz w:val="20"/>
          <w:szCs w:val="20"/>
        </w:rPr>
        <w:t>”</w:t>
      </w:r>
      <w:r w:rsidRPr="00D82546">
        <w:rPr>
          <w:sz w:val="20"/>
          <w:szCs w:val="20"/>
        </w:rPr>
        <w:t xml:space="preserve">. Numerous technical partners (CIRAD, IIASA, WWF, JRC, OFAC/FORAF, CIFOR. ONFI, </w:t>
      </w:r>
      <w:r w:rsidR="0087640B">
        <w:rPr>
          <w:sz w:val="20"/>
          <w:szCs w:val="20"/>
        </w:rPr>
        <w:t>etc.</w:t>
      </w:r>
      <w:r w:rsidRPr="00D82546">
        <w:rPr>
          <w:sz w:val="20"/>
          <w:szCs w:val="20"/>
        </w:rPr>
        <w:t xml:space="preserve">) </w:t>
      </w:r>
      <w:proofErr w:type="gramStart"/>
      <w:r w:rsidRPr="00D82546">
        <w:rPr>
          <w:sz w:val="20"/>
          <w:szCs w:val="20"/>
        </w:rPr>
        <w:t>will</w:t>
      </w:r>
      <w:proofErr w:type="gramEnd"/>
      <w:r w:rsidRPr="00D82546">
        <w:rPr>
          <w:sz w:val="20"/>
          <w:szCs w:val="20"/>
        </w:rPr>
        <w:t xml:space="preserve"> contribute to this work and financing will come from </w:t>
      </w:r>
      <w:r w:rsidR="00CB5FEA">
        <w:rPr>
          <w:sz w:val="20"/>
          <w:szCs w:val="20"/>
        </w:rPr>
        <w:t>WB (</w:t>
      </w:r>
      <w:r w:rsidRPr="00D82546">
        <w:rPr>
          <w:sz w:val="20"/>
          <w:szCs w:val="20"/>
        </w:rPr>
        <w:t>PROFOR,</w:t>
      </w:r>
      <w:r w:rsidR="00CB5FEA">
        <w:rPr>
          <w:sz w:val="20"/>
          <w:szCs w:val="20"/>
        </w:rPr>
        <w:t xml:space="preserve"> TFESSD, FCPF),</w:t>
      </w:r>
      <w:r w:rsidRPr="00D82546">
        <w:rPr>
          <w:sz w:val="20"/>
          <w:szCs w:val="20"/>
        </w:rPr>
        <w:t xml:space="preserve"> </w:t>
      </w:r>
      <w:r w:rsidR="00495054">
        <w:rPr>
          <w:sz w:val="20"/>
          <w:szCs w:val="20"/>
        </w:rPr>
        <w:t xml:space="preserve">and </w:t>
      </w:r>
      <w:r w:rsidRPr="00D82546">
        <w:rPr>
          <w:sz w:val="20"/>
          <w:szCs w:val="20"/>
        </w:rPr>
        <w:t>DFID</w:t>
      </w:r>
      <w:r w:rsidR="00495054">
        <w:rPr>
          <w:sz w:val="20"/>
          <w:szCs w:val="20"/>
        </w:rPr>
        <w:t>-EFO</w:t>
      </w:r>
      <w:r w:rsidR="0087640B">
        <w:rPr>
          <w:sz w:val="20"/>
          <w:szCs w:val="20"/>
        </w:rPr>
        <w:t>.</w:t>
      </w:r>
    </w:p>
    <w:p w:rsidR="00496029" w:rsidRDefault="00496029" w:rsidP="00496029">
      <w:pPr>
        <w:jc w:val="both"/>
        <w:rPr>
          <w:sz w:val="20"/>
          <w:szCs w:val="20"/>
        </w:rPr>
      </w:pPr>
      <w:r w:rsidRPr="009E7BFB">
        <w:rPr>
          <w:sz w:val="20"/>
          <w:szCs w:val="20"/>
        </w:rPr>
        <w:t xml:space="preserve">(iii) The </w:t>
      </w:r>
      <w:r w:rsidRPr="004C2F86">
        <w:rPr>
          <w:i/>
          <w:sz w:val="20"/>
          <w:szCs w:val="20"/>
        </w:rPr>
        <w:t>Agence Française de Développement</w:t>
      </w:r>
      <w:r w:rsidRPr="009E7BFB">
        <w:rPr>
          <w:sz w:val="20"/>
          <w:szCs w:val="20"/>
        </w:rPr>
        <w:t xml:space="preserve"> </w:t>
      </w:r>
      <w:r w:rsidR="00CB5FEA">
        <w:rPr>
          <w:sz w:val="20"/>
          <w:szCs w:val="20"/>
        </w:rPr>
        <w:t xml:space="preserve">(AFD) </w:t>
      </w:r>
      <w:r w:rsidRPr="009E7BFB">
        <w:rPr>
          <w:sz w:val="20"/>
          <w:szCs w:val="20"/>
        </w:rPr>
        <w:t xml:space="preserve">will finance numerous workshops on REDD in the sub-region </w:t>
      </w:r>
      <w:r>
        <w:rPr>
          <w:sz w:val="20"/>
          <w:szCs w:val="20"/>
        </w:rPr>
        <w:t>(</w:t>
      </w:r>
      <w:r w:rsidR="009128A0">
        <w:rPr>
          <w:sz w:val="20"/>
          <w:szCs w:val="20"/>
        </w:rPr>
        <w:t>e.g.</w:t>
      </w:r>
      <w:r>
        <w:rPr>
          <w:sz w:val="20"/>
          <w:szCs w:val="20"/>
        </w:rPr>
        <w:t> </w:t>
      </w:r>
      <w:r w:rsidR="009128A0">
        <w:rPr>
          <w:sz w:val="20"/>
          <w:szCs w:val="20"/>
        </w:rPr>
        <w:t>p</w:t>
      </w:r>
      <w:r>
        <w:rPr>
          <w:sz w:val="20"/>
          <w:szCs w:val="20"/>
        </w:rPr>
        <w:t xml:space="preserve">ublic awareness at national and local level). </w:t>
      </w:r>
    </w:p>
    <w:p w:rsidR="009128A0" w:rsidRDefault="009128A0" w:rsidP="00496029">
      <w:pPr>
        <w:jc w:val="both"/>
        <w:rPr>
          <w:sz w:val="20"/>
          <w:szCs w:val="20"/>
        </w:rPr>
      </w:pPr>
      <w:proofErr w:type="gramStart"/>
      <w:r>
        <w:rPr>
          <w:sz w:val="20"/>
          <w:szCs w:val="20"/>
        </w:rPr>
        <w:t>(iv) The</w:t>
      </w:r>
      <w:proofErr w:type="gramEnd"/>
      <w:r>
        <w:rPr>
          <w:sz w:val="20"/>
          <w:szCs w:val="20"/>
        </w:rPr>
        <w:t xml:space="preserve"> co-financed full-time REDD experts are already in place, office space is provided by COMIFAC. </w:t>
      </w:r>
    </w:p>
    <w:p w:rsidR="00C12A15" w:rsidRPr="009E7BFB" w:rsidRDefault="00C12A15" w:rsidP="00496029">
      <w:pPr>
        <w:jc w:val="both"/>
        <w:rPr>
          <w:sz w:val="20"/>
          <w:szCs w:val="20"/>
        </w:rPr>
      </w:pPr>
    </w:p>
    <w:p w:rsidR="00496029" w:rsidRPr="009E7BFB" w:rsidRDefault="00496029">
      <w:pPr>
        <w:rPr>
          <w:rFonts w:ascii="Times New Roman Bold" w:hAnsi="Times New Roman Bold"/>
          <w:b/>
          <w:smallCaps/>
          <w:sz w:val="22"/>
          <w:szCs w:val="22"/>
        </w:rPr>
      </w:pPr>
    </w:p>
    <w:p w:rsidR="00496029" w:rsidRDefault="00496029">
      <w:pPr>
        <w:spacing w:after="80"/>
        <w:rPr>
          <w:rFonts w:ascii="Times New Roman Bold" w:hAnsi="Times New Roman Bold"/>
          <w:b/>
          <w:smallCaps/>
          <w:sz w:val="22"/>
          <w:szCs w:val="22"/>
        </w:rPr>
      </w:pPr>
      <w:r>
        <w:rPr>
          <w:rFonts w:ascii="Times New Roman Bold" w:hAnsi="Times New Roman Bold"/>
          <w:b/>
          <w:smallCaps/>
          <w:sz w:val="22"/>
          <w:szCs w:val="22"/>
        </w:rPr>
        <w:t>c.   PPG Budget Requesting Finance by GEF</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980"/>
        <w:gridCol w:w="1260"/>
        <w:gridCol w:w="1620"/>
        <w:gridCol w:w="1260"/>
      </w:tblGrid>
      <w:tr w:rsidR="00496029">
        <w:trPr>
          <w:trHeight w:val="485"/>
        </w:trPr>
        <w:tc>
          <w:tcPr>
            <w:tcW w:w="2700" w:type="dxa"/>
            <w:vAlign w:val="center"/>
          </w:tcPr>
          <w:p w:rsidR="00496029" w:rsidRDefault="00496029">
            <w:pPr>
              <w:pStyle w:val="Heading3"/>
              <w:jc w:val="center"/>
              <w:rPr>
                <w:bCs w:val="0"/>
                <w:sz w:val="22"/>
                <w:szCs w:val="22"/>
              </w:rPr>
            </w:pPr>
            <w:r>
              <w:rPr>
                <w:bCs w:val="0"/>
                <w:sz w:val="22"/>
                <w:szCs w:val="22"/>
              </w:rPr>
              <w:t>Cost Items</w:t>
            </w:r>
          </w:p>
        </w:tc>
        <w:tc>
          <w:tcPr>
            <w:tcW w:w="1980" w:type="dxa"/>
            <w:vAlign w:val="center"/>
          </w:tcPr>
          <w:p w:rsidR="00496029" w:rsidRDefault="00496029">
            <w:pPr>
              <w:pStyle w:val="Heading3"/>
              <w:jc w:val="center"/>
              <w:rPr>
                <w:bCs w:val="0"/>
                <w:sz w:val="22"/>
                <w:szCs w:val="22"/>
              </w:rPr>
            </w:pPr>
            <w:r>
              <w:rPr>
                <w:bCs w:val="0"/>
                <w:sz w:val="22"/>
                <w:szCs w:val="22"/>
              </w:rPr>
              <w:t>Total Estimated Person Weeks (PW)</w:t>
            </w:r>
          </w:p>
          <w:p w:rsidR="00496029" w:rsidRDefault="00496029">
            <w:pPr>
              <w:jc w:val="center"/>
              <w:rPr>
                <w:b/>
                <w:sz w:val="22"/>
                <w:szCs w:val="22"/>
              </w:rPr>
            </w:pPr>
          </w:p>
        </w:tc>
        <w:tc>
          <w:tcPr>
            <w:tcW w:w="1260" w:type="dxa"/>
          </w:tcPr>
          <w:p w:rsidR="00496029" w:rsidRDefault="00496029">
            <w:pPr>
              <w:jc w:val="center"/>
              <w:rPr>
                <w:b/>
                <w:sz w:val="22"/>
                <w:szCs w:val="22"/>
              </w:rPr>
            </w:pPr>
          </w:p>
          <w:p w:rsidR="00496029" w:rsidRDefault="00496029">
            <w:pPr>
              <w:jc w:val="center"/>
              <w:rPr>
                <w:b/>
                <w:sz w:val="22"/>
                <w:szCs w:val="22"/>
              </w:rPr>
            </w:pPr>
            <w:r>
              <w:rPr>
                <w:b/>
                <w:sz w:val="22"/>
                <w:szCs w:val="22"/>
              </w:rPr>
              <w:t>GEF ($)</w:t>
            </w:r>
          </w:p>
        </w:tc>
        <w:tc>
          <w:tcPr>
            <w:tcW w:w="1620" w:type="dxa"/>
            <w:vAlign w:val="center"/>
          </w:tcPr>
          <w:p w:rsidR="00496029" w:rsidRDefault="00496029" w:rsidP="00496029">
            <w:pPr>
              <w:pStyle w:val="Heading3"/>
              <w:jc w:val="center"/>
              <w:rPr>
                <w:bCs w:val="0"/>
                <w:sz w:val="22"/>
                <w:szCs w:val="22"/>
              </w:rPr>
            </w:pPr>
            <w:r>
              <w:rPr>
                <w:bCs w:val="0"/>
                <w:sz w:val="22"/>
                <w:szCs w:val="22"/>
              </w:rPr>
              <w:t>Co-financing ($)</w:t>
            </w:r>
          </w:p>
        </w:tc>
        <w:tc>
          <w:tcPr>
            <w:tcW w:w="1260" w:type="dxa"/>
            <w:vAlign w:val="center"/>
          </w:tcPr>
          <w:p w:rsidR="00496029" w:rsidRDefault="00496029">
            <w:pPr>
              <w:pStyle w:val="Heading3"/>
              <w:jc w:val="center"/>
              <w:rPr>
                <w:bCs w:val="0"/>
                <w:sz w:val="22"/>
                <w:szCs w:val="22"/>
              </w:rPr>
            </w:pPr>
            <w:r>
              <w:rPr>
                <w:bCs w:val="0"/>
                <w:sz w:val="22"/>
                <w:szCs w:val="22"/>
              </w:rPr>
              <w:t>Total ($)</w:t>
            </w:r>
          </w:p>
        </w:tc>
      </w:tr>
      <w:tr w:rsidR="00496029">
        <w:tc>
          <w:tcPr>
            <w:tcW w:w="2700" w:type="dxa"/>
          </w:tcPr>
          <w:p w:rsidR="00496029" w:rsidRDefault="00496029">
            <w:pPr>
              <w:pStyle w:val="Heading3"/>
              <w:rPr>
                <w:b w:val="0"/>
                <w:bCs w:val="0"/>
                <w:sz w:val="22"/>
                <w:szCs w:val="22"/>
              </w:rPr>
            </w:pPr>
            <w:r>
              <w:rPr>
                <w:b w:val="0"/>
                <w:bCs w:val="0"/>
                <w:sz w:val="22"/>
                <w:szCs w:val="22"/>
              </w:rPr>
              <w:t>Local consultants *</w:t>
            </w:r>
          </w:p>
        </w:tc>
        <w:tc>
          <w:tcPr>
            <w:tcW w:w="1980" w:type="dxa"/>
          </w:tcPr>
          <w:p w:rsidR="00496029" w:rsidRPr="00C5757F" w:rsidRDefault="00847DFD">
            <w:pPr>
              <w:jc w:val="center"/>
              <w:rPr>
                <w:sz w:val="22"/>
                <w:szCs w:val="22"/>
              </w:rPr>
            </w:pPr>
            <w:r w:rsidRPr="00847DFD">
              <w:rPr>
                <w:sz w:val="22"/>
                <w:szCs w:val="22"/>
              </w:rPr>
              <w:t>142</w:t>
            </w:r>
          </w:p>
        </w:tc>
        <w:tc>
          <w:tcPr>
            <w:tcW w:w="1260" w:type="dxa"/>
            <w:shd w:val="clear" w:color="auto" w:fill="auto"/>
          </w:tcPr>
          <w:p w:rsidR="00496029" w:rsidRPr="00C5757F" w:rsidRDefault="00847DFD" w:rsidP="00496029">
            <w:pPr>
              <w:jc w:val="right"/>
              <w:rPr>
                <w:sz w:val="22"/>
                <w:szCs w:val="22"/>
              </w:rPr>
            </w:pPr>
            <w:r w:rsidRPr="00847DFD">
              <w:rPr>
                <w:sz w:val="22"/>
                <w:szCs w:val="22"/>
              </w:rPr>
              <w:t>164</w:t>
            </w:r>
            <w:r w:rsidR="00124020">
              <w:rPr>
                <w:sz w:val="22"/>
                <w:szCs w:val="22"/>
              </w:rPr>
              <w:t>,000</w:t>
            </w:r>
          </w:p>
        </w:tc>
        <w:tc>
          <w:tcPr>
            <w:tcW w:w="1620" w:type="dxa"/>
          </w:tcPr>
          <w:p w:rsidR="00496029" w:rsidRPr="00192A00" w:rsidRDefault="00124020" w:rsidP="00496029">
            <w:pPr>
              <w:jc w:val="center"/>
              <w:rPr>
                <w:sz w:val="22"/>
                <w:szCs w:val="22"/>
              </w:rPr>
            </w:pPr>
            <w:r>
              <w:rPr>
                <w:sz w:val="22"/>
                <w:szCs w:val="22"/>
              </w:rPr>
              <w:t>(i)</w:t>
            </w:r>
          </w:p>
        </w:tc>
        <w:tc>
          <w:tcPr>
            <w:tcW w:w="1260" w:type="dxa"/>
          </w:tcPr>
          <w:p w:rsidR="00496029" w:rsidRPr="00192A00" w:rsidRDefault="00496029">
            <w:pPr>
              <w:jc w:val="right"/>
              <w:rPr>
                <w:sz w:val="22"/>
                <w:szCs w:val="22"/>
                <w:highlight w:val="yellow"/>
              </w:rPr>
            </w:pPr>
          </w:p>
        </w:tc>
      </w:tr>
      <w:tr w:rsidR="00496029">
        <w:tc>
          <w:tcPr>
            <w:tcW w:w="2700" w:type="dxa"/>
            <w:tcBorders>
              <w:top w:val="single" w:sz="4" w:space="0" w:color="auto"/>
            </w:tcBorders>
          </w:tcPr>
          <w:p w:rsidR="00496029" w:rsidRDefault="00496029">
            <w:pPr>
              <w:pStyle w:val="Heading3"/>
              <w:rPr>
                <w:b w:val="0"/>
                <w:bCs w:val="0"/>
                <w:sz w:val="22"/>
                <w:szCs w:val="22"/>
              </w:rPr>
            </w:pPr>
            <w:r>
              <w:rPr>
                <w:b w:val="0"/>
                <w:bCs w:val="0"/>
                <w:sz w:val="22"/>
                <w:szCs w:val="22"/>
              </w:rPr>
              <w:t>International consultants*</w:t>
            </w:r>
          </w:p>
        </w:tc>
        <w:tc>
          <w:tcPr>
            <w:tcW w:w="1980" w:type="dxa"/>
            <w:tcBorders>
              <w:top w:val="single" w:sz="4" w:space="0" w:color="auto"/>
            </w:tcBorders>
          </w:tcPr>
          <w:p w:rsidR="00496029" w:rsidRPr="00C5757F" w:rsidRDefault="00847DFD" w:rsidP="00496029">
            <w:pPr>
              <w:jc w:val="center"/>
              <w:rPr>
                <w:sz w:val="22"/>
                <w:szCs w:val="22"/>
              </w:rPr>
            </w:pPr>
            <w:r w:rsidRPr="00847DFD">
              <w:rPr>
                <w:sz w:val="22"/>
                <w:szCs w:val="22"/>
              </w:rPr>
              <w:t>38</w:t>
            </w:r>
          </w:p>
        </w:tc>
        <w:tc>
          <w:tcPr>
            <w:tcW w:w="1260" w:type="dxa"/>
            <w:shd w:val="clear" w:color="auto" w:fill="auto"/>
          </w:tcPr>
          <w:p w:rsidR="00847DFD" w:rsidRDefault="00124020">
            <w:pPr>
              <w:jc w:val="right"/>
              <w:rPr>
                <w:sz w:val="22"/>
                <w:szCs w:val="22"/>
              </w:rPr>
            </w:pPr>
            <w:r>
              <w:rPr>
                <w:sz w:val="22"/>
                <w:szCs w:val="22"/>
              </w:rPr>
              <w:t>132,500</w:t>
            </w:r>
          </w:p>
        </w:tc>
        <w:tc>
          <w:tcPr>
            <w:tcW w:w="1620" w:type="dxa"/>
            <w:tcBorders>
              <w:top w:val="single" w:sz="4" w:space="0" w:color="auto"/>
            </w:tcBorders>
          </w:tcPr>
          <w:p w:rsidR="00496029" w:rsidRPr="00192A00" w:rsidRDefault="00124020" w:rsidP="00496029">
            <w:pPr>
              <w:jc w:val="center"/>
              <w:rPr>
                <w:sz w:val="22"/>
                <w:szCs w:val="22"/>
              </w:rPr>
            </w:pPr>
            <w:r>
              <w:rPr>
                <w:sz w:val="22"/>
                <w:szCs w:val="22"/>
              </w:rPr>
              <w:t>(i)</w:t>
            </w:r>
          </w:p>
        </w:tc>
        <w:tc>
          <w:tcPr>
            <w:tcW w:w="1260" w:type="dxa"/>
            <w:tcBorders>
              <w:top w:val="single" w:sz="4" w:space="0" w:color="auto"/>
            </w:tcBorders>
          </w:tcPr>
          <w:p w:rsidR="00496029" w:rsidRPr="00192A00" w:rsidRDefault="00496029">
            <w:pPr>
              <w:jc w:val="right"/>
              <w:rPr>
                <w:sz w:val="22"/>
                <w:szCs w:val="22"/>
                <w:highlight w:val="yellow"/>
              </w:rPr>
            </w:pPr>
          </w:p>
        </w:tc>
      </w:tr>
      <w:tr w:rsidR="00496029">
        <w:trPr>
          <w:trHeight w:val="170"/>
        </w:trPr>
        <w:tc>
          <w:tcPr>
            <w:tcW w:w="2700" w:type="dxa"/>
            <w:tcBorders>
              <w:top w:val="single" w:sz="4" w:space="0" w:color="auto"/>
              <w:left w:val="single" w:sz="4" w:space="0" w:color="auto"/>
              <w:bottom w:val="single" w:sz="4" w:space="0" w:color="auto"/>
              <w:right w:val="single" w:sz="4" w:space="0" w:color="auto"/>
            </w:tcBorders>
          </w:tcPr>
          <w:p w:rsidR="00496029" w:rsidRDefault="00496029">
            <w:pPr>
              <w:rPr>
                <w:sz w:val="22"/>
                <w:szCs w:val="22"/>
              </w:rPr>
            </w:pPr>
            <w:r>
              <w:rPr>
                <w:sz w:val="22"/>
                <w:szCs w:val="22"/>
              </w:rPr>
              <w:t>Workshops</w:t>
            </w: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496029" w:rsidRPr="00C5757F" w:rsidRDefault="00496029">
            <w:pPr>
              <w:pStyle w:val="Heading3"/>
              <w:rPr>
                <w:smallCap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96029" w:rsidRPr="00C5757F" w:rsidRDefault="00847DFD" w:rsidP="00496029">
            <w:pPr>
              <w:jc w:val="right"/>
              <w:rPr>
                <w:sz w:val="22"/>
                <w:szCs w:val="22"/>
              </w:rPr>
            </w:pPr>
            <w:r w:rsidRPr="00847DFD">
              <w:rPr>
                <w:sz w:val="22"/>
                <w:szCs w:val="22"/>
              </w:rPr>
              <w:t>41,000</w:t>
            </w:r>
          </w:p>
        </w:tc>
        <w:tc>
          <w:tcPr>
            <w:tcW w:w="1620" w:type="dxa"/>
            <w:tcBorders>
              <w:top w:val="single" w:sz="4" w:space="0" w:color="auto"/>
              <w:left w:val="single" w:sz="4" w:space="0" w:color="auto"/>
              <w:bottom w:val="single" w:sz="4" w:space="0" w:color="auto"/>
              <w:right w:val="single" w:sz="4" w:space="0" w:color="auto"/>
            </w:tcBorders>
          </w:tcPr>
          <w:p w:rsidR="00496029" w:rsidRPr="00192A00" w:rsidRDefault="00124020" w:rsidP="00496029">
            <w:pPr>
              <w:jc w:val="center"/>
              <w:rPr>
                <w:sz w:val="22"/>
                <w:szCs w:val="22"/>
              </w:rPr>
            </w:pPr>
            <w:r>
              <w:rPr>
                <w:sz w:val="22"/>
                <w:szCs w:val="22"/>
              </w:rPr>
              <w:t xml:space="preserve">(i) </w:t>
            </w:r>
          </w:p>
        </w:tc>
        <w:tc>
          <w:tcPr>
            <w:tcW w:w="1260" w:type="dxa"/>
            <w:tcBorders>
              <w:top w:val="single" w:sz="4" w:space="0" w:color="auto"/>
              <w:left w:val="single" w:sz="4" w:space="0" w:color="auto"/>
              <w:bottom w:val="single" w:sz="4" w:space="0" w:color="auto"/>
              <w:right w:val="single" w:sz="4" w:space="0" w:color="auto"/>
            </w:tcBorders>
          </w:tcPr>
          <w:p w:rsidR="00496029" w:rsidRPr="00192A00" w:rsidRDefault="00496029">
            <w:pPr>
              <w:jc w:val="right"/>
              <w:rPr>
                <w:sz w:val="22"/>
                <w:szCs w:val="22"/>
                <w:highlight w:val="yellow"/>
              </w:rPr>
            </w:pPr>
          </w:p>
        </w:tc>
      </w:tr>
      <w:tr w:rsidR="00496029">
        <w:trPr>
          <w:trHeight w:val="170"/>
        </w:trPr>
        <w:tc>
          <w:tcPr>
            <w:tcW w:w="2700" w:type="dxa"/>
            <w:tcBorders>
              <w:top w:val="single" w:sz="4" w:space="0" w:color="auto"/>
              <w:left w:val="single" w:sz="4" w:space="0" w:color="auto"/>
              <w:bottom w:val="single" w:sz="4" w:space="0" w:color="auto"/>
              <w:right w:val="single" w:sz="4" w:space="0" w:color="auto"/>
            </w:tcBorders>
          </w:tcPr>
          <w:p w:rsidR="00496029" w:rsidRDefault="00496029">
            <w:pPr>
              <w:rPr>
                <w:sz w:val="22"/>
                <w:szCs w:val="22"/>
              </w:rPr>
            </w:pPr>
            <w:r>
              <w:rPr>
                <w:sz w:val="22"/>
                <w:szCs w:val="22"/>
              </w:rPr>
              <w:t xml:space="preserve">Travel </w:t>
            </w: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496029" w:rsidRPr="00C5757F" w:rsidRDefault="00496029">
            <w:pPr>
              <w:pStyle w:val="Heading3"/>
              <w:rPr>
                <w:smallCap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96029" w:rsidRPr="00C5757F" w:rsidRDefault="00847DFD" w:rsidP="00496029">
            <w:pPr>
              <w:jc w:val="right"/>
              <w:rPr>
                <w:sz w:val="22"/>
                <w:szCs w:val="22"/>
              </w:rPr>
            </w:pPr>
            <w:r w:rsidRPr="00847DFD">
              <w:rPr>
                <w:sz w:val="22"/>
                <w:szCs w:val="22"/>
              </w:rPr>
              <w:t>56</w:t>
            </w:r>
            <w:r w:rsidR="00124020">
              <w:rPr>
                <w:sz w:val="22"/>
                <w:szCs w:val="22"/>
              </w:rPr>
              <w:t>,</w:t>
            </w:r>
            <w:r w:rsidRPr="00847DFD">
              <w:rPr>
                <w:sz w:val="22"/>
                <w:szCs w:val="22"/>
              </w:rPr>
              <w:t>5</w:t>
            </w:r>
            <w:r w:rsidR="00124020">
              <w:rPr>
                <w:sz w:val="22"/>
                <w:szCs w:val="22"/>
              </w:rPr>
              <w:t>00</w:t>
            </w:r>
          </w:p>
        </w:tc>
        <w:tc>
          <w:tcPr>
            <w:tcW w:w="1620" w:type="dxa"/>
            <w:tcBorders>
              <w:top w:val="single" w:sz="4" w:space="0" w:color="auto"/>
              <w:left w:val="single" w:sz="4" w:space="0" w:color="auto"/>
              <w:bottom w:val="single" w:sz="4" w:space="0" w:color="auto"/>
              <w:right w:val="single" w:sz="4" w:space="0" w:color="auto"/>
            </w:tcBorders>
          </w:tcPr>
          <w:p w:rsidR="00496029" w:rsidRPr="00192A00" w:rsidRDefault="00124020" w:rsidP="00496029">
            <w:pPr>
              <w:jc w:val="center"/>
              <w:rPr>
                <w:sz w:val="22"/>
                <w:szCs w:val="22"/>
              </w:rPr>
            </w:pPr>
            <w:r>
              <w:rPr>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496029" w:rsidRPr="00192A00" w:rsidRDefault="00496029">
            <w:pPr>
              <w:jc w:val="right"/>
              <w:rPr>
                <w:sz w:val="22"/>
                <w:szCs w:val="22"/>
                <w:highlight w:val="yellow"/>
              </w:rPr>
            </w:pPr>
          </w:p>
        </w:tc>
      </w:tr>
      <w:tr w:rsidR="00496029">
        <w:trPr>
          <w:trHeight w:val="170"/>
        </w:trPr>
        <w:tc>
          <w:tcPr>
            <w:tcW w:w="2700" w:type="dxa"/>
            <w:tcBorders>
              <w:top w:val="single" w:sz="4" w:space="0" w:color="auto"/>
              <w:left w:val="single" w:sz="4" w:space="0" w:color="auto"/>
              <w:bottom w:val="single" w:sz="4" w:space="0" w:color="auto"/>
              <w:right w:val="single" w:sz="4" w:space="0" w:color="auto"/>
            </w:tcBorders>
          </w:tcPr>
          <w:p w:rsidR="00496029" w:rsidRDefault="00496029">
            <w:pPr>
              <w:rPr>
                <w:sz w:val="22"/>
                <w:szCs w:val="22"/>
              </w:rPr>
            </w:pPr>
            <w:r>
              <w:rPr>
                <w:sz w:val="22"/>
                <w:szCs w:val="22"/>
              </w:rPr>
              <w:t>Operating Costs</w:t>
            </w: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496029" w:rsidRPr="00C5757F" w:rsidRDefault="00496029">
            <w:pPr>
              <w:pStyle w:val="Heading3"/>
              <w:rPr>
                <w:smallCap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96029" w:rsidRPr="00C5757F" w:rsidRDefault="00124020" w:rsidP="00496029">
            <w:pPr>
              <w:jc w:val="right"/>
              <w:rPr>
                <w:sz w:val="22"/>
                <w:szCs w:val="22"/>
              </w:rPr>
            </w:pPr>
            <w:r>
              <w:rPr>
                <w:sz w:val="22"/>
                <w:szCs w:val="22"/>
              </w:rPr>
              <w:t>5,000</w:t>
            </w:r>
          </w:p>
        </w:tc>
        <w:tc>
          <w:tcPr>
            <w:tcW w:w="1620" w:type="dxa"/>
            <w:tcBorders>
              <w:top w:val="single" w:sz="4" w:space="0" w:color="auto"/>
              <w:left w:val="single" w:sz="4" w:space="0" w:color="auto"/>
              <w:bottom w:val="single" w:sz="4" w:space="0" w:color="auto"/>
              <w:right w:val="single" w:sz="4" w:space="0" w:color="auto"/>
            </w:tcBorders>
          </w:tcPr>
          <w:p w:rsidR="00496029" w:rsidRPr="00192A00" w:rsidRDefault="00496029">
            <w:pPr>
              <w:jc w:val="right"/>
              <w:rPr>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tcPr>
          <w:p w:rsidR="00496029" w:rsidRPr="00192A00" w:rsidRDefault="00496029">
            <w:pPr>
              <w:jc w:val="right"/>
              <w:rPr>
                <w:sz w:val="22"/>
                <w:szCs w:val="22"/>
                <w:highlight w:val="yellow"/>
              </w:rPr>
            </w:pPr>
          </w:p>
        </w:tc>
      </w:tr>
      <w:tr w:rsidR="00496029">
        <w:tc>
          <w:tcPr>
            <w:tcW w:w="2700" w:type="dxa"/>
            <w:tcBorders>
              <w:top w:val="double" w:sz="4" w:space="0" w:color="auto"/>
            </w:tcBorders>
          </w:tcPr>
          <w:p w:rsidR="00496029" w:rsidRDefault="00496029">
            <w:pPr>
              <w:rPr>
                <w:b/>
                <w:sz w:val="22"/>
                <w:szCs w:val="22"/>
              </w:rPr>
            </w:pPr>
            <w:proofErr w:type="gramStart"/>
            <w:r>
              <w:rPr>
                <w:b/>
                <w:sz w:val="22"/>
                <w:szCs w:val="22"/>
              </w:rPr>
              <w:t>Total  PPG</w:t>
            </w:r>
            <w:proofErr w:type="gramEnd"/>
            <w:r>
              <w:rPr>
                <w:b/>
                <w:sz w:val="22"/>
                <w:szCs w:val="22"/>
              </w:rPr>
              <w:t xml:space="preserve"> Budget</w:t>
            </w:r>
          </w:p>
        </w:tc>
        <w:tc>
          <w:tcPr>
            <w:tcW w:w="1980" w:type="dxa"/>
            <w:tcBorders>
              <w:top w:val="double" w:sz="4" w:space="0" w:color="auto"/>
            </w:tcBorders>
            <w:shd w:val="clear" w:color="auto" w:fill="A6A6A6"/>
          </w:tcPr>
          <w:p w:rsidR="00496029" w:rsidRPr="00192A00" w:rsidRDefault="00496029">
            <w:pPr>
              <w:pStyle w:val="Heading3"/>
              <w:rPr>
                <w:smallCaps/>
                <w:sz w:val="22"/>
                <w:szCs w:val="22"/>
                <w:highlight w:val="yellow"/>
              </w:rPr>
            </w:pPr>
          </w:p>
        </w:tc>
        <w:tc>
          <w:tcPr>
            <w:tcW w:w="1260" w:type="dxa"/>
            <w:tcBorders>
              <w:top w:val="double" w:sz="4" w:space="0" w:color="auto"/>
            </w:tcBorders>
          </w:tcPr>
          <w:p w:rsidR="00496029" w:rsidRPr="00192A00" w:rsidRDefault="00847DFD" w:rsidP="00496029">
            <w:pPr>
              <w:jc w:val="right"/>
              <w:rPr>
                <w:sz w:val="22"/>
                <w:szCs w:val="22"/>
              </w:rPr>
            </w:pPr>
            <w:r w:rsidRPr="00847DFD">
              <w:rPr>
                <w:sz w:val="22"/>
                <w:szCs w:val="22"/>
              </w:rPr>
              <w:t>399</w:t>
            </w:r>
            <w:r w:rsidR="00124020">
              <w:rPr>
                <w:sz w:val="22"/>
                <w:szCs w:val="22"/>
              </w:rPr>
              <w:t>,000</w:t>
            </w:r>
          </w:p>
        </w:tc>
        <w:tc>
          <w:tcPr>
            <w:tcW w:w="1620" w:type="dxa"/>
            <w:tcBorders>
              <w:top w:val="double" w:sz="4" w:space="0" w:color="auto"/>
            </w:tcBorders>
          </w:tcPr>
          <w:p w:rsidR="00496029" w:rsidRPr="00192A00" w:rsidRDefault="00124020">
            <w:pPr>
              <w:jc w:val="right"/>
              <w:rPr>
                <w:sz w:val="22"/>
                <w:szCs w:val="22"/>
              </w:rPr>
            </w:pPr>
            <w:r>
              <w:rPr>
                <w:sz w:val="22"/>
                <w:szCs w:val="22"/>
              </w:rPr>
              <w:t>1,0</w:t>
            </w:r>
            <w:r w:rsidR="00847DFD" w:rsidRPr="00847DFD">
              <w:rPr>
                <w:sz w:val="22"/>
                <w:szCs w:val="22"/>
              </w:rPr>
              <w:t>79</w:t>
            </w:r>
            <w:r>
              <w:rPr>
                <w:sz w:val="22"/>
                <w:szCs w:val="22"/>
              </w:rPr>
              <w:t>,000</w:t>
            </w:r>
          </w:p>
        </w:tc>
        <w:tc>
          <w:tcPr>
            <w:tcW w:w="1260" w:type="dxa"/>
            <w:tcBorders>
              <w:top w:val="double" w:sz="4" w:space="0" w:color="auto"/>
            </w:tcBorders>
          </w:tcPr>
          <w:p w:rsidR="00496029" w:rsidRPr="00192A00" w:rsidRDefault="00124020">
            <w:pPr>
              <w:jc w:val="right"/>
              <w:rPr>
                <w:sz w:val="22"/>
                <w:szCs w:val="22"/>
              </w:rPr>
            </w:pPr>
            <w:r>
              <w:rPr>
                <w:sz w:val="22"/>
                <w:szCs w:val="22"/>
              </w:rPr>
              <w:t>1,</w:t>
            </w:r>
            <w:r w:rsidR="00847DFD" w:rsidRPr="00847DFD">
              <w:rPr>
                <w:sz w:val="22"/>
                <w:szCs w:val="22"/>
              </w:rPr>
              <w:t>478</w:t>
            </w:r>
            <w:r>
              <w:rPr>
                <w:sz w:val="22"/>
                <w:szCs w:val="22"/>
              </w:rPr>
              <w:t>,000</w:t>
            </w:r>
          </w:p>
        </w:tc>
      </w:tr>
    </w:tbl>
    <w:p w:rsidR="00496029" w:rsidRPr="00C74E13" w:rsidRDefault="00496029" w:rsidP="00496029">
      <w:pPr>
        <w:jc w:val="both"/>
        <w:rPr>
          <w:sz w:val="20"/>
          <w:szCs w:val="20"/>
        </w:rPr>
      </w:pPr>
      <w:r w:rsidRPr="00C74E13">
        <w:rPr>
          <w:sz w:val="20"/>
          <w:szCs w:val="20"/>
        </w:rPr>
        <w:t>*  Split between local and international consultants might be indicative and subject to the procureme</w:t>
      </w:r>
      <w:r>
        <w:rPr>
          <w:sz w:val="20"/>
          <w:szCs w:val="20"/>
        </w:rPr>
        <w:t xml:space="preserve">nt guidelines of the Agencies. </w:t>
      </w:r>
      <w:r w:rsidRPr="00C74E13">
        <w:rPr>
          <w:sz w:val="20"/>
          <w:szCs w:val="20"/>
        </w:rPr>
        <w:t>Additional information regarding consultants should be provided in Annex A.</w:t>
      </w:r>
    </w:p>
    <w:p w:rsidR="00496029" w:rsidRPr="00136308" w:rsidRDefault="00496029">
      <w:pPr>
        <w:spacing w:after="80"/>
        <w:rPr>
          <w:sz w:val="22"/>
          <w:szCs w:val="22"/>
        </w:rPr>
      </w:pPr>
    </w:p>
    <w:p w:rsidR="00496029" w:rsidRDefault="00496029" w:rsidP="00496029">
      <w:pPr>
        <w:spacing w:after="80"/>
        <w:jc w:val="both"/>
        <w:rPr>
          <w:sz w:val="22"/>
          <w:szCs w:val="22"/>
        </w:rPr>
      </w:pPr>
      <w:r>
        <w:rPr>
          <w:sz w:val="22"/>
          <w:szCs w:val="22"/>
          <w:u w:val="single"/>
        </w:rPr>
        <w:t xml:space="preserve">(i) </w:t>
      </w:r>
      <w:r w:rsidRPr="004E6089">
        <w:rPr>
          <w:sz w:val="22"/>
          <w:szCs w:val="22"/>
          <w:u w:val="single"/>
        </w:rPr>
        <w:t>Note</w:t>
      </w:r>
      <w:r>
        <w:rPr>
          <w:sz w:val="22"/>
          <w:szCs w:val="22"/>
        </w:rPr>
        <w:t xml:space="preserve">: </w:t>
      </w:r>
      <w:proofErr w:type="gramStart"/>
      <w:r>
        <w:rPr>
          <w:sz w:val="22"/>
          <w:szCs w:val="22"/>
        </w:rPr>
        <w:t>Major co-financing will be provided by t</w:t>
      </w:r>
      <w:r w:rsidRPr="00136308">
        <w:rPr>
          <w:sz w:val="22"/>
          <w:szCs w:val="22"/>
        </w:rPr>
        <w:t xml:space="preserve">he </w:t>
      </w:r>
      <w:r w:rsidRPr="00136308">
        <w:rPr>
          <w:i/>
          <w:sz w:val="22"/>
          <w:szCs w:val="22"/>
        </w:rPr>
        <w:t>Agence Française de Développement</w:t>
      </w:r>
      <w:r w:rsidRPr="00136308">
        <w:rPr>
          <w:sz w:val="22"/>
          <w:szCs w:val="22"/>
        </w:rPr>
        <w:t xml:space="preserve"> </w:t>
      </w:r>
      <w:r>
        <w:rPr>
          <w:sz w:val="22"/>
          <w:szCs w:val="22"/>
        </w:rPr>
        <w:t xml:space="preserve">and the </w:t>
      </w:r>
      <w:r w:rsidR="00192A00">
        <w:rPr>
          <w:sz w:val="22"/>
          <w:szCs w:val="22"/>
        </w:rPr>
        <w:t xml:space="preserve">WB’s </w:t>
      </w:r>
      <w:r>
        <w:rPr>
          <w:sz w:val="22"/>
          <w:szCs w:val="22"/>
        </w:rPr>
        <w:t>Forest Carbon Partnership Facility</w:t>
      </w:r>
      <w:r w:rsidR="00192A00">
        <w:rPr>
          <w:sz w:val="22"/>
          <w:szCs w:val="22"/>
        </w:rPr>
        <w:t xml:space="preserve"> (FCPF), as well as others</w:t>
      </w:r>
      <w:proofErr w:type="gramEnd"/>
      <w:r>
        <w:rPr>
          <w:sz w:val="22"/>
          <w:szCs w:val="22"/>
        </w:rPr>
        <w:t>. However, at this stage, it is impossible to distinguish the different categories (Local consultant, International consultant, travel) from the co-financing sources. The co-financing related to consultation (including travel) is estimated at US$</w:t>
      </w:r>
      <w:r w:rsidR="007E165F">
        <w:rPr>
          <w:sz w:val="22"/>
          <w:szCs w:val="22"/>
        </w:rPr>
        <w:t>779</w:t>
      </w:r>
      <w:r>
        <w:rPr>
          <w:sz w:val="22"/>
          <w:szCs w:val="22"/>
        </w:rPr>
        <w:t xml:space="preserve">,000 and an envelop of US$300,000 is targeted for consultative process (workshops and travels). </w:t>
      </w:r>
    </w:p>
    <w:p w:rsidR="00496029" w:rsidRDefault="00496029">
      <w:pPr>
        <w:spacing w:after="80"/>
        <w:rPr>
          <w:rFonts w:ascii="Times New Roman Bold" w:hAnsi="Times New Roman Bold"/>
          <w:b/>
          <w:smallCaps/>
          <w:sz w:val="22"/>
          <w:szCs w:val="22"/>
        </w:rPr>
      </w:pPr>
    </w:p>
    <w:p w:rsidR="00496029" w:rsidRDefault="00496029">
      <w:pPr>
        <w:spacing w:after="80"/>
        <w:rPr>
          <w:rFonts w:ascii="Times New Roman Bold" w:hAnsi="Times New Roman Bold"/>
          <w:b/>
          <w:smallCaps/>
          <w:sz w:val="22"/>
          <w:szCs w:val="22"/>
        </w:rPr>
      </w:pPr>
      <w:r>
        <w:rPr>
          <w:rFonts w:ascii="Times New Roman Bold" w:hAnsi="Times New Roman Bold"/>
          <w:b/>
          <w:smallCaps/>
          <w:sz w:val="22"/>
          <w:szCs w:val="22"/>
        </w:rPr>
        <w:t xml:space="preserve">d.   GEF </w:t>
      </w:r>
      <w:proofErr w:type="gramStart"/>
      <w:r>
        <w:rPr>
          <w:rFonts w:ascii="Times New Roman Bold" w:hAnsi="Times New Roman Bold"/>
          <w:b/>
          <w:smallCaps/>
          <w:sz w:val="22"/>
          <w:szCs w:val="22"/>
        </w:rPr>
        <w:t>Agency(</w:t>
      </w:r>
      <w:proofErr w:type="gramEnd"/>
      <w:r>
        <w:rPr>
          <w:rFonts w:ascii="Times New Roman Bold" w:hAnsi="Times New Roman Bold"/>
          <w:b/>
          <w:smallCaps/>
          <w:sz w:val="22"/>
          <w:szCs w:val="22"/>
        </w:rPr>
        <w:t>ies) Certification</w:t>
      </w:r>
      <w:r>
        <w:rPr>
          <w:sz w:val="22"/>
          <w:szCs w:val="22"/>
        </w:rPr>
        <w:tab/>
      </w:r>
      <w:r>
        <w:rPr>
          <w:sz w:val="22"/>
          <w:szCs w:val="22"/>
        </w:rPr>
        <w:tab/>
      </w:r>
      <w:r>
        <w:rPr>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3"/>
        <w:gridCol w:w="4785"/>
      </w:tblGrid>
      <w:tr w:rsidR="00496029">
        <w:trPr>
          <w:cantSplit/>
        </w:trPr>
        <w:tc>
          <w:tcPr>
            <w:tcW w:w="9108" w:type="dxa"/>
            <w:gridSpan w:val="2"/>
          </w:tcPr>
          <w:p w:rsidR="00496029" w:rsidRDefault="00496029">
            <w:pPr>
              <w:spacing w:after="80"/>
              <w:rPr>
                <w:sz w:val="22"/>
                <w:szCs w:val="22"/>
              </w:rPr>
            </w:pPr>
            <w:r>
              <w:rPr>
                <w:sz w:val="22"/>
                <w:szCs w:val="22"/>
              </w:rPr>
              <w:t>This request has been prepared in accordance with GEF policies and procedures and meets the GEF criteria for project identification and preparation.</w:t>
            </w:r>
          </w:p>
        </w:tc>
      </w:tr>
      <w:tr w:rsidR="00496029">
        <w:trPr>
          <w:trHeight w:val="764"/>
        </w:trPr>
        <w:tc>
          <w:tcPr>
            <w:tcW w:w="4323" w:type="dxa"/>
          </w:tcPr>
          <w:p w:rsidR="00496029" w:rsidRDefault="00496029">
            <w:pPr>
              <w:rPr>
                <w:i/>
                <w:iCs/>
                <w:sz w:val="22"/>
                <w:szCs w:val="22"/>
              </w:rPr>
            </w:pPr>
          </w:p>
          <w:p w:rsidR="00496029" w:rsidRDefault="00496029">
            <w:pPr>
              <w:rPr>
                <w:sz w:val="22"/>
                <w:szCs w:val="22"/>
              </w:rPr>
            </w:pPr>
            <w:r>
              <w:rPr>
                <w:i/>
                <w:iCs/>
                <w:sz w:val="22"/>
                <w:szCs w:val="22"/>
              </w:rPr>
              <w:t>Steve Gorman</w:t>
            </w:r>
            <w:r>
              <w:rPr>
                <w:sz w:val="22"/>
                <w:szCs w:val="22"/>
              </w:rPr>
              <w:t xml:space="preserve"> </w:t>
            </w:r>
            <w:r>
              <w:rPr>
                <w:sz w:val="22"/>
                <w:szCs w:val="22"/>
              </w:rPr>
              <w:tab/>
            </w:r>
            <w:r w:rsidR="00381AA0">
              <w:rPr>
                <w:noProof/>
              </w:rPr>
              <w:drawing>
                <wp:inline distT="0" distB="0" distL="0" distR="0">
                  <wp:extent cx="1028700" cy="466725"/>
                  <wp:effectExtent l="19050" t="0" r="0" b="0"/>
                  <wp:docPr id="1" name="Picture 1" descr="S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signature"/>
                          <pic:cNvPicPr>
                            <a:picLocks noChangeAspect="1" noChangeArrowheads="1"/>
                          </pic:cNvPicPr>
                        </pic:nvPicPr>
                        <pic:blipFill>
                          <a:blip r:embed="rId9"/>
                          <a:srcRect/>
                          <a:stretch>
                            <a:fillRect/>
                          </a:stretch>
                        </pic:blipFill>
                        <pic:spPr bwMode="auto">
                          <a:xfrm>
                            <a:off x="0" y="0"/>
                            <a:ext cx="1028700" cy="466725"/>
                          </a:xfrm>
                          <a:prstGeom prst="rect">
                            <a:avLst/>
                          </a:prstGeom>
                          <a:noFill/>
                          <a:ln w="9525">
                            <a:noFill/>
                            <a:miter lim="800000"/>
                            <a:headEnd/>
                            <a:tailEnd/>
                          </a:ln>
                        </pic:spPr>
                      </pic:pic>
                    </a:graphicData>
                  </a:graphic>
                </wp:inline>
              </w:drawing>
            </w:r>
          </w:p>
          <w:p w:rsidR="00496029" w:rsidRDefault="00496029">
            <w:pPr>
              <w:rPr>
                <w:sz w:val="22"/>
                <w:szCs w:val="22"/>
              </w:rPr>
            </w:pPr>
            <w:r>
              <w:rPr>
                <w:sz w:val="22"/>
                <w:szCs w:val="22"/>
              </w:rPr>
              <w:t>GEF Executive Coordinator, The World Bank</w:t>
            </w:r>
          </w:p>
        </w:tc>
        <w:tc>
          <w:tcPr>
            <w:tcW w:w="4785" w:type="dxa"/>
          </w:tcPr>
          <w:p w:rsidR="00496029" w:rsidRDefault="00496029">
            <w:pPr>
              <w:rPr>
                <w:sz w:val="22"/>
                <w:szCs w:val="22"/>
              </w:rPr>
            </w:pPr>
          </w:p>
          <w:p w:rsidR="00496029" w:rsidRDefault="00496029">
            <w:pPr>
              <w:rPr>
                <w:sz w:val="22"/>
                <w:szCs w:val="22"/>
              </w:rPr>
            </w:pPr>
          </w:p>
          <w:p w:rsidR="00496029" w:rsidRDefault="00496029">
            <w:pPr>
              <w:rPr>
                <w:sz w:val="22"/>
                <w:szCs w:val="22"/>
              </w:rPr>
            </w:pPr>
          </w:p>
          <w:p w:rsidR="00496029" w:rsidRPr="00FF0480" w:rsidRDefault="00496029">
            <w:pPr>
              <w:rPr>
                <w:i/>
                <w:sz w:val="22"/>
                <w:szCs w:val="22"/>
              </w:rPr>
            </w:pPr>
            <w:r w:rsidRPr="00FF0480">
              <w:rPr>
                <w:i/>
                <w:sz w:val="22"/>
                <w:szCs w:val="22"/>
              </w:rPr>
              <w:t>Christophe Crepin</w:t>
            </w:r>
          </w:p>
          <w:p w:rsidR="00496029" w:rsidRDefault="00496029">
            <w:pPr>
              <w:rPr>
                <w:sz w:val="22"/>
                <w:szCs w:val="22"/>
              </w:rPr>
            </w:pPr>
            <w:r>
              <w:rPr>
                <w:sz w:val="22"/>
                <w:szCs w:val="22"/>
              </w:rPr>
              <w:t>Regional Coordinator, The World Bank</w:t>
            </w:r>
          </w:p>
        </w:tc>
      </w:tr>
      <w:tr w:rsidR="00496029">
        <w:trPr>
          <w:trHeight w:val="296"/>
        </w:trPr>
        <w:tc>
          <w:tcPr>
            <w:tcW w:w="4323" w:type="dxa"/>
          </w:tcPr>
          <w:p w:rsidR="00496029" w:rsidRDefault="00496029" w:rsidP="00496029">
            <w:pPr>
              <w:rPr>
                <w:sz w:val="22"/>
                <w:szCs w:val="22"/>
              </w:rPr>
            </w:pPr>
            <w:r>
              <w:rPr>
                <w:sz w:val="22"/>
                <w:szCs w:val="22"/>
              </w:rPr>
              <w:t xml:space="preserve">Date: </w:t>
            </w:r>
            <w:r>
              <w:rPr>
                <w:i/>
                <w:iCs/>
                <w:sz w:val="22"/>
                <w:szCs w:val="22"/>
              </w:rPr>
              <w:t>March 25, 2009</w:t>
            </w:r>
          </w:p>
        </w:tc>
        <w:tc>
          <w:tcPr>
            <w:tcW w:w="4785" w:type="dxa"/>
          </w:tcPr>
          <w:p w:rsidR="00496029" w:rsidRDefault="00496029">
            <w:pPr>
              <w:rPr>
                <w:sz w:val="22"/>
                <w:szCs w:val="22"/>
              </w:rPr>
            </w:pPr>
            <w:r>
              <w:rPr>
                <w:sz w:val="22"/>
                <w:szCs w:val="22"/>
              </w:rPr>
              <w:t>Tel. 202-473-9727, ccrepin@worldbank.org</w:t>
            </w:r>
          </w:p>
        </w:tc>
      </w:tr>
    </w:tbl>
    <w:p w:rsidR="00496029" w:rsidRDefault="00496029">
      <w:pPr>
        <w:jc w:val="right"/>
        <w:rPr>
          <w:b/>
          <w:sz w:val="22"/>
          <w:szCs w:val="22"/>
          <w:u w:val="single"/>
        </w:rPr>
      </w:pPr>
      <w:r>
        <w:rPr>
          <w:sz w:val="22"/>
          <w:szCs w:val="22"/>
        </w:rPr>
        <w:br w:type="page"/>
      </w:r>
      <w:r>
        <w:rPr>
          <w:b/>
          <w:sz w:val="22"/>
          <w:szCs w:val="22"/>
          <w:u w:val="single"/>
        </w:rPr>
        <w:t>Annex A</w:t>
      </w:r>
    </w:p>
    <w:p w:rsidR="00496029" w:rsidRDefault="00496029">
      <w:pPr>
        <w:jc w:val="center"/>
        <w:rPr>
          <w:b/>
          <w:sz w:val="22"/>
          <w:szCs w:val="22"/>
          <w:u w:val="single"/>
        </w:rPr>
      </w:pPr>
    </w:p>
    <w:p w:rsidR="00496029" w:rsidRPr="00CE5051" w:rsidRDefault="00496029" w:rsidP="00496029">
      <w:pPr>
        <w:rPr>
          <w:b/>
          <w:bCs/>
          <w:sz w:val="22"/>
          <w:szCs w:val="22"/>
        </w:rPr>
      </w:pPr>
      <w:r w:rsidRPr="00CE5051">
        <w:rPr>
          <w:b/>
          <w:bCs/>
          <w:sz w:val="22"/>
          <w:szCs w:val="22"/>
        </w:rPr>
        <w:t xml:space="preserve">Table – Tentative summary of Consultants Financed by the Project Preparation Grant </w:t>
      </w:r>
    </w:p>
    <w:p w:rsidR="00496029" w:rsidRPr="00CE5051" w:rsidRDefault="00496029" w:rsidP="00496029">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79"/>
        <w:gridCol w:w="1989"/>
        <w:gridCol w:w="4342"/>
      </w:tblGrid>
      <w:tr w:rsidR="00496029" w:rsidRPr="005C54FA">
        <w:tc>
          <w:tcPr>
            <w:tcW w:w="2777" w:type="dxa"/>
            <w:gridSpan w:val="2"/>
            <w:tcBorders>
              <w:bottom w:val="single" w:sz="4" w:space="0" w:color="auto"/>
            </w:tcBorders>
          </w:tcPr>
          <w:p w:rsidR="00496029" w:rsidRPr="005C54FA" w:rsidRDefault="00496029" w:rsidP="00496029">
            <w:pPr>
              <w:jc w:val="center"/>
              <w:rPr>
                <w:b/>
                <w:sz w:val="22"/>
                <w:szCs w:val="22"/>
              </w:rPr>
            </w:pPr>
          </w:p>
          <w:p w:rsidR="00496029" w:rsidRPr="005C54FA" w:rsidRDefault="00496029" w:rsidP="00496029">
            <w:pPr>
              <w:jc w:val="center"/>
              <w:rPr>
                <w:b/>
                <w:sz w:val="22"/>
                <w:szCs w:val="22"/>
              </w:rPr>
            </w:pPr>
            <w:r w:rsidRPr="005C54FA">
              <w:rPr>
                <w:b/>
                <w:sz w:val="22"/>
                <w:szCs w:val="22"/>
              </w:rPr>
              <w:t>Consultants</w:t>
            </w:r>
          </w:p>
        </w:tc>
        <w:tc>
          <w:tcPr>
            <w:tcW w:w="1989" w:type="dxa"/>
            <w:tcBorders>
              <w:bottom w:val="single" w:sz="4" w:space="0" w:color="auto"/>
            </w:tcBorders>
          </w:tcPr>
          <w:p w:rsidR="00496029" w:rsidRPr="005C54FA" w:rsidRDefault="00496029" w:rsidP="00496029">
            <w:pPr>
              <w:jc w:val="center"/>
              <w:rPr>
                <w:b/>
                <w:sz w:val="22"/>
                <w:szCs w:val="22"/>
              </w:rPr>
            </w:pPr>
            <w:r w:rsidRPr="005C54FA">
              <w:rPr>
                <w:b/>
                <w:sz w:val="22"/>
                <w:szCs w:val="22"/>
              </w:rPr>
              <w:t>Estimated $/</w:t>
            </w:r>
          </w:p>
          <w:p w:rsidR="00496029" w:rsidRPr="005C54FA" w:rsidRDefault="00496029" w:rsidP="00496029">
            <w:pPr>
              <w:jc w:val="center"/>
              <w:rPr>
                <w:b/>
                <w:sz w:val="22"/>
                <w:szCs w:val="22"/>
              </w:rPr>
            </w:pPr>
            <w:proofErr w:type="gramStart"/>
            <w:r w:rsidRPr="005C54FA">
              <w:rPr>
                <w:b/>
                <w:sz w:val="22"/>
                <w:szCs w:val="22"/>
              </w:rPr>
              <w:t>person</w:t>
            </w:r>
            <w:proofErr w:type="gramEnd"/>
            <w:r w:rsidRPr="005C54FA">
              <w:rPr>
                <w:b/>
                <w:sz w:val="22"/>
                <w:szCs w:val="22"/>
              </w:rPr>
              <w:t xml:space="preserve"> week</w:t>
            </w:r>
          </w:p>
        </w:tc>
        <w:tc>
          <w:tcPr>
            <w:tcW w:w="4342" w:type="dxa"/>
            <w:tcBorders>
              <w:bottom w:val="single" w:sz="4" w:space="0" w:color="auto"/>
            </w:tcBorders>
          </w:tcPr>
          <w:p w:rsidR="00496029" w:rsidRPr="005C54FA" w:rsidRDefault="00496029" w:rsidP="00496029">
            <w:pPr>
              <w:jc w:val="center"/>
              <w:rPr>
                <w:b/>
                <w:sz w:val="22"/>
                <w:szCs w:val="22"/>
              </w:rPr>
            </w:pPr>
          </w:p>
          <w:p w:rsidR="00496029" w:rsidRPr="005C54FA" w:rsidRDefault="00496029" w:rsidP="00496029">
            <w:pPr>
              <w:jc w:val="center"/>
              <w:rPr>
                <w:b/>
                <w:sz w:val="22"/>
                <w:szCs w:val="22"/>
              </w:rPr>
            </w:pPr>
            <w:r w:rsidRPr="005C54FA">
              <w:rPr>
                <w:b/>
                <w:sz w:val="22"/>
                <w:szCs w:val="22"/>
              </w:rPr>
              <w:t>Tasks to be performed</w:t>
            </w:r>
          </w:p>
        </w:tc>
      </w:tr>
      <w:tr w:rsidR="00496029" w:rsidRPr="005C54FA">
        <w:tc>
          <w:tcPr>
            <w:tcW w:w="9108" w:type="dxa"/>
            <w:gridSpan w:val="4"/>
            <w:shd w:val="clear" w:color="auto" w:fill="E6E6E6"/>
          </w:tcPr>
          <w:p w:rsidR="00496029" w:rsidRPr="005C54FA" w:rsidRDefault="00496029" w:rsidP="00496029">
            <w:pPr>
              <w:rPr>
                <w:sz w:val="22"/>
                <w:szCs w:val="22"/>
              </w:rPr>
            </w:pPr>
            <w:r w:rsidRPr="005C54FA">
              <w:rPr>
                <w:b/>
                <w:bCs/>
                <w:sz w:val="22"/>
                <w:szCs w:val="22"/>
              </w:rPr>
              <w:t>National</w:t>
            </w:r>
            <w:r w:rsidR="00612073">
              <w:rPr>
                <w:rStyle w:val="FootnoteReference"/>
                <w:b/>
                <w:bCs/>
                <w:sz w:val="22"/>
                <w:szCs w:val="22"/>
              </w:rPr>
              <w:footnoteReference w:id="2"/>
            </w:r>
          </w:p>
        </w:tc>
      </w:tr>
      <w:tr w:rsidR="00496029" w:rsidRPr="005C54FA">
        <w:tc>
          <w:tcPr>
            <w:tcW w:w="2777" w:type="dxa"/>
            <w:gridSpan w:val="2"/>
          </w:tcPr>
          <w:p w:rsidR="00496029" w:rsidRDefault="00496029" w:rsidP="00496029">
            <w:pPr>
              <w:rPr>
                <w:sz w:val="22"/>
                <w:szCs w:val="22"/>
              </w:rPr>
            </w:pPr>
            <w:r>
              <w:rPr>
                <w:sz w:val="22"/>
                <w:szCs w:val="22"/>
              </w:rPr>
              <w:t>Institutional Specialist (2)</w:t>
            </w:r>
          </w:p>
        </w:tc>
        <w:tc>
          <w:tcPr>
            <w:tcW w:w="1989" w:type="dxa"/>
          </w:tcPr>
          <w:p w:rsidR="00496029" w:rsidRDefault="00496029" w:rsidP="00496029">
            <w:pPr>
              <w:jc w:val="center"/>
              <w:rPr>
                <w:sz w:val="22"/>
                <w:szCs w:val="22"/>
              </w:rPr>
            </w:pPr>
            <w:r>
              <w:rPr>
                <w:sz w:val="22"/>
                <w:szCs w:val="22"/>
              </w:rPr>
              <w:t>2</w:t>
            </w:r>
            <w:r w:rsidR="007F2BAD">
              <w:rPr>
                <w:sz w:val="22"/>
                <w:szCs w:val="22"/>
              </w:rPr>
              <w:t>*</w:t>
            </w:r>
            <w:r>
              <w:rPr>
                <w:sz w:val="22"/>
                <w:szCs w:val="22"/>
              </w:rPr>
              <w:t>4@1,500/week</w:t>
            </w:r>
          </w:p>
        </w:tc>
        <w:tc>
          <w:tcPr>
            <w:tcW w:w="4342" w:type="dxa"/>
          </w:tcPr>
          <w:p w:rsidR="00496029" w:rsidRDefault="00496029" w:rsidP="00612073">
            <w:pPr>
              <w:rPr>
                <w:sz w:val="22"/>
                <w:szCs w:val="22"/>
              </w:rPr>
            </w:pPr>
            <w:r>
              <w:rPr>
                <w:sz w:val="22"/>
                <w:szCs w:val="22"/>
              </w:rPr>
              <w:t xml:space="preserve">Policy &amp; Institutional Review – specific focus on CAR and Eq. Guinea: review institutional set-up and existing technical capacities; carry out capacity needs assessment; develop institutional strengthening and capacity building plan; </w:t>
            </w:r>
          </w:p>
        </w:tc>
      </w:tr>
      <w:tr w:rsidR="00496029" w:rsidRPr="005C54FA">
        <w:tc>
          <w:tcPr>
            <w:tcW w:w="2777" w:type="dxa"/>
            <w:gridSpan w:val="2"/>
          </w:tcPr>
          <w:p w:rsidR="00496029" w:rsidRDefault="00496029" w:rsidP="00496029">
            <w:pPr>
              <w:rPr>
                <w:sz w:val="22"/>
                <w:szCs w:val="22"/>
              </w:rPr>
            </w:pPr>
            <w:r>
              <w:rPr>
                <w:sz w:val="22"/>
                <w:szCs w:val="22"/>
              </w:rPr>
              <w:t>Forest Specialist/GIS Specialist (3)</w:t>
            </w:r>
          </w:p>
        </w:tc>
        <w:tc>
          <w:tcPr>
            <w:tcW w:w="1989" w:type="dxa"/>
          </w:tcPr>
          <w:p w:rsidR="00496029" w:rsidRDefault="00496029" w:rsidP="00496029">
            <w:pPr>
              <w:jc w:val="center"/>
              <w:rPr>
                <w:sz w:val="22"/>
                <w:szCs w:val="22"/>
              </w:rPr>
            </w:pPr>
            <w:r>
              <w:rPr>
                <w:sz w:val="22"/>
                <w:szCs w:val="22"/>
              </w:rPr>
              <w:t>3*2</w:t>
            </w:r>
            <w:r w:rsidRPr="00DE0E51">
              <w:rPr>
                <w:sz w:val="22"/>
                <w:szCs w:val="22"/>
              </w:rPr>
              <w:t>@1</w:t>
            </w:r>
            <w:r>
              <w:rPr>
                <w:sz w:val="22"/>
                <w:szCs w:val="22"/>
              </w:rPr>
              <w:t>,500/week</w:t>
            </w:r>
          </w:p>
        </w:tc>
        <w:tc>
          <w:tcPr>
            <w:tcW w:w="4342" w:type="dxa"/>
          </w:tcPr>
          <w:p w:rsidR="00496029" w:rsidRDefault="00496029" w:rsidP="00496029">
            <w:pPr>
              <w:rPr>
                <w:sz w:val="22"/>
                <w:szCs w:val="22"/>
              </w:rPr>
            </w:pPr>
            <w:r>
              <w:rPr>
                <w:sz w:val="22"/>
                <w:szCs w:val="22"/>
              </w:rPr>
              <w:t xml:space="preserve">Gap analysis of capacities on forest monitoring and carbon measurement: carry out </w:t>
            </w:r>
            <w:proofErr w:type="gramStart"/>
            <w:r>
              <w:rPr>
                <w:sz w:val="22"/>
                <w:szCs w:val="22"/>
              </w:rPr>
              <w:t>stock-taking</w:t>
            </w:r>
            <w:proofErr w:type="gramEnd"/>
            <w:r>
              <w:rPr>
                <w:sz w:val="22"/>
                <w:szCs w:val="22"/>
              </w:rPr>
              <w:t xml:space="preserve"> exercise on data available on forest resources and identify gaps.</w:t>
            </w:r>
            <w:r w:rsidR="00612073">
              <w:rPr>
                <w:sz w:val="22"/>
                <w:szCs w:val="22"/>
              </w:rPr>
              <w:t xml:space="preserve"> </w:t>
            </w:r>
          </w:p>
        </w:tc>
      </w:tr>
      <w:tr w:rsidR="00612073" w:rsidRPr="005C54FA">
        <w:tc>
          <w:tcPr>
            <w:tcW w:w="2777" w:type="dxa"/>
            <w:gridSpan w:val="2"/>
          </w:tcPr>
          <w:p w:rsidR="00612073" w:rsidRDefault="00612073" w:rsidP="005452E9">
            <w:pPr>
              <w:rPr>
                <w:sz w:val="22"/>
                <w:szCs w:val="22"/>
              </w:rPr>
            </w:pPr>
            <w:r>
              <w:rPr>
                <w:sz w:val="22"/>
                <w:szCs w:val="22"/>
              </w:rPr>
              <w:t>Land tenure specialist (3)</w:t>
            </w:r>
          </w:p>
        </w:tc>
        <w:tc>
          <w:tcPr>
            <w:tcW w:w="1989" w:type="dxa"/>
          </w:tcPr>
          <w:p w:rsidR="00612073" w:rsidRDefault="00612073" w:rsidP="005452E9">
            <w:pPr>
              <w:jc w:val="center"/>
              <w:rPr>
                <w:sz w:val="22"/>
                <w:szCs w:val="22"/>
              </w:rPr>
            </w:pPr>
            <w:r>
              <w:rPr>
                <w:sz w:val="22"/>
                <w:szCs w:val="22"/>
              </w:rPr>
              <w:t>3</w:t>
            </w:r>
            <w:r w:rsidR="007F2BAD">
              <w:rPr>
                <w:sz w:val="22"/>
                <w:szCs w:val="22"/>
              </w:rPr>
              <w:t>*</w:t>
            </w:r>
            <w:r>
              <w:rPr>
                <w:sz w:val="22"/>
                <w:szCs w:val="22"/>
              </w:rPr>
              <w:t>3</w:t>
            </w:r>
            <w:r w:rsidRPr="00DE0E51">
              <w:rPr>
                <w:sz w:val="22"/>
                <w:szCs w:val="22"/>
              </w:rPr>
              <w:t>@1</w:t>
            </w:r>
            <w:r>
              <w:rPr>
                <w:sz w:val="22"/>
                <w:szCs w:val="22"/>
              </w:rPr>
              <w:t>,500/week</w:t>
            </w:r>
          </w:p>
        </w:tc>
        <w:tc>
          <w:tcPr>
            <w:tcW w:w="4342" w:type="dxa"/>
          </w:tcPr>
          <w:p w:rsidR="00612073" w:rsidRDefault="00612073" w:rsidP="005452E9">
            <w:pPr>
              <w:rPr>
                <w:sz w:val="22"/>
                <w:szCs w:val="22"/>
              </w:rPr>
            </w:pPr>
            <w:r>
              <w:rPr>
                <w:sz w:val="22"/>
                <w:szCs w:val="22"/>
              </w:rPr>
              <w:t>Carry –out study on land tenure and land access aspects, with special focus on opportunities and barriers for carbon revenue distribution, in specific countries.</w:t>
            </w:r>
          </w:p>
        </w:tc>
      </w:tr>
      <w:tr w:rsidR="00496029" w:rsidRPr="005C54FA">
        <w:tc>
          <w:tcPr>
            <w:tcW w:w="2777" w:type="dxa"/>
            <w:gridSpan w:val="2"/>
          </w:tcPr>
          <w:p w:rsidR="00496029" w:rsidRDefault="00496029" w:rsidP="00496029">
            <w:pPr>
              <w:rPr>
                <w:sz w:val="22"/>
                <w:szCs w:val="22"/>
              </w:rPr>
            </w:pPr>
            <w:r>
              <w:rPr>
                <w:sz w:val="22"/>
                <w:szCs w:val="22"/>
              </w:rPr>
              <w:t>National experts with research institution (6)</w:t>
            </w:r>
          </w:p>
        </w:tc>
        <w:tc>
          <w:tcPr>
            <w:tcW w:w="1989" w:type="dxa"/>
          </w:tcPr>
          <w:p w:rsidR="00496029" w:rsidRDefault="00496029" w:rsidP="00496029">
            <w:pPr>
              <w:jc w:val="center"/>
              <w:rPr>
                <w:sz w:val="22"/>
                <w:szCs w:val="22"/>
              </w:rPr>
            </w:pPr>
            <w:r>
              <w:rPr>
                <w:sz w:val="22"/>
                <w:szCs w:val="22"/>
              </w:rPr>
              <w:t>6</w:t>
            </w:r>
            <w:r w:rsidR="007F2BAD">
              <w:rPr>
                <w:sz w:val="22"/>
                <w:szCs w:val="22"/>
              </w:rPr>
              <w:t>*</w:t>
            </w:r>
            <w:r>
              <w:rPr>
                <w:sz w:val="22"/>
                <w:szCs w:val="22"/>
              </w:rPr>
              <w:t>2</w:t>
            </w:r>
            <w:r w:rsidRPr="00DE0E51">
              <w:rPr>
                <w:sz w:val="22"/>
                <w:szCs w:val="22"/>
              </w:rPr>
              <w:t>@1</w:t>
            </w:r>
            <w:r>
              <w:rPr>
                <w:sz w:val="22"/>
                <w:szCs w:val="22"/>
              </w:rPr>
              <w:t>,500/week</w:t>
            </w:r>
          </w:p>
        </w:tc>
        <w:tc>
          <w:tcPr>
            <w:tcW w:w="4342" w:type="dxa"/>
          </w:tcPr>
          <w:p w:rsidR="00496029" w:rsidRDefault="00496029" w:rsidP="00612073">
            <w:pPr>
              <w:rPr>
                <w:sz w:val="22"/>
                <w:szCs w:val="22"/>
              </w:rPr>
            </w:pPr>
            <w:r>
              <w:rPr>
                <w:sz w:val="22"/>
                <w:szCs w:val="22"/>
              </w:rPr>
              <w:t>Definition of Carbon measurement (and monitoring</w:t>
            </w:r>
            <w:r w:rsidR="00612073">
              <w:rPr>
                <w:sz w:val="22"/>
                <w:szCs w:val="22"/>
              </w:rPr>
              <w:t>)</w:t>
            </w:r>
            <w:r>
              <w:rPr>
                <w:sz w:val="22"/>
                <w:szCs w:val="22"/>
              </w:rPr>
              <w:t xml:space="preserve"> methodology: </w:t>
            </w:r>
            <w:r w:rsidR="00612073">
              <w:rPr>
                <w:sz w:val="22"/>
                <w:szCs w:val="22"/>
              </w:rPr>
              <w:t xml:space="preserve">identify on-going any activities conducted at the country level (Forest inventories, REDD project) that could contribute to the carbon measurement/monitoring </w:t>
            </w:r>
            <w:r>
              <w:rPr>
                <w:sz w:val="22"/>
                <w:szCs w:val="22"/>
              </w:rPr>
              <w:t>and review scientific capacities available in the Congo Basin</w:t>
            </w:r>
            <w:r w:rsidR="00612073">
              <w:rPr>
                <w:sz w:val="22"/>
                <w:szCs w:val="22"/>
              </w:rPr>
              <w:t xml:space="preserve"> countries</w:t>
            </w:r>
            <w:r>
              <w:rPr>
                <w:sz w:val="22"/>
                <w:szCs w:val="22"/>
              </w:rPr>
              <w:t>.</w:t>
            </w:r>
          </w:p>
        </w:tc>
      </w:tr>
      <w:tr w:rsidR="00496029" w:rsidRPr="005C54FA">
        <w:tc>
          <w:tcPr>
            <w:tcW w:w="2777" w:type="dxa"/>
            <w:gridSpan w:val="2"/>
          </w:tcPr>
          <w:p w:rsidR="00496029" w:rsidRDefault="00496029" w:rsidP="00496029">
            <w:pPr>
              <w:rPr>
                <w:sz w:val="22"/>
                <w:szCs w:val="22"/>
              </w:rPr>
            </w:pPr>
            <w:r>
              <w:rPr>
                <w:sz w:val="22"/>
                <w:szCs w:val="22"/>
              </w:rPr>
              <w:t>Forest/Energy Specialist (4)</w:t>
            </w:r>
          </w:p>
        </w:tc>
        <w:tc>
          <w:tcPr>
            <w:tcW w:w="1989" w:type="dxa"/>
          </w:tcPr>
          <w:p w:rsidR="00496029" w:rsidRDefault="00496029" w:rsidP="00496029">
            <w:pPr>
              <w:jc w:val="center"/>
              <w:rPr>
                <w:sz w:val="22"/>
                <w:szCs w:val="22"/>
              </w:rPr>
            </w:pPr>
            <w:r>
              <w:rPr>
                <w:sz w:val="22"/>
                <w:szCs w:val="22"/>
              </w:rPr>
              <w:t>4</w:t>
            </w:r>
            <w:r w:rsidR="007F2BAD">
              <w:rPr>
                <w:sz w:val="22"/>
                <w:szCs w:val="22"/>
              </w:rPr>
              <w:t>*</w:t>
            </w:r>
            <w:r>
              <w:rPr>
                <w:sz w:val="22"/>
                <w:szCs w:val="22"/>
              </w:rPr>
              <w:t>4</w:t>
            </w:r>
            <w:r w:rsidRPr="00DE0E51">
              <w:rPr>
                <w:sz w:val="22"/>
                <w:szCs w:val="22"/>
              </w:rPr>
              <w:t>@1</w:t>
            </w:r>
            <w:r>
              <w:rPr>
                <w:sz w:val="22"/>
                <w:szCs w:val="22"/>
              </w:rPr>
              <w:t>,500/week</w:t>
            </w:r>
          </w:p>
        </w:tc>
        <w:tc>
          <w:tcPr>
            <w:tcW w:w="4342" w:type="dxa"/>
          </w:tcPr>
          <w:p w:rsidR="00496029" w:rsidRDefault="00496029" w:rsidP="00741671">
            <w:pPr>
              <w:rPr>
                <w:sz w:val="22"/>
                <w:szCs w:val="22"/>
              </w:rPr>
            </w:pPr>
            <w:r>
              <w:rPr>
                <w:sz w:val="22"/>
                <w:szCs w:val="22"/>
              </w:rPr>
              <w:t>Inventory of SFM projects</w:t>
            </w:r>
            <w:r w:rsidR="00741671">
              <w:rPr>
                <w:sz w:val="22"/>
                <w:szCs w:val="22"/>
              </w:rPr>
              <w:t xml:space="preserve"> at the national level</w:t>
            </w:r>
            <w:r>
              <w:rPr>
                <w:sz w:val="22"/>
                <w:szCs w:val="22"/>
              </w:rPr>
              <w:t xml:space="preserve"> &amp; </w:t>
            </w:r>
            <w:r w:rsidR="00612073">
              <w:rPr>
                <w:sz w:val="22"/>
                <w:szCs w:val="22"/>
              </w:rPr>
              <w:t>make a prelim</w:t>
            </w:r>
            <w:r w:rsidR="00741671">
              <w:rPr>
                <w:sz w:val="22"/>
                <w:szCs w:val="22"/>
              </w:rPr>
              <w:t>i</w:t>
            </w:r>
            <w:r w:rsidR="00612073">
              <w:rPr>
                <w:sz w:val="22"/>
                <w:szCs w:val="22"/>
              </w:rPr>
              <w:t xml:space="preserve">nary assessment based on </w:t>
            </w:r>
            <w:r w:rsidR="00741671">
              <w:rPr>
                <w:sz w:val="22"/>
                <w:szCs w:val="22"/>
              </w:rPr>
              <w:t>defined criteria, specifically on carbon benefits</w:t>
            </w:r>
          </w:p>
        </w:tc>
      </w:tr>
      <w:tr w:rsidR="00496029" w:rsidRPr="005C54FA">
        <w:tc>
          <w:tcPr>
            <w:tcW w:w="2777" w:type="dxa"/>
            <w:gridSpan w:val="2"/>
          </w:tcPr>
          <w:p w:rsidR="00496029" w:rsidRDefault="00496029" w:rsidP="00496029">
            <w:pPr>
              <w:rPr>
                <w:sz w:val="22"/>
                <w:szCs w:val="22"/>
              </w:rPr>
            </w:pPr>
            <w:r>
              <w:rPr>
                <w:sz w:val="22"/>
                <w:szCs w:val="22"/>
              </w:rPr>
              <w:t>M&amp;E Specialist (1)</w:t>
            </w:r>
          </w:p>
        </w:tc>
        <w:tc>
          <w:tcPr>
            <w:tcW w:w="1989" w:type="dxa"/>
          </w:tcPr>
          <w:p w:rsidR="00496029" w:rsidRDefault="00496029" w:rsidP="00496029">
            <w:pPr>
              <w:jc w:val="center"/>
              <w:rPr>
                <w:sz w:val="22"/>
                <w:szCs w:val="22"/>
              </w:rPr>
            </w:pPr>
            <w:r>
              <w:rPr>
                <w:sz w:val="22"/>
                <w:szCs w:val="22"/>
              </w:rPr>
              <w:t>1*3</w:t>
            </w:r>
            <w:r w:rsidRPr="00DE0E51">
              <w:rPr>
                <w:sz w:val="22"/>
                <w:szCs w:val="22"/>
              </w:rPr>
              <w:t>@1</w:t>
            </w:r>
            <w:r>
              <w:rPr>
                <w:sz w:val="22"/>
                <w:szCs w:val="22"/>
              </w:rPr>
              <w:t>,500/week</w:t>
            </w:r>
          </w:p>
        </w:tc>
        <w:tc>
          <w:tcPr>
            <w:tcW w:w="4342" w:type="dxa"/>
          </w:tcPr>
          <w:p w:rsidR="00496029" w:rsidRDefault="00496029" w:rsidP="00741671">
            <w:pPr>
              <w:rPr>
                <w:sz w:val="22"/>
                <w:szCs w:val="22"/>
              </w:rPr>
            </w:pPr>
            <w:r>
              <w:rPr>
                <w:sz w:val="22"/>
                <w:szCs w:val="22"/>
              </w:rPr>
              <w:t>Definition of M&amp;E indicators and system parameters</w:t>
            </w:r>
            <w:r w:rsidR="00741671">
              <w:rPr>
                <w:sz w:val="22"/>
                <w:szCs w:val="22"/>
              </w:rPr>
              <w:t xml:space="preserve"> at the country-level to be included in the </w:t>
            </w:r>
            <w:r>
              <w:rPr>
                <w:sz w:val="22"/>
                <w:szCs w:val="22"/>
              </w:rPr>
              <w:t>project-wide M&amp;E system</w:t>
            </w:r>
          </w:p>
        </w:tc>
      </w:tr>
      <w:tr w:rsidR="00496029" w:rsidRPr="005C54FA">
        <w:tc>
          <w:tcPr>
            <w:tcW w:w="2777" w:type="dxa"/>
            <w:gridSpan w:val="2"/>
          </w:tcPr>
          <w:p w:rsidR="00496029" w:rsidRPr="005C54FA" w:rsidRDefault="00496029" w:rsidP="00496029">
            <w:pPr>
              <w:rPr>
                <w:sz w:val="22"/>
                <w:szCs w:val="22"/>
              </w:rPr>
            </w:pPr>
            <w:r>
              <w:rPr>
                <w:sz w:val="22"/>
                <w:szCs w:val="22"/>
              </w:rPr>
              <w:t>Communication/community participation specialist (3)</w:t>
            </w:r>
          </w:p>
        </w:tc>
        <w:tc>
          <w:tcPr>
            <w:tcW w:w="1989" w:type="dxa"/>
          </w:tcPr>
          <w:p w:rsidR="00496029" w:rsidRPr="005C54FA" w:rsidRDefault="00496029" w:rsidP="00496029">
            <w:pPr>
              <w:jc w:val="center"/>
              <w:rPr>
                <w:sz w:val="22"/>
                <w:szCs w:val="22"/>
              </w:rPr>
            </w:pPr>
            <w:r>
              <w:rPr>
                <w:sz w:val="22"/>
                <w:szCs w:val="22"/>
              </w:rPr>
              <w:t>3*2@1,500/week</w:t>
            </w:r>
          </w:p>
        </w:tc>
        <w:tc>
          <w:tcPr>
            <w:tcW w:w="4342" w:type="dxa"/>
          </w:tcPr>
          <w:p w:rsidR="00496029" w:rsidRPr="005C54FA" w:rsidRDefault="00496029" w:rsidP="00496029">
            <w:pPr>
              <w:rPr>
                <w:sz w:val="22"/>
                <w:szCs w:val="22"/>
              </w:rPr>
            </w:pPr>
            <w:r>
              <w:rPr>
                <w:sz w:val="22"/>
                <w:szCs w:val="22"/>
              </w:rPr>
              <w:t>Consultation Process: Prepare and facilitate various workshop and consultation activities</w:t>
            </w:r>
          </w:p>
        </w:tc>
      </w:tr>
      <w:tr w:rsidR="00496029" w:rsidRPr="005C54FA">
        <w:tc>
          <w:tcPr>
            <w:tcW w:w="2777" w:type="dxa"/>
            <w:gridSpan w:val="2"/>
          </w:tcPr>
          <w:p w:rsidR="00496029" w:rsidRDefault="000D48D9" w:rsidP="00496029">
            <w:pPr>
              <w:rPr>
                <w:sz w:val="22"/>
                <w:szCs w:val="22"/>
              </w:rPr>
            </w:pPr>
            <w:r>
              <w:rPr>
                <w:sz w:val="22"/>
                <w:szCs w:val="22"/>
              </w:rPr>
              <w:t>Project d</w:t>
            </w:r>
            <w:r w:rsidR="00E928D1">
              <w:rPr>
                <w:sz w:val="22"/>
                <w:szCs w:val="22"/>
              </w:rPr>
              <w:t>evelopment and design experts (4</w:t>
            </w:r>
            <w:r>
              <w:rPr>
                <w:sz w:val="22"/>
                <w:szCs w:val="22"/>
              </w:rPr>
              <w:t>)</w:t>
            </w:r>
          </w:p>
        </w:tc>
        <w:tc>
          <w:tcPr>
            <w:tcW w:w="1989" w:type="dxa"/>
          </w:tcPr>
          <w:p w:rsidR="00496029" w:rsidRPr="00E928D1" w:rsidRDefault="00124020" w:rsidP="00496029">
            <w:pPr>
              <w:jc w:val="center"/>
              <w:rPr>
                <w:sz w:val="22"/>
                <w:szCs w:val="22"/>
              </w:rPr>
            </w:pPr>
            <w:r>
              <w:rPr>
                <w:sz w:val="22"/>
                <w:szCs w:val="22"/>
              </w:rPr>
              <w:t>3*4@1,500/week</w:t>
            </w:r>
          </w:p>
          <w:p w:rsidR="00E928D1" w:rsidRPr="00E928D1" w:rsidRDefault="00124020" w:rsidP="00496029">
            <w:pPr>
              <w:jc w:val="center"/>
              <w:rPr>
                <w:sz w:val="22"/>
                <w:szCs w:val="22"/>
              </w:rPr>
            </w:pPr>
            <w:r>
              <w:rPr>
                <w:sz w:val="22"/>
                <w:szCs w:val="22"/>
              </w:rPr>
              <w:t>1*5@800/week</w:t>
            </w:r>
          </w:p>
        </w:tc>
        <w:tc>
          <w:tcPr>
            <w:tcW w:w="4342" w:type="dxa"/>
          </w:tcPr>
          <w:p w:rsidR="00847DFD" w:rsidRDefault="00F10D18">
            <w:pPr>
              <w:rPr>
                <w:sz w:val="22"/>
                <w:szCs w:val="22"/>
              </w:rPr>
            </w:pPr>
            <w:r>
              <w:rPr>
                <w:sz w:val="22"/>
                <w:szCs w:val="22"/>
              </w:rPr>
              <w:t>Input to the development</w:t>
            </w:r>
            <w:r w:rsidR="000D48D9">
              <w:rPr>
                <w:sz w:val="22"/>
                <w:szCs w:val="22"/>
              </w:rPr>
              <w:t xml:space="preserve"> of the </w:t>
            </w:r>
            <w:r w:rsidR="00015899">
              <w:rPr>
                <w:sz w:val="22"/>
                <w:szCs w:val="22"/>
              </w:rPr>
              <w:t>Project Implementation Manual (</w:t>
            </w:r>
            <w:r w:rsidR="000D48D9">
              <w:rPr>
                <w:sz w:val="22"/>
                <w:szCs w:val="22"/>
              </w:rPr>
              <w:t>PIM</w:t>
            </w:r>
            <w:r w:rsidR="00015899">
              <w:rPr>
                <w:sz w:val="22"/>
                <w:szCs w:val="22"/>
              </w:rPr>
              <w:t>)</w:t>
            </w:r>
            <w:r w:rsidR="000D48D9">
              <w:rPr>
                <w:sz w:val="22"/>
                <w:szCs w:val="22"/>
              </w:rPr>
              <w:t xml:space="preserve"> as well as sub-manuals</w:t>
            </w:r>
            <w:r>
              <w:rPr>
                <w:sz w:val="22"/>
                <w:szCs w:val="22"/>
              </w:rPr>
              <w:t>.</w:t>
            </w:r>
          </w:p>
        </w:tc>
      </w:tr>
      <w:tr w:rsidR="00741671" w:rsidRPr="005C54FA">
        <w:tc>
          <w:tcPr>
            <w:tcW w:w="2777" w:type="dxa"/>
            <w:gridSpan w:val="2"/>
          </w:tcPr>
          <w:p w:rsidR="00847DFD" w:rsidRDefault="00015899">
            <w:pPr>
              <w:rPr>
                <w:sz w:val="22"/>
                <w:szCs w:val="22"/>
              </w:rPr>
            </w:pPr>
            <w:r>
              <w:rPr>
                <w:sz w:val="22"/>
                <w:szCs w:val="22"/>
              </w:rPr>
              <w:t xml:space="preserve">Capacity building specialist for project management </w:t>
            </w:r>
            <w:r w:rsidR="00741671">
              <w:rPr>
                <w:sz w:val="22"/>
                <w:szCs w:val="22"/>
              </w:rPr>
              <w:t>(1)</w:t>
            </w:r>
          </w:p>
        </w:tc>
        <w:tc>
          <w:tcPr>
            <w:tcW w:w="1989" w:type="dxa"/>
          </w:tcPr>
          <w:p w:rsidR="00741671" w:rsidRPr="00E928D1" w:rsidRDefault="00124020" w:rsidP="005452E9">
            <w:pPr>
              <w:jc w:val="center"/>
              <w:rPr>
                <w:sz w:val="22"/>
                <w:szCs w:val="22"/>
              </w:rPr>
            </w:pPr>
            <w:r>
              <w:rPr>
                <w:sz w:val="22"/>
                <w:szCs w:val="22"/>
              </w:rPr>
              <w:t>1*</w:t>
            </w:r>
            <w:r w:rsidR="00847DFD" w:rsidRPr="00847DFD">
              <w:rPr>
                <w:sz w:val="22"/>
                <w:szCs w:val="22"/>
              </w:rPr>
              <w:t>16</w:t>
            </w:r>
            <w:r>
              <w:rPr>
                <w:sz w:val="22"/>
                <w:szCs w:val="22"/>
              </w:rPr>
              <w:t>@</w:t>
            </w:r>
            <w:r w:rsidR="00847DFD" w:rsidRPr="00847DFD">
              <w:rPr>
                <w:sz w:val="22"/>
                <w:szCs w:val="22"/>
              </w:rPr>
              <w:t>800</w:t>
            </w:r>
            <w:r>
              <w:rPr>
                <w:sz w:val="22"/>
                <w:szCs w:val="22"/>
              </w:rPr>
              <w:t>/week</w:t>
            </w:r>
          </w:p>
        </w:tc>
        <w:tc>
          <w:tcPr>
            <w:tcW w:w="4342" w:type="dxa"/>
          </w:tcPr>
          <w:p w:rsidR="00741671" w:rsidRDefault="000D48D9" w:rsidP="005452E9">
            <w:pPr>
              <w:rPr>
                <w:sz w:val="22"/>
                <w:szCs w:val="22"/>
              </w:rPr>
            </w:pPr>
            <w:r>
              <w:rPr>
                <w:sz w:val="22"/>
                <w:szCs w:val="22"/>
              </w:rPr>
              <w:t>Conduct training key staff to build capacities for implementation readiness.</w:t>
            </w:r>
          </w:p>
        </w:tc>
      </w:tr>
      <w:tr w:rsidR="00496029" w:rsidRPr="005C54FA">
        <w:tc>
          <w:tcPr>
            <w:tcW w:w="2777" w:type="dxa"/>
            <w:gridSpan w:val="2"/>
          </w:tcPr>
          <w:p w:rsidR="00496029" w:rsidRDefault="00496029" w:rsidP="00496029">
            <w:pPr>
              <w:rPr>
                <w:sz w:val="22"/>
                <w:szCs w:val="22"/>
              </w:rPr>
            </w:pPr>
            <w:r>
              <w:rPr>
                <w:sz w:val="22"/>
                <w:szCs w:val="22"/>
              </w:rPr>
              <w:t>Accounting expert (1)</w:t>
            </w:r>
          </w:p>
        </w:tc>
        <w:tc>
          <w:tcPr>
            <w:tcW w:w="1989" w:type="dxa"/>
          </w:tcPr>
          <w:p w:rsidR="00496029" w:rsidRDefault="00496029" w:rsidP="00496029">
            <w:pPr>
              <w:jc w:val="center"/>
              <w:rPr>
                <w:sz w:val="22"/>
                <w:szCs w:val="22"/>
              </w:rPr>
            </w:pPr>
            <w:r>
              <w:rPr>
                <w:sz w:val="22"/>
                <w:szCs w:val="22"/>
              </w:rPr>
              <w:t>1*</w:t>
            </w:r>
            <w:r w:rsidR="000D48D9">
              <w:rPr>
                <w:sz w:val="22"/>
                <w:szCs w:val="22"/>
              </w:rPr>
              <w:t>35</w:t>
            </w:r>
            <w:r w:rsidR="007F2BAD">
              <w:rPr>
                <w:sz w:val="22"/>
                <w:szCs w:val="22"/>
              </w:rPr>
              <w:t>@</w:t>
            </w:r>
            <w:r>
              <w:rPr>
                <w:sz w:val="22"/>
                <w:szCs w:val="22"/>
              </w:rPr>
              <w:t>800/week</w:t>
            </w:r>
          </w:p>
        </w:tc>
        <w:tc>
          <w:tcPr>
            <w:tcW w:w="4342" w:type="dxa"/>
          </w:tcPr>
          <w:p w:rsidR="00496029" w:rsidRDefault="00496029" w:rsidP="00496029">
            <w:pPr>
              <w:rPr>
                <w:sz w:val="22"/>
                <w:szCs w:val="22"/>
              </w:rPr>
            </w:pPr>
            <w:r>
              <w:rPr>
                <w:sz w:val="22"/>
                <w:szCs w:val="22"/>
              </w:rPr>
              <w:t>Maintain the accounts and produce regular financial reports</w:t>
            </w:r>
          </w:p>
        </w:tc>
      </w:tr>
      <w:tr w:rsidR="00496029" w:rsidRPr="005C54FA">
        <w:tc>
          <w:tcPr>
            <w:tcW w:w="2777" w:type="dxa"/>
            <w:gridSpan w:val="2"/>
          </w:tcPr>
          <w:p w:rsidR="00496029" w:rsidRDefault="00496029" w:rsidP="00496029">
            <w:pPr>
              <w:rPr>
                <w:sz w:val="22"/>
                <w:szCs w:val="22"/>
              </w:rPr>
            </w:pPr>
            <w:r>
              <w:rPr>
                <w:sz w:val="22"/>
                <w:szCs w:val="22"/>
              </w:rPr>
              <w:t>Procurement specialist (1)</w:t>
            </w:r>
          </w:p>
        </w:tc>
        <w:tc>
          <w:tcPr>
            <w:tcW w:w="1989" w:type="dxa"/>
          </w:tcPr>
          <w:p w:rsidR="00496029" w:rsidRDefault="00496029" w:rsidP="00496029">
            <w:pPr>
              <w:jc w:val="center"/>
              <w:rPr>
                <w:sz w:val="22"/>
                <w:szCs w:val="22"/>
              </w:rPr>
            </w:pPr>
            <w:r>
              <w:rPr>
                <w:sz w:val="22"/>
                <w:szCs w:val="22"/>
              </w:rPr>
              <w:t>1*1</w:t>
            </w:r>
            <w:r w:rsidR="000D48D9">
              <w:rPr>
                <w:sz w:val="22"/>
                <w:szCs w:val="22"/>
              </w:rPr>
              <w:t>4</w:t>
            </w:r>
            <w:r>
              <w:rPr>
                <w:sz w:val="22"/>
                <w:szCs w:val="22"/>
              </w:rPr>
              <w:t>*800/week</w:t>
            </w:r>
          </w:p>
        </w:tc>
        <w:tc>
          <w:tcPr>
            <w:tcW w:w="4342" w:type="dxa"/>
          </w:tcPr>
          <w:p w:rsidR="00496029" w:rsidRDefault="00496029" w:rsidP="00496029">
            <w:pPr>
              <w:rPr>
                <w:sz w:val="22"/>
                <w:szCs w:val="22"/>
              </w:rPr>
            </w:pPr>
            <w:r>
              <w:rPr>
                <w:sz w:val="22"/>
                <w:szCs w:val="22"/>
              </w:rPr>
              <w:t>Responsible for the procurement activities of the project (part-time)</w:t>
            </w:r>
          </w:p>
        </w:tc>
      </w:tr>
      <w:tr w:rsidR="00496029" w:rsidRPr="005C54FA">
        <w:tc>
          <w:tcPr>
            <w:tcW w:w="2777" w:type="dxa"/>
            <w:gridSpan w:val="2"/>
            <w:tcBorders>
              <w:bottom w:val="single" w:sz="4" w:space="0" w:color="auto"/>
            </w:tcBorders>
          </w:tcPr>
          <w:p w:rsidR="00496029" w:rsidRDefault="00496029" w:rsidP="00496029">
            <w:pPr>
              <w:rPr>
                <w:sz w:val="22"/>
                <w:szCs w:val="22"/>
              </w:rPr>
            </w:pPr>
            <w:r w:rsidRPr="005C54FA">
              <w:rPr>
                <w:b/>
                <w:bCs/>
                <w:i/>
                <w:iCs/>
                <w:sz w:val="22"/>
                <w:szCs w:val="22"/>
              </w:rPr>
              <w:t>Sub-total</w:t>
            </w:r>
          </w:p>
        </w:tc>
        <w:tc>
          <w:tcPr>
            <w:tcW w:w="1989" w:type="dxa"/>
            <w:tcBorders>
              <w:bottom w:val="single" w:sz="4" w:space="0" w:color="auto"/>
            </w:tcBorders>
          </w:tcPr>
          <w:p w:rsidR="00496029" w:rsidRPr="008369B4" w:rsidRDefault="00124020" w:rsidP="00741671">
            <w:pPr>
              <w:jc w:val="center"/>
              <w:rPr>
                <w:b/>
                <w:i/>
                <w:sz w:val="22"/>
                <w:szCs w:val="22"/>
              </w:rPr>
            </w:pPr>
            <w:r>
              <w:rPr>
                <w:b/>
                <w:i/>
                <w:sz w:val="22"/>
                <w:szCs w:val="22"/>
              </w:rPr>
              <w:t>$</w:t>
            </w:r>
            <w:r w:rsidR="00847DFD" w:rsidRPr="00847DFD">
              <w:rPr>
                <w:b/>
                <w:i/>
                <w:sz w:val="22"/>
                <w:szCs w:val="22"/>
              </w:rPr>
              <w:t>164</w:t>
            </w:r>
            <w:r>
              <w:rPr>
                <w:b/>
                <w:i/>
                <w:sz w:val="22"/>
                <w:szCs w:val="22"/>
              </w:rPr>
              <w:t>,000</w:t>
            </w:r>
          </w:p>
        </w:tc>
        <w:tc>
          <w:tcPr>
            <w:tcW w:w="4342" w:type="dxa"/>
            <w:tcBorders>
              <w:bottom w:val="single" w:sz="4" w:space="0" w:color="auto"/>
            </w:tcBorders>
          </w:tcPr>
          <w:p w:rsidR="00496029" w:rsidRDefault="00496029" w:rsidP="00496029">
            <w:pPr>
              <w:rPr>
                <w:sz w:val="22"/>
                <w:szCs w:val="22"/>
              </w:rPr>
            </w:pPr>
          </w:p>
        </w:tc>
      </w:tr>
      <w:tr w:rsidR="00496029" w:rsidRPr="005C54FA">
        <w:tc>
          <w:tcPr>
            <w:tcW w:w="9108" w:type="dxa"/>
            <w:gridSpan w:val="4"/>
            <w:shd w:val="clear" w:color="auto" w:fill="E6E6E6"/>
          </w:tcPr>
          <w:p w:rsidR="00496029" w:rsidRDefault="00496029" w:rsidP="00496029">
            <w:pPr>
              <w:rPr>
                <w:sz w:val="22"/>
                <w:szCs w:val="22"/>
              </w:rPr>
            </w:pPr>
            <w:r w:rsidRPr="005E0C03">
              <w:rPr>
                <w:b/>
                <w:sz w:val="22"/>
                <w:szCs w:val="22"/>
              </w:rPr>
              <w:t>International</w:t>
            </w:r>
          </w:p>
        </w:tc>
      </w:tr>
      <w:tr w:rsidR="00496029" w:rsidRPr="005C54FA">
        <w:tc>
          <w:tcPr>
            <w:tcW w:w="2698" w:type="dxa"/>
          </w:tcPr>
          <w:p w:rsidR="00496029" w:rsidRPr="005C54FA" w:rsidRDefault="00496029" w:rsidP="00496029">
            <w:pPr>
              <w:rPr>
                <w:sz w:val="22"/>
                <w:szCs w:val="22"/>
              </w:rPr>
            </w:pPr>
            <w:r>
              <w:rPr>
                <w:sz w:val="22"/>
                <w:szCs w:val="22"/>
              </w:rPr>
              <w:t>Institutional Specialist (1)</w:t>
            </w:r>
          </w:p>
        </w:tc>
        <w:tc>
          <w:tcPr>
            <w:tcW w:w="2068" w:type="dxa"/>
            <w:gridSpan w:val="2"/>
          </w:tcPr>
          <w:p w:rsidR="00496029" w:rsidRPr="005C54FA" w:rsidRDefault="00496029" w:rsidP="00496029">
            <w:pPr>
              <w:jc w:val="center"/>
              <w:rPr>
                <w:sz w:val="22"/>
                <w:szCs w:val="22"/>
              </w:rPr>
            </w:pPr>
            <w:r>
              <w:rPr>
                <w:sz w:val="22"/>
                <w:szCs w:val="22"/>
              </w:rPr>
              <w:t>1*3.5@ 3,500/week</w:t>
            </w:r>
          </w:p>
        </w:tc>
        <w:tc>
          <w:tcPr>
            <w:tcW w:w="4342" w:type="dxa"/>
          </w:tcPr>
          <w:p w:rsidR="00496029" w:rsidRPr="005C54FA" w:rsidRDefault="00496029" w:rsidP="004B2A20">
            <w:pPr>
              <w:rPr>
                <w:sz w:val="22"/>
                <w:szCs w:val="22"/>
              </w:rPr>
            </w:pPr>
            <w:r>
              <w:rPr>
                <w:sz w:val="22"/>
                <w:szCs w:val="22"/>
              </w:rPr>
              <w:t xml:space="preserve">Policy &amp; Institutional Review – </w:t>
            </w:r>
            <w:r w:rsidR="004B2A20">
              <w:rPr>
                <w:sz w:val="22"/>
                <w:szCs w:val="22"/>
              </w:rPr>
              <w:t xml:space="preserve">in charge of the overall study on Policy and Institutional review and supervise the national consultants’ </w:t>
            </w:r>
            <w:proofErr w:type="gramStart"/>
            <w:r w:rsidR="004B2A20">
              <w:rPr>
                <w:sz w:val="22"/>
                <w:szCs w:val="22"/>
              </w:rPr>
              <w:t xml:space="preserve">work </w:t>
            </w:r>
            <w:r>
              <w:rPr>
                <w:sz w:val="22"/>
                <w:szCs w:val="22"/>
              </w:rPr>
              <w:t>:</w:t>
            </w:r>
            <w:proofErr w:type="gramEnd"/>
            <w:r>
              <w:rPr>
                <w:sz w:val="22"/>
                <w:szCs w:val="22"/>
              </w:rPr>
              <w:t xml:space="preserve"> review institutional set-up and existing technical capacities; carry out capacity needs assessment; develop institutional strengthening and capacity building plan; </w:t>
            </w:r>
            <w:r w:rsidR="004B2A20">
              <w:rPr>
                <w:sz w:val="22"/>
                <w:szCs w:val="22"/>
              </w:rPr>
              <w:t xml:space="preserve">consolidate </w:t>
            </w:r>
            <w:r>
              <w:rPr>
                <w:sz w:val="22"/>
                <w:szCs w:val="22"/>
              </w:rPr>
              <w:t>input</w:t>
            </w:r>
            <w:r w:rsidR="004B2A20">
              <w:rPr>
                <w:sz w:val="22"/>
                <w:szCs w:val="22"/>
              </w:rPr>
              <w:t>s</w:t>
            </w:r>
            <w:r>
              <w:rPr>
                <w:sz w:val="22"/>
                <w:szCs w:val="22"/>
              </w:rPr>
              <w:t xml:space="preserve"> received from national consultants in relation with specific country activities.</w:t>
            </w:r>
          </w:p>
        </w:tc>
      </w:tr>
      <w:tr w:rsidR="00496029" w:rsidRPr="005C54FA">
        <w:tc>
          <w:tcPr>
            <w:tcW w:w="2698" w:type="dxa"/>
          </w:tcPr>
          <w:p w:rsidR="00496029" w:rsidRPr="005C54FA" w:rsidRDefault="00496029" w:rsidP="00496029">
            <w:pPr>
              <w:rPr>
                <w:sz w:val="22"/>
                <w:szCs w:val="22"/>
              </w:rPr>
            </w:pPr>
            <w:r>
              <w:rPr>
                <w:sz w:val="22"/>
                <w:szCs w:val="22"/>
              </w:rPr>
              <w:t>Forest Specialist/GIS Specialist (1)</w:t>
            </w:r>
          </w:p>
        </w:tc>
        <w:tc>
          <w:tcPr>
            <w:tcW w:w="2068" w:type="dxa"/>
            <w:gridSpan w:val="2"/>
          </w:tcPr>
          <w:p w:rsidR="00496029" w:rsidRPr="005C54FA" w:rsidRDefault="00496029" w:rsidP="00496029">
            <w:pPr>
              <w:jc w:val="center"/>
              <w:rPr>
                <w:sz w:val="22"/>
                <w:szCs w:val="22"/>
              </w:rPr>
            </w:pPr>
            <w:r>
              <w:rPr>
                <w:sz w:val="22"/>
                <w:szCs w:val="22"/>
              </w:rPr>
              <w:t>1*3.5@3,500/week</w:t>
            </w:r>
          </w:p>
        </w:tc>
        <w:tc>
          <w:tcPr>
            <w:tcW w:w="4342" w:type="dxa"/>
          </w:tcPr>
          <w:p w:rsidR="00496029" w:rsidRPr="005C54FA" w:rsidRDefault="00496029" w:rsidP="0091372A">
            <w:pPr>
              <w:rPr>
                <w:sz w:val="22"/>
                <w:szCs w:val="22"/>
              </w:rPr>
            </w:pPr>
            <w:r>
              <w:rPr>
                <w:sz w:val="22"/>
                <w:szCs w:val="22"/>
              </w:rPr>
              <w:t xml:space="preserve">Gap analysis of capacities on forest monitoring and carbon measurement: </w:t>
            </w:r>
            <w:r w:rsidR="004B2A20">
              <w:rPr>
                <w:sz w:val="22"/>
                <w:szCs w:val="22"/>
              </w:rPr>
              <w:t xml:space="preserve">in charge of the overall study on Policy and Institutional review and supervise the national consultants’ work </w:t>
            </w:r>
            <w:r>
              <w:rPr>
                <w:sz w:val="22"/>
                <w:szCs w:val="22"/>
              </w:rPr>
              <w:t>carry out stock-taking exercise on data available on forest resources</w:t>
            </w:r>
            <w:r w:rsidR="0091372A">
              <w:rPr>
                <w:sz w:val="22"/>
                <w:szCs w:val="22"/>
              </w:rPr>
              <w:t xml:space="preserve">. Identify on-going activities that could complement the </w:t>
            </w:r>
            <w:proofErr w:type="gramStart"/>
            <w:r w:rsidR="0091372A">
              <w:rPr>
                <w:sz w:val="22"/>
                <w:szCs w:val="22"/>
              </w:rPr>
              <w:t>Component  and</w:t>
            </w:r>
            <w:proofErr w:type="gramEnd"/>
            <w:r w:rsidR="0091372A">
              <w:rPr>
                <w:sz w:val="22"/>
                <w:szCs w:val="22"/>
              </w:rPr>
              <w:t xml:space="preserve"> identify gaps.</w:t>
            </w:r>
          </w:p>
        </w:tc>
      </w:tr>
      <w:tr w:rsidR="002D6A76" w:rsidRPr="005C54FA">
        <w:tc>
          <w:tcPr>
            <w:tcW w:w="2698" w:type="dxa"/>
          </w:tcPr>
          <w:p w:rsidR="002D6A76" w:rsidRPr="005C54FA" w:rsidRDefault="002D6A76" w:rsidP="005452E9">
            <w:pPr>
              <w:rPr>
                <w:sz w:val="22"/>
                <w:szCs w:val="22"/>
              </w:rPr>
            </w:pPr>
            <w:r>
              <w:rPr>
                <w:sz w:val="22"/>
                <w:szCs w:val="22"/>
              </w:rPr>
              <w:t>Land tenure specialist (1)</w:t>
            </w:r>
          </w:p>
        </w:tc>
        <w:tc>
          <w:tcPr>
            <w:tcW w:w="2068" w:type="dxa"/>
            <w:gridSpan w:val="2"/>
          </w:tcPr>
          <w:p w:rsidR="002D6A76" w:rsidRPr="005C54FA" w:rsidRDefault="002D6A76" w:rsidP="005452E9">
            <w:pPr>
              <w:jc w:val="center"/>
              <w:rPr>
                <w:sz w:val="22"/>
                <w:szCs w:val="22"/>
              </w:rPr>
            </w:pPr>
            <w:r>
              <w:rPr>
                <w:sz w:val="22"/>
                <w:szCs w:val="22"/>
              </w:rPr>
              <w:t>1*</w:t>
            </w:r>
            <w:r w:rsidR="005A5D65">
              <w:rPr>
                <w:sz w:val="22"/>
                <w:szCs w:val="22"/>
              </w:rPr>
              <w:t>4</w:t>
            </w:r>
            <w:r>
              <w:rPr>
                <w:sz w:val="22"/>
                <w:szCs w:val="22"/>
              </w:rPr>
              <w:t>@3,500/week</w:t>
            </w:r>
          </w:p>
        </w:tc>
        <w:tc>
          <w:tcPr>
            <w:tcW w:w="4342" w:type="dxa"/>
          </w:tcPr>
          <w:p w:rsidR="002D6A76" w:rsidRPr="005C54FA" w:rsidRDefault="002D6A76" w:rsidP="005452E9">
            <w:pPr>
              <w:rPr>
                <w:sz w:val="22"/>
                <w:szCs w:val="22"/>
              </w:rPr>
            </w:pPr>
            <w:r>
              <w:rPr>
                <w:sz w:val="22"/>
                <w:szCs w:val="22"/>
              </w:rPr>
              <w:t>Contribute at the country-level to the study on land ownership and land access aspects, with special focus on opportunities and barriers for carbon revenue distribution.</w:t>
            </w:r>
          </w:p>
        </w:tc>
      </w:tr>
      <w:tr w:rsidR="00496029" w:rsidRPr="005C54FA">
        <w:tc>
          <w:tcPr>
            <w:tcW w:w="2698" w:type="dxa"/>
          </w:tcPr>
          <w:p w:rsidR="00496029" w:rsidRPr="005C54FA" w:rsidRDefault="00496029" w:rsidP="00496029">
            <w:pPr>
              <w:rPr>
                <w:sz w:val="22"/>
                <w:szCs w:val="22"/>
              </w:rPr>
            </w:pPr>
            <w:r>
              <w:rPr>
                <w:sz w:val="22"/>
                <w:szCs w:val="22"/>
              </w:rPr>
              <w:t>International expert on C. Measurement with research institution (1)</w:t>
            </w:r>
          </w:p>
        </w:tc>
        <w:tc>
          <w:tcPr>
            <w:tcW w:w="2068" w:type="dxa"/>
            <w:gridSpan w:val="2"/>
          </w:tcPr>
          <w:p w:rsidR="00496029" w:rsidRDefault="00496029" w:rsidP="00496029">
            <w:pPr>
              <w:jc w:val="center"/>
              <w:rPr>
                <w:sz w:val="22"/>
                <w:szCs w:val="22"/>
              </w:rPr>
            </w:pPr>
            <w:r>
              <w:rPr>
                <w:sz w:val="22"/>
                <w:szCs w:val="22"/>
              </w:rPr>
              <w:t>1*4@3,500/week</w:t>
            </w:r>
          </w:p>
          <w:p w:rsidR="00496029" w:rsidRPr="005C54FA" w:rsidRDefault="00496029" w:rsidP="00496029">
            <w:pPr>
              <w:jc w:val="center"/>
              <w:rPr>
                <w:sz w:val="22"/>
                <w:szCs w:val="22"/>
              </w:rPr>
            </w:pPr>
          </w:p>
        </w:tc>
        <w:tc>
          <w:tcPr>
            <w:tcW w:w="4342" w:type="dxa"/>
          </w:tcPr>
          <w:p w:rsidR="00496029" w:rsidRPr="005C54FA" w:rsidRDefault="00496029" w:rsidP="00496029">
            <w:pPr>
              <w:rPr>
                <w:sz w:val="22"/>
                <w:szCs w:val="22"/>
              </w:rPr>
            </w:pPr>
            <w:r>
              <w:rPr>
                <w:sz w:val="22"/>
                <w:szCs w:val="22"/>
              </w:rPr>
              <w:t>Definition of Carbon measurement (and monitoring</w:t>
            </w:r>
            <w:r w:rsidR="0091372A">
              <w:rPr>
                <w:sz w:val="22"/>
                <w:szCs w:val="22"/>
              </w:rPr>
              <w:t>)</w:t>
            </w:r>
            <w:r>
              <w:rPr>
                <w:sz w:val="22"/>
                <w:szCs w:val="22"/>
              </w:rPr>
              <w:t xml:space="preserve"> methodology: adapt emerging carbon measurement methodology to specific context of the Congo Basin; identify field surveys and scientific work to be carried out and review scientific capacities available in the Congo Basin</w:t>
            </w:r>
          </w:p>
        </w:tc>
      </w:tr>
      <w:tr w:rsidR="00496029" w:rsidRPr="005C54FA">
        <w:tc>
          <w:tcPr>
            <w:tcW w:w="2698" w:type="dxa"/>
          </w:tcPr>
          <w:p w:rsidR="00496029" w:rsidRPr="005C54FA" w:rsidRDefault="00496029" w:rsidP="00496029">
            <w:pPr>
              <w:rPr>
                <w:sz w:val="22"/>
                <w:szCs w:val="22"/>
              </w:rPr>
            </w:pPr>
            <w:r>
              <w:rPr>
                <w:sz w:val="22"/>
                <w:szCs w:val="22"/>
              </w:rPr>
              <w:t>Forest/Energy Specialist (2)</w:t>
            </w:r>
          </w:p>
        </w:tc>
        <w:tc>
          <w:tcPr>
            <w:tcW w:w="2068" w:type="dxa"/>
            <w:gridSpan w:val="2"/>
          </w:tcPr>
          <w:p w:rsidR="00496029" w:rsidRPr="005C54FA" w:rsidRDefault="00496029" w:rsidP="00496029">
            <w:pPr>
              <w:jc w:val="center"/>
              <w:rPr>
                <w:sz w:val="22"/>
                <w:szCs w:val="22"/>
              </w:rPr>
            </w:pPr>
            <w:r>
              <w:rPr>
                <w:sz w:val="22"/>
                <w:szCs w:val="22"/>
              </w:rPr>
              <w:t>2</w:t>
            </w:r>
            <w:r w:rsidR="007F2BAD">
              <w:rPr>
                <w:sz w:val="22"/>
                <w:szCs w:val="22"/>
              </w:rPr>
              <w:t>*</w:t>
            </w:r>
            <w:r>
              <w:rPr>
                <w:sz w:val="22"/>
                <w:szCs w:val="22"/>
              </w:rPr>
              <w:t>4@3,500/week</w:t>
            </w:r>
          </w:p>
        </w:tc>
        <w:tc>
          <w:tcPr>
            <w:tcW w:w="4342" w:type="dxa"/>
          </w:tcPr>
          <w:p w:rsidR="00496029" w:rsidRPr="005C54FA" w:rsidRDefault="00496029" w:rsidP="0091372A">
            <w:pPr>
              <w:rPr>
                <w:sz w:val="22"/>
                <w:szCs w:val="22"/>
              </w:rPr>
            </w:pPr>
            <w:r>
              <w:rPr>
                <w:sz w:val="22"/>
                <w:szCs w:val="22"/>
              </w:rPr>
              <w:t>Inventory of SFM projects &amp; selection for carbon benefits analysis: develop selection criteria for pilot projects to be monitored during the REDD project and select pilots based on inventory of ongoing initiatives.</w:t>
            </w:r>
            <w:r w:rsidR="0091372A">
              <w:rPr>
                <w:sz w:val="22"/>
                <w:szCs w:val="22"/>
              </w:rPr>
              <w:t xml:space="preserve"> Is responsible for the three steps presented in the description of the activity.</w:t>
            </w:r>
          </w:p>
        </w:tc>
      </w:tr>
      <w:tr w:rsidR="00496029" w:rsidRPr="005C54FA">
        <w:tc>
          <w:tcPr>
            <w:tcW w:w="2698" w:type="dxa"/>
          </w:tcPr>
          <w:p w:rsidR="00496029" w:rsidRPr="005C54FA" w:rsidRDefault="00496029" w:rsidP="00496029">
            <w:pPr>
              <w:rPr>
                <w:sz w:val="22"/>
                <w:szCs w:val="22"/>
              </w:rPr>
            </w:pPr>
            <w:r>
              <w:rPr>
                <w:sz w:val="22"/>
                <w:szCs w:val="22"/>
              </w:rPr>
              <w:t>M&amp;E Specialist (1)</w:t>
            </w:r>
          </w:p>
        </w:tc>
        <w:tc>
          <w:tcPr>
            <w:tcW w:w="2068" w:type="dxa"/>
            <w:gridSpan w:val="2"/>
          </w:tcPr>
          <w:p w:rsidR="00496029" w:rsidRPr="005C54FA" w:rsidRDefault="00496029" w:rsidP="00496029">
            <w:pPr>
              <w:jc w:val="center"/>
              <w:rPr>
                <w:sz w:val="22"/>
                <w:szCs w:val="22"/>
              </w:rPr>
            </w:pPr>
            <w:r>
              <w:rPr>
                <w:sz w:val="22"/>
                <w:szCs w:val="22"/>
              </w:rPr>
              <w:t>1*2@3,500/week</w:t>
            </w:r>
          </w:p>
        </w:tc>
        <w:tc>
          <w:tcPr>
            <w:tcW w:w="4342" w:type="dxa"/>
          </w:tcPr>
          <w:p w:rsidR="00496029" w:rsidRPr="005C54FA" w:rsidRDefault="00496029" w:rsidP="00496029">
            <w:pPr>
              <w:rPr>
                <w:sz w:val="22"/>
                <w:szCs w:val="22"/>
              </w:rPr>
            </w:pPr>
            <w:r>
              <w:rPr>
                <w:sz w:val="22"/>
                <w:szCs w:val="22"/>
              </w:rPr>
              <w:t>Development of the full project M&amp;E system including definition of the baseline</w:t>
            </w:r>
          </w:p>
        </w:tc>
      </w:tr>
      <w:tr w:rsidR="00496029" w:rsidRPr="005C54FA">
        <w:tc>
          <w:tcPr>
            <w:tcW w:w="2698" w:type="dxa"/>
          </w:tcPr>
          <w:p w:rsidR="00496029" w:rsidRPr="005C54FA" w:rsidRDefault="00496029" w:rsidP="00496029">
            <w:pPr>
              <w:rPr>
                <w:sz w:val="22"/>
                <w:szCs w:val="22"/>
              </w:rPr>
            </w:pPr>
            <w:r>
              <w:rPr>
                <w:sz w:val="22"/>
                <w:szCs w:val="22"/>
              </w:rPr>
              <w:t>Communication/community participation specialist (1)</w:t>
            </w:r>
          </w:p>
        </w:tc>
        <w:tc>
          <w:tcPr>
            <w:tcW w:w="2068" w:type="dxa"/>
            <w:gridSpan w:val="2"/>
          </w:tcPr>
          <w:p w:rsidR="00496029" w:rsidRPr="005C54FA" w:rsidRDefault="00496029" w:rsidP="00496029">
            <w:pPr>
              <w:jc w:val="center"/>
              <w:rPr>
                <w:sz w:val="22"/>
                <w:szCs w:val="22"/>
              </w:rPr>
            </w:pPr>
            <w:r>
              <w:rPr>
                <w:sz w:val="22"/>
                <w:szCs w:val="22"/>
              </w:rPr>
              <w:t>1*3@3,</w:t>
            </w:r>
            <w:r w:rsidR="00D53501">
              <w:rPr>
                <w:sz w:val="22"/>
                <w:szCs w:val="22"/>
              </w:rPr>
              <w:t>333</w:t>
            </w:r>
            <w:r>
              <w:rPr>
                <w:sz w:val="22"/>
                <w:szCs w:val="22"/>
              </w:rPr>
              <w:t>/week</w:t>
            </w:r>
          </w:p>
        </w:tc>
        <w:tc>
          <w:tcPr>
            <w:tcW w:w="4342" w:type="dxa"/>
          </w:tcPr>
          <w:p w:rsidR="00496029" w:rsidRPr="005C54FA" w:rsidRDefault="0091372A" w:rsidP="0091372A">
            <w:pPr>
              <w:rPr>
                <w:sz w:val="22"/>
                <w:szCs w:val="22"/>
              </w:rPr>
            </w:pPr>
            <w:r>
              <w:rPr>
                <w:sz w:val="22"/>
                <w:szCs w:val="22"/>
              </w:rPr>
              <w:t xml:space="preserve">Prepare the detailed communication and outreach strategy for the project (incl. targeted communication materials based on the </w:t>
            </w:r>
            <w:r w:rsidR="00496029">
              <w:rPr>
                <w:sz w:val="22"/>
                <w:szCs w:val="22"/>
              </w:rPr>
              <w:t>Consultation Process</w:t>
            </w:r>
            <w:r>
              <w:rPr>
                <w:sz w:val="22"/>
                <w:szCs w:val="22"/>
              </w:rPr>
              <w:t xml:space="preserve"> conducted during the preparation)</w:t>
            </w:r>
          </w:p>
        </w:tc>
      </w:tr>
      <w:tr w:rsidR="00496029" w:rsidRPr="005C54FA">
        <w:tc>
          <w:tcPr>
            <w:tcW w:w="2698" w:type="dxa"/>
          </w:tcPr>
          <w:p w:rsidR="00496029" w:rsidRDefault="0091372A" w:rsidP="0091372A">
            <w:pPr>
              <w:rPr>
                <w:sz w:val="22"/>
                <w:szCs w:val="22"/>
              </w:rPr>
            </w:pPr>
            <w:r>
              <w:rPr>
                <w:sz w:val="22"/>
                <w:szCs w:val="22"/>
              </w:rPr>
              <w:t>Institutional / project design specialists (2)</w:t>
            </w:r>
          </w:p>
        </w:tc>
        <w:tc>
          <w:tcPr>
            <w:tcW w:w="2068" w:type="dxa"/>
            <w:gridSpan w:val="2"/>
          </w:tcPr>
          <w:p w:rsidR="00496029" w:rsidRDefault="0091372A" w:rsidP="00496029">
            <w:pPr>
              <w:jc w:val="center"/>
              <w:rPr>
                <w:sz w:val="22"/>
                <w:szCs w:val="22"/>
              </w:rPr>
            </w:pPr>
            <w:r>
              <w:rPr>
                <w:sz w:val="22"/>
                <w:szCs w:val="22"/>
              </w:rPr>
              <w:t>2</w:t>
            </w:r>
            <w:r w:rsidR="00496029">
              <w:rPr>
                <w:sz w:val="22"/>
                <w:szCs w:val="22"/>
              </w:rPr>
              <w:t>*</w:t>
            </w:r>
            <w:r>
              <w:rPr>
                <w:sz w:val="22"/>
                <w:szCs w:val="22"/>
              </w:rPr>
              <w:t>4</w:t>
            </w:r>
            <w:r w:rsidR="00496029">
              <w:rPr>
                <w:sz w:val="22"/>
                <w:szCs w:val="22"/>
              </w:rPr>
              <w:t>@3,500/week</w:t>
            </w:r>
          </w:p>
        </w:tc>
        <w:tc>
          <w:tcPr>
            <w:tcW w:w="4342" w:type="dxa"/>
          </w:tcPr>
          <w:p w:rsidR="00496029" w:rsidRDefault="0091372A" w:rsidP="0091372A">
            <w:pPr>
              <w:rPr>
                <w:sz w:val="22"/>
                <w:szCs w:val="22"/>
              </w:rPr>
            </w:pPr>
            <w:r>
              <w:rPr>
                <w:sz w:val="22"/>
                <w:szCs w:val="22"/>
              </w:rPr>
              <w:t xml:space="preserve">Provide technical expertise to to help COMIFAC consolidate inputs from various studies and consultations. Draft the project implementation manual, with specific inputs on implementation arrangements, project design, reporting arrangements, draft terms of reference for key activities of the first 6 months </w:t>
            </w:r>
          </w:p>
        </w:tc>
      </w:tr>
      <w:tr w:rsidR="00496029" w:rsidRPr="005C54FA">
        <w:tc>
          <w:tcPr>
            <w:tcW w:w="2698" w:type="dxa"/>
          </w:tcPr>
          <w:p w:rsidR="00496029" w:rsidRDefault="00F10D18" w:rsidP="00496029">
            <w:pPr>
              <w:rPr>
                <w:sz w:val="22"/>
                <w:szCs w:val="22"/>
              </w:rPr>
            </w:pPr>
            <w:r>
              <w:rPr>
                <w:sz w:val="22"/>
                <w:szCs w:val="22"/>
              </w:rPr>
              <w:t>Project development and design expert</w:t>
            </w:r>
            <w:r w:rsidDel="00F10D18">
              <w:rPr>
                <w:sz w:val="22"/>
                <w:szCs w:val="22"/>
              </w:rPr>
              <w:t xml:space="preserve"> </w:t>
            </w:r>
            <w:r w:rsidR="00496029">
              <w:rPr>
                <w:sz w:val="22"/>
                <w:szCs w:val="22"/>
              </w:rPr>
              <w:t>(1)</w:t>
            </w:r>
          </w:p>
        </w:tc>
        <w:tc>
          <w:tcPr>
            <w:tcW w:w="2068" w:type="dxa"/>
            <w:gridSpan w:val="2"/>
          </w:tcPr>
          <w:p w:rsidR="00496029" w:rsidRDefault="00496029" w:rsidP="00496029">
            <w:pPr>
              <w:jc w:val="center"/>
              <w:rPr>
                <w:sz w:val="22"/>
                <w:szCs w:val="22"/>
              </w:rPr>
            </w:pPr>
            <w:r>
              <w:rPr>
                <w:sz w:val="22"/>
                <w:szCs w:val="22"/>
              </w:rPr>
              <w:t>1*2@3,500/week</w:t>
            </w:r>
          </w:p>
        </w:tc>
        <w:tc>
          <w:tcPr>
            <w:tcW w:w="4342" w:type="dxa"/>
          </w:tcPr>
          <w:p w:rsidR="00847DFD" w:rsidRDefault="00496029">
            <w:pPr>
              <w:rPr>
                <w:sz w:val="22"/>
                <w:szCs w:val="22"/>
              </w:rPr>
            </w:pPr>
            <w:r>
              <w:rPr>
                <w:sz w:val="22"/>
                <w:szCs w:val="22"/>
              </w:rPr>
              <w:t xml:space="preserve">Develop </w:t>
            </w:r>
            <w:r w:rsidR="00F10D18">
              <w:rPr>
                <w:sz w:val="22"/>
                <w:szCs w:val="22"/>
              </w:rPr>
              <w:t xml:space="preserve">and consolidate PIM with input from national consultants. </w:t>
            </w:r>
          </w:p>
        </w:tc>
      </w:tr>
      <w:tr w:rsidR="00496029" w:rsidRPr="005C54FA">
        <w:tc>
          <w:tcPr>
            <w:tcW w:w="2698" w:type="dxa"/>
            <w:tcBorders>
              <w:top w:val="single" w:sz="4" w:space="0" w:color="auto"/>
              <w:left w:val="single" w:sz="4" w:space="0" w:color="auto"/>
              <w:bottom w:val="single" w:sz="4" w:space="0" w:color="auto"/>
              <w:right w:val="single" w:sz="4" w:space="0" w:color="auto"/>
            </w:tcBorders>
          </w:tcPr>
          <w:p w:rsidR="00496029" w:rsidRPr="005C54FA" w:rsidRDefault="00496029" w:rsidP="00496029">
            <w:pPr>
              <w:rPr>
                <w:b/>
                <w:bCs/>
                <w:i/>
                <w:iCs/>
                <w:sz w:val="22"/>
                <w:szCs w:val="22"/>
              </w:rPr>
            </w:pPr>
            <w:r w:rsidRPr="005C54FA">
              <w:rPr>
                <w:b/>
                <w:bCs/>
                <w:i/>
                <w:iCs/>
                <w:sz w:val="22"/>
                <w:szCs w:val="22"/>
              </w:rPr>
              <w:t>Sub-total</w:t>
            </w:r>
          </w:p>
        </w:tc>
        <w:tc>
          <w:tcPr>
            <w:tcW w:w="2068" w:type="dxa"/>
            <w:gridSpan w:val="2"/>
            <w:tcBorders>
              <w:top w:val="single" w:sz="4" w:space="0" w:color="auto"/>
              <w:left w:val="single" w:sz="4" w:space="0" w:color="auto"/>
              <w:bottom w:val="single" w:sz="4" w:space="0" w:color="auto"/>
              <w:right w:val="single" w:sz="4" w:space="0" w:color="auto"/>
            </w:tcBorders>
          </w:tcPr>
          <w:p w:rsidR="00496029" w:rsidRPr="005C54FA" w:rsidRDefault="00124020" w:rsidP="000A11AC">
            <w:pPr>
              <w:jc w:val="center"/>
              <w:rPr>
                <w:b/>
                <w:bCs/>
                <w:i/>
                <w:iCs/>
                <w:sz w:val="22"/>
                <w:szCs w:val="22"/>
              </w:rPr>
            </w:pPr>
            <w:r>
              <w:rPr>
                <w:b/>
                <w:bCs/>
                <w:i/>
                <w:iCs/>
                <w:sz w:val="22"/>
                <w:szCs w:val="22"/>
              </w:rPr>
              <w:t>$1</w:t>
            </w:r>
            <w:r w:rsidR="00847DFD" w:rsidRPr="00847DFD">
              <w:rPr>
                <w:b/>
                <w:bCs/>
                <w:i/>
                <w:iCs/>
                <w:sz w:val="22"/>
                <w:szCs w:val="22"/>
              </w:rPr>
              <w:t>32,500</w:t>
            </w:r>
          </w:p>
        </w:tc>
        <w:tc>
          <w:tcPr>
            <w:tcW w:w="4342" w:type="dxa"/>
            <w:tcBorders>
              <w:top w:val="single" w:sz="4" w:space="0" w:color="auto"/>
              <w:left w:val="single" w:sz="4" w:space="0" w:color="auto"/>
              <w:bottom w:val="single" w:sz="4" w:space="0" w:color="auto"/>
              <w:right w:val="single" w:sz="4" w:space="0" w:color="auto"/>
            </w:tcBorders>
          </w:tcPr>
          <w:p w:rsidR="00496029" w:rsidRPr="005C54FA" w:rsidRDefault="00496029" w:rsidP="00496029">
            <w:pPr>
              <w:rPr>
                <w:sz w:val="22"/>
                <w:szCs w:val="22"/>
              </w:rPr>
            </w:pPr>
          </w:p>
        </w:tc>
      </w:tr>
    </w:tbl>
    <w:p w:rsidR="00496029" w:rsidRDefault="00496029" w:rsidP="00496029">
      <w:pPr>
        <w:jc w:val="center"/>
      </w:pPr>
    </w:p>
    <w:p w:rsidR="00C97F3F" w:rsidRDefault="00C97F3F" w:rsidP="00496029">
      <w:pPr>
        <w:jc w:val="center"/>
      </w:pPr>
    </w:p>
    <w:p w:rsidR="00C97F3F" w:rsidRDefault="00C97F3F" w:rsidP="00496029">
      <w:pPr>
        <w:jc w:val="center"/>
      </w:pPr>
    </w:p>
    <w:p w:rsidR="00496029" w:rsidRPr="00017D61" w:rsidRDefault="00496029" w:rsidP="00496029">
      <w:pPr>
        <w:jc w:val="center"/>
      </w:pPr>
    </w:p>
    <w:sectPr w:rsidR="00496029" w:rsidRPr="00017D61" w:rsidSect="00F10D18">
      <w:footerReference w:type="even" r:id="rId10"/>
      <w:foot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E7CC1" w:rsidRDefault="008E7CC1">
      <w:r>
        <w:separator/>
      </w:r>
    </w:p>
  </w:endnote>
  <w:endnote w:type="continuationSeparator" w:id="1">
    <w:p w:rsidR="008E7CC1" w:rsidRDefault="008E7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7CC1" w:rsidRDefault="008E7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CC1" w:rsidRDefault="008E7CC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7CC1" w:rsidRDefault="008E7CC1">
    <w:pPr>
      <w:pStyle w:val="Footer"/>
      <w:framePr w:wrap="around" w:vAnchor="text" w:hAnchor="margin" w:xAlign="right" w:y="1"/>
      <w:rPr>
        <w:rStyle w:val="PageNumber"/>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013DA1">
      <w:rPr>
        <w:rStyle w:val="PageNumber"/>
        <w:noProof/>
        <w:sz w:val="18"/>
        <w:szCs w:val="18"/>
      </w:rPr>
      <w:t>8</w:t>
    </w:r>
    <w:r>
      <w:rPr>
        <w:rStyle w:val="PageNumber"/>
        <w:sz w:val="18"/>
        <w:szCs w:val="18"/>
      </w:rPr>
      <w:fldChar w:fldCharType="end"/>
    </w:r>
  </w:p>
  <w:p w:rsidR="008E7CC1" w:rsidRPr="00F016A8" w:rsidRDefault="008E7CC1" w:rsidP="00496029">
    <w:pPr>
      <w:rPr>
        <w:sz w:val="18"/>
        <w:szCs w:val="18"/>
      </w:rPr>
    </w:pPr>
    <w:r w:rsidRPr="00F016A8">
      <w:rPr>
        <w:sz w:val="18"/>
        <w:szCs w:val="18"/>
      </w:rPr>
      <w:t>PPG – Enhancing Institutional Capacities on REDD issues for Sustainable Forest Management in the Congo Basin</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E7CC1" w:rsidRDefault="008E7CC1">
      <w:r>
        <w:separator/>
      </w:r>
    </w:p>
  </w:footnote>
  <w:footnote w:type="continuationSeparator" w:id="1">
    <w:p w:rsidR="008E7CC1" w:rsidRDefault="008E7CC1">
      <w:r>
        <w:continuationSeparator/>
      </w:r>
    </w:p>
  </w:footnote>
  <w:footnote w:id="2">
    <w:p w:rsidR="008E7CC1" w:rsidRDefault="008E7CC1">
      <w:pPr>
        <w:pStyle w:val="FootnoteText"/>
      </w:pPr>
      <w:r>
        <w:rPr>
          <w:rStyle w:val="FootnoteReference"/>
        </w:rPr>
        <w:footnoteRef/>
      </w:r>
      <w:r>
        <w:t xml:space="preserve">  For most project preparation activities planned, teams will be built combining international and local expertise. The distribution of the tasks will be spelled out in the respective terms of reference. Local consultants will focus on country-level analysis and international consultants will be responsible for the overall activity, for quality assurance of national consultants, and for consolidating the different input received from national consultants.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45DF9"/>
    <w:multiLevelType w:val="hybridMultilevel"/>
    <w:tmpl w:val="B4BACBE4"/>
    <w:lvl w:ilvl="0" w:tplc="B568F94E">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550DE"/>
    <w:multiLevelType w:val="hybridMultilevel"/>
    <w:tmpl w:val="E6AA8520"/>
    <w:lvl w:ilvl="0" w:tplc="5058A7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3915"/>
    <w:multiLevelType w:val="hybridMultilevel"/>
    <w:tmpl w:val="264454E8"/>
    <w:lvl w:ilvl="0" w:tplc="3ED005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1371DE"/>
    <w:multiLevelType w:val="hybridMultilevel"/>
    <w:tmpl w:val="DE3070D4"/>
    <w:lvl w:ilvl="0" w:tplc="F19EF9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D23744"/>
    <w:multiLevelType w:val="hybridMultilevel"/>
    <w:tmpl w:val="CE4CB61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70F8D"/>
    <w:multiLevelType w:val="hybridMultilevel"/>
    <w:tmpl w:val="BF00149A"/>
    <w:lvl w:ilvl="0" w:tplc="9C18D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12D24"/>
    <w:multiLevelType w:val="hybridMultilevel"/>
    <w:tmpl w:val="9B96302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711E6D81"/>
    <w:multiLevelType w:val="hybridMultilevel"/>
    <w:tmpl w:val="B1186814"/>
    <w:lvl w:ilvl="0" w:tplc="C85031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BB70CD"/>
    <w:multiLevelType w:val="hybridMultilevel"/>
    <w:tmpl w:val="74C671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701"/>
  <w:doNotTrackMoves/>
  <w:defaultTabStop w:val="720"/>
  <w:characterSpacingControl w:val="doNotCompress"/>
  <w:footnotePr>
    <w:footnote w:id="0"/>
    <w:footnote w:id="1"/>
  </w:footnotePr>
  <w:endnotePr>
    <w:endnote w:id="0"/>
    <w:endnote w:id="1"/>
  </w:endnotePr>
  <w:compat>
    <w:useFELayout/>
  </w:compat>
  <w:rsids>
    <w:rsidRoot w:val="00796844"/>
    <w:rsid w:val="00013DA1"/>
    <w:rsid w:val="00015899"/>
    <w:rsid w:val="00036BA0"/>
    <w:rsid w:val="000428A2"/>
    <w:rsid w:val="00052E93"/>
    <w:rsid w:val="000A11AC"/>
    <w:rsid w:val="000B3B9F"/>
    <w:rsid w:val="000D48D9"/>
    <w:rsid w:val="000E0FCC"/>
    <w:rsid w:val="000E324C"/>
    <w:rsid w:val="00124020"/>
    <w:rsid w:val="00131EF3"/>
    <w:rsid w:val="0016500B"/>
    <w:rsid w:val="00192A00"/>
    <w:rsid w:val="001A45FB"/>
    <w:rsid w:val="001B3F04"/>
    <w:rsid w:val="001D22E6"/>
    <w:rsid w:val="0023407A"/>
    <w:rsid w:val="00264FB6"/>
    <w:rsid w:val="002D6A76"/>
    <w:rsid w:val="003111DC"/>
    <w:rsid w:val="003650FD"/>
    <w:rsid w:val="00381AA0"/>
    <w:rsid w:val="003F6A2E"/>
    <w:rsid w:val="00407D37"/>
    <w:rsid w:val="0042014E"/>
    <w:rsid w:val="00423BB0"/>
    <w:rsid w:val="00435BD5"/>
    <w:rsid w:val="00436977"/>
    <w:rsid w:val="00443143"/>
    <w:rsid w:val="00467FF8"/>
    <w:rsid w:val="00495054"/>
    <w:rsid w:val="00496029"/>
    <w:rsid w:val="004B2A20"/>
    <w:rsid w:val="004B403C"/>
    <w:rsid w:val="005319C5"/>
    <w:rsid w:val="005452E9"/>
    <w:rsid w:val="005A5D65"/>
    <w:rsid w:val="005B5A86"/>
    <w:rsid w:val="005F4588"/>
    <w:rsid w:val="00612073"/>
    <w:rsid w:val="00665A13"/>
    <w:rsid w:val="00741671"/>
    <w:rsid w:val="00751334"/>
    <w:rsid w:val="007743BF"/>
    <w:rsid w:val="00796844"/>
    <w:rsid w:val="007E165F"/>
    <w:rsid w:val="007F2BAD"/>
    <w:rsid w:val="00847DFD"/>
    <w:rsid w:val="0087640B"/>
    <w:rsid w:val="00877A79"/>
    <w:rsid w:val="008B44DA"/>
    <w:rsid w:val="008E7CC1"/>
    <w:rsid w:val="00902D35"/>
    <w:rsid w:val="009128A0"/>
    <w:rsid w:val="0091372A"/>
    <w:rsid w:val="00930A99"/>
    <w:rsid w:val="0094019E"/>
    <w:rsid w:val="0094578A"/>
    <w:rsid w:val="009463AF"/>
    <w:rsid w:val="009933ED"/>
    <w:rsid w:val="009A2A2F"/>
    <w:rsid w:val="009C6C29"/>
    <w:rsid w:val="009E3099"/>
    <w:rsid w:val="009E6130"/>
    <w:rsid w:val="00A64FC5"/>
    <w:rsid w:val="00A73225"/>
    <w:rsid w:val="00AA6561"/>
    <w:rsid w:val="00AC0B62"/>
    <w:rsid w:val="00AD1F00"/>
    <w:rsid w:val="00AE064C"/>
    <w:rsid w:val="00B039F1"/>
    <w:rsid w:val="00B413E4"/>
    <w:rsid w:val="00B50F90"/>
    <w:rsid w:val="00B86CE8"/>
    <w:rsid w:val="00C118F1"/>
    <w:rsid w:val="00C12A15"/>
    <w:rsid w:val="00C2003A"/>
    <w:rsid w:val="00C40C5C"/>
    <w:rsid w:val="00C42D5F"/>
    <w:rsid w:val="00C5211A"/>
    <w:rsid w:val="00C5757F"/>
    <w:rsid w:val="00C92B4D"/>
    <w:rsid w:val="00C97F3F"/>
    <w:rsid w:val="00CB5FEA"/>
    <w:rsid w:val="00CE4627"/>
    <w:rsid w:val="00D53501"/>
    <w:rsid w:val="00DC09F4"/>
    <w:rsid w:val="00E012FA"/>
    <w:rsid w:val="00E0233E"/>
    <w:rsid w:val="00E02C21"/>
    <w:rsid w:val="00E10621"/>
    <w:rsid w:val="00E928D1"/>
    <w:rsid w:val="00E93E3A"/>
    <w:rsid w:val="00F10D18"/>
    <w:rsid w:val="00F5171F"/>
    <w:rsid w:val="00F53CE9"/>
    <w:rsid w:val="00FF2341"/>
  </w:rsids>
  <m:mathPr>
    <m:mathFont m:val="TimesNewRomanPSM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03A"/>
    <w:rPr>
      <w:rFonts w:eastAsia="Times New Roman"/>
    </w:rPr>
  </w:style>
  <w:style w:type="paragraph" w:styleId="Heading3">
    <w:name w:val="heading 3"/>
    <w:basedOn w:val="Normal"/>
    <w:next w:val="Normal"/>
    <w:qFormat/>
    <w:rsid w:val="00C2003A"/>
    <w:pPr>
      <w:keepNext/>
      <w:outlineLvl w:val="2"/>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rsid w:val="00C2003A"/>
    <w:rPr>
      <w:rFonts w:ascii="Tahoma" w:hAnsi="Tahoma" w:cs="Tahoma"/>
      <w:sz w:val="16"/>
      <w:szCs w:val="16"/>
    </w:rPr>
  </w:style>
  <w:style w:type="character" w:customStyle="1" w:styleId="BalloonTextChar">
    <w:name w:val="Balloon Text Char"/>
    <w:basedOn w:val="DefaultParagraphFont"/>
    <w:link w:val="BalloonText"/>
    <w:uiPriority w:val="99"/>
    <w:semiHidden/>
    <w:rsid w:val="00F40205"/>
    <w:rPr>
      <w:rFonts w:ascii="Lucida Grande" w:hAnsi="Lucida Grande"/>
      <w:sz w:val="18"/>
      <w:szCs w:val="18"/>
    </w:rPr>
  </w:style>
  <w:style w:type="character" w:customStyle="1" w:styleId="BalloonTextChar0">
    <w:name w:val="Balloon Text Char"/>
    <w:basedOn w:val="DefaultParagraphFont"/>
    <w:link w:val="BalloonText"/>
    <w:uiPriority w:val="99"/>
    <w:semiHidden/>
    <w:rsid w:val="00552FC1"/>
    <w:rPr>
      <w:rFonts w:ascii="Lucida Grande" w:hAnsi="Lucida Grande"/>
      <w:sz w:val="18"/>
      <w:szCs w:val="18"/>
    </w:rPr>
  </w:style>
  <w:style w:type="character" w:customStyle="1" w:styleId="BalloonTextChar1">
    <w:name w:val="Balloon Text Char"/>
    <w:basedOn w:val="DefaultParagraphFont"/>
    <w:link w:val="BalloonText"/>
    <w:uiPriority w:val="99"/>
    <w:semiHidden/>
    <w:rsid w:val="00552FC1"/>
    <w:rPr>
      <w:rFonts w:ascii="Lucida Grande" w:hAnsi="Lucida Grande"/>
      <w:sz w:val="18"/>
      <w:szCs w:val="18"/>
    </w:rPr>
  </w:style>
  <w:style w:type="table" w:styleId="TableGrid">
    <w:name w:val="Table Grid"/>
    <w:basedOn w:val="TableNormal"/>
    <w:rsid w:val="00C20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003A"/>
    <w:pPr>
      <w:tabs>
        <w:tab w:val="center" w:pos="4320"/>
        <w:tab w:val="right" w:pos="8640"/>
      </w:tabs>
    </w:pPr>
  </w:style>
  <w:style w:type="character" w:styleId="PageNumber">
    <w:name w:val="page number"/>
    <w:basedOn w:val="DefaultParagraphFont"/>
    <w:rsid w:val="00C2003A"/>
  </w:style>
  <w:style w:type="paragraph" w:styleId="Header">
    <w:name w:val="header"/>
    <w:basedOn w:val="Normal"/>
    <w:rsid w:val="00C2003A"/>
    <w:pPr>
      <w:tabs>
        <w:tab w:val="center" w:pos="4320"/>
        <w:tab w:val="right" w:pos="8640"/>
      </w:tabs>
    </w:pPr>
  </w:style>
  <w:style w:type="paragraph" w:styleId="FootnoteText">
    <w:name w:val="footnote text"/>
    <w:basedOn w:val="Normal"/>
    <w:semiHidden/>
    <w:rsid w:val="00C2003A"/>
    <w:rPr>
      <w:sz w:val="20"/>
      <w:szCs w:val="20"/>
    </w:rPr>
  </w:style>
  <w:style w:type="character" w:styleId="FootnoteReference">
    <w:name w:val="footnote reference"/>
    <w:basedOn w:val="DefaultParagraphFont"/>
    <w:semiHidden/>
    <w:rsid w:val="00C2003A"/>
    <w:rPr>
      <w:vertAlign w:val="superscript"/>
    </w:rPr>
  </w:style>
  <w:style w:type="character" w:styleId="CommentReference">
    <w:name w:val="annotation reference"/>
    <w:basedOn w:val="DefaultParagraphFont"/>
    <w:rsid w:val="001D38C4"/>
    <w:rPr>
      <w:sz w:val="18"/>
      <w:szCs w:val="18"/>
    </w:rPr>
  </w:style>
  <w:style w:type="paragraph" w:styleId="CommentText">
    <w:name w:val="annotation text"/>
    <w:basedOn w:val="Normal"/>
    <w:link w:val="CommentTextChar"/>
    <w:rsid w:val="001D38C4"/>
  </w:style>
  <w:style w:type="character" w:customStyle="1" w:styleId="CommentTextChar">
    <w:name w:val="Comment Text Char"/>
    <w:basedOn w:val="DefaultParagraphFont"/>
    <w:link w:val="CommentText"/>
    <w:rsid w:val="001D38C4"/>
    <w:rPr>
      <w:rFonts w:eastAsia="Times New Roman"/>
      <w:sz w:val="24"/>
      <w:szCs w:val="24"/>
    </w:rPr>
  </w:style>
  <w:style w:type="paragraph" w:styleId="CommentSubject">
    <w:name w:val="annotation subject"/>
    <w:basedOn w:val="CommentText"/>
    <w:next w:val="CommentText"/>
    <w:link w:val="CommentSubjectChar"/>
    <w:rsid w:val="001D38C4"/>
    <w:rPr>
      <w:b/>
      <w:bCs/>
      <w:sz w:val="20"/>
      <w:szCs w:val="20"/>
    </w:rPr>
  </w:style>
  <w:style w:type="character" w:customStyle="1" w:styleId="CommentSubjectChar">
    <w:name w:val="Comment Subject Char"/>
    <w:basedOn w:val="CommentTextChar"/>
    <w:link w:val="CommentSubject"/>
    <w:rsid w:val="001D38C4"/>
    <w:rPr>
      <w:b/>
      <w:bCs/>
    </w:rPr>
  </w:style>
  <w:style w:type="character" w:customStyle="1" w:styleId="BalloonTextChar2">
    <w:name w:val="Balloon Text Char2"/>
    <w:basedOn w:val="DefaultParagraphFont"/>
    <w:link w:val="BalloonText"/>
    <w:uiPriority w:val="99"/>
    <w:semiHidden/>
    <w:rsid w:val="00E0233E"/>
    <w:rPr>
      <w:rFonts w:ascii="Tahoma" w:eastAsia="Times New Roman" w:hAnsi="Tahoma" w:cs="Tahoma"/>
      <w:sz w:val="16"/>
      <w:szCs w:val="16"/>
    </w:rPr>
  </w:style>
  <w:style w:type="character" w:customStyle="1" w:styleId="BalloonTextChar10">
    <w:name w:val="Balloon Text Char1"/>
    <w:basedOn w:val="DefaultParagraphFont"/>
    <w:uiPriority w:val="99"/>
    <w:semiHidden/>
    <w:rsid w:val="00E0233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25244772">
      <w:bodyDiv w:val="1"/>
      <w:marLeft w:val="0"/>
      <w:marRight w:val="0"/>
      <w:marTop w:val="0"/>
      <w:marBottom w:val="0"/>
      <w:divBdr>
        <w:top w:val="none" w:sz="0" w:space="0" w:color="auto"/>
        <w:left w:val="none" w:sz="0" w:space="0" w:color="auto"/>
        <w:bottom w:val="none" w:sz="0" w:space="0" w:color="auto"/>
        <w:right w:val="none" w:sz="0" w:space="0" w:color="auto"/>
      </w:divBdr>
    </w:div>
    <w:div w:id="213976063">
      <w:bodyDiv w:val="1"/>
      <w:marLeft w:val="0"/>
      <w:marRight w:val="0"/>
      <w:marTop w:val="0"/>
      <w:marBottom w:val="0"/>
      <w:divBdr>
        <w:top w:val="none" w:sz="0" w:space="0" w:color="auto"/>
        <w:left w:val="none" w:sz="0" w:space="0" w:color="auto"/>
        <w:bottom w:val="none" w:sz="0" w:space="0" w:color="auto"/>
        <w:right w:val="none" w:sz="0" w:space="0" w:color="auto"/>
      </w:divBdr>
    </w:div>
    <w:div w:id="479932269">
      <w:bodyDiv w:val="1"/>
      <w:marLeft w:val="0"/>
      <w:marRight w:val="0"/>
      <w:marTop w:val="0"/>
      <w:marBottom w:val="0"/>
      <w:divBdr>
        <w:top w:val="none" w:sz="0" w:space="0" w:color="auto"/>
        <w:left w:val="none" w:sz="0" w:space="0" w:color="auto"/>
        <w:bottom w:val="none" w:sz="0" w:space="0" w:color="auto"/>
        <w:right w:val="none" w:sz="0" w:space="0" w:color="auto"/>
      </w:divBdr>
    </w:div>
    <w:div w:id="508180144">
      <w:bodyDiv w:val="1"/>
      <w:marLeft w:val="0"/>
      <w:marRight w:val="0"/>
      <w:marTop w:val="0"/>
      <w:marBottom w:val="0"/>
      <w:divBdr>
        <w:top w:val="none" w:sz="0" w:space="0" w:color="auto"/>
        <w:left w:val="none" w:sz="0" w:space="0" w:color="auto"/>
        <w:bottom w:val="none" w:sz="0" w:space="0" w:color="auto"/>
        <w:right w:val="none" w:sz="0" w:space="0" w:color="auto"/>
      </w:divBdr>
    </w:div>
    <w:div w:id="605692065">
      <w:bodyDiv w:val="1"/>
      <w:marLeft w:val="0"/>
      <w:marRight w:val="0"/>
      <w:marTop w:val="0"/>
      <w:marBottom w:val="0"/>
      <w:divBdr>
        <w:top w:val="none" w:sz="0" w:space="0" w:color="auto"/>
        <w:left w:val="none" w:sz="0" w:space="0" w:color="auto"/>
        <w:bottom w:val="none" w:sz="0" w:space="0" w:color="auto"/>
        <w:right w:val="none" w:sz="0" w:space="0" w:color="auto"/>
      </w:divBdr>
    </w:div>
    <w:div w:id="811941756">
      <w:bodyDiv w:val="1"/>
      <w:marLeft w:val="0"/>
      <w:marRight w:val="0"/>
      <w:marTop w:val="0"/>
      <w:marBottom w:val="0"/>
      <w:divBdr>
        <w:top w:val="none" w:sz="0" w:space="0" w:color="auto"/>
        <w:left w:val="none" w:sz="0" w:space="0" w:color="auto"/>
        <w:bottom w:val="none" w:sz="0" w:space="0" w:color="auto"/>
        <w:right w:val="none" w:sz="0" w:space="0" w:color="auto"/>
      </w:divBdr>
    </w:div>
    <w:div w:id="1298994292">
      <w:bodyDiv w:val="1"/>
      <w:marLeft w:val="0"/>
      <w:marRight w:val="0"/>
      <w:marTop w:val="0"/>
      <w:marBottom w:val="0"/>
      <w:divBdr>
        <w:top w:val="none" w:sz="0" w:space="0" w:color="auto"/>
        <w:left w:val="none" w:sz="0" w:space="0" w:color="auto"/>
        <w:bottom w:val="none" w:sz="0" w:space="0" w:color="auto"/>
        <w:right w:val="none" w:sz="0" w:space="0" w:color="auto"/>
      </w:divBdr>
    </w:div>
    <w:div w:id="1595165776">
      <w:bodyDiv w:val="1"/>
      <w:marLeft w:val="0"/>
      <w:marRight w:val="0"/>
      <w:marTop w:val="0"/>
      <w:marBottom w:val="0"/>
      <w:divBdr>
        <w:top w:val="none" w:sz="0" w:space="0" w:color="auto"/>
        <w:left w:val="none" w:sz="0" w:space="0" w:color="auto"/>
        <w:bottom w:val="none" w:sz="0" w:space="0" w:color="auto"/>
        <w:right w:val="none" w:sz="0" w:space="0" w:color="auto"/>
      </w:divBdr>
    </w:div>
    <w:div w:id="1641492673">
      <w:bodyDiv w:val="1"/>
      <w:marLeft w:val="0"/>
      <w:marRight w:val="0"/>
      <w:marTop w:val="0"/>
      <w:marBottom w:val="0"/>
      <w:divBdr>
        <w:top w:val="none" w:sz="0" w:space="0" w:color="auto"/>
        <w:left w:val="none" w:sz="0" w:space="0" w:color="auto"/>
        <w:bottom w:val="none" w:sz="0" w:space="0" w:color="auto"/>
        <w:right w:val="none" w:sz="0" w:space="0" w:color="auto"/>
      </w:divBdr>
    </w:div>
    <w:div w:id="1668900566">
      <w:bodyDiv w:val="1"/>
      <w:marLeft w:val="0"/>
      <w:marRight w:val="0"/>
      <w:marTop w:val="0"/>
      <w:marBottom w:val="0"/>
      <w:divBdr>
        <w:top w:val="none" w:sz="0" w:space="0" w:color="auto"/>
        <w:left w:val="none" w:sz="0" w:space="0" w:color="auto"/>
        <w:bottom w:val="none" w:sz="0" w:space="0" w:color="auto"/>
        <w:right w:val="none" w:sz="0" w:space="0" w:color="auto"/>
      </w:divBdr>
    </w:div>
    <w:div w:id="1735008973">
      <w:bodyDiv w:val="1"/>
      <w:marLeft w:val="0"/>
      <w:marRight w:val="0"/>
      <w:marTop w:val="0"/>
      <w:marBottom w:val="0"/>
      <w:divBdr>
        <w:top w:val="none" w:sz="0" w:space="0" w:color="auto"/>
        <w:left w:val="none" w:sz="0" w:space="0" w:color="auto"/>
        <w:bottom w:val="none" w:sz="0" w:space="0" w:color="auto"/>
        <w:right w:val="none" w:sz="0" w:space="0" w:color="auto"/>
      </w:divBdr>
    </w:div>
    <w:div w:id="1805393846">
      <w:bodyDiv w:val="1"/>
      <w:marLeft w:val="0"/>
      <w:marRight w:val="0"/>
      <w:marTop w:val="0"/>
      <w:marBottom w:val="0"/>
      <w:divBdr>
        <w:top w:val="none" w:sz="0" w:space="0" w:color="auto"/>
        <w:left w:val="none" w:sz="0" w:space="0" w:color="auto"/>
        <w:bottom w:val="none" w:sz="0" w:space="0" w:color="auto"/>
        <w:right w:val="none" w:sz="0" w:space="0" w:color="auto"/>
      </w:divBdr>
    </w:div>
    <w:div w:id="2042238582">
      <w:bodyDiv w:val="1"/>
      <w:marLeft w:val="0"/>
      <w:marRight w:val="0"/>
      <w:marTop w:val="0"/>
      <w:marBottom w:val="0"/>
      <w:divBdr>
        <w:top w:val="none" w:sz="0" w:space="0" w:color="auto"/>
        <w:left w:val="none" w:sz="0" w:space="0" w:color="auto"/>
        <w:bottom w:val="none" w:sz="0" w:space="0" w:color="auto"/>
        <w:right w:val="none" w:sz="0" w:space="0" w:color="auto"/>
      </w:divBdr>
    </w:div>
    <w:div w:id="20859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8CA2-90A0-44D7-8CD4-73FFECBD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4376</Words>
  <Characters>24944</Characters>
  <Application>Microsoft Macintosh Word</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PROJECT PREPARATION GRANT(PPG) REQUEST</vt:lpstr>
    </vt:vector>
  </TitlesOfParts>
  <Company>The World Bank Group</Company>
  <LinksUpToDate>false</LinksUpToDate>
  <CharactersWithSpaces>30632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GRANT(PPG) REQUEST</dc:title>
  <dc:creator>wb12456</dc:creator>
  <cp:lastModifiedBy>Nina Doetinchem</cp:lastModifiedBy>
  <cp:revision>3</cp:revision>
  <cp:lastPrinted>2009-04-28T21:27:00Z</cp:lastPrinted>
  <dcterms:created xsi:type="dcterms:W3CDTF">2009-07-06T16:39:00Z</dcterms:created>
  <dcterms:modified xsi:type="dcterms:W3CDTF">2009-07-06T16:48:00Z</dcterms:modified>
</cp:coreProperties>
</file>