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870" w:rsidRPr="00E034C6" w:rsidRDefault="00591870" w:rsidP="00591870">
      <w:pPr>
        <w:framePr w:w="6841" w:h="898" w:hSpace="180" w:wrap="around" w:vAnchor="text" w:hAnchor="page" w:x="3991" w:y="-14"/>
        <w:autoSpaceDE w:val="0"/>
        <w:autoSpaceDN w:val="0"/>
        <w:adjustRightInd w:val="0"/>
        <w:spacing w:after="0" w:line="240" w:lineRule="auto"/>
        <w:ind w:right="-900"/>
        <w:rPr>
          <w:rFonts w:ascii="Times New Roman" w:eastAsia="Times New Roman" w:hAnsi="Times New Roman"/>
          <w:b/>
          <w:bCs/>
          <w:caps/>
          <w:color w:val="000000"/>
        </w:rPr>
      </w:pPr>
      <w:r w:rsidRPr="00E034C6">
        <w:rPr>
          <w:rFonts w:ascii="Times New Roman" w:eastAsia="Times New Roman" w:hAnsi="Times New Roman"/>
          <w:b/>
          <w:bCs/>
          <w:caps/>
          <w:color w:val="000000"/>
          <w:sz w:val="28"/>
          <w:szCs w:val="28"/>
        </w:rPr>
        <w:t xml:space="preserve">request for  </w:t>
      </w:r>
      <w:bookmarkStart w:id="0" w:name="Dropdown2"/>
      <w:r w:rsidR="00985A96" w:rsidRPr="00E034C6">
        <w:rPr>
          <w:rFonts w:ascii="Times New Roman" w:eastAsia="Times New Roman" w:hAnsi="Times New Roman"/>
          <w:b/>
          <w:bCs/>
          <w:caps/>
          <w:color w:val="000000"/>
          <w:sz w:val="28"/>
          <w:szCs w:val="28"/>
        </w:rPr>
        <w:fldChar w:fldCharType="begin">
          <w:ffData>
            <w:name w:val="Dropdown2"/>
            <w:enabled/>
            <w:calcOnExit w:val="0"/>
            <w:ddList>
              <w:result w:val="2"/>
              <w:listEntry w:val="(select decision sought)"/>
              <w:listEntry w:val="CEO APPROVAL"/>
              <w:listEntry w:val="CEO ENDORSEMENT"/>
            </w:ddList>
          </w:ffData>
        </w:fldChar>
      </w:r>
      <w:r w:rsidRPr="005E6E94">
        <w:rPr>
          <w:rFonts w:ascii="Times New Roman" w:eastAsia="Times New Roman" w:hAnsi="Times New Roman"/>
          <w:b/>
          <w:bCs/>
          <w:caps/>
          <w:color w:val="000000"/>
          <w:sz w:val="28"/>
          <w:szCs w:val="28"/>
        </w:rPr>
        <w:instrText xml:space="preserve"> FORMDROPDOWN </w:instrText>
      </w:r>
      <w:r w:rsidR="00854B34">
        <w:rPr>
          <w:rFonts w:ascii="Times New Roman" w:eastAsia="Times New Roman" w:hAnsi="Times New Roman"/>
          <w:b/>
          <w:bCs/>
          <w:caps/>
          <w:color w:val="000000"/>
          <w:sz w:val="28"/>
          <w:szCs w:val="28"/>
        </w:rPr>
      </w:r>
      <w:r w:rsidR="00854B34">
        <w:rPr>
          <w:rFonts w:ascii="Times New Roman" w:eastAsia="Times New Roman" w:hAnsi="Times New Roman"/>
          <w:b/>
          <w:bCs/>
          <w:caps/>
          <w:color w:val="000000"/>
          <w:sz w:val="28"/>
          <w:szCs w:val="28"/>
        </w:rPr>
        <w:fldChar w:fldCharType="separate"/>
      </w:r>
      <w:r w:rsidR="00985A96" w:rsidRPr="00E034C6">
        <w:rPr>
          <w:rFonts w:ascii="Times New Roman" w:eastAsia="Times New Roman" w:hAnsi="Times New Roman"/>
          <w:b/>
          <w:bCs/>
          <w:caps/>
          <w:color w:val="000000"/>
          <w:sz w:val="28"/>
          <w:szCs w:val="28"/>
        </w:rPr>
        <w:fldChar w:fldCharType="end"/>
      </w:r>
      <w:bookmarkEnd w:id="0"/>
    </w:p>
    <w:p w:rsidR="00591870" w:rsidRPr="00E034C6"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Cs/>
          <w:color w:val="000000"/>
        </w:rPr>
      </w:pPr>
      <w:bookmarkStart w:id="1" w:name="Dropdown7"/>
      <w:r w:rsidRPr="00E034C6">
        <w:rPr>
          <w:rFonts w:ascii="Times New Roman" w:eastAsia="Times New Roman" w:hAnsi="Times New Roman"/>
          <w:b/>
          <w:bCs/>
          <w:smallCaps/>
          <w:color w:val="000000"/>
        </w:rPr>
        <w:t xml:space="preserve">Project Type: </w:t>
      </w:r>
      <w:bookmarkStart w:id="2" w:name="projectType"/>
      <w:bookmarkEnd w:id="1"/>
      <w:r w:rsidR="00985A96" w:rsidRPr="00E034C6">
        <w:rPr>
          <w:rFonts w:ascii="Times New Roman" w:eastAsia="Times New Roman" w:hAnsi="Times New Roman"/>
          <w:b/>
          <w:bCs/>
          <w:smallCaps/>
          <w:color w:val="000000"/>
        </w:rPr>
        <w:fldChar w:fldCharType="begin">
          <w:ffData>
            <w:name w:val="projectType"/>
            <w:enabled/>
            <w:calcOnExit w:val="0"/>
            <w:ddList>
              <w:result w:val="1"/>
              <w:listEntry w:val="(choose project type)"/>
              <w:listEntry w:val="Full-sized Project"/>
              <w:listEntry w:val="Medium-sized Project"/>
              <w:listEntry w:val="Non-Expedited Enabling Activity"/>
            </w:ddList>
          </w:ffData>
        </w:fldChar>
      </w:r>
      <w:r w:rsidRPr="005E6E94">
        <w:rPr>
          <w:rFonts w:ascii="Times New Roman" w:eastAsia="Times New Roman" w:hAnsi="Times New Roman"/>
          <w:b/>
          <w:bCs/>
          <w:smallCaps/>
          <w:color w:val="000000"/>
        </w:rPr>
        <w:instrText xml:space="preserve"> FORMDROPDOWN </w:instrText>
      </w:r>
      <w:r w:rsidR="00854B34">
        <w:rPr>
          <w:rFonts w:ascii="Times New Roman" w:eastAsia="Times New Roman" w:hAnsi="Times New Roman"/>
          <w:b/>
          <w:bCs/>
          <w:smallCaps/>
          <w:color w:val="000000"/>
        </w:rPr>
      </w:r>
      <w:r w:rsidR="00854B34">
        <w:rPr>
          <w:rFonts w:ascii="Times New Roman" w:eastAsia="Times New Roman" w:hAnsi="Times New Roman"/>
          <w:b/>
          <w:bCs/>
          <w:smallCaps/>
          <w:color w:val="000000"/>
        </w:rPr>
        <w:fldChar w:fldCharType="separate"/>
      </w:r>
      <w:r w:rsidR="00985A96" w:rsidRPr="00E034C6">
        <w:rPr>
          <w:rFonts w:ascii="Times New Roman" w:eastAsia="Times New Roman" w:hAnsi="Times New Roman"/>
          <w:b/>
          <w:bCs/>
          <w:smallCaps/>
          <w:color w:val="000000"/>
        </w:rPr>
        <w:fldChar w:fldCharType="end"/>
      </w:r>
      <w:bookmarkEnd w:id="2"/>
      <w:r w:rsidRPr="00E034C6">
        <w:rPr>
          <w:rFonts w:ascii="Times New Roman" w:eastAsia="Times New Roman" w:hAnsi="Times New Roman"/>
          <w:bCs/>
          <w:smallCaps/>
          <w:color w:val="000000"/>
        </w:rPr>
        <w:t xml:space="preserve"> </w:t>
      </w:r>
    </w:p>
    <w:p w:rsidR="00591870" w:rsidRPr="00E034C6"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
          <w:bCs/>
          <w:smallCaps/>
          <w:color w:val="000000"/>
        </w:rPr>
      </w:pPr>
      <w:r w:rsidRPr="00E034C6">
        <w:rPr>
          <w:rFonts w:ascii="Times New Roman" w:eastAsia="Times New Roman" w:hAnsi="Times New Roman"/>
          <w:b/>
          <w:bCs/>
          <w:smallCaps/>
          <w:color w:val="000000"/>
        </w:rPr>
        <w:t>Type of Trust Fund:</w:t>
      </w:r>
      <w:bookmarkStart w:id="3" w:name="TFType"/>
      <w:r w:rsidR="00985A96" w:rsidRPr="00E034C6">
        <w:rPr>
          <w:rFonts w:ascii="Times New Roman" w:eastAsia="Times New Roman" w:hAnsi="Times New Roman"/>
          <w:b/>
          <w:bCs/>
          <w:smallCaps/>
          <w:color w:val="000000"/>
        </w:rPr>
        <w:fldChar w:fldCharType="begin">
          <w:ffData>
            <w:name w:val="TFType"/>
            <w:enabled/>
            <w:calcOnExit w:val="0"/>
            <w:ddList>
              <w:result w:val="1"/>
              <w:listEntry w:val="(choose fund type)"/>
              <w:listEntry w:val="GEF Trust Fund"/>
              <w:listEntry w:val="LDCF"/>
              <w:listEntry w:val="SCCF"/>
              <w:listEntry w:val="Multi-Trust Fund"/>
              <w:listEntry w:val="NPIF"/>
            </w:ddList>
          </w:ffData>
        </w:fldChar>
      </w:r>
      <w:r w:rsidRPr="005E6E94">
        <w:rPr>
          <w:rFonts w:ascii="Times New Roman" w:eastAsia="Times New Roman" w:hAnsi="Times New Roman"/>
          <w:b/>
          <w:bCs/>
          <w:smallCaps/>
          <w:color w:val="000000"/>
        </w:rPr>
        <w:instrText xml:space="preserve"> FORMDROPDOWN </w:instrText>
      </w:r>
      <w:r w:rsidR="00854B34">
        <w:rPr>
          <w:rFonts w:ascii="Times New Roman" w:eastAsia="Times New Roman" w:hAnsi="Times New Roman"/>
          <w:b/>
          <w:bCs/>
          <w:smallCaps/>
          <w:color w:val="000000"/>
        </w:rPr>
      </w:r>
      <w:r w:rsidR="00854B34">
        <w:rPr>
          <w:rFonts w:ascii="Times New Roman" w:eastAsia="Times New Roman" w:hAnsi="Times New Roman"/>
          <w:b/>
          <w:bCs/>
          <w:smallCaps/>
          <w:color w:val="000000"/>
        </w:rPr>
        <w:fldChar w:fldCharType="separate"/>
      </w:r>
      <w:r w:rsidR="00985A96" w:rsidRPr="00E034C6">
        <w:rPr>
          <w:rFonts w:ascii="Times New Roman" w:eastAsia="Times New Roman" w:hAnsi="Times New Roman"/>
          <w:b/>
          <w:bCs/>
          <w:smallCaps/>
          <w:color w:val="000000"/>
        </w:rPr>
        <w:fldChar w:fldCharType="end"/>
      </w:r>
      <w:bookmarkEnd w:id="3"/>
    </w:p>
    <w:p w:rsidR="00591870" w:rsidRPr="00E034C6" w:rsidRDefault="00513D3D" w:rsidP="00591870">
      <w:pPr>
        <w:spacing w:after="0" w:line="240" w:lineRule="auto"/>
        <w:rPr>
          <w:rFonts w:ascii="Times New Roman" w:eastAsia="Times New Roman" w:hAnsi="Times New Roman"/>
        </w:rPr>
      </w:pPr>
      <w:bookmarkStart w:id="4" w:name="_GoBack"/>
      <w:bookmarkEnd w:id="4"/>
      <w:r w:rsidRPr="00E034C6">
        <w:rPr>
          <w:noProof/>
          <w:lang w:val="en-US"/>
        </w:rPr>
        <w:drawing>
          <wp:anchor distT="0" distB="0" distL="114300" distR="114300" simplePos="0" relativeHeight="251657728" behindDoc="0" locked="0" layoutInCell="1" allowOverlap="1">
            <wp:simplePos x="0" y="0"/>
            <wp:positionH relativeFrom="column">
              <wp:posOffset>628650</wp:posOffset>
            </wp:positionH>
            <wp:positionV relativeFrom="paragraph">
              <wp:posOffset>-114300</wp:posOffset>
            </wp:positionV>
            <wp:extent cx="723900" cy="741680"/>
            <wp:effectExtent l="19050" t="0" r="0" b="0"/>
            <wp:wrapSquare wrapText="bothSides"/>
            <wp:docPr id="2" name="Picture 2"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mmunications_GEFEXT\Logos\GEF-newlogo-short.jpg"/>
                    <pic:cNvPicPr>
                      <a:picLocks noChangeAspect="1" noChangeArrowheads="1"/>
                    </pic:cNvPicPr>
                  </pic:nvPicPr>
                  <pic:blipFill>
                    <a:blip r:embed="rId8"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rsidR="00591870" w:rsidRPr="00E034C6" w:rsidRDefault="00591870" w:rsidP="00591870">
      <w:pPr>
        <w:spacing w:after="0" w:line="240" w:lineRule="auto"/>
        <w:rPr>
          <w:rFonts w:ascii="Times New Roman" w:eastAsia="Times New Roman" w:hAnsi="Times New Roman"/>
        </w:rPr>
      </w:pPr>
    </w:p>
    <w:p w:rsidR="00591870" w:rsidRPr="00E034C6" w:rsidRDefault="00591870" w:rsidP="00591870">
      <w:pPr>
        <w:tabs>
          <w:tab w:val="left" w:pos="360"/>
        </w:tabs>
        <w:spacing w:after="0" w:line="240" w:lineRule="auto"/>
        <w:ind w:right="110"/>
        <w:rPr>
          <w:rFonts w:ascii="Times New Roman" w:eastAsia="Times New Roman" w:hAnsi="Times New Roman"/>
          <w:b/>
        </w:rPr>
      </w:pPr>
    </w:p>
    <w:p w:rsidR="00591870" w:rsidRPr="00E034C6" w:rsidRDefault="00591870" w:rsidP="00591870">
      <w:pPr>
        <w:tabs>
          <w:tab w:val="left" w:pos="360"/>
        </w:tabs>
        <w:spacing w:after="80" w:line="240" w:lineRule="auto"/>
        <w:ind w:right="-187"/>
        <w:rPr>
          <w:rFonts w:ascii="Times New Roman" w:eastAsia="Times New Roman" w:hAnsi="Times New Roman"/>
          <w:caps/>
        </w:rPr>
      </w:pPr>
      <w:r w:rsidRPr="00E034C6">
        <w:rPr>
          <w:rFonts w:ascii="Times New Roman" w:eastAsia="Times New Roman" w:hAnsi="Times New Roman"/>
          <w:caps/>
        </w:rPr>
        <w:t xml:space="preserve">       </w:t>
      </w:r>
      <w:r w:rsidRPr="00E034C6">
        <w:rPr>
          <w:rFonts w:ascii="Times New Roman" w:eastAsia="Times New Roman" w:hAnsi="Times New Roman"/>
          <w:caps/>
        </w:rPr>
        <w:tab/>
      </w:r>
      <w:r w:rsidRPr="00E034C6">
        <w:rPr>
          <w:rFonts w:ascii="Times New Roman" w:eastAsia="Times New Roman" w:hAnsi="Times New Roman"/>
          <w:caps/>
        </w:rPr>
        <w:tab/>
      </w:r>
      <w:r w:rsidRPr="00E034C6">
        <w:rPr>
          <w:rFonts w:ascii="Times New Roman" w:eastAsia="Times New Roman" w:hAnsi="Times New Roman"/>
          <w:caps/>
        </w:rPr>
        <w:tab/>
      </w:r>
      <w:r w:rsidR="0035107A" w:rsidRPr="00E034C6">
        <w:rPr>
          <w:rFonts w:ascii="Times New Roman" w:eastAsia="Times New Roman" w:hAnsi="Times New Roman"/>
          <w:caps/>
        </w:rPr>
        <w:tab/>
      </w:r>
      <w:r w:rsidR="0035107A" w:rsidRPr="00E034C6">
        <w:rPr>
          <w:rFonts w:ascii="Times New Roman" w:eastAsia="Times New Roman" w:hAnsi="Times New Roman"/>
          <w:caps/>
        </w:rPr>
        <w:tab/>
      </w:r>
      <w:r w:rsidR="0035107A" w:rsidRPr="00E034C6">
        <w:rPr>
          <w:rFonts w:ascii="Times New Roman" w:eastAsia="Times New Roman" w:hAnsi="Times New Roman"/>
          <w:caps/>
        </w:rPr>
        <w:tab/>
      </w:r>
      <w:r w:rsidRPr="00E034C6">
        <w:rPr>
          <w:rFonts w:ascii="Times New Roman" w:eastAsia="Times New Roman" w:hAnsi="Times New Roman"/>
          <w:caps/>
        </w:rPr>
        <w:tab/>
      </w:r>
      <w:r w:rsidRPr="00E034C6">
        <w:rPr>
          <w:rFonts w:ascii="Times New Roman" w:eastAsia="Times New Roman" w:hAnsi="Times New Roman"/>
          <w:caps/>
        </w:rPr>
        <w:tab/>
        <w:t xml:space="preserve">       </w:t>
      </w:r>
      <w:r w:rsidRPr="00E034C6">
        <w:rPr>
          <w:rFonts w:ascii="Times New Roman" w:eastAsia="Times New Roman" w:hAnsi="Times New Roman"/>
          <w:noProof/>
          <w:sz w:val="20"/>
          <w:szCs w:val="20"/>
        </w:rPr>
        <w:t xml:space="preserve">For more information about GEF, visit </w:t>
      </w:r>
      <w:hyperlink r:id="rId9" w:history="1">
        <w:r w:rsidRPr="00E034C6">
          <w:rPr>
            <w:rFonts w:ascii="Times New Roman" w:eastAsia="Times New Roman" w:hAnsi="Times New Roman"/>
            <w:noProof/>
            <w:color w:val="0000FF"/>
            <w:sz w:val="20"/>
            <w:szCs w:val="20"/>
            <w:u w:val="single"/>
          </w:rPr>
          <w:t>TheGEF.org</w:t>
        </w:r>
      </w:hyperlink>
      <w:r w:rsidRPr="00E034C6">
        <w:rPr>
          <w:rFonts w:ascii="Times New Roman" w:eastAsia="Times New Roman" w:hAnsi="Times New Roman"/>
          <w:caps/>
        </w:rPr>
        <w:tab/>
        <w:t xml:space="preserve">                       </w:t>
      </w:r>
    </w:p>
    <w:p w:rsidR="00591870" w:rsidRPr="00E034C6" w:rsidRDefault="00591870" w:rsidP="00591870">
      <w:pPr>
        <w:tabs>
          <w:tab w:val="left" w:pos="360"/>
        </w:tabs>
        <w:spacing w:after="80" w:line="240" w:lineRule="auto"/>
        <w:ind w:right="-187"/>
        <w:rPr>
          <w:rFonts w:ascii="Times New Roman" w:eastAsia="Times New Roman" w:hAnsi="Times New Roman"/>
          <w:b/>
          <w:color w:val="00B0F0"/>
          <w:u w:val="single"/>
        </w:rPr>
      </w:pPr>
      <w:r w:rsidRPr="00E034C6">
        <w:rPr>
          <w:rFonts w:ascii="Times New Roman" w:eastAsia="Times New Roman" w:hAnsi="Times New Roman"/>
          <w:b/>
          <w:caps/>
          <w:color w:val="00B0F0"/>
          <w:u w:val="single"/>
        </w:rPr>
        <w:t>part i: project information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256"/>
        <w:gridCol w:w="2749"/>
        <w:gridCol w:w="1541"/>
      </w:tblGrid>
      <w:tr w:rsidR="00591870" w:rsidRPr="00E034C6" w:rsidTr="00591870">
        <w:tc>
          <w:tcPr>
            <w:tcW w:w="5000" w:type="pct"/>
            <w:gridSpan w:val="4"/>
          </w:tcPr>
          <w:p w:rsidR="00591870" w:rsidRPr="00E034C6" w:rsidRDefault="00591870" w:rsidP="004511BC">
            <w:pPr>
              <w:spacing w:after="0" w:line="240" w:lineRule="auto"/>
              <w:rPr>
                <w:rFonts w:ascii="Times New Roman" w:eastAsia="Times New Roman" w:hAnsi="Times New Roman"/>
              </w:rPr>
            </w:pPr>
            <w:r w:rsidRPr="00E034C6">
              <w:rPr>
                <w:rFonts w:ascii="Times New Roman" w:eastAsia="Times New Roman" w:hAnsi="Times New Roman"/>
              </w:rPr>
              <w:t xml:space="preserve">Project Title: </w:t>
            </w:r>
            <w:bookmarkStart w:id="5" w:name="ProjectTitle"/>
            <w:r w:rsidR="00985A96" w:rsidRPr="00E034C6">
              <w:rPr>
                <w:rFonts w:ascii="Times New Roman" w:eastAsia="Times New Roman" w:hAnsi="Times New Roman"/>
              </w:rPr>
              <w:fldChar w:fldCharType="begin">
                <w:ffData>
                  <w:name w:val="ProjectTitle"/>
                  <w:enabled/>
                  <w:calcOnExit w:val="0"/>
                  <w:helpText w:type="text" w:val="Project Title: To avoid redundancy, do not include the country name in the project title "/>
                  <w:textInput/>
                </w:ffData>
              </w:fldChar>
            </w:r>
            <w:r w:rsidRPr="000470D9">
              <w:rPr>
                <w:rFonts w:ascii="Times New Roman" w:eastAsia="Times New Roman" w:hAnsi="Times New Roman"/>
              </w:rPr>
              <w:instrText xml:space="preserve"> FORMTEXT </w:instrText>
            </w:r>
            <w:r w:rsidR="00985A96" w:rsidRPr="00E034C6">
              <w:rPr>
                <w:rFonts w:ascii="Times New Roman" w:eastAsia="Times New Roman" w:hAnsi="Times New Roman"/>
              </w:rPr>
            </w:r>
            <w:r w:rsidR="00985A96" w:rsidRPr="00E034C6">
              <w:rPr>
                <w:rFonts w:ascii="Times New Roman" w:eastAsia="Times New Roman" w:hAnsi="Times New Roman"/>
              </w:rPr>
              <w:fldChar w:fldCharType="separate"/>
            </w:r>
            <w:r w:rsidR="004511BC" w:rsidRPr="00E034C6">
              <w:rPr>
                <w:rFonts w:ascii="Times New Roman" w:eastAsia="Times New Roman" w:hAnsi="Times New Roman"/>
                <w:noProof/>
              </w:rPr>
              <w:t>Strengthening forest and ecosystem connectivity in RIMBA landscape of central Sumatra through investing in natural capital, biodiversity conservation, and land-based emission reductions (‘RIMBA project’)</w:t>
            </w:r>
            <w:r w:rsidR="00985A96" w:rsidRPr="00E034C6">
              <w:rPr>
                <w:rFonts w:ascii="Times New Roman" w:eastAsia="Times New Roman" w:hAnsi="Times New Roman"/>
              </w:rPr>
              <w:fldChar w:fldCharType="end"/>
            </w:r>
            <w:bookmarkEnd w:id="5"/>
          </w:p>
        </w:tc>
      </w:tr>
      <w:tr w:rsidR="00591870" w:rsidRPr="00E034C6" w:rsidTr="00591870">
        <w:tc>
          <w:tcPr>
            <w:tcW w:w="144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Country(ies):</w:t>
            </w:r>
          </w:p>
        </w:tc>
        <w:bookmarkStart w:id="6" w:name="countries"/>
        <w:tc>
          <w:tcPr>
            <w:tcW w:w="1534" w:type="pct"/>
          </w:tcPr>
          <w:p w:rsidR="00591870" w:rsidRPr="00E034C6" w:rsidRDefault="00985A96" w:rsidP="004511BC">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591870" w:rsidRPr="005E6E9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4511BC" w:rsidRPr="00E034C6">
              <w:rPr>
                <w:rFonts w:ascii="Times New Roman" w:eastAsia="Times New Roman" w:hAnsi="Times New Roman"/>
                <w:noProof/>
              </w:rPr>
              <w:t>Indonesia</w:t>
            </w:r>
            <w:r w:rsidRPr="00E034C6">
              <w:rPr>
                <w:rFonts w:ascii="Times New Roman" w:eastAsia="Times New Roman" w:hAnsi="Times New Roman"/>
              </w:rPr>
              <w:fldChar w:fldCharType="end"/>
            </w:r>
            <w:bookmarkEnd w:id="6"/>
          </w:p>
        </w:tc>
        <w:tc>
          <w:tcPr>
            <w:tcW w:w="129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GEF Project ID:</w:t>
            </w:r>
            <w:r w:rsidRPr="00E034C6">
              <w:rPr>
                <w:rFonts w:ascii="Times New Roman" w:eastAsia="Times New Roman" w:hAnsi="Times New Roman"/>
                <w:vertAlign w:val="superscript"/>
              </w:rPr>
              <w:footnoteReference w:id="1"/>
            </w:r>
          </w:p>
        </w:tc>
        <w:bookmarkStart w:id="7" w:name="GEF_ID"/>
        <w:tc>
          <w:tcPr>
            <w:tcW w:w="725" w:type="pct"/>
          </w:tcPr>
          <w:p w:rsidR="00591870" w:rsidRPr="00E034C6" w:rsidRDefault="00985A96" w:rsidP="004B7022">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00591870" w:rsidRPr="005E6E9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4511BC" w:rsidRPr="00E034C6">
              <w:rPr>
                <w:rFonts w:ascii="Times New Roman" w:eastAsia="Times New Roman" w:hAnsi="Times New Roman"/>
                <w:noProof/>
              </w:rPr>
              <w:t>5285</w:t>
            </w:r>
            <w:r w:rsidRPr="00E034C6">
              <w:rPr>
                <w:rFonts w:ascii="Times New Roman" w:eastAsia="Times New Roman" w:hAnsi="Times New Roman"/>
              </w:rPr>
              <w:fldChar w:fldCharType="end"/>
            </w:r>
            <w:bookmarkEnd w:id="7"/>
          </w:p>
        </w:tc>
      </w:tr>
      <w:tr w:rsidR="00591870" w:rsidRPr="00E034C6" w:rsidTr="00591870">
        <w:tc>
          <w:tcPr>
            <w:tcW w:w="144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GEF Agency(ies):</w:t>
            </w:r>
          </w:p>
        </w:tc>
        <w:bookmarkStart w:id="8" w:name="GEF_IA_01"/>
        <w:tc>
          <w:tcPr>
            <w:tcW w:w="1534" w:type="pct"/>
          </w:tcPr>
          <w:p w:rsidR="00591870" w:rsidRPr="00E034C6" w:rsidRDefault="00985A96" w:rsidP="00CD064C">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8"/>
                    <w:listEntry w:val="(select)"/>
                    <w:listEntry w:val="AfDB"/>
                    <w:listEntry w:val="AsDB"/>
                    <w:listEntry w:val="EBRD"/>
                    <w:listEntry w:val="FAO"/>
                    <w:listEntry w:val="IADB"/>
                    <w:listEntry w:val="IFAD"/>
                    <w:listEntry w:val="UNDP"/>
                    <w:listEntry w:val="UNEP"/>
                    <w:listEntry w:val="UNIDO"/>
                    <w:listEntry w:val="WB"/>
                  </w:ddList>
                </w:ffData>
              </w:fldChar>
            </w:r>
            <w:r w:rsidR="00591870" w:rsidRPr="00D82541">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8"/>
            <w:r w:rsidR="00591870" w:rsidRPr="00E034C6">
              <w:rPr>
                <w:rFonts w:ascii="Times New Roman" w:eastAsia="Times New Roman" w:hAnsi="Times New Roman"/>
              </w:rPr>
              <w:t xml:space="preserve">  </w:t>
            </w:r>
          </w:p>
        </w:tc>
        <w:tc>
          <w:tcPr>
            <w:tcW w:w="129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GEF Agency Project ID:</w:t>
            </w:r>
          </w:p>
        </w:tc>
        <w:bookmarkStart w:id="9" w:name="agencyID"/>
        <w:tc>
          <w:tcPr>
            <w:tcW w:w="725" w:type="pct"/>
          </w:tcPr>
          <w:p w:rsidR="00591870" w:rsidRPr="00E034C6" w:rsidRDefault="00985A96" w:rsidP="004B7022">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agencyID"/>
                  <w:enabled/>
                  <w:calcOnExit w:val="0"/>
                  <w:textInput/>
                </w:ffData>
              </w:fldChar>
            </w:r>
            <w:r w:rsidR="00591870" w:rsidRPr="005E6E9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4B7022" w:rsidRPr="004B7022">
              <w:rPr>
                <w:rFonts w:ascii="Times New Roman" w:eastAsia="Times New Roman" w:hAnsi="Times New Roman"/>
                <w:noProof/>
              </w:rPr>
              <w:t>00696</w:t>
            </w:r>
            <w:r w:rsidRPr="00E034C6">
              <w:rPr>
                <w:rFonts w:ascii="Times New Roman" w:eastAsia="Times New Roman" w:hAnsi="Times New Roman"/>
              </w:rPr>
              <w:fldChar w:fldCharType="end"/>
            </w:r>
            <w:bookmarkEnd w:id="9"/>
          </w:p>
        </w:tc>
      </w:tr>
      <w:tr w:rsidR="00591870" w:rsidRPr="00E034C6" w:rsidTr="00591870">
        <w:tc>
          <w:tcPr>
            <w:tcW w:w="144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Other Executing Partner(s):</w:t>
            </w:r>
          </w:p>
        </w:tc>
        <w:bookmarkStart w:id="10" w:name="ExecutingAgency"/>
        <w:tc>
          <w:tcPr>
            <w:tcW w:w="1534" w:type="pct"/>
          </w:tcPr>
          <w:p w:rsidR="004511BC" w:rsidRPr="00E034C6" w:rsidRDefault="00985A96" w:rsidP="004511BC">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591870" w:rsidRPr="00D258E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4511BC" w:rsidRPr="00E034C6">
              <w:rPr>
                <w:rFonts w:ascii="Times New Roman" w:eastAsia="Times New Roman" w:hAnsi="Times New Roman"/>
              </w:rPr>
              <w:t xml:space="preserve">• </w:t>
            </w:r>
            <w:r w:rsidR="00C419EA">
              <w:rPr>
                <w:rFonts w:ascii="Times New Roman" w:eastAsia="Times New Roman" w:hAnsi="Times New Roman"/>
              </w:rPr>
              <w:t xml:space="preserve">lead </w:t>
            </w:r>
            <w:r w:rsidR="004511BC" w:rsidRPr="00E034C6">
              <w:rPr>
                <w:rFonts w:ascii="Times New Roman" w:eastAsia="Times New Roman" w:hAnsi="Times New Roman"/>
              </w:rPr>
              <w:t>NEA</w:t>
            </w:r>
            <w:r w:rsidR="00430C25">
              <w:rPr>
                <w:rFonts w:ascii="Times New Roman" w:eastAsia="Times New Roman" w:hAnsi="Times New Roman"/>
              </w:rPr>
              <w:t xml:space="preserve"> -</w:t>
            </w:r>
            <w:r w:rsidR="004511BC" w:rsidRPr="00E034C6">
              <w:rPr>
                <w:rFonts w:ascii="Times New Roman" w:eastAsia="Times New Roman" w:hAnsi="Times New Roman"/>
              </w:rPr>
              <w:t xml:space="preserve"> Coordinating Ministry for Econom</w:t>
            </w:r>
            <w:r w:rsidR="00430C25">
              <w:rPr>
                <w:rFonts w:ascii="Times New Roman" w:eastAsia="Times New Roman" w:hAnsi="Times New Roman"/>
              </w:rPr>
              <w:t>ic Affairs</w:t>
            </w:r>
            <w:r w:rsidR="004511BC" w:rsidRPr="00E034C6">
              <w:rPr>
                <w:rFonts w:ascii="Times New Roman" w:eastAsia="Times New Roman" w:hAnsi="Times New Roman"/>
              </w:rPr>
              <w:t>, Republic of Indonesia</w:t>
            </w:r>
            <w:r w:rsidR="00430C25">
              <w:rPr>
                <w:rFonts w:ascii="Times New Roman" w:eastAsia="Times New Roman" w:hAnsi="Times New Roman"/>
              </w:rPr>
              <w:t>, with:</w:t>
            </w:r>
          </w:p>
          <w:p w:rsidR="004511BC" w:rsidRPr="00E034C6"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Ministry of Home Affairs</w:t>
            </w:r>
          </w:p>
          <w:p w:rsidR="004511BC" w:rsidRPr="00E034C6"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Ministry of Public Works</w:t>
            </w:r>
            <w:r w:rsidR="00D82541">
              <w:rPr>
                <w:rFonts w:ascii="Times New Roman" w:eastAsia="Times New Roman" w:hAnsi="Times New Roman"/>
              </w:rPr>
              <w:t xml:space="preserve"> and Housing</w:t>
            </w:r>
          </w:p>
          <w:p w:rsidR="004511BC" w:rsidRPr="00E034C6"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Ministry of Environment and Forestry</w:t>
            </w:r>
          </w:p>
          <w:p w:rsidR="004511BC"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Ministry of Agraria and Spatial Planning</w:t>
            </w:r>
          </w:p>
          <w:p w:rsidR="00AD6B97" w:rsidRDefault="004511BC" w:rsidP="00AD6B97">
            <w:pPr>
              <w:spacing w:after="0" w:line="240" w:lineRule="auto"/>
              <w:rPr>
                <w:rFonts w:ascii="Times New Roman" w:eastAsia="Times New Roman" w:hAnsi="Times New Roman"/>
              </w:rPr>
            </w:pPr>
            <w:r w:rsidRPr="00E034C6">
              <w:rPr>
                <w:rFonts w:ascii="Times New Roman" w:eastAsia="Times New Roman" w:hAnsi="Times New Roman"/>
              </w:rPr>
              <w:t>• Ministry of Mining and Energy</w:t>
            </w:r>
          </w:p>
          <w:p w:rsidR="00430C25" w:rsidRPr="00AD6B97" w:rsidRDefault="00967B46" w:rsidP="00AD6B97">
            <w:pPr>
              <w:spacing w:after="0" w:line="240" w:lineRule="auto"/>
              <w:rPr>
                <w:rFonts w:ascii="Times New Roman" w:eastAsia="Times New Roman" w:hAnsi="Times New Roman"/>
              </w:rPr>
            </w:pPr>
            <w:r w:rsidRPr="00967B46">
              <w:rPr>
                <w:rFonts w:ascii="Times New Roman" w:eastAsia="Times New Roman" w:hAnsi="Times New Roman"/>
              </w:rPr>
              <w:t xml:space="preserve">• </w:t>
            </w:r>
            <w:r w:rsidR="00430C25" w:rsidRPr="00AD6B97">
              <w:rPr>
                <w:rFonts w:ascii="Times New Roman" w:eastAsia="Times New Roman" w:hAnsi="Times New Roman"/>
              </w:rPr>
              <w:t>Min</w:t>
            </w:r>
            <w:r w:rsidR="008A1A18" w:rsidRPr="00AD6B97">
              <w:rPr>
                <w:rFonts w:ascii="Times New Roman" w:eastAsia="Times New Roman" w:hAnsi="Times New Roman"/>
              </w:rPr>
              <w:t>istry</w:t>
            </w:r>
            <w:r w:rsidR="00430C25" w:rsidRPr="00AD6B97">
              <w:rPr>
                <w:rFonts w:ascii="Times New Roman" w:eastAsia="Times New Roman" w:hAnsi="Times New Roman"/>
              </w:rPr>
              <w:t xml:space="preserve"> of Villages and Least Developed Regions</w:t>
            </w:r>
          </w:p>
          <w:p w:rsidR="004511BC" w:rsidRPr="00E034C6"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xml:space="preserve">• </w:t>
            </w:r>
            <w:r w:rsidR="00581A27" w:rsidRPr="00581A27">
              <w:rPr>
                <w:rFonts w:ascii="Times New Roman" w:eastAsia="Times New Roman" w:hAnsi="Times New Roman"/>
              </w:rPr>
              <w:t xml:space="preserve">Ministry of National Development Planning </w:t>
            </w:r>
            <w:r w:rsidR="00581A27">
              <w:rPr>
                <w:rFonts w:ascii="Times New Roman" w:eastAsia="Times New Roman" w:hAnsi="Times New Roman"/>
              </w:rPr>
              <w:t>(</w:t>
            </w:r>
            <w:r w:rsidRPr="00E034C6">
              <w:rPr>
                <w:rFonts w:ascii="Times New Roman" w:eastAsia="Times New Roman" w:hAnsi="Times New Roman"/>
              </w:rPr>
              <w:t>BAPPENAS</w:t>
            </w:r>
            <w:r w:rsidR="00581A27">
              <w:rPr>
                <w:rFonts w:ascii="Times New Roman" w:eastAsia="Times New Roman" w:hAnsi="Times New Roman"/>
              </w:rPr>
              <w:t>)</w:t>
            </w:r>
          </w:p>
          <w:p w:rsidR="004511BC" w:rsidRPr="00E034C6"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Jambi Province</w:t>
            </w:r>
          </w:p>
          <w:p w:rsidR="004511BC" w:rsidRPr="00E034C6"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West Sumatra Province</w:t>
            </w:r>
          </w:p>
          <w:p w:rsidR="00430C25" w:rsidRDefault="004511BC" w:rsidP="004511BC">
            <w:pPr>
              <w:spacing w:after="0" w:line="240" w:lineRule="auto"/>
              <w:rPr>
                <w:rFonts w:ascii="Times New Roman" w:eastAsia="Times New Roman" w:hAnsi="Times New Roman"/>
              </w:rPr>
            </w:pPr>
            <w:r w:rsidRPr="00E034C6">
              <w:rPr>
                <w:rFonts w:ascii="Times New Roman" w:eastAsia="Times New Roman" w:hAnsi="Times New Roman"/>
              </w:rPr>
              <w:t>• Riau Province</w:t>
            </w:r>
            <w:r w:rsidR="00430C25">
              <w:rPr>
                <w:rFonts w:ascii="Times New Roman" w:eastAsia="Times New Roman" w:hAnsi="Times New Roman"/>
              </w:rPr>
              <w:t xml:space="preserve">, and </w:t>
            </w:r>
          </w:p>
          <w:p w:rsidR="00591870" w:rsidRPr="00E034C6" w:rsidRDefault="00430C25" w:rsidP="004511BC">
            <w:pPr>
              <w:spacing w:after="0" w:line="240" w:lineRule="auto"/>
              <w:rPr>
                <w:rFonts w:ascii="Times New Roman" w:eastAsia="Times New Roman" w:hAnsi="Times New Roman"/>
              </w:rPr>
            </w:pPr>
            <w:r>
              <w:rPr>
                <w:rFonts w:ascii="Times New Roman" w:eastAsia="Times New Roman" w:hAnsi="Times New Roman"/>
              </w:rPr>
              <w:t>WWF Indonesia</w:t>
            </w:r>
            <w:r w:rsidR="00985A96" w:rsidRPr="00E034C6">
              <w:rPr>
                <w:rFonts w:ascii="Times New Roman" w:eastAsia="Times New Roman" w:hAnsi="Times New Roman"/>
              </w:rPr>
              <w:fldChar w:fldCharType="end"/>
            </w:r>
            <w:bookmarkEnd w:id="10"/>
          </w:p>
        </w:tc>
        <w:tc>
          <w:tcPr>
            <w:tcW w:w="1295" w:type="pct"/>
          </w:tcPr>
          <w:p w:rsidR="00591870" w:rsidRPr="00E034C6" w:rsidRDefault="00397F3A" w:rsidP="00591870">
            <w:pPr>
              <w:spacing w:after="0" w:line="240" w:lineRule="auto"/>
              <w:rPr>
                <w:rFonts w:ascii="Times New Roman" w:eastAsia="Times New Roman" w:hAnsi="Times New Roman"/>
              </w:rPr>
            </w:pPr>
            <w:r>
              <w:rPr>
                <w:rFonts w:ascii="Times New Roman" w:eastAsia="Times New Roman" w:hAnsi="Times New Roman"/>
              </w:rPr>
              <w:t>Resubmission</w:t>
            </w:r>
          </w:p>
        </w:tc>
        <w:tc>
          <w:tcPr>
            <w:tcW w:w="725" w:type="pct"/>
          </w:tcPr>
          <w:p w:rsidR="00591870" w:rsidRPr="00E034C6" w:rsidRDefault="00397F3A" w:rsidP="00591870">
            <w:pPr>
              <w:spacing w:after="0" w:line="240" w:lineRule="auto"/>
              <w:rPr>
                <w:rFonts w:ascii="Times New Roman" w:eastAsia="Times New Roman" w:hAnsi="Times New Roman"/>
              </w:rPr>
            </w:pPr>
            <w:r>
              <w:rPr>
                <w:rFonts w:ascii="Times New Roman" w:eastAsia="Times New Roman" w:hAnsi="Times New Roman"/>
              </w:rPr>
              <w:t>Jul 04, 2016</w:t>
            </w:r>
          </w:p>
        </w:tc>
      </w:tr>
      <w:tr w:rsidR="00591870" w:rsidRPr="00E034C6" w:rsidTr="00591870">
        <w:tc>
          <w:tcPr>
            <w:tcW w:w="144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GEF Focal Area (s):</w:t>
            </w:r>
          </w:p>
        </w:tc>
        <w:bookmarkStart w:id="11" w:name="focalArea"/>
        <w:tc>
          <w:tcPr>
            <w:tcW w:w="1534" w:type="pct"/>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focalArea"/>
                  <w:enabled/>
                  <w:calcOnExit w:val="0"/>
                  <w:ddList>
                    <w:result w:val="7"/>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sidR="00591870" w:rsidRPr="005E6E94">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11"/>
          </w:p>
        </w:tc>
        <w:tc>
          <w:tcPr>
            <w:tcW w:w="129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Project Duration(Months)</w:t>
            </w:r>
          </w:p>
        </w:tc>
        <w:bookmarkStart w:id="12" w:name="ProjectDuration"/>
        <w:tc>
          <w:tcPr>
            <w:tcW w:w="725" w:type="pct"/>
          </w:tcPr>
          <w:p w:rsidR="00591870" w:rsidRPr="00E034C6" w:rsidRDefault="00985A96" w:rsidP="004511BC">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ProjectDuration"/>
                  <w:enabled/>
                  <w:calcOnExit w:val="0"/>
                  <w:textInput/>
                </w:ffData>
              </w:fldChar>
            </w:r>
            <w:r w:rsidR="00591870" w:rsidRPr="00D258E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4511BC" w:rsidRPr="00E034C6">
              <w:rPr>
                <w:rFonts w:ascii="Times New Roman" w:eastAsia="Times New Roman" w:hAnsi="Times New Roman"/>
                <w:noProof/>
              </w:rPr>
              <w:t>72</w:t>
            </w:r>
            <w:r w:rsidRPr="00E034C6">
              <w:rPr>
                <w:rFonts w:ascii="Times New Roman" w:eastAsia="Times New Roman" w:hAnsi="Times New Roman"/>
              </w:rPr>
              <w:fldChar w:fldCharType="end"/>
            </w:r>
            <w:bookmarkEnd w:id="12"/>
          </w:p>
        </w:tc>
      </w:tr>
      <w:tr w:rsidR="00591870" w:rsidRPr="00E034C6" w:rsidTr="00591870">
        <w:tc>
          <w:tcPr>
            <w:tcW w:w="144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Name of Parent Program (if applicable):</w:t>
            </w:r>
          </w:p>
          <w:p w:rsidR="00591870" w:rsidRPr="00E034C6" w:rsidRDefault="00591870" w:rsidP="00EE0A54">
            <w:pPr>
              <w:numPr>
                <w:ilvl w:val="0"/>
                <w:numId w:val="3"/>
              </w:numPr>
              <w:spacing w:after="0" w:line="240" w:lineRule="auto"/>
              <w:rPr>
                <w:rFonts w:ascii="Times New Roman" w:eastAsia="Times New Roman" w:hAnsi="Times New Roman"/>
              </w:rPr>
            </w:pPr>
            <w:r w:rsidRPr="00E034C6">
              <w:rPr>
                <w:rFonts w:ascii="Times New Roman" w:eastAsia="Times New Roman" w:hAnsi="Times New Roman"/>
              </w:rPr>
              <w:t xml:space="preserve">For SFM/REDD+ </w:t>
            </w:r>
            <w:bookmarkStart w:id="13" w:name="CheckSFM"/>
            <w:r w:rsidR="00985A96" w:rsidRPr="00E034C6">
              <w:rPr>
                <w:rFonts w:ascii="Times New Roman" w:eastAsia="Times New Roman" w:hAnsi="Times New Roman"/>
              </w:rPr>
              <w:fldChar w:fldCharType="begin">
                <w:ffData>
                  <w:name w:val="CheckSFM"/>
                  <w:enabled/>
                  <w:calcOnExit w:val="0"/>
                  <w:checkBox>
                    <w:sizeAuto/>
                    <w:default w:val="0"/>
                    <w:checked/>
                  </w:checkBox>
                </w:ffData>
              </w:fldChar>
            </w:r>
            <w:r w:rsidRPr="000470D9">
              <w:rPr>
                <w:rFonts w:ascii="Times New Roman" w:eastAsia="Times New Roman" w:hAnsi="Times New Roman"/>
              </w:rPr>
              <w:instrText xml:space="preserve"> FORMCHECKBOX </w:instrText>
            </w:r>
            <w:r w:rsidR="00854B34">
              <w:rPr>
                <w:rFonts w:ascii="Times New Roman" w:eastAsia="Times New Roman" w:hAnsi="Times New Roman"/>
              </w:rPr>
            </w:r>
            <w:r w:rsidR="00854B34">
              <w:rPr>
                <w:rFonts w:ascii="Times New Roman" w:eastAsia="Times New Roman" w:hAnsi="Times New Roman"/>
              </w:rPr>
              <w:fldChar w:fldCharType="separate"/>
            </w:r>
            <w:r w:rsidR="00985A96" w:rsidRPr="00E034C6">
              <w:rPr>
                <w:rFonts w:ascii="Times New Roman" w:eastAsia="Times New Roman" w:hAnsi="Times New Roman"/>
              </w:rPr>
              <w:fldChar w:fldCharType="end"/>
            </w:r>
            <w:bookmarkEnd w:id="13"/>
          </w:p>
          <w:p w:rsidR="00DA1338" w:rsidRPr="00E034C6" w:rsidRDefault="00DA1338" w:rsidP="00EE0A54">
            <w:pPr>
              <w:numPr>
                <w:ilvl w:val="0"/>
                <w:numId w:val="3"/>
              </w:numPr>
              <w:spacing w:after="0" w:line="240" w:lineRule="auto"/>
              <w:rPr>
                <w:rFonts w:ascii="Times New Roman" w:eastAsia="Times New Roman" w:hAnsi="Times New Roman"/>
              </w:rPr>
            </w:pPr>
            <w:r w:rsidRPr="00E034C6">
              <w:rPr>
                <w:rFonts w:ascii="Times New Roman" w:eastAsia="Times New Roman" w:hAnsi="Times New Roman"/>
              </w:rPr>
              <w:t xml:space="preserve">For SGP                </w:t>
            </w:r>
            <w:r w:rsidR="00985A96" w:rsidRPr="00E034C6">
              <w:rPr>
                <w:rFonts w:ascii="Times New Roman" w:eastAsia="Times New Roman" w:hAnsi="Times New Roman"/>
              </w:rPr>
              <w:fldChar w:fldCharType="begin">
                <w:ffData>
                  <w:name w:val="CheckSFM"/>
                  <w:enabled/>
                  <w:calcOnExit w:val="0"/>
                  <w:checkBox>
                    <w:sizeAuto/>
                    <w:default w:val="0"/>
                  </w:checkBox>
                </w:ffData>
              </w:fldChar>
            </w:r>
            <w:r w:rsidRPr="00D258E4">
              <w:rPr>
                <w:rFonts w:ascii="Times New Roman" w:eastAsia="Times New Roman" w:hAnsi="Times New Roman"/>
              </w:rPr>
              <w:instrText xml:space="preserve"> FORMCHECKBOX </w:instrText>
            </w:r>
            <w:r w:rsidR="00854B34">
              <w:rPr>
                <w:rFonts w:ascii="Times New Roman" w:eastAsia="Times New Roman" w:hAnsi="Times New Roman"/>
              </w:rPr>
            </w:r>
            <w:r w:rsidR="00854B34">
              <w:rPr>
                <w:rFonts w:ascii="Times New Roman" w:eastAsia="Times New Roman" w:hAnsi="Times New Roman"/>
              </w:rPr>
              <w:fldChar w:fldCharType="separate"/>
            </w:r>
            <w:r w:rsidR="00985A96" w:rsidRPr="00E034C6">
              <w:rPr>
                <w:rFonts w:ascii="Times New Roman" w:eastAsia="Times New Roman" w:hAnsi="Times New Roman"/>
              </w:rPr>
              <w:fldChar w:fldCharType="end"/>
            </w:r>
          </w:p>
        </w:tc>
        <w:bookmarkStart w:id="14" w:name="ParentProjectName"/>
        <w:tc>
          <w:tcPr>
            <w:tcW w:w="1534" w:type="pct"/>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ParentProjectName"/>
                  <w:enabled/>
                  <w:calcOnExit w:val="0"/>
                  <w:textInput/>
                </w:ffData>
              </w:fldChar>
            </w:r>
            <w:r w:rsidR="00591870" w:rsidRPr="00D258E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591870" w:rsidRPr="00E034C6">
              <w:rPr>
                <w:rFonts w:ascii="Times New Roman" w:eastAsia="Times New Roman" w:hAnsi="Times New Roman"/>
                <w:noProof/>
              </w:rPr>
              <w:t> </w:t>
            </w:r>
            <w:r w:rsidR="00591870" w:rsidRPr="00E034C6">
              <w:rPr>
                <w:rFonts w:ascii="Times New Roman" w:eastAsia="Times New Roman" w:hAnsi="Times New Roman"/>
                <w:noProof/>
              </w:rPr>
              <w:t> </w:t>
            </w:r>
            <w:r w:rsidR="00591870" w:rsidRPr="00E034C6">
              <w:rPr>
                <w:rFonts w:ascii="Times New Roman" w:eastAsia="Times New Roman" w:hAnsi="Times New Roman"/>
                <w:noProof/>
              </w:rPr>
              <w:t> </w:t>
            </w:r>
            <w:r w:rsidR="00591870" w:rsidRPr="00E034C6">
              <w:rPr>
                <w:rFonts w:ascii="Times New Roman" w:eastAsia="Times New Roman" w:hAnsi="Times New Roman"/>
                <w:noProof/>
              </w:rPr>
              <w:t> </w:t>
            </w:r>
            <w:r w:rsidR="00591870" w:rsidRPr="00E034C6">
              <w:rPr>
                <w:rFonts w:ascii="Times New Roman" w:eastAsia="Times New Roman" w:hAnsi="Times New Roman"/>
                <w:noProof/>
              </w:rPr>
              <w:t> </w:t>
            </w:r>
            <w:r w:rsidRPr="00E034C6">
              <w:rPr>
                <w:rFonts w:ascii="Times New Roman" w:eastAsia="Times New Roman" w:hAnsi="Times New Roman"/>
              </w:rPr>
              <w:fldChar w:fldCharType="end"/>
            </w:r>
            <w:bookmarkEnd w:id="14"/>
          </w:p>
        </w:tc>
        <w:tc>
          <w:tcPr>
            <w:tcW w:w="1295" w:type="pct"/>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rPr>
              <w:t>Agency Fee ($):</w:t>
            </w:r>
          </w:p>
        </w:tc>
        <w:bookmarkStart w:id="15" w:name="agencyFee"/>
        <w:tc>
          <w:tcPr>
            <w:tcW w:w="725" w:type="pct"/>
          </w:tcPr>
          <w:p w:rsidR="00591870" w:rsidRPr="00E034C6" w:rsidRDefault="00985A96" w:rsidP="004B7022">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agencyFee"/>
                  <w:enabled/>
                  <w:calcOnExit/>
                  <w:textInput>
                    <w:type w:val="number"/>
                    <w:format w:val="#,##0"/>
                  </w:textInput>
                </w:ffData>
              </w:fldChar>
            </w:r>
            <w:r w:rsidR="00591870" w:rsidRPr="00D258E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D82541">
              <w:rPr>
                <w:rFonts w:ascii="Times New Roman" w:eastAsia="Times New Roman" w:hAnsi="Times New Roman"/>
                <w:noProof/>
              </w:rPr>
              <w:t>896,018</w:t>
            </w:r>
            <w:r w:rsidRPr="00E034C6">
              <w:rPr>
                <w:rFonts w:ascii="Times New Roman" w:eastAsia="Times New Roman" w:hAnsi="Times New Roman"/>
              </w:rPr>
              <w:fldChar w:fldCharType="end"/>
            </w:r>
            <w:bookmarkEnd w:id="15"/>
          </w:p>
        </w:tc>
      </w:tr>
    </w:tbl>
    <w:p w:rsidR="00591870" w:rsidRPr="00E034C6" w:rsidRDefault="00854B34" w:rsidP="00137268">
      <w:pPr>
        <w:numPr>
          <w:ilvl w:val="0"/>
          <w:numId w:val="1"/>
        </w:numPr>
        <w:tabs>
          <w:tab w:val="left" w:pos="360"/>
        </w:tabs>
        <w:spacing w:before="240" w:after="80" w:line="240" w:lineRule="auto"/>
        <w:rPr>
          <w:rFonts w:ascii="Times New Roman" w:eastAsia="Times New Roman" w:hAnsi="Times New Roman"/>
          <w:b/>
          <w:smallCaps/>
        </w:rPr>
      </w:pPr>
      <w:hyperlink r:id="rId10" w:history="1">
        <w:r w:rsidR="00591870" w:rsidRPr="00E034C6">
          <w:rPr>
            <w:rFonts w:ascii="Times New Roman" w:eastAsia="Times New Roman" w:hAnsi="Times New Roman"/>
            <w:b/>
            <w:smallCaps/>
            <w:u w:val="single"/>
          </w:rPr>
          <w:t>Focal Area Strategy framework</w:t>
        </w:r>
      </w:hyperlink>
      <w:r w:rsidR="00591870" w:rsidRPr="00E034C6">
        <w:rPr>
          <w:rFonts w:ascii="Times New Roman" w:eastAsia="Times New Roman" w:hAnsi="Times New Roman"/>
          <w:b/>
          <w:smallCaps/>
          <w:vertAlign w:val="superscript"/>
        </w:rPr>
        <w:footnoteReference w:id="2"/>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50"/>
        <w:gridCol w:w="2657"/>
        <w:gridCol w:w="2720"/>
        <w:gridCol w:w="944"/>
        <w:gridCol w:w="1096"/>
        <w:gridCol w:w="1458"/>
      </w:tblGrid>
      <w:tr w:rsidR="00591870" w:rsidRPr="00846F3E" w:rsidTr="00DB68F6">
        <w:trPr>
          <w:trHeight w:val="260"/>
          <w:jc w:val="center"/>
        </w:trPr>
        <w:tc>
          <w:tcPr>
            <w:tcW w:w="830" w:type="pct"/>
            <w:shd w:val="clear" w:color="auto" w:fill="FFFFFF"/>
            <w:vAlign w:val="center"/>
          </w:tcPr>
          <w:p w:rsidR="00591870" w:rsidRPr="00846F3E" w:rsidRDefault="00591870" w:rsidP="00591870">
            <w:pPr>
              <w:keepNext/>
              <w:spacing w:after="0" w:line="240" w:lineRule="auto"/>
              <w:jc w:val="center"/>
              <w:outlineLvl w:val="2"/>
              <w:rPr>
                <w:rFonts w:ascii="Times New Roman" w:eastAsia="Times New Roman" w:hAnsi="Times New Roman"/>
                <w:b/>
                <w:iCs/>
                <w:color w:val="000000"/>
              </w:rPr>
            </w:pPr>
            <w:r w:rsidRPr="00846F3E">
              <w:rPr>
                <w:rFonts w:ascii="Times New Roman" w:eastAsia="Times New Roman" w:hAnsi="Times New Roman"/>
                <w:b/>
                <w:iCs/>
                <w:color w:val="000000"/>
              </w:rPr>
              <w:t>Focal Area Objectives</w:t>
            </w:r>
          </w:p>
        </w:tc>
        <w:tc>
          <w:tcPr>
            <w:tcW w:w="1257" w:type="pct"/>
            <w:shd w:val="clear" w:color="auto" w:fill="FFFFFF"/>
            <w:vAlign w:val="center"/>
          </w:tcPr>
          <w:p w:rsidR="00591870" w:rsidRPr="00846F3E" w:rsidRDefault="00591870" w:rsidP="00591870">
            <w:pPr>
              <w:keepNext/>
              <w:spacing w:after="0" w:line="240" w:lineRule="auto"/>
              <w:jc w:val="center"/>
              <w:outlineLvl w:val="2"/>
              <w:rPr>
                <w:rFonts w:ascii="Times New Roman" w:eastAsia="Times New Roman" w:hAnsi="Times New Roman"/>
                <w:b/>
                <w:iCs/>
                <w:color w:val="000000"/>
              </w:rPr>
            </w:pPr>
            <w:r w:rsidRPr="00846F3E">
              <w:rPr>
                <w:rFonts w:ascii="Times New Roman" w:eastAsia="Times New Roman" w:hAnsi="Times New Roman"/>
                <w:b/>
                <w:iCs/>
                <w:color w:val="000000"/>
              </w:rPr>
              <w:t>Expected FA Outcomes</w:t>
            </w:r>
          </w:p>
        </w:tc>
        <w:tc>
          <w:tcPr>
            <w:tcW w:w="1286" w:type="pct"/>
            <w:shd w:val="clear" w:color="auto" w:fill="FFFFFF"/>
            <w:vAlign w:val="center"/>
          </w:tcPr>
          <w:p w:rsidR="00591870" w:rsidRPr="00846F3E" w:rsidRDefault="00591870" w:rsidP="00591870">
            <w:pPr>
              <w:keepNext/>
              <w:spacing w:after="0" w:line="240" w:lineRule="auto"/>
              <w:jc w:val="center"/>
              <w:outlineLvl w:val="2"/>
              <w:rPr>
                <w:rFonts w:ascii="Times New Roman" w:eastAsia="Times New Roman" w:hAnsi="Times New Roman"/>
                <w:b/>
                <w:iCs/>
                <w:color w:val="000000"/>
              </w:rPr>
            </w:pPr>
            <w:r w:rsidRPr="00846F3E">
              <w:rPr>
                <w:rFonts w:ascii="Times New Roman" w:eastAsia="Times New Roman" w:hAnsi="Times New Roman"/>
                <w:b/>
                <w:iCs/>
                <w:color w:val="000000"/>
              </w:rPr>
              <w:t>Expected FA Outputs</w:t>
            </w:r>
          </w:p>
        </w:tc>
        <w:tc>
          <w:tcPr>
            <w:tcW w:w="413" w:type="pct"/>
            <w:shd w:val="clear" w:color="auto" w:fill="FFFFFF"/>
          </w:tcPr>
          <w:p w:rsidR="00591870" w:rsidRPr="00846F3E" w:rsidRDefault="00591870" w:rsidP="00591870">
            <w:pPr>
              <w:spacing w:after="0" w:line="240" w:lineRule="auto"/>
              <w:jc w:val="center"/>
              <w:rPr>
                <w:rFonts w:ascii="Times New Roman" w:eastAsia="Times New Roman" w:hAnsi="Times New Roman"/>
                <w:b/>
                <w:bCs/>
                <w:iCs/>
                <w:color w:val="000000"/>
              </w:rPr>
            </w:pPr>
            <w:r w:rsidRPr="00846F3E">
              <w:rPr>
                <w:rFonts w:ascii="Times New Roman" w:eastAsia="Times New Roman" w:hAnsi="Times New Roman"/>
                <w:b/>
                <w:bCs/>
                <w:iCs/>
                <w:color w:val="000000"/>
              </w:rPr>
              <w:t>Trust Fund</w:t>
            </w:r>
          </w:p>
        </w:tc>
        <w:tc>
          <w:tcPr>
            <w:tcW w:w="516" w:type="pct"/>
            <w:shd w:val="clear" w:color="auto" w:fill="FFFFFF"/>
          </w:tcPr>
          <w:p w:rsidR="00591870" w:rsidRPr="00846F3E" w:rsidRDefault="00591870" w:rsidP="00591870">
            <w:pPr>
              <w:spacing w:after="0" w:line="240" w:lineRule="auto"/>
              <w:jc w:val="center"/>
              <w:rPr>
                <w:rFonts w:ascii="Times New Roman" w:eastAsia="Times New Roman" w:hAnsi="Times New Roman"/>
                <w:bCs/>
              </w:rPr>
            </w:pPr>
            <w:r w:rsidRPr="00846F3E">
              <w:rPr>
                <w:rFonts w:ascii="Times New Roman" w:eastAsia="Times New Roman" w:hAnsi="Times New Roman"/>
                <w:b/>
                <w:bCs/>
                <w:iCs/>
                <w:color w:val="000000"/>
              </w:rPr>
              <w:t xml:space="preserve">Grant Amount </w:t>
            </w:r>
            <w:r w:rsidRPr="00846F3E">
              <w:rPr>
                <w:rFonts w:ascii="Times New Roman" w:eastAsia="Times New Roman" w:hAnsi="Times New Roman"/>
                <w:bCs/>
              </w:rPr>
              <w:t>($)</w:t>
            </w:r>
          </w:p>
        </w:tc>
        <w:tc>
          <w:tcPr>
            <w:tcW w:w="698" w:type="pct"/>
            <w:shd w:val="clear" w:color="auto" w:fill="FFFFFF"/>
            <w:vAlign w:val="center"/>
          </w:tcPr>
          <w:p w:rsidR="00591870" w:rsidRPr="00846F3E" w:rsidRDefault="00591870" w:rsidP="00591870">
            <w:pPr>
              <w:keepNext/>
              <w:spacing w:after="0" w:line="240" w:lineRule="auto"/>
              <w:jc w:val="center"/>
              <w:outlineLvl w:val="2"/>
              <w:rPr>
                <w:rFonts w:ascii="Times New Roman" w:eastAsia="Times New Roman" w:hAnsi="Times New Roman"/>
                <w:b/>
                <w:iCs/>
                <w:color w:val="000000"/>
              </w:rPr>
            </w:pPr>
            <w:r w:rsidRPr="00846F3E">
              <w:rPr>
                <w:rFonts w:ascii="Times New Roman" w:eastAsia="Times New Roman" w:hAnsi="Times New Roman"/>
                <w:b/>
                <w:iCs/>
                <w:color w:val="000000"/>
              </w:rPr>
              <w:t>Cofinancing</w:t>
            </w:r>
          </w:p>
          <w:p w:rsidR="00591870" w:rsidRPr="00846F3E" w:rsidRDefault="00591870" w:rsidP="00591870">
            <w:pPr>
              <w:keepNext/>
              <w:spacing w:after="0" w:line="240" w:lineRule="auto"/>
              <w:jc w:val="center"/>
              <w:outlineLvl w:val="2"/>
              <w:rPr>
                <w:rFonts w:ascii="Times New Roman" w:eastAsia="Times New Roman" w:hAnsi="Times New Roman"/>
                <w:iCs/>
                <w:color w:val="000000"/>
              </w:rPr>
            </w:pPr>
            <w:r w:rsidRPr="00846F3E">
              <w:rPr>
                <w:rFonts w:ascii="Times New Roman" w:eastAsia="Times New Roman" w:hAnsi="Times New Roman"/>
                <w:iCs/>
                <w:color w:val="000000"/>
              </w:rPr>
              <w:t>($)</w:t>
            </w:r>
          </w:p>
        </w:tc>
      </w:tr>
      <w:tr w:rsidR="00591870" w:rsidRPr="00846F3E" w:rsidTr="00DB68F6">
        <w:trPr>
          <w:jc w:val="center"/>
        </w:trPr>
        <w:tc>
          <w:tcPr>
            <w:tcW w:w="830" w:type="pct"/>
            <w:shd w:val="clear" w:color="auto" w:fill="FFFFFF"/>
          </w:tcPr>
          <w:p w:rsidR="00591870" w:rsidRPr="00846F3E" w:rsidRDefault="00591870" w:rsidP="00591870">
            <w:pPr>
              <w:spacing w:after="0" w:line="240" w:lineRule="auto"/>
              <w:rPr>
                <w:rFonts w:ascii="Times New Roman" w:eastAsia="Times New Roman" w:hAnsi="Times New Roman"/>
              </w:rPr>
            </w:pPr>
            <w:r w:rsidRPr="00846F3E">
              <w:rPr>
                <w:rFonts w:ascii="Times New Roman" w:eastAsia="Times New Roman" w:hAnsi="Times New Roman"/>
              </w:rPr>
              <w:t xml:space="preserve">  </w:t>
            </w:r>
            <w:bookmarkStart w:id="16" w:name="sec_fa_obj_01"/>
            <w:r w:rsidR="00985A96" w:rsidRPr="00846F3E">
              <w:rPr>
                <w:rFonts w:ascii="Times New Roman" w:eastAsia="Times New Roman" w:hAnsi="Times New Roman"/>
              </w:rPr>
              <w:fldChar w:fldCharType="begin">
                <w:ffData>
                  <w:name w:val="sec_fa_obj_01"/>
                  <w:enabled/>
                  <w:calcOnExit w:val="0"/>
                  <w:ddList>
                    <w:result w:val="2"/>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Pr="00846F3E">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00985A96" w:rsidRPr="00846F3E">
              <w:rPr>
                <w:rFonts w:ascii="Times New Roman" w:eastAsia="Times New Roman" w:hAnsi="Times New Roman"/>
              </w:rPr>
              <w:fldChar w:fldCharType="end"/>
            </w:r>
            <w:bookmarkEnd w:id="16"/>
          </w:p>
        </w:tc>
        <w:tc>
          <w:tcPr>
            <w:tcW w:w="1257" w:type="pct"/>
            <w:shd w:val="clear" w:color="auto" w:fill="FFFFFF"/>
          </w:tcPr>
          <w:p w:rsidR="00E64865" w:rsidRPr="00846F3E" w:rsidRDefault="00E64865" w:rsidP="00E64865">
            <w:pPr>
              <w:spacing w:after="0" w:line="240" w:lineRule="auto"/>
              <w:rPr>
                <w:rFonts w:ascii="Times New Roman" w:eastAsia="Times New Roman" w:hAnsi="Times New Roman"/>
              </w:rPr>
            </w:pPr>
            <w:r w:rsidRPr="00846F3E">
              <w:rPr>
                <w:rFonts w:ascii="Times New Roman" w:eastAsia="Times New Roman" w:hAnsi="Times New Roman"/>
              </w:rPr>
              <w:t>2.1: Increase in sustainably</w:t>
            </w:r>
          </w:p>
          <w:p w:rsidR="00E64865" w:rsidRPr="00846F3E" w:rsidRDefault="00E64865" w:rsidP="00E64865">
            <w:pPr>
              <w:spacing w:after="0" w:line="240" w:lineRule="auto"/>
              <w:rPr>
                <w:rFonts w:ascii="Times New Roman" w:eastAsia="Times New Roman" w:hAnsi="Times New Roman"/>
              </w:rPr>
            </w:pPr>
            <w:r w:rsidRPr="00846F3E">
              <w:rPr>
                <w:rFonts w:ascii="Times New Roman" w:eastAsia="Times New Roman" w:hAnsi="Times New Roman"/>
              </w:rPr>
              <w:t>managed landscapes and</w:t>
            </w:r>
          </w:p>
          <w:p w:rsidR="00E64865" w:rsidRPr="00846F3E" w:rsidRDefault="00E64865" w:rsidP="00E64865">
            <w:pPr>
              <w:spacing w:after="0" w:line="240" w:lineRule="auto"/>
              <w:rPr>
                <w:rFonts w:ascii="Times New Roman" w:eastAsia="Times New Roman" w:hAnsi="Times New Roman"/>
              </w:rPr>
            </w:pPr>
            <w:r w:rsidRPr="00846F3E">
              <w:rPr>
                <w:rFonts w:ascii="Times New Roman" w:eastAsia="Times New Roman" w:hAnsi="Times New Roman"/>
              </w:rPr>
              <w:t>seascapes that integrate biodiversity</w:t>
            </w:r>
          </w:p>
          <w:p w:rsidR="00591870" w:rsidRPr="00846F3E" w:rsidRDefault="00E64865" w:rsidP="00E64865">
            <w:pPr>
              <w:spacing w:after="0" w:line="240" w:lineRule="auto"/>
              <w:rPr>
                <w:rFonts w:ascii="Times New Roman" w:eastAsia="Times New Roman" w:hAnsi="Times New Roman"/>
              </w:rPr>
            </w:pPr>
            <w:r w:rsidRPr="00846F3E">
              <w:rPr>
                <w:rFonts w:ascii="Times New Roman" w:eastAsia="Times New Roman" w:hAnsi="Times New Roman"/>
              </w:rPr>
              <w:t>conservation.</w:t>
            </w:r>
          </w:p>
        </w:tc>
        <w:tc>
          <w:tcPr>
            <w:tcW w:w="1286" w:type="pct"/>
            <w:shd w:val="clear" w:color="auto" w:fill="FFFFFF"/>
          </w:tcPr>
          <w:p w:rsidR="00E64865" w:rsidRPr="00846F3E" w:rsidRDefault="00E64865" w:rsidP="00E64865">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 xml:space="preserve"> National and</w:t>
            </w:r>
          </w:p>
          <w:p w:rsidR="00E64865" w:rsidRPr="00846F3E" w:rsidRDefault="00E64865" w:rsidP="00E64865">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sub-national land-use</w:t>
            </w:r>
          </w:p>
          <w:p w:rsidR="00E64865" w:rsidRPr="00846F3E" w:rsidRDefault="00E64865" w:rsidP="00E64865">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plans (number) that</w:t>
            </w:r>
          </w:p>
          <w:p w:rsidR="00E64865" w:rsidRPr="00846F3E" w:rsidRDefault="00E64865" w:rsidP="00E64865">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incorporate biodiversity</w:t>
            </w:r>
          </w:p>
          <w:p w:rsidR="00E64865" w:rsidRPr="00846F3E" w:rsidRDefault="00E64865" w:rsidP="00E64865">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and ecosystem</w:t>
            </w:r>
          </w:p>
          <w:p w:rsidR="00591870" w:rsidRPr="00846F3E" w:rsidRDefault="00E64865" w:rsidP="00E64865">
            <w:pPr>
              <w:spacing w:after="0" w:line="240" w:lineRule="auto"/>
              <w:rPr>
                <w:rFonts w:ascii="Times New Roman" w:eastAsia="Times New Roman" w:hAnsi="Times New Roman"/>
              </w:rPr>
            </w:pPr>
            <w:r w:rsidRPr="00846F3E">
              <w:rPr>
                <w:rFonts w:ascii="Times New Roman" w:eastAsia="Times New Roman" w:hAnsi="Times New Roman"/>
              </w:rPr>
              <w:t>services valuation</w:t>
            </w:r>
          </w:p>
        </w:tc>
        <w:bookmarkStart w:id="17" w:name="A_PPG_TF_01"/>
        <w:tc>
          <w:tcPr>
            <w:tcW w:w="413" w:type="pct"/>
            <w:shd w:val="clear" w:color="auto" w:fill="FFFFFF"/>
          </w:tcPr>
          <w:p w:rsidR="00591870" w:rsidRPr="00846F3E" w:rsidRDefault="00985A96" w:rsidP="00591870">
            <w:pPr>
              <w:spacing w:after="0" w:line="240" w:lineRule="auto"/>
              <w:rPr>
                <w:rFonts w:ascii="Times New Roman" w:eastAsia="Times New Roman" w:hAnsi="Times New Roman"/>
              </w:rPr>
            </w:pPr>
            <w:r w:rsidRPr="00846F3E">
              <w:rPr>
                <w:rFonts w:ascii="Times New Roman" w:eastAsia="Times New Roman" w:hAnsi="Times New Roman"/>
                <w:bCs/>
                <w:smallCaps/>
              </w:rPr>
              <w:fldChar w:fldCharType="begin">
                <w:ffData>
                  <w:name w:val="A_PPG_TF_01"/>
                  <w:enabled/>
                  <w:calcOnExit w:val="0"/>
                  <w:ddList>
                    <w:result w:val="1"/>
                    <w:listEntry w:val="(select)"/>
                    <w:listEntry w:val="GEF TF"/>
                    <w:listEntry w:val="LDCF"/>
                    <w:listEntry w:val="SCCF"/>
                    <w:listEntry w:val="NPIF"/>
                  </w:ddList>
                </w:ffData>
              </w:fldChar>
            </w:r>
            <w:r w:rsidR="00591870" w:rsidRPr="00846F3E">
              <w:rPr>
                <w:rFonts w:ascii="Times New Roman" w:eastAsia="Times New Roman" w:hAnsi="Times New Roman"/>
                <w:bCs/>
                <w:smallCaps/>
              </w:rPr>
              <w:instrText xml:space="preserve"> FORMDROPDOWN </w:instrText>
            </w:r>
            <w:r w:rsidR="00854B34">
              <w:rPr>
                <w:rFonts w:ascii="Times New Roman" w:eastAsia="Times New Roman" w:hAnsi="Times New Roman"/>
                <w:bCs/>
                <w:smallCaps/>
              </w:rPr>
            </w:r>
            <w:r w:rsidR="00854B34">
              <w:rPr>
                <w:rFonts w:ascii="Times New Roman" w:eastAsia="Times New Roman" w:hAnsi="Times New Roman"/>
                <w:bCs/>
                <w:smallCaps/>
              </w:rPr>
              <w:fldChar w:fldCharType="separate"/>
            </w:r>
            <w:r w:rsidRPr="00846F3E">
              <w:rPr>
                <w:rFonts w:ascii="Times New Roman" w:eastAsia="Times New Roman" w:hAnsi="Times New Roman"/>
                <w:bCs/>
                <w:smallCaps/>
              </w:rPr>
              <w:fldChar w:fldCharType="end"/>
            </w:r>
            <w:bookmarkEnd w:id="17"/>
          </w:p>
        </w:tc>
        <w:bookmarkStart w:id="18" w:name="A_GA_01"/>
        <w:tc>
          <w:tcPr>
            <w:tcW w:w="516" w:type="pct"/>
            <w:shd w:val="clear" w:color="auto" w:fill="FFFFFF"/>
          </w:tcPr>
          <w:p w:rsidR="00591870" w:rsidRPr="00846F3E" w:rsidRDefault="00985A96" w:rsidP="000470D9">
            <w:pPr>
              <w:spacing w:after="0" w:line="240" w:lineRule="auto"/>
              <w:jc w:val="right"/>
              <w:rPr>
                <w:rFonts w:ascii="Times New Roman" w:eastAsia="Times New Roman" w:hAnsi="Times New Roman"/>
              </w:rPr>
            </w:pPr>
            <w:r w:rsidRPr="00846F3E">
              <w:rPr>
                <w:rFonts w:ascii="Times New Roman" w:eastAsia="Times New Roman" w:hAnsi="Times New Roman"/>
              </w:rPr>
              <w:fldChar w:fldCharType="begin">
                <w:ffData>
                  <w:name w:val="A_GA_01"/>
                  <w:enabled/>
                  <w:calcOnExit/>
                  <w:textInput>
                    <w:type w:val="number"/>
                    <w:format w:val="#,##0"/>
                  </w:textInput>
                </w:ffData>
              </w:fldChar>
            </w:r>
            <w:r w:rsidR="00591870" w:rsidRPr="00846F3E">
              <w:rPr>
                <w:rFonts w:ascii="Times New Roman" w:eastAsia="Times New Roman" w:hAnsi="Times New Roman"/>
              </w:rPr>
              <w:instrText xml:space="preserve"> FORMTEXT </w:instrText>
            </w:r>
            <w:r w:rsidRPr="00846F3E">
              <w:rPr>
                <w:rFonts w:ascii="Times New Roman" w:eastAsia="Times New Roman" w:hAnsi="Times New Roman"/>
              </w:rPr>
            </w:r>
            <w:r w:rsidRPr="00846F3E">
              <w:rPr>
                <w:rFonts w:ascii="Times New Roman" w:eastAsia="Times New Roman" w:hAnsi="Times New Roman"/>
              </w:rPr>
              <w:fldChar w:fldCharType="separate"/>
            </w:r>
            <w:r w:rsidR="000470D9" w:rsidRPr="00846F3E">
              <w:rPr>
                <w:rFonts w:ascii="Times New Roman" w:eastAsia="Times New Roman" w:hAnsi="Times New Roman"/>
                <w:noProof/>
              </w:rPr>
              <w:t>6,283,197</w:t>
            </w:r>
            <w:r w:rsidRPr="00846F3E">
              <w:rPr>
                <w:rFonts w:ascii="Times New Roman" w:eastAsia="Times New Roman" w:hAnsi="Times New Roman"/>
              </w:rPr>
              <w:fldChar w:fldCharType="end"/>
            </w:r>
            <w:bookmarkEnd w:id="18"/>
          </w:p>
        </w:tc>
        <w:tc>
          <w:tcPr>
            <w:tcW w:w="698" w:type="pct"/>
            <w:shd w:val="clear" w:color="auto" w:fill="FFFFFF"/>
          </w:tcPr>
          <w:p w:rsidR="00591870" w:rsidRPr="00846F3E" w:rsidRDefault="00DD3F4A" w:rsidP="00DD3F4A">
            <w:pPr>
              <w:spacing w:after="0" w:line="240" w:lineRule="auto"/>
              <w:jc w:val="right"/>
              <w:rPr>
                <w:rFonts w:ascii="Times New Roman" w:eastAsia="Times New Roman" w:hAnsi="Times New Roman"/>
              </w:rPr>
            </w:pPr>
            <w:r w:rsidRPr="00846F3E">
              <w:rPr>
                <w:rFonts w:ascii="Times New Roman" w:eastAsia="Times New Roman" w:hAnsi="Times New Roman"/>
              </w:rPr>
              <w:t>24,372,723</w:t>
            </w:r>
          </w:p>
        </w:tc>
      </w:tr>
      <w:bookmarkStart w:id="19" w:name="focalAreaObj_02"/>
      <w:tr w:rsidR="00591870" w:rsidRPr="00846F3E" w:rsidTr="00DB68F6">
        <w:trPr>
          <w:jc w:val="center"/>
        </w:trPr>
        <w:tc>
          <w:tcPr>
            <w:tcW w:w="830" w:type="pct"/>
            <w:shd w:val="clear" w:color="auto" w:fill="FFFFFF"/>
          </w:tcPr>
          <w:p w:rsidR="00591870" w:rsidRPr="00846F3E" w:rsidRDefault="00985A96" w:rsidP="00DB68F6">
            <w:pPr>
              <w:spacing w:after="0" w:line="240" w:lineRule="auto"/>
              <w:rPr>
                <w:rFonts w:ascii="Times New Roman" w:eastAsia="Times New Roman" w:hAnsi="Times New Roman"/>
              </w:rPr>
            </w:pPr>
            <w:r w:rsidRPr="00846F3E">
              <w:rPr>
                <w:rFonts w:ascii="Times New Roman" w:eastAsia="Times New Roman" w:hAnsi="Times New Roman"/>
              </w:rPr>
              <w:fldChar w:fldCharType="begin">
                <w:ffData>
                  <w:name w:val="focalAreaObj_02"/>
                  <w:enabled/>
                  <w:calcOnExit w:val="0"/>
                  <w:ddList>
                    <w:result w:val="3"/>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846F3E">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846F3E">
              <w:rPr>
                <w:rFonts w:ascii="Times New Roman" w:eastAsia="Times New Roman" w:hAnsi="Times New Roman"/>
              </w:rPr>
              <w:fldChar w:fldCharType="end"/>
            </w:r>
            <w:bookmarkEnd w:id="19"/>
            <w:r w:rsidR="00591870" w:rsidRPr="00846F3E">
              <w:rPr>
                <w:rFonts w:ascii="Times New Roman" w:eastAsia="Times New Roman" w:hAnsi="Times New Roman"/>
              </w:rPr>
              <w:t xml:space="preserve">  </w:t>
            </w:r>
          </w:p>
        </w:tc>
        <w:tc>
          <w:tcPr>
            <w:tcW w:w="1257" w:type="pct"/>
            <w:shd w:val="clear" w:color="auto" w:fill="FFFFFF"/>
          </w:tcPr>
          <w:p w:rsidR="00E11378" w:rsidRPr="00846F3E" w:rsidRDefault="00E11378" w:rsidP="00E11378">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3.2 Investment in renewable energy</w:t>
            </w:r>
          </w:p>
          <w:p w:rsidR="00591870" w:rsidRPr="00846F3E" w:rsidRDefault="00E11378" w:rsidP="00E11378">
            <w:pPr>
              <w:spacing w:after="0" w:line="240" w:lineRule="auto"/>
              <w:rPr>
                <w:rFonts w:ascii="Times New Roman" w:eastAsia="Times New Roman" w:hAnsi="Times New Roman"/>
              </w:rPr>
            </w:pPr>
            <w:r w:rsidRPr="00846F3E">
              <w:rPr>
                <w:rFonts w:ascii="Times New Roman" w:eastAsia="Times New Roman" w:hAnsi="Times New Roman"/>
              </w:rPr>
              <w:t>technologies increased</w:t>
            </w:r>
          </w:p>
        </w:tc>
        <w:tc>
          <w:tcPr>
            <w:tcW w:w="1286" w:type="pct"/>
            <w:shd w:val="clear" w:color="auto" w:fill="FFFFFF"/>
          </w:tcPr>
          <w:p w:rsidR="00E11378" w:rsidRPr="00846F3E" w:rsidRDefault="00E11378" w:rsidP="00E11378">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 xml:space="preserve"> Renewable energy</w:t>
            </w:r>
          </w:p>
          <w:p w:rsidR="00591870" w:rsidRPr="00846F3E" w:rsidRDefault="00E11378" w:rsidP="00E11378">
            <w:pPr>
              <w:spacing w:after="0" w:line="240" w:lineRule="auto"/>
              <w:rPr>
                <w:rFonts w:ascii="Times New Roman" w:eastAsia="Times New Roman" w:hAnsi="Times New Roman"/>
              </w:rPr>
            </w:pPr>
            <w:r w:rsidRPr="00846F3E">
              <w:rPr>
                <w:rFonts w:ascii="Times New Roman" w:eastAsia="Times New Roman" w:hAnsi="Times New Roman"/>
              </w:rPr>
              <w:t>capacity installed</w:t>
            </w:r>
          </w:p>
        </w:tc>
        <w:tc>
          <w:tcPr>
            <w:tcW w:w="413" w:type="pct"/>
            <w:shd w:val="clear" w:color="auto" w:fill="FFFFFF"/>
          </w:tcPr>
          <w:p w:rsidR="00591870" w:rsidRPr="00846F3E" w:rsidRDefault="00985A96" w:rsidP="00591870">
            <w:pPr>
              <w:spacing w:after="0" w:line="240" w:lineRule="auto"/>
              <w:rPr>
                <w:rFonts w:ascii="Times New Roman" w:eastAsia="Times New Roman" w:hAnsi="Times New Roman"/>
              </w:rPr>
            </w:pPr>
            <w:r w:rsidRPr="00846F3E">
              <w:rPr>
                <w:rFonts w:ascii="Times New Roman" w:eastAsia="Times New Roman" w:hAnsi="Times New Roman"/>
                <w:bCs/>
                <w:smallCaps/>
              </w:rPr>
              <w:fldChar w:fldCharType="begin">
                <w:ffData>
                  <w:name w:val="A_PPG_TF_01"/>
                  <w:enabled/>
                  <w:calcOnExit w:val="0"/>
                  <w:ddList>
                    <w:result w:val="1"/>
                    <w:listEntry w:val="(select)"/>
                    <w:listEntry w:val="GEF TF"/>
                    <w:listEntry w:val="LDCF"/>
                    <w:listEntry w:val="SCCF"/>
                    <w:listEntry w:val="NPIF"/>
                  </w:ddList>
                </w:ffData>
              </w:fldChar>
            </w:r>
            <w:r w:rsidR="00591870" w:rsidRPr="00846F3E">
              <w:rPr>
                <w:rFonts w:ascii="Times New Roman" w:eastAsia="Times New Roman" w:hAnsi="Times New Roman"/>
                <w:bCs/>
                <w:smallCaps/>
              </w:rPr>
              <w:instrText xml:space="preserve"> FORMDROPDOWN </w:instrText>
            </w:r>
            <w:r w:rsidR="00854B34">
              <w:rPr>
                <w:rFonts w:ascii="Times New Roman" w:eastAsia="Times New Roman" w:hAnsi="Times New Roman"/>
                <w:bCs/>
                <w:smallCaps/>
              </w:rPr>
            </w:r>
            <w:r w:rsidR="00854B34">
              <w:rPr>
                <w:rFonts w:ascii="Times New Roman" w:eastAsia="Times New Roman" w:hAnsi="Times New Roman"/>
                <w:bCs/>
                <w:smallCaps/>
              </w:rPr>
              <w:fldChar w:fldCharType="separate"/>
            </w:r>
            <w:r w:rsidRPr="00846F3E">
              <w:rPr>
                <w:rFonts w:ascii="Times New Roman" w:eastAsia="Times New Roman" w:hAnsi="Times New Roman"/>
                <w:bCs/>
                <w:smallCaps/>
              </w:rPr>
              <w:fldChar w:fldCharType="end"/>
            </w:r>
          </w:p>
        </w:tc>
        <w:bookmarkStart w:id="20" w:name="A_GA_02"/>
        <w:tc>
          <w:tcPr>
            <w:tcW w:w="516" w:type="pct"/>
            <w:shd w:val="clear" w:color="auto" w:fill="FFFFFF"/>
          </w:tcPr>
          <w:p w:rsidR="00591870" w:rsidRPr="00846F3E" w:rsidRDefault="00985A96" w:rsidP="005733E1">
            <w:pPr>
              <w:spacing w:after="0" w:line="240" w:lineRule="auto"/>
              <w:jc w:val="right"/>
              <w:rPr>
                <w:rFonts w:ascii="Times New Roman" w:eastAsia="Times New Roman" w:hAnsi="Times New Roman"/>
              </w:rPr>
            </w:pPr>
            <w:r w:rsidRPr="00846F3E">
              <w:rPr>
                <w:rFonts w:ascii="Times New Roman" w:eastAsia="Times New Roman" w:hAnsi="Times New Roman"/>
              </w:rPr>
              <w:fldChar w:fldCharType="begin">
                <w:ffData>
                  <w:name w:val="A_GA_02"/>
                  <w:enabled/>
                  <w:calcOnExit/>
                  <w:textInput>
                    <w:type w:val="number"/>
                    <w:format w:val="#,##0"/>
                  </w:textInput>
                </w:ffData>
              </w:fldChar>
            </w:r>
            <w:r w:rsidR="00591870" w:rsidRPr="00846F3E">
              <w:rPr>
                <w:rFonts w:ascii="Times New Roman" w:eastAsia="Times New Roman" w:hAnsi="Times New Roman"/>
              </w:rPr>
              <w:instrText xml:space="preserve"> FORMTEXT </w:instrText>
            </w:r>
            <w:r w:rsidRPr="00846F3E">
              <w:rPr>
                <w:rFonts w:ascii="Times New Roman" w:eastAsia="Times New Roman" w:hAnsi="Times New Roman"/>
              </w:rPr>
            </w:r>
            <w:r w:rsidRPr="00846F3E">
              <w:rPr>
                <w:rFonts w:ascii="Times New Roman" w:eastAsia="Times New Roman" w:hAnsi="Times New Roman"/>
              </w:rPr>
              <w:fldChar w:fldCharType="separate"/>
            </w:r>
            <w:r w:rsidR="005733E1" w:rsidRPr="00846F3E">
              <w:rPr>
                <w:rFonts w:ascii="Times New Roman" w:eastAsia="Times New Roman" w:hAnsi="Times New Roman"/>
                <w:noProof/>
              </w:rPr>
              <w:t>200,000</w:t>
            </w:r>
            <w:r w:rsidRPr="00846F3E">
              <w:rPr>
                <w:rFonts w:ascii="Times New Roman" w:eastAsia="Times New Roman" w:hAnsi="Times New Roman"/>
              </w:rPr>
              <w:fldChar w:fldCharType="end"/>
            </w:r>
            <w:bookmarkEnd w:id="20"/>
          </w:p>
        </w:tc>
        <w:tc>
          <w:tcPr>
            <w:tcW w:w="698" w:type="pct"/>
            <w:shd w:val="clear" w:color="auto" w:fill="FFFFFF"/>
          </w:tcPr>
          <w:p w:rsidR="00591870" w:rsidRPr="00846F3E" w:rsidRDefault="00DD3F4A" w:rsidP="005733E1">
            <w:pPr>
              <w:spacing w:after="0" w:line="240" w:lineRule="auto"/>
              <w:jc w:val="right"/>
              <w:rPr>
                <w:rFonts w:ascii="Times New Roman" w:eastAsia="Times New Roman" w:hAnsi="Times New Roman"/>
              </w:rPr>
            </w:pPr>
            <w:r w:rsidRPr="00846F3E">
              <w:rPr>
                <w:rFonts w:ascii="Times New Roman" w:eastAsia="Times New Roman" w:hAnsi="Times New Roman"/>
              </w:rPr>
              <w:t>1,500,000</w:t>
            </w:r>
          </w:p>
        </w:tc>
      </w:tr>
      <w:bookmarkStart w:id="21" w:name="focalAreaObj_03"/>
      <w:tr w:rsidR="00591870" w:rsidRPr="00846F3E" w:rsidTr="00DB68F6">
        <w:trPr>
          <w:jc w:val="center"/>
        </w:trPr>
        <w:tc>
          <w:tcPr>
            <w:tcW w:w="830" w:type="pct"/>
            <w:tcBorders>
              <w:bottom w:val="single" w:sz="4" w:space="0" w:color="auto"/>
            </w:tcBorders>
            <w:shd w:val="clear" w:color="auto" w:fill="FFFFFF"/>
          </w:tcPr>
          <w:p w:rsidR="00591870" w:rsidRPr="00846F3E" w:rsidRDefault="00985A96" w:rsidP="00DB68F6">
            <w:pPr>
              <w:spacing w:after="0" w:line="240" w:lineRule="auto"/>
              <w:rPr>
                <w:rFonts w:ascii="Times New Roman" w:eastAsia="Times New Roman" w:hAnsi="Times New Roman"/>
              </w:rPr>
            </w:pPr>
            <w:r w:rsidRPr="00846F3E">
              <w:rPr>
                <w:rFonts w:ascii="Times New Roman" w:eastAsia="Times New Roman" w:hAnsi="Times New Roman"/>
              </w:rPr>
              <w:fldChar w:fldCharType="begin">
                <w:ffData>
                  <w:name w:val="focalAreaObj_03"/>
                  <w:enabled/>
                  <w:calcOnExit w:val="0"/>
                  <w:ddList>
                    <w:result w:val="5"/>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846F3E">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846F3E">
              <w:rPr>
                <w:rFonts w:ascii="Times New Roman" w:eastAsia="Times New Roman" w:hAnsi="Times New Roman"/>
              </w:rPr>
              <w:fldChar w:fldCharType="end"/>
            </w:r>
            <w:bookmarkEnd w:id="21"/>
            <w:r w:rsidR="00591870" w:rsidRPr="00846F3E">
              <w:rPr>
                <w:rFonts w:ascii="Times New Roman" w:eastAsia="Times New Roman" w:hAnsi="Times New Roman"/>
              </w:rPr>
              <w:t xml:space="preserve">   </w:t>
            </w:r>
          </w:p>
        </w:tc>
        <w:tc>
          <w:tcPr>
            <w:tcW w:w="1257" w:type="pct"/>
            <w:shd w:val="clear" w:color="auto" w:fill="FFFFFF"/>
          </w:tcPr>
          <w:p w:rsidR="00FC599D" w:rsidRPr="00846F3E" w:rsidRDefault="00411FBD" w:rsidP="00FC599D">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 xml:space="preserve">5.2 </w:t>
            </w:r>
            <w:r w:rsidR="00FC599D" w:rsidRPr="00846F3E">
              <w:rPr>
                <w:rFonts w:ascii="Times New Roman" w:eastAsia="Times New Roman" w:hAnsi="Times New Roman"/>
              </w:rPr>
              <w:t xml:space="preserve">Restoration and </w:t>
            </w:r>
            <w:r w:rsidR="00FC599D" w:rsidRPr="00846F3E">
              <w:rPr>
                <w:rFonts w:ascii="Times New Roman" w:eastAsia="Times New Roman" w:hAnsi="Times New Roman"/>
              </w:rPr>
              <w:lastRenderedPageBreak/>
              <w:t>enhancement of carbon</w:t>
            </w:r>
          </w:p>
          <w:p w:rsidR="00FC599D" w:rsidRPr="00846F3E" w:rsidRDefault="00FC599D" w:rsidP="00FC599D">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stocks in forests and non-forest lands,</w:t>
            </w:r>
          </w:p>
          <w:p w:rsidR="00591870" w:rsidRPr="00846F3E" w:rsidRDefault="00FC599D" w:rsidP="00FC599D">
            <w:pPr>
              <w:spacing w:after="0" w:line="240" w:lineRule="auto"/>
              <w:rPr>
                <w:rFonts w:ascii="Times New Roman" w:eastAsia="Times New Roman" w:hAnsi="Times New Roman"/>
              </w:rPr>
            </w:pPr>
            <w:r w:rsidRPr="00846F3E">
              <w:rPr>
                <w:rFonts w:ascii="Times New Roman" w:eastAsia="Times New Roman" w:hAnsi="Times New Roman"/>
              </w:rPr>
              <w:t>including peatland</w:t>
            </w:r>
          </w:p>
        </w:tc>
        <w:tc>
          <w:tcPr>
            <w:tcW w:w="1286" w:type="pct"/>
            <w:shd w:val="clear" w:color="auto" w:fill="FFFFFF"/>
          </w:tcPr>
          <w:p w:rsidR="00FC599D" w:rsidRPr="00846F3E" w:rsidRDefault="00FC599D" w:rsidP="00FC599D">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lastRenderedPageBreak/>
              <w:t>Forests and non</w:t>
            </w:r>
            <w:r w:rsidR="00577106" w:rsidRPr="00846F3E">
              <w:rPr>
                <w:rFonts w:ascii="Times New Roman" w:eastAsia="Times New Roman" w:hAnsi="Times New Roman"/>
              </w:rPr>
              <w:t>-</w:t>
            </w:r>
            <w:r w:rsidRPr="00846F3E">
              <w:rPr>
                <w:rFonts w:ascii="Times New Roman" w:eastAsia="Times New Roman" w:hAnsi="Times New Roman"/>
              </w:rPr>
              <w:t>forest</w:t>
            </w:r>
          </w:p>
          <w:p w:rsidR="00FC599D" w:rsidRPr="00846F3E" w:rsidRDefault="00FC599D" w:rsidP="00FC599D">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lastRenderedPageBreak/>
              <w:t>lands under good</w:t>
            </w:r>
          </w:p>
          <w:p w:rsidR="00591870" w:rsidRPr="00846F3E" w:rsidRDefault="00FC599D" w:rsidP="00FC599D">
            <w:pPr>
              <w:spacing w:after="0" w:line="240" w:lineRule="auto"/>
              <w:rPr>
                <w:rFonts w:ascii="Times New Roman" w:eastAsia="Times New Roman" w:hAnsi="Times New Roman"/>
              </w:rPr>
            </w:pPr>
            <w:r w:rsidRPr="00846F3E">
              <w:rPr>
                <w:rFonts w:ascii="Times New Roman" w:eastAsia="Times New Roman" w:hAnsi="Times New Roman"/>
              </w:rPr>
              <w:t>management practices</w:t>
            </w:r>
          </w:p>
        </w:tc>
        <w:tc>
          <w:tcPr>
            <w:tcW w:w="413" w:type="pct"/>
            <w:tcBorders>
              <w:bottom w:val="single" w:sz="4" w:space="0" w:color="auto"/>
            </w:tcBorders>
            <w:shd w:val="clear" w:color="auto" w:fill="FFFFFF"/>
          </w:tcPr>
          <w:p w:rsidR="00591870" w:rsidRPr="00846F3E" w:rsidRDefault="00985A96" w:rsidP="00591870">
            <w:pPr>
              <w:spacing w:after="0" w:line="240" w:lineRule="auto"/>
              <w:rPr>
                <w:rFonts w:ascii="Times New Roman" w:eastAsia="Times New Roman" w:hAnsi="Times New Roman"/>
              </w:rPr>
            </w:pPr>
            <w:r w:rsidRPr="00846F3E">
              <w:rPr>
                <w:rFonts w:ascii="Times New Roman" w:eastAsia="Times New Roman" w:hAnsi="Times New Roman"/>
                <w:bCs/>
                <w:smallCaps/>
              </w:rPr>
              <w:lastRenderedPageBreak/>
              <w:fldChar w:fldCharType="begin">
                <w:ffData>
                  <w:name w:val="A_PPG_TF_01"/>
                  <w:enabled/>
                  <w:calcOnExit w:val="0"/>
                  <w:ddList>
                    <w:result w:val="1"/>
                    <w:listEntry w:val="(select)"/>
                    <w:listEntry w:val="GEF TF"/>
                    <w:listEntry w:val="LDCF"/>
                    <w:listEntry w:val="SCCF"/>
                    <w:listEntry w:val="NPIF"/>
                  </w:ddList>
                </w:ffData>
              </w:fldChar>
            </w:r>
            <w:r w:rsidR="00591870" w:rsidRPr="00846F3E">
              <w:rPr>
                <w:rFonts w:ascii="Times New Roman" w:eastAsia="Times New Roman" w:hAnsi="Times New Roman"/>
                <w:bCs/>
                <w:smallCaps/>
              </w:rPr>
              <w:instrText xml:space="preserve"> FORMDROPDOWN </w:instrText>
            </w:r>
            <w:r w:rsidR="00854B34">
              <w:rPr>
                <w:rFonts w:ascii="Times New Roman" w:eastAsia="Times New Roman" w:hAnsi="Times New Roman"/>
                <w:bCs/>
                <w:smallCaps/>
              </w:rPr>
            </w:r>
            <w:r w:rsidR="00854B34">
              <w:rPr>
                <w:rFonts w:ascii="Times New Roman" w:eastAsia="Times New Roman" w:hAnsi="Times New Roman"/>
                <w:bCs/>
                <w:smallCaps/>
              </w:rPr>
              <w:fldChar w:fldCharType="separate"/>
            </w:r>
            <w:r w:rsidRPr="00846F3E">
              <w:rPr>
                <w:rFonts w:ascii="Times New Roman" w:eastAsia="Times New Roman" w:hAnsi="Times New Roman"/>
                <w:bCs/>
                <w:smallCaps/>
              </w:rPr>
              <w:fldChar w:fldCharType="end"/>
            </w:r>
          </w:p>
        </w:tc>
        <w:bookmarkStart w:id="22" w:name="A_GA_03"/>
        <w:tc>
          <w:tcPr>
            <w:tcW w:w="516" w:type="pct"/>
            <w:tcBorders>
              <w:bottom w:val="single" w:sz="4" w:space="0" w:color="auto"/>
            </w:tcBorders>
            <w:shd w:val="clear" w:color="auto" w:fill="FFFFFF"/>
          </w:tcPr>
          <w:p w:rsidR="00591870" w:rsidRPr="00846F3E" w:rsidRDefault="00985A96" w:rsidP="005733E1">
            <w:pPr>
              <w:spacing w:after="0" w:line="240" w:lineRule="auto"/>
              <w:jc w:val="right"/>
              <w:rPr>
                <w:rFonts w:ascii="Times New Roman" w:eastAsia="Times New Roman" w:hAnsi="Times New Roman"/>
              </w:rPr>
            </w:pPr>
            <w:r w:rsidRPr="00846F3E">
              <w:rPr>
                <w:rFonts w:ascii="Times New Roman" w:eastAsia="Times New Roman" w:hAnsi="Times New Roman"/>
              </w:rPr>
              <w:fldChar w:fldCharType="begin">
                <w:ffData>
                  <w:name w:val="A_GA_03"/>
                  <w:enabled/>
                  <w:calcOnExit/>
                  <w:textInput>
                    <w:type w:val="number"/>
                    <w:format w:val="#,##0"/>
                  </w:textInput>
                </w:ffData>
              </w:fldChar>
            </w:r>
            <w:r w:rsidR="00591870" w:rsidRPr="00846F3E">
              <w:rPr>
                <w:rFonts w:ascii="Times New Roman" w:eastAsia="Times New Roman" w:hAnsi="Times New Roman"/>
              </w:rPr>
              <w:instrText xml:space="preserve"> FORMTEXT </w:instrText>
            </w:r>
            <w:r w:rsidRPr="00846F3E">
              <w:rPr>
                <w:rFonts w:ascii="Times New Roman" w:eastAsia="Times New Roman" w:hAnsi="Times New Roman"/>
              </w:rPr>
            </w:r>
            <w:r w:rsidRPr="00846F3E">
              <w:rPr>
                <w:rFonts w:ascii="Times New Roman" w:eastAsia="Times New Roman" w:hAnsi="Times New Roman"/>
              </w:rPr>
              <w:fldChar w:fldCharType="separate"/>
            </w:r>
            <w:r w:rsidR="005733E1" w:rsidRPr="00846F3E">
              <w:rPr>
                <w:rFonts w:ascii="Times New Roman" w:eastAsia="Times New Roman" w:hAnsi="Times New Roman"/>
                <w:noProof/>
              </w:rPr>
              <w:t>1,140,000</w:t>
            </w:r>
            <w:r w:rsidRPr="00846F3E">
              <w:rPr>
                <w:rFonts w:ascii="Times New Roman" w:eastAsia="Times New Roman" w:hAnsi="Times New Roman"/>
              </w:rPr>
              <w:fldChar w:fldCharType="end"/>
            </w:r>
            <w:bookmarkEnd w:id="22"/>
          </w:p>
        </w:tc>
        <w:tc>
          <w:tcPr>
            <w:tcW w:w="698" w:type="pct"/>
            <w:tcBorders>
              <w:bottom w:val="single" w:sz="4" w:space="0" w:color="auto"/>
            </w:tcBorders>
            <w:shd w:val="clear" w:color="auto" w:fill="FFFFFF"/>
          </w:tcPr>
          <w:p w:rsidR="00591870" w:rsidRPr="00846F3E" w:rsidRDefault="00DD3F4A" w:rsidP="005733E1">
            <w:pPr>
              <w:spacing w:after="0" w:line="240" w:lineRule="auto"/>
              <w:jc w:val="right"/>
              <w:rPr>
                <w:rFonts w:ascii="Times New Roman" w:eastAsia="Times New Roman" w:hAnsi="Times New Roman"/>
              </w:rPr>
            </w:pPr>
            <w:r w:rsidRPr="00846F3E">
              <w:rPr>
                <w:rFonts w:ascii="Times New Roman" w:eastAsia="Times New Roman" w:hAnsi="Times New Roman"/>
              </w:rPr>
              <w:t>6,634,501</w:t>
            </w:r>
          </w:p>
        </w:tc>
      </w:tr>
      <w:bookmarkStart w:id="23" w:name="sec_fa_obj_04"/>
      <w:tr w:rsidR="00591870" w:rsidRPr="00846F3E" w:rsidTr="00DB68F6">
        <w:trPr>
          <w:jc w:val="center"/>
        </w:trPr>
        <w:tc>
          <w:tcPr>
            <w:tcW w:w="830" w:type="pct"/>
            <w:tcBorders>
              <w:bottom w:val="single" w:sz="4" w:space="0" w:color="auto"/>
            </w:tcBorders>
            <w:shd w:val="clear" w:color="auto" w:fill="FFFFFF"/>
          </w:tcPr>
          <w:p w:rsidR="00591870" w:rsidRPr="00846F3E" w:rsidRDefault="00985A96" w:rsidP="00591870">
            <w:pPr>
              <w:spacing w:after="0" w:line="240" w:lineRule="auto"/>
              <w:rPr>
                <w:rFonts w:ascii="Times New Roman" w:eastAsia="Times New Roman" w:hAnsi="Times New Roman"/>
              </w:rPr>
            </w:pPr>
            <w:r w:rsidRPr="00846F3E">
              <w:rPr>
                <w:rFonts w:ascii="Times New Roman" w:eastAsia="Times New Roman" w:hAnsi="Times New Roman"/>
              </w:rPr>
              <w:lastRenderedPageBreak/>
              <w:fldChar w:fldCharType="begin">
                <w:ffData>
                  <w:name w:val="sec_fa_obj_04"/>
                  <w:enabled/>
                  <w:calcOnExit w:val="0"/>
                  <w:ddList>
                    <w:result w:val="14"/>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846F3E">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846F3E">
              <w:rPr>
                <w:rFonts w:ascii="Times New Roman" w:eastAsia="Times New Roman" w:hAnsi="Times New Roman"/>
              </w:rPr>
              <w:fldChar w:fldCharType="end"/>
            </w:r>
            <w:bookmarkEnd w:id="23"/>
          </w:p>
        </w:tc>
        <w:tc>
          <w:tcPr>
            <w:tcW w:w="1257" w:type="pct"/>
            <w:shd w:val="clear" w:color="auto" w:fill="FFFFFF"/>
          </w:tcPr>
          <w:p w:rsidR="00411FBD" w:rsidRPr="00846F3E" w:rsidRDefault="00411FBD" w:rsidP="00411FBD">
            <w:pPr>
              <w:spacing w:after="0" w:line="240" w:lineRule="auto"/>
              <w:rPr>
                <w:rFonts w:ascii="Times New Roman" w:eastAsia="Times New Roman" w:hAnsi="Times New Roman"/>
              </w:rPr>
            </w:pPr>
            <w:r w:rsidRPr="00846F3E">
              <w:rPr>
                <w:rFonts w:ascii="Times New Roman" w:eastAsia="Times New Roman" w:hAnsi="Times New Roman"/>
              </w:rPr>
              <w:t>1.3: Good management practices</w:t>
            </w:r>
          </w:p>
          <w:p w:rsidR="00411FBD" w:rsidRPr="00846F3E" w:rsidRDefault="00411FBD" w:rsidP="00411FBD">
            <w:pPr>
              <w:spacing w:after="0" w:line="240" w:lineRule="auto"/>
              <w:rPr>
                <w:rFonts w:ascii="Times New Roman" w:eastAsia="Times New Roman" w:hAnsi="Times New Roman"/>
              </w:rPr>
            </w:pPr>
            <w:r w:rsidRPr="00846F3E">
              <w:rPr>
                <w:rFonts w:ascii="Times New Roman" w:eastAsia="Times New Roman" w:hAnsi="Times New Roman"/>
              </w:rPr>
              <w:t>adopted by relevant economic</w:t>
            </w:r>
          </w:p>
          <w:p w:rsidR="00591870" w:rsidRPr="00846F3E" w:rsidRDefault="00411FBD" w:rsidP="00411FBD">
            <w:pPr>
              <w:spacing w:after="0" w:line="240" w:lineRule="auto"/>
              <w:rPr>
                <w:rFonts w:ascii="Times New Roman" w:eastAsia="Times New Roman" w:hAnsi="Times New Roman"/>
              </w:rPr>
            </w:pPr>
            <w:r w:rsidRPr="00846F3E">
              <w:rPr>
                <w:rFonts w:ascii="Times New Roman" w:eastAsia="Times New Roman" w:hAnsi="Times New Roman"/>
              </w:rPr>
              <w:t>actors.</w:t>
            </w:r>
          </w:p>
        </w:tc>
        <w:tc>
          <w:tcPr>
            <w:tcW w:w="1286" w:type="pct"/>
            <w:shd w:val="clear" w:color="auto" w:fill="FFFFFF"/>
          </w:tcPr>
          <w:p w:rsidR="00411FBD" w:rsidRPr="00846F3E" w:rsidRDefault="00411FBD" w:rsidP="00411FBD">
            <w:pPr>
              <w:autoSpaceDE w:val="0"/>
              <w:autoSpaceDN w:val="0"/>
              <w:adjustRightInd w:val="0"/>
              <w:spacing w:after="0" w:line="240" w:lineRule="auto"/>
              <w:rPr>
                <w:rFonts w:ascii="Times New Roman" w:eastAsia="Times New Roman" w:hAnsi="Times New Roman"/>
              </w:rPr>
            </w:pPr>
            <w:r w:rsidRPr="00846F3E">
              <w:rPr>
                <w:rFonts w:ascii="Times New Roman" w:eastAsia="Times New Roman" w:hAnsi="Times New Roman"/>
              </w:rPr>
              <w:t xml:space="preserve"> Types and quantity of services</w:t>
            </w:r>
          </w:p>
          <w:p w:rsidR="00591870" w:rsidRPr="00846F3E" w:rsidRDefault="00411FBD" w:rsidP="00411FBD">
            <w:pPr>
              <w:spacing w:after="0" w:line="240" w:lineRule="auto"/>
              <w:rPr>
                <w:rFonts w:ascii="Times New Roman" w:eastAsia="Times New Roman" w:hAnsi="Times New Roman"/>
              </w:rPr>
            </w:pPr>
            <w:r w:rsidRPr="00846F3E">
              <w:rPr>
                <w:rFonts w:ascii="Times New Roman" w:eastAsia="Times New Roman" w:hAnsi="Times New Roman"/>
              </w:rPr>
              <w:t>generated through SFM</w:t>
            </w:r>
          </w:p>
        </w:tc>
        <w:tc>
          <w:tcPr>
            <w:tcW w:w="413" w:type="pct"/>
            <w:tcBorders>
              <w:bottom w:val="single" w:sz="4" w:space="0" w:color="auto"/>
            </w:tcBorders>
            <w:shd w:val="clear" w:color="auto" w:fill="FFFFFF"/>
          </w:tcPr>
          <w:p w:rsidR="00591870" w:rsidRPr="00846F3E" w:rsidRDefault="00985A96" w:rsidP="00591870">
            <w:pPr>
              <w:spacing w:after="0" w:line="240" w:lineRule="auto"/>
              <w:rPr>
                <w:rFonts w:ascii="Times New Roman" w:eastAsia="Times New Roman" w:hAnsi="Times New Roman"/>
              </w:rPr>
            </w:pPr>
            <w:r w:rsidRPr="00846F3E">
              <w:rPr>
                <w:rFonts w:ascii="Times New Roman" w:eastAsia="Times New Roman" w:hAnsi="Times New Roman"/>
                <w:bCs/>
                <w:smallCaps/>
              </w:rPr>
              <w:fldChar w:fldCharType="begin">
                <w:ffData>
                  <w:name w:val="A_PPG_TF_01"/>
                  <w:enabled/>
                  <w:calcOnExit w:val="0"/>
                  <w:ddList>
                    <w:result w:val="1"/>
                    <w:listEntry w:val="(select)"/>
                    <w:listEntry w:val="GEF TF"/>
                    <w:listEntry w:val="LDCF"/>
                    <w:listEntry w:val="SCCF"/>
                    <w:listEntry w:val="NPIF"/>
                  </w:ddList>
                </w:ffData>
              </w:fldChar>
            </w:r>
            <w:r w:rsidR="00591870" w:rsidRPr="00846F3E">
              <w:rPr>
                <w:rFonts w:ascii="Times New Roman" w:eastAsia="Times New Roman" w:hAnsi="Times New Roman"/>
                <w:bCs/>
                <w:smallCaps/>
              </w:rPr>
              <w:instrText xml:space="preserve"> FORMDROPDOWN </w:instrText>
            </w:r>
            <w:r w:rsidR="00854B34">
              <w:rPr>
                <w:rFonts w:ascii="Times New Roman" w:eastAsia="Times New Roman" w:hAnsi="Times New Roman"/>
                <w:bCs/>
                <w:smallCaps/>
              </w:rPr>
            </w:r>
            <w:r w:rsidR="00854B34">
              <w:rPr>
                <w:rFonts w:ascii="Times New Roman" w:eastAsia="Times New Roman" w:hAnsi="Times New Roman"/>
                <w:bCs/>
                <w:smallCaps/>
              </w:rPr>
              <w:fldChar w:fldCharType="separate"/>
            </w:r>
            <w:r w:rsidRPr="00846F3E">
              <w:rPr>
                <w:rFonts w:ascii="Times New Roman" w:eastAsia="Times New Roman" w:hAnsi="Times New Roman"/>
                <w:bCs/>
                <w:smallCaps/>
              </w:rPr>
              <w:fldChar w:fldCharType="end"/>
            </w:r>
          </w:p>
        </w:tc>
        <w:bookmarkStart w:id="24" w:name="A_GA_04"/>
        <w:tc>
          <w:tcPr>
            <w:tcW w:w="516" w:type="pct"/>
            <w:tcBorders>
              <w:bottom w:val="single" w:sz="4" w:space="0" w:color="auto"/>
            </w:tcBorders>
            <w:shd w:val="clear" w:color="auto" w:fill="FFFFFF"/>
          </w:tcPr>
          <w:p w:rsidR="00591870" w:rsidRPr="00846F3E" w:rsidRDefault="00985A96" w:rsidP="00DF1884">
            <w:pPr>
              <w:spacing w:after="0" w:line="240" w:lineRule="auto"/>
              <w:jc w:val="right"/>
              <w:rPr>
                <w:rFonts w:ascii="Times New Roman" w:eastAsia="Times New Roman" w:hAnsi="Times New Roman"/>
              </w:rPr>
            </w:pPr>
            <w:r w:rsidRPr="00846F3E">
              <w:rPr>
                <w:rFonts w:ascii="Times New Roman" w:eastAsia="Times New Roman" w:hAnsi="Times New Roman"/>
              </w:rPr>
              <w:fldChar w:fldCharType="begin">
                <w:ffData>
                  <w:name w:val="A_GA_04"/>
                  <w:enabled/>
                  <w:calcOnExit/>
                  <w:textInput>
                    <w:type w:val="number"/>
                    <w:format w:val="#,##0"/>
                  </w:textInput>
                </w:ffData>
              </w:fldChar>
            </w:r>
            <w:r w:rsidR="00591870" w:rsidRPr="00846F3E">
              <w:rPr>
                <w:rFonts w:ascii="Times New Roman" w:eastAsia="Times New Roman" w:hAnsi="Times New Roman"/>
              </w:rPr>
              <w:instrText xml:space="preserve"> FORMTEXT </w:instrText>
            </w:r>
            <w:r w:rsidRPr="00846F3E">
              <w:rPr>
                <w:rFonts w:ascii="Times New Roman" w:eastAsia="Times New Roman" w:hAnsi="Times New Roman"/>
              </w:rPr>
            </w:r>
            <w:r w:rsidRPr="00846F3E">
              <w:rPr>
                <w:rFonts w:ascii="Times New Roman" w:eastAsia="Times New Roman" w:hAnsi="Times New Roman"/>
              </w:rPr>
              <w:fldChar w:fldCharType="separate"/>
            </w:r>
            <w:r w:rsidR="00DF1884" w:rsidRPr="00846F3E">
              <w:rPr>
                <w:rFonts w:ascii="Times New Roman" w:eastAsia="Times New Roman" w:hAnsi="Times New Roman"/>
                <w:noProof/>
              </w:rPr>
              <w:t>1,808,566</w:t>
            </w:r>
            <w:r w:rsidRPr="00846F3E">
              <w:rPr>
                <w:rFonts w:ascii="Times New Roman" w:eastAsia="Times New Roman" w:hAnsi="Times New Roman"/>
              </w:rPr>
              <w:fldChar w:fldCharType="end"/>
            </w:r>
            <w:bookmarkEnd w:id="24"/>
          </w:p>
        </w:tc>
        <w:tc>
          <w:tcPr>
            <w:tcW w:w="698" w:type="pct"/>
            <w:tcBorders>
              <w:bottom w:val="single" w:sz="4" w:space="0" w:color="auto"/>
            </w:tcBorders>
            <w:shd w:val="clear" w:color="auto" w:fill="FFFFFF"/>
          </w:tcPr>
          <w:p w:rsidR="00591870" w:rsidRPr="00846F3E" w:rsidRDefault="00565C5B" w:rsidP="00DF1884">
            <w:pPr>
              <w:spacing w:after="0" w:line="240" w:lineRule="auto"/>
              <w:jc w:val="right"/>
              <w:rPr>
                <w:rFonts w:ascii="Times New Roman" w:eastAsia="Times New Roman" w:hAnsi="Times New Roman"/>
              </w:rPr>
            </w:pPr>
            <w:r w:rsidRPr="00846F3E">
              <w:rPr>
                <w:rFonts w:ascii="Times New Roman" w:eastAsia="Times New Roman" w:hAnsi="Times New Roman"/>
              </w:rPr>
              <w:t>8,133,648</w:t>
            </w:r>
          </w:p>
        </w:tc>
      </w:tr>
      <w:tr w:rsidR="00591870" w:rsidRPr="00846F3E" w:rsidTr="00DB68F6">
        <w:trPr>
          <w:jc w:val="center"/>
        </w:trPr>
        <w:tc>
          <w:tcPr>
            <w:tcW w:w="3373" w:type="pct"/>
            <w:gridSpan w:val="3"/>
            <w:tcBorders>
              <w:top w:val="double" w:sz="4" w:space="0" w:color="auto"/>
              <w:bottom w:val="double" w:sz="4" w:space="0" w:color="auto"/>
            </w:tcBorders>
            <w:shd w:val="clear" w:color="auto" w:fill="FFFFFF"/>
          </w:tcPr>
          <w:p w:rsidR="00591870" w:rsidRPr="00846F3E" w:rsidRDefault="00591870" w:rsidP="00591870">
            <w:pPr>
              <w:spacing w:after="0" w:line="240" w:lineRule="auto"/>
              <w:jc w:val="right"/>
              <w:rPr>
                <w:rFonts w:ascii="Times New Roman" w:eastAsia="Times New Roman" w:hAnsi="Times New Roman"/>
                <w:b/>
              </w:rPr>
            </w:pPr>
            <w:r w:rsidRPr="00846F3E">
              <w:rPr>
                <w:rFonts w:ascii="Times New Roman" w:eastAsia="Times New Roman" w:hAnsi="Times New Roman"/>
                <w:b/>
              </w:rPr>
              <w:t>Total project costs</w:t>
            </w:r>
          </w:p>
        </w:tc>
        <w:tc>
          <w:tcPr>
            <w:tcW w:w="413" w:type="pct"/>
            <w:tcBorders>
              <w:top w:val="double" w:sz="4" w:space="0" w:color="auto"/>
              <w:bottom w:val="double" w:sz="4" w:space="0" w:color="auto"/>
            </w:tcBorders>
            <w:shd w:val="clear" w:color="auto" w:fill="FFFFFF"/>
          </w:tcPr>
          <w:p w:rsidR="00591870" w:rsidRPr="00846F3E" w:rsidRDefault="00591870" w:rsidP="00591870">
            <w:pPr>
              <w:spacing w:after="0" w:line="240" w:lineRule="auto"/>
              <w:jc w:val="right"/>
              <w:rPr>
                <w:rFonts w:ascii="Times New Roman" w:eastAsia="Times New Roman" w:hAnsi="Times New Roman"/>
              </w:rPr>
            </w:pPr>
          </w:p>
        </w:tc>
        <w:tc>
          <w:tcPr>
            <w:tcW w:w="516" w:type="pct"/>
            <w:tcBorders>
              <w:top w:val="double" w:sz="4" w:space="0" w:color="auto"/>
              <w:bottom w:val="double" w:sz="4" w:space="0" w:color="auto"/>
            </w:tcBorders>
            <w:shd w:val="clear" w:color="auto" w:fill="FFFFFF"/>
          </w:tcPr>
          <w:p w:rsidR="00591870" w:rsidRPr="00846F3E" w:rsidRDefault="00985A96" w:rsidP="00591870">
            <w:pPr>
              <w:spacing w:after="0" w:line="240" w:lineRule="auto"/>
              <w:jc w:val="right"/>
              <w:rPr>
                <w:rFonts w:ascii="Times New Roman" w:eastAsia="Times New Roman" w:hAnsi="Times New Roman"/>
              </w:rPr>
            </w:pPr>
            <w:r w:rsidRPr="00846F3E">
              <w:rPr>
                <w:rFonts w:ascii="Times New Roman" w:eastAsia="Times New Roman" w:hAnsi="Times New Roman"/>
              </w:rPr>
              <w:fldChar w:fldCharType="begin">
                <w:ffData>
                  <w:name w:val="totalProjCostGA"/>
                  <w:enabled/>
                  <w:calcOnExit/>
                  <w:textInput>
                    <w:type w:val="number"/>
                    <w:default w:val="9,431,763"/>
                    <w:format w:val="#,##0"/>
                  </w:textInput>
                </w:ffData>
              </w:fldChar>
            </w:r>
            <w:bookmarkStart w:id="25" w:name="totalProjCostGA"/>
            <w:r w:rsidR="00C06425" w:rsidRPr="00846F3E">
              <w:rPr>
                <w:rFonts w:ascii="Times New Roman" w:eastAsia="Times New Roman" w:hAnsi="Times New Roman"/>
              </w:rPr>
              <w:instrText xml:space="preserve"> FORMTEXT </w:instrText>
            </w:r>
            <w:r w:rsidRPr="00846F3E">
              <w:rPr>
                <w:rFonts w:ascii="Times New Roman" w:eastAsia="Times New Roman" w:hAnsi="Times New Roman"/>
              </w:rPr>
            </w:r>
            <w:r w:rsidRPr="00846F3E">
              <w:rPr>
                <w:rFonts w:ascii="Times New Roman" w:eastAsia="Times New Roman" w:hAnsi="Times New Roman"/>
              </w:rPr>
              <w:fldChar w:fldCharType="separate"/>
            </w:r>
            <w:r w:rsidR="00C06425" w:rsidRPr="00846F3E">
              <w:rPr>
                <w:rFonts w:ascii="Times New Roman" w:eastAsia="Times New Roman" w:hAnsi="Times New Roman"/>
                <w:noProof/>
              </w:rPr>
              <w:t>9,431,763</w:t>
            </w:r>
            <w:r w:rsidRPr="00846F3E">
              <w:rPr>
                <w:rFonts w:ascii="Times New Roman" w:eastAsia="Times New Roman" w:hAnsi="Times New Roman"/>
              </w:rPr>
              <w:fldChar w:fldCharType="end"/>
            </w:r>
            <w:bookmarkEnd w:id="25"/>
          </w:p>
        </w:tc>
        <w:tc>
          <w:tcPr>
            <w:tcW w:w="698" w:type="pct"/>
            <w:tcBorders>
              <w:top w:val="double" w:sz="4" w:space="0" w:color="auto"/>
              <w:bottom w:val="double" w:sz="4" w:space="0" w:color="auto"/>
            </w:tcBorders>
            <w:shd w:val="clear" w:color="auto" w:fill="FFFFFF"/>
          </w:tcPr>
          <w:p w:rsidR="00591870" w:rsidRPr="00846F3E" w:rsidRDefault="000020A9" w:rsidP="000020A9">
            <w:pPr>
              <w:spacing w:after="0" w:line="240" w:lineRule="auto"/>
              <w:jc w:val="right"/>
              <w:rPr>
                <w:rFonts w:ascii="Times New Roman" w:eastAsia="Times New Roman" w:hAnsi="Times New Roman"/>
              </w:rPr>
            </w:pPr>
            <w:r w:rsidRPr="00846F3E">
              <w:rPr>
                <w:rFonts w:ascii="Times New Roman" w:eastAsia="Times New Roman" w:hAnsi="Times New Roman"/>
              </w:rPr>
              <w:t>4</w:t>
            </w:r>
            <w:r w:rsidR="00DD3F4A" w:rsidRPr="00846F3E">
              <w:rPr>
                <w:rFonts w:ascii="Times New Roman" w:eastAsia="Times New Roman" w:hAnsi="Times New Roman"/>
              </w:rPr>
              <w:t>0,640,872</w:t>
            </w:r>
          </w:p>
        </w:tc>
      </w:tr>
    </w:tbl>
    <w:p w:rsidR="00591870" w:rsidRPr="00E034C6" w:rsidRDefault="00591870" w:rsidP="00137268">
      <w:pPr>
        <w:numPr>
          <w:ilvl w:val="0"/>
          <w:numId w:val="1"/>
        </w:numPr>
        <w:tabs>
          <w:tab w:val="left" w:pos="360"/>
        </w:tabs>
        <w:spacing w:before="240" w:after="80" w:line="240" w:lineRule="auto"/>
        <w:rPr>
          <w:rFonts w:ascii="Times New Roman" w:eastAsia="Times New Roman" w:hAnsi="Times New Roman"/>
          <w:b/>
          <w:smallCaps/>
        </w:rPr>
      </w:pPr>
      <w:r w:rsidRPr="00E034C6">
        <w:rPr>
          <w:rFonts w:ascii="Times New Roman" w:eastAsia="Times New Roman" w:hAnsi="Times New Roman"/>
          <w:b/>
          <w:smallCaps/>
        </w:rPr>
        <w:t>Project Framework</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46"/>
        <w:gridCol w:w="918"/>
        <w:gridCol w:w="2158"/>
        <w:gridCol w:w="2338"/>
        <w:gridCol w:w="901"/>
        <w:gridCol w:w="1132"/>
        <w:gridCol w:w="1210"/>
      </w:tblGrid>
      <w:tr w:rsidR="00591870" w:rsidRPr="00E034C6" w:rsidTr="00591870">
        <w:trPr>
          <w:trHeight w:val="260"/>
          <w:jc w:val="center"/>
        </w:trPr>
        <w:tc>
          <w:tcPr>
            <w:tcW w:w="5000" w:type="pct"/>
            <w:gridSpan w:val="7"/>
            <w:shd w:val="clear" w:color="auto" w:fill="FFFFFF"/>
          </w:tcPr>
          <w:p w:rsidR="00591870" w:rsidRPr="00E034C6" w:rsidRDefault="00591870" w:rsidP="00D36E65">
            <w:pPr>
              <w:keepNext/>
              <w:spacing w:after="0" w:line="240" w:lineRule="auto"/>
              <w:outlineLvl w:val="2"/>
              <w:rPr>
                <w:rFonts w:ascii="Times New Roman" w:eastAsia="Times New Roman" w:hAnsi="Times New Roman"/>
                <w:b/>
                <w:iCs/>
                <w:color w:val="000000"/>
              </w:rPr>
            </w:pPr>
            <w:r w:rsidRPr="00E034C6">
              <w:rPr>
                <w:rFonts w:ascii="Times New Roman" w:eastAsia="Times New Roman" w:hAnsi="Times New Roman"/>
                <w:b/>
                <w:iCs/>
                <w:color w:val="000000"/>
              </w:rPr>
              <w:t xml:space="preserve">Project Objective: </w:t>
            </w:r>
            <w:bookmarkStart w:id="26" w:name="projObj"/>
            <w:r w:rsidR="00985A96" w:rsidRPr="00E034C6">
              <w:rPr>
                <w:rFonts w:ascii="Times New Roman" w:eastAsia="Times New Roman" w:hAnsi="Times New Roman"/>
                <w:b/>
                <w:iCs/>
                <w:color w:val="000000"/>
              </w:rPr>
              <w:fldChar w:fldCharType="begin">
                <w:ffData>
                  <w:name w:val="projObj"/>
                  <w:enabled/>
                  <w:calcOnExit w:val="0"/>
                  <w:textInput/>
                </w:ffData>
              </w:fldChar>
            </w:r>
            <w:r w:rsidRPr="00922809">
              <w:rPr>
                <w:rFonts w:ascii="Times New Roman" w:eastAsia="Times New Roman" w:hAnsi="Times New Roman"/>
                <w:b/>
                <w:iCs/>
                <w:color w:val="000000"/>
              </w:rPr>
              <w:instrText xml:space="preserve"> FORMTEXT </w:instrText>
            </w:r>
            <w:r w:rsidR="00985A96" w:rsidRPr="00E034C6">
              <w:rPr>
                <w:rFonts w:ascii="Times New Roman" w:eastAsia="Times New Roman" w:hAnsi="Times New Roman"/>
                <w:b/>
                <w:iCs/>
                <w:color w:val="000000"/>
              </w:rPr>
            </w:r>
            <w:r w:rsidR="00985A96" w:rsidRPr="00E034C6">
              <w:rPr>
                <w:rFonts w:ascii="Times New Roman" w:eastAsia="Times New Roman" w:hAnsi="Times New Roman"/>
                <w:b/>
                <w:iCs/>
                <w:color w:val="000000"/>
              </w:rPr>
              <w:fldChar w:fldCharType="separate"/>
            </w:r>
            <w:r w:rsidR="00710652" w:rsidRPr="00E034C6">
              <w:rPr>
                <w:rFonts w:ascii="Times New Roman" w:eastAsia="Times New Roman" w:hAnsi="Times New Roman"/>
                <w:b/>
                <w:iCs/>
                <w:noProof/>
                <w:color w:val="000000"/>
              </w:rPr>
              <w:t>To protect biodiversity and to increase carbon stocks across the RIMBA Corridor of Sumatra by enhancing forest ecosystem connectivity through green economic development.</w:t>
            </w:r>
            <w:r w:rsidR="00985A96" w:rsidRPr="00E034C6">
              <w:rPr>
                <w:rFonts w:ascii="Times New Roman" w:eastAsia="Times New Roman" w:hAnsi="Times New Roman"/>
                <w:b/>
                <w:iCs/>
                <w:color w:val="000000"/>
              </w:rPr>
              <w:fldChar w:fldCharType="end"/>
            </w:r>
            <w:bookmarkEnd w:id="26"/>
          </w:p>
        </w:tc>
      </w:tr>
      <w:tr w:rsidR="00591870" w:rsidRPr="00E034C6" w:rsidTr="000B17F0">
        <w:trPr>
          <w:trHeight w:val="260"/>
          <w:jc w:val="center"/>
        </w:trPr>
        <w:tc>
          <w:tcPr>
            <w:tcW w:w="993" w:type="pct"/>
            <w:shd w:val="clear" w:color="auto" w:fill="FFFFFF"/>
            <w:vAlign w:val="center"/>
          </w:tcPr>
          <w:p w:rsidR="00591870" w:rsidRPr="00E034C6"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E034C6">
              <w:rPr>
                <w:rFonts w:ascii="Times New Roman" w:eastAsia="Times New Roman" w:hAnsi="Times New Roman"/>
                <w:b/>
                <w:iCs/>
                <w:color w:val="000000"/>
                <w:sz w:val="20"/>
                <w:szCs w:val="20"/>
              </w:rPr>
              <w:t>Project Component</w:t>
            </w:r>
          </w:p>
        </w:tc>
        <w:tc>
          <w:tcPr>
            <w:tcW w:w="425" w:type="pct"/>
            <w:shd w:val="clear" w:color="auto" w:fill="FFFFFF"/>
            <w:vAlign w:val="center"/>
          </w:tcPr>
          <w:p w:rsidR="00591870" w:rsidRPr="00E034C6"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E034C6">
              <w:rPr>
                <w:rFonts w:ascii="Times New Roman" w:eastAsia="Times New Roman" w:hAnsi="Times New Roman"/>
                <w:b/>
                <w:iCs/>
                <w:color w:val="000000"/>
                <w:sz w:val="20"/>
                <w:szCs w:val="20"/>
              </w:rPr>
              <w:t>Grant Type</w:t>
            </w:r>
          </w:p>
          <w:p w:rsidR="00591870" w:rsidRPr="00E034C6" w:rsidRDefault="00591870" w:rsidP="00591870">
            <w:pPr>
              <w:keepNext/>
              <w:spacing w:after="0" w:line="240" w:lineRule="auto"/>
              <w:jc w:val="center"/>
              <w:outlineLvl w:val="2"/>
              <w:rPr>
                <w:rFonts w:ascii="Times New Roman" w:eastAsia="Times New Roman" w:hAnsi="Times New Roman"/>
                <w:b/>
                <w:iCs/>
                <w:color w:val="000000"/>
                <w:sz w:val="20"/>
                <w:szCs w:val="20"/>
              </w:rPr>
            </w:pPr>
          </w:p>
        </w:tc>
        <w:tc>
          <w:tcPr>
            <w:tcW w:w="999" w:type="pct"/>
            <w:shd w:val="clear" w:color="auto" w:fill="FFFFFF"/>
            <w:vAlign w:val="center"/>
          </w:tcPr>
          <w:p w:rsidR="00591870" w:rsidRPr="00E034C6"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E034C6">
              <w:rPr>
                <w:rFonts w:ascii="Times New Roman" w:eastAsia="Times New Roman" w:hAnsi="Times New Roman"/>
                <w:b/>
                <w:iCs/>
                <w:color w:val="000000"/>
                <w:sz w:val="20"/>
                <w:szCs w:val="20"/>
              </w:rPr>
              <w:t>Expected Outcomes</w:t>
            </w:r>
          </w:p>
        </w:tc>
        <w:tc>
          <w:tcPr>
            <w:tcW w:w="1082" w:type="pct"/>
            <w:shd w:val="clear" w:color="auto" w:fill="FFFFFF"/>
            <w:vAlign w:val="center"/>
          </w:tcPr>
          <w:p w:rsidR="00591870" w:rsidRPr="00E034C6"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E034C6">
              <w:rPr>
                <w:rFonts w:ascii="Times New Roman" w:eastAsia="Times New Roman" w:hAnsi="Times New Roman"/>
                <w:b/>
                <w:iCs/>
                <w:color w:val="000000"/>
                <w:sz w:val="20"/>
                <w:szCs w:val="20"/>
              </w:rPr>
              <w:t>Expected Outputs</w:t>
            </w:r>
          </w:p>
        </w:tc>
        <w:tc>
          <w:tcPr>
            <w:tcW w:w="417" w:type="pct"/>
            <w:shd w:val="clear" w:color="auto" w:fill="FFFFFF"/>
          </w:tcPr>
          <w:p w:rsidR="00591870" w:rsidRPr="00E034C6" w:rsidRDefault="00591870" w:rsidP="00591870">
            <w:pPr>
              <w:keepNext/>
              <w:spacing w:after="0" w:line="240" w:lineRule="auto"/>
              <w:jc w:val="center"/>
              <w:outlineLvl w:val="2"/>
              <w:rPr>
                <w:rFonts w:ascii="Times New Roman" w:eastAsia="Times New Roman" w:hAnsi="Times New Roman"/>
                <w:iCs/>
                <w:color w:val="000000"/>
                <w:sz w:val="20"/>
                <w:szCs w:val="20"/>
              </w:rPr>
            </w:pPr>
            <w:r w:rsidRPr="00E034C6">
              <w:rPr>
                <w:rFonts w:ascii="Times New Roman" w:eastAsia="Times New Roman" w:hAnsi="Times New Roman"/>
                <w:b/>
                <w:iCs/>
                <w:color w:val="000000"/>
                <w:sz w:val="20"/>
                <w:szCs w:val="20"/>
              </w:rPr>
              <w:t>Trust Fund</w:t>
            </w:r>
          </w:p>
        </w:tc>
        <w:tc>
          <w:tcPr>
            <w:tcW w:w="524" w:type="pct"/>
            <w:shd w:val="clear" w:color="auto" w:fill="FFFFFF"/>
          </w:tcPr>
          <w:p w:rsidR="00591870" w:rsidRPr="00E034C6"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E034C6">
              <w:rPr>
                <w:rFonts w:ascii="Times New Roman" w:eastAsia="Times New Roman" w:hAnsi="Times New Roman"/>
                <w:b/>
                <w:iCs/>
                <w:color w:val="000000"/>
                <w:sz w:val="20"/>
                <w:szCs w:val="20"/>
              </w:rPr>
              <w:t>Grant Amount ($)</w:t>
            </w:r>
          </w:p>
        </w:tc>
        <w:tc>
          <w:tcPr>
            <w:tcW w:w="560" w:type="pct"/>
            <w:shd w:val="clear" w:color="auto" w:fill="FFFFFF"/>
          </w:tcPr>
          <w:p w:rsidR="00591870" w:rsidRPr="00E034C6"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E034C6">
              <w:rPr>
                <w:rFonts w:ascii="Times New Roman" w:eastAsia="Times New Roman" w:hAnsi="Times New Roman"/>
                <w:b/>
                <w:iCs/>
                <w:color w:val="000000"/>
                <w:sz w:val="20"/>
                <w:szCs w:val="20"/>
              </w:rPr>
              <w:t xml:space="preserve"> Confirmed Cofinancing</w:t>
            </w:r>
          </w:p>
          <w:p w:rsidR="00591870" w:rsidRPr="00E034C6" w:rsidRDefault="00591870" w:rsidP="00591870">
            <w:pPr>
              <w:keepNext/>
              <w:spacing w:after="0" w:line="240" w:lineRule="auto"/>
              <w:jc w:val="center"/>
              <w:outlineLvl w:val="2"/>
              <w:rPr>
                <w:rFonts w:ascii="Times New Roman" w:eastAsia="Times New Roman" w:hAnsi="Times New Roman"/>
                <w:iCs/>
                <w:color w:val="000000"/>
                <w:sz w:val="20"/>
                <w:szCs w:val="20"/>
              </w:rPr>
            </w:pPr>
            <w:r w:rsidRPr="00E034C6">
              <w:rPr>
                <w:rFonts w:ascii="Times New Roman" w:eastAsia="Times New Roman" w:hAnsi="Times New Roman"/>
                <w:b/>
                <w:iCs/>
                <w:color w:val="000000"/>
                <w:sz w:val="20"/>
                <w:szCs w:val="20"/>
              </w:rPr>
              <w:t xml:space="preserve">($) </w:t>
            </w:r>
          </w:p>
        </w:tc>
      </w:tr>
      <w:tr w:rsidR="00591870" w:rsidRPr="00E034C6" w:rsidTr="000B17F0">
        <w:trPr>
          <w:jc w:val="center"/>
        </w:trPr>
        <w:tc>
          <w:tcPr>
            <w:tcW w:w="993" w:type="pct"/>
            <w:shd w:val="clear" w:color="auto" w:fill="FFFFFF"/>
          </w:tcPr>
          <w:p w:rsidR="00591870" w:rsidRPr="00E034C6" w:rsidRDefault="00591870" w:rsidP="00572DC3">
            <w:pPr>
              <w:spacing w:after="0" w:line="240" w:lineRule="auto"/>
              <w:rPr>
                <w:rFonts w:ascii="Times New Roman" w:eastAsia="Times New Roman" w:hAnsi="Times New Roman"/>
              </w:rPr>
            </w:pPr>
            <w:r w:rsidRPr="00E034C6">
              <w:rPr>
                <w:rFonts w:ascii="Times New Roman" w:eastAsia="Times New Roman" w:hAnsi="Times New Roman"/>
              </w:rPr>
              <w:t xml:space="preserve"> </w:t>
            </w:r>
            <w:r w:rsidR="00F268CB" w:rsidRPr="00F268CB">
              <w:rPr>
                <w:rFonts w:ascii="Times New Roman" w:eastAsia="Times New Roman" w:hAnsi="Times New Roman"/>
              </w:rPr>
              <w:t>1. The establishment of a sustainable and effective institutional framework for the management of natural resources for a Green Economy in the RIMBA Corridor of Central Sumatra.</w:t>
            </w:r>
          </w:p>
        </w:tc>
        <w:bookmarkStart w:id="27" w:name="GrantType_01"/>
        <w:tc>
          <w:tcPr>
            <w:tcW w:w="425" w:type="pct"/>
            <w:shd w:val="clear" w:color="auto" w:fill="FFFFFF"/>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GrantType_01"/>
                  <w:enabled/>
                  <w:calcOnExit w:val="0"/>
                  <w:ddList>
                    <w:result w:val="1"/>
                    <w:listEntry w:val="(select)"/>
                    <w:listEntry w:val="TA"/>
                    <w:listEntry w:val="Inv"/>
                  </w:ddList>
                </w:ffData>
              </w:fldChar>
            </w:r>
            <w:r w:rsidR="00591870" w:rsidRPr="00111B5E">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27"/>
          </w:p>
        </w:tc>
        <w:bookmarkStart w:id="28" w:name="ExpectedOutCome_01"/>
        <w:tc>
          <w:tcPr>
            <w:tcW w:w="999" w:type="pct"/>
            <w:shd w:val="clear" w:color="auto" w:fill="FFFFFF"/>
          </w:tcPr>
          <w:p w:rsidR="00F242FC" w:rsidRPr="00E034C6" w:rsidRDefault="00985A96" w:rsidP="00F242FC">
            <w:pPr>
              <w:spacing w:after="0" w:line="240" w:lineRule="auto"/>
              <w:rPr>
                <w:rFonts w:ascii="Times New Roman" w:eastAsia="Times New Roman" w:hAnsi="Times New Roman"/>
                <w:noProof/>
              </w:rPr>
            </w:pPr>
            <w:r w:rsidRPr="00E034C6">
              <w:rPr>
                <w:rFonts w:ascii="Times New Roman" w:eastAsia="Times New Roman" w:hAnsi="Times New Roman"/>
              </w:rPr>
              <w:fldChar w:fldCharType="begin">
                <w:ffData>
                  <w:name w:val="ExpectedOutCome_01"/>
                  <w:enabled/>
                  <w:calcOnExit w:val="0"/>
                  <w:textInput/>
                </w:ffData>
              </w:fldChar>
            </w:r>
            <w:r w:rsidR="00591870" w:rsidRPr="00111B5E">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F268CB" w:rsidRPr="00F268CB">
              <w:rPr>
                <w:rFonts w:ascii="Times New Roman" w:eastAsia="Times New Roman" w:hAnsi="Times New Roman"/>
                <w:noProof/>
              </w:rPr>
              <w:t>1.1 A RIMBA - wide enabling environment exists that supports Green Economy activities related to conserving and growing natural capital in forests, carbon, soils, water resources and biodiversity.</w:t>
            </w:r>
            <w:r w:rsidR="00EF51E2" w:rsidRPr="00E034C6">
              <w:rPr>
                <w:rFonts w:ascii="Times New Roman" w:eastAsia="Times New Roman" w:hAnsi="Times New Roman"/>
                <w:noProof/>
              </w:rPr>
              <w:t xml:space="preserve">  </w:t>
            </w: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Pr="00E034C6"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40B4B" w:rsidRDefault="00040B4B" w:rsidP="00F242FC">
            <w:pPr>
              <w:spacing w:after="0" w:line="240" w:lineRule="auto"/>
              <w:rPr>
                <w:rFonts w:ascii="Times New Roman" w:eastAsia="Times New Roman" w:hAnsi="Times New Roman"/>
                <w:noProof/>
              </w:rPr>
            </w:pPr>
          </w:p>
          <w:p w:rsidR="000B17F0" w:rsidRDefault="000B17F0" w:rsidP="00F242FC">
            <w:pPr>
              <w:spacing w:after="0" w:line="240" w:lineRule="auto"/>
              <w:rPr>
                <w:rFonts w:ascii="Times New Roman" w:eastAsia="Times New Roman" w:hAnsi="Times New Roman"/>
                <w:noProof/>
              </w:rPr>
            </w:pPr>
          </w:p>
          <w:p w:rsidR="008A1A18" w:rsidRDefault="008A1A18" w:rsidP="00F242FC">
            <w:pPr>
              <w:spacing w:after="0" w:line="240" w:lineRule="auto"/>
              <w:rPr>
                <w:rFonts w:ascii="Times New Roman" w:eastAsia="Times New Roman" w:hAnsi="Times New Roman"/>
                <w:noProof/>
              </w:rPr>
            </w:pPr>
          </w:p>
          <w:p w:rsidR="008A1A18" w:rsidRDefault="008A1A18" w:rsidP="00F242FC">
            <w:pPr>
              <w:spacing w:after="0" w:line="240" w:lineRule="auto"/>
              <w:rPr>
                <w:rFonts w:ascii="Times New Roman" w:eastAsia="Times New Roman" w:hAnsi="Times New Roman"/>
                <w:noProof/>
              </w:rPr>
            </w:pPr>
          </w:p>
          <w:p w:rsidR="008A1A18" w:rsidRDefault="008A1A18" w:rsidP="00F242FC">
            <w:pPr>
              <w:spacing w:after="0" w:line="240" w:lineRule="auto"/>
              <w:rPr>
                <w:rFonts w:ascii="Times New Roman" w:eastAsia="Times New Roman" w:hAnsi="Times New Roman"/>
                <w:noProof/>
              </w:rPr>
            </w:pPr>
          </w:p>
          <w:p w:rsidR="000B17F0" w:rsidRDefault="000B17F0" w:rsidP="00F242FC">
            <w:pPr>
              <w:spacing w:after="0" w:line="240" w:lineRule="auto"/>
              <w:rPr>
                <w:rFonts w:ascii="Times New Roman" w:eastAsia="Times New Roman" w:hAnsi="Times New Roman"/>
                <w:noProof/>
              </w:rPr>
            </w:pPr>
          </w:p>
          <w:p w:rsidR="00EF51E2" w:rsidRPr="00E034C6" w:rsidRDefault="000B17F0" w:rsidP="00F242FC">
            <w:pPr>
              <w:spacing w:after="0" w:line="240" w:lineRule="auto"/>
              <w:rPr>
                <w:rFonts w:ascii="Times New Roman" w:eastAsia="Times New Roman" w:hAnsi="Times New Roman"/>
                <w:noProof/>
              </w:rPr>
            </w:pPr>
            <w:r w:rsidRPr="000B17F0">
              <w:rPr>
                <w:rFonts w:ascii="Times New Roman" w:eastAsia="Times New Roman" w:hAnsi="Times New Roman"/>
                <w:noProof/>
              </w:rPr>
              <w:t>1.2 The Green Economy approach to management of the RIMBA Corridor is institutionalized in a new RIMBA Management Agency (RMA).</w:t>
            </w:r>
          </w:p>
          <w:p w:rsidR="00591870" w:rsidRPr="00D07C80" w:rsidRDefault="00985A96" w:rsidP="00F242FC">
            <w:pPr>
              <w:spacing w:after="0" w:line="240" w:lineRule="auto"/>
              <w:rPr>
                <w:rFonts w:ascii="Times New Roman" w:eastAsia="Times New Roman" w:hAnsi="Times New Roman"/>
                <w:lang w:val="id-ID"/>
              </w:rPr>
            </w:pPr>
            <w:r w:rsidRPr="00E034C6">
              <w:rPr>
                <w:rFonts w:ascii="Times New Roman" w:eastAsia="Times New Roman" w:hAnsi="Times New Roman"/>
              </w:rPr>
              <w:fldChar w:fldCharType="end"/>
            </w:r>
            <w:bookmarkEnd w:id="28"/>
          </w:p>
        </w:tc>
        <w:bookmarkStart w:id="29" w:name="ExpectedOutput_01"/>
        <w:tc>
          <w:tcPr>
            <w:tcW w:w="1082" w:type="pct"/>
            <w:shd w:val="clear" w:color="auto" w:fill="FFFFFF"/>
          </w:tcPr>
          <w:p w:rsidR="000B17F0" w:rsidRDefault="00985A96" w:rsidP="00710652">
            <w:pPr>
              <w:spacing w:after="0" w:line="240" w:lineRule="auto"/>
              <w:rPr>
                <w:rFonts w:ascii="Times New Roman" w:eastAsia="Times New Roman" w:hAnsi="Times New Roman"/>
                <w:noProof/>
              </w:rPr>
            </w:pPr>
            <w:r w:rsidRPr="00E034C6">
              <w:rPr>
                <w:rFonts w:ascii="Times New Roman" w:eastAsia="Times New Roman" w:hAnsi="Times New Roman"/>
              </w:rPr>
              <w:fldChar w:fldCharType="begin">
                <w:ffData>
                  <w:name w:val="ExpectedOutput_01"/>
                  <w:enabled/>
                  <w:calcOnExit w:val="0"/>
                  <w:textInput/>
                </w:ffData>
              </w:fldChar>
            </w:r>
            <w:r w:rsidR="00591870" w:rsidRPr="00111B5E">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0B17F0" w:rsidRPr="000B17F0">
              <w:rPr>
                <w:rFonts w:ascii="Times New Roman" w:eastAsia="Times New Roman" w:hAnsi="Times New Roman"/>
                <w:noProof/>
              </w:rPr>
              <w:t>1.1.1 A RIMBA management authority has been formally established to develop a “RIMBA Roadmap” (GE vision, programs, partnerships, GE targets (such as fair &amp; green jobs, available for both men and women) and to facilitate, coordinate, and monitor the implementation of Green Economy throughout the RIMBA Corridor.</w:t>
            </w:r>
          </w:p>
          <w:p w:rsidR="008A1A18" w:rsidRDefault="008A1A18" w:rsidP="00710652">
            <w:pPr>
              <w:spacing w:after="0" w:line="240" w:lineRule="auto"/>
              <w:rPr>
                <w:rFonts w:ascii="Times New Roman" w:eastAsia="Times New Roman" w:hAnsi="Times New Roman"/>
                <w:noProof/>
              </w:rPr>
            </w:pPr>
          </w:p>
          <w:p w:rsidR="000B17F0" w:rsidRDefault="000B17F0" w:rsidP="00710652">
            <w:pPr>
              <w:spacing w:after="0" w:line="240" w:lineRule="auto"/>
              <w:rPr>
                <w:rFonts w:ascii="Times New Roman" w:eastAsia="Times New Roman" w:hAnsi="Times New Roman"/>
                <w:noProof/>
              </w:rPr>
            </w:pPr>
            <w:r w:rsidRPr="000B17F0">
              <w:rPr>
                <w:rFonts w:ascii="Times New Roman" w:eastAsia="Times New Roman" w:hAnsi="Times New Roman"/>
                <w:noProof/>
              </w:rPr>
              <w:t>1.1.2 Positive and equitable attitude changes among the project’s stakeholders, from national government and local government, the business community, the communities within each Cluster including men and women and marginalized groups, lead to networking and support for a Green Economy.</w:t>
            </w:r>
          </w:p>
          <w:p w:rsidR="008A1A18" w:rsidRDefault="008A1A18" w:rsidP="00710652">
            <w:pPr>
              <w:spacing w:after="0" w:line="240" w:lineRule="auto"/>
              <w:rPr>
                <w:rFonts w:ascii="Times New Roman" w:eastAsia="Times New Roman" w:hAnsi="Times New Roman"/>
                <w:noProof/>
              </w:rPr>
            </w:pPr>
          </w:p>
          <w:p w:rsidR="00710652" w:rsidRPr="00E034C6" w:rsidRDefault="000B17F0" w:rsidP="00710652">
            <w:pPr>
              <w:spacing w:after="0" w:line="240" w:lineRule="auto"/>
              <w:rPr>
                <w:rFonts w:ascii="Times New Roman" w:eastAsia="Times New Roman" w:hAnsi="Times New Roman"/>
                <w:noProof/>
              </w:rPr>
            </w:pPr>
            <w:r w:rsidRPr="000B17F0">
              <w:rPr>
                <w:rFonts w:ascii="Times New Roman" w:eastAsia="Times New Roman" w:hAnsi="Times New Roman"/>
                <w:noProof/>
              </w:rPr>
              <w:t>1.1.3 Green economic development and conservation scenarios(s) for the three RIMBA Clusters agreed by government, business, and civil society stakeholders, with an emphasis on using Forest Management Units (KPH/FMU) as the key strategic tool.</w:t>
            </w:r>
            <w:r w:rsidR="00710652" w:rsidRPr="00E034C6">
              <w:rPr>
                <w:rFonts w:ascii="Times New Roman" w:eastAsia="Times New Roman" w:hAnsi="Times New Roman"/>
                <w:noProof/>
              </w:rPr>
              <w:t xml:space="preserve"> </w:t>
            </w:r>
          </w:p>
          <w:p w:rsidR="008A1A18" w:rsidRDefault="008A1A18" w:rsidP="00710652">
            <w:pPr>
              <w:spacing w:after="0" w:line="240" w:lineRule="auto"/>
              <w:rPr>
                <w:rFonts w:ascii="Times New Roman" w:eastAsia="Times New Roman" w:hAnsi="Times New Roman"/>
                <w:noProof/>
              </w:rPr>
            </w:pPr>
          </w:p>
          <w:p w:rsidR="00710652" w:rsidRPr="00E034C6" w:rsidRDefault="000B17F0" w:rsidP="00710652">
            <w:pPr>
              <w:spacing w:after="0" w:line="240" w:lineRule="auto"/>
              <w:rPr>
                <w:rFonts w:ascii="Times New Roman" w:eastAsia="Times New Roman" w:hAnsi="Times New Roman"/>
                <w:noProof/>
              </w:rPr>
            </w:pPr>
            <w:r w:rsidRPr="000B17F0">
              <w:rPr>
                <w:rFonts w:ascii="Times New Roman" w:eastAsia="Times New Roman" w:hAnsi="Times New Roman"/>
                <w:noProof/>
              </w:rPr>
              <w:t xml:space="preserve">1.1.4 Technical capacity and operational modalities established among government, business, and civil society in the 6 demonstration districts, with more resources applied to creating a Green Economy focused on forest, biodiversity, water, and carbon resources.  </w:t>
            </w:r>
            <w:r w:rsidR="00710652" w:rsidRPr="00E034C6">
              <w:rPr>
                <w:rFonts w:ascii="Times New Roman" w:eastAsia="Times New Roman" w:hAnsi="Times New Roman"/>
                <w:noProof/>
              </w:rPr>
              <w:t xml:space="preserve"> </w:t>
            </w:r>
          </w:p>
          <w:p w:rsidR="000B17F0" w:rsidRDefault="000B17F0" w:rsidP="00710652">
            <w:pPr>
              <w:spacing w:after="0" w:line="240" w:lineRule="auto"/>
              <w:rPr>
                <w:rFonts w:ascii="Times New Roman" w:eastAsia="Times New Roman" w:hAnsi="Times New Roman"/>
                <w:noProof/>
              </w:rPr>
            </w:pPr>
          </w:p>
          <w:p w:rsidR="000B17F0" w:rsidRPr="000B17F0" w:rsidRDefault="000B17F0" w:rsidP="000B17F0">
            <w:pPr>
              <w:spacing w:after="0" w:line="240" w:lineRule="auto"/>
              <w:rPr>
                <w:rFonts w:ascii="Times New Roman" w:eastAsia="Times New Roman" w:hAnsi="Times New Roman"/>
              </w:rPr>
            </w:pPr>
            <w:r w:rsidRPr="000B17F0">
              <w:rPr>
                <w:rFonts w:ascii="Times New Roman" w:eastAsia="Times New Roman" w:hAnsi="Times New Roman"/>
              </w:rPr>
              <w:t>1.2.1 The Sumatra Island Spatial Plan, as described in Presidential Decree 13/2012, has been amended to refine the boundaries of the RIMBA Corridor, based on new knowledge related to Green Economy, and has been declared a  national strategic area.</w:t>
            </w:r>
          </w:p>
          <w:p w:rsidR="008A1A18" w:rsidRDefault="008A1A18" w:rsidP="000B17F0">
            <w:pPr>
              <w:spacing w:after="0" w:line="240" w:lineRule="auto"/>
              <w:rPr>
                <w:rFonts w:ascii="Times New Roman" w:eastAsia="Times New Roman" w:hAnsi="Times New Roman"/>
              </w:rPr>
            </w:pPr>
          </w:p>
          <w:p w:rsidR="000B17F0" w:rsidRPr="000B17F0" w:rsidRDefault="000B17F0" w:rsidP="000B17F0">
            <w:pPr>
              <w:spacing w:after="0" w:line="240" w:lineRule="auto"/>
              <w:rPr>
                <w:rFonts w:ascii="Times New Roman" w:eastAsia="Times New Roman" w:hAnsi="Times New Roman"/>
              </w:rPr>
            </w:pPr>
            <w:r w:rsidRPr="000B17F0">
              <w:rPr>
                <w:rFonts w:ascii="Times New Roman" w:eastAsia="Times New Roman" w:hAnsi="Times New Roman"/>
              </w:rPr>
              <w:t>1.2.2 National and regional government, and other partners contributing to an institutionalised RIMBA Management Agency, have formally committed to harmonize their forward planning priorities, policies and financial contributions, to ensure sustainable and coordinated support for the agency’s activities.</w:t>
            </w:r>
          </w:p>
          <w:p w:rsidR="008A1A18" w:rsidRDefault="008A1A18" w:rsidP="00E772FF">
            <w:pPr>
              <w:spacing w:after="0" w:line="240" w:lineRule="auto"/>
              <w:rPr>
                <w:rFonts w:ascii="Times New Roman" w:eastAsia="Times New Roman" w:hAnsi="Times New Roman"/>
              </w:rPr>
            </w:pPr>
          </w:p>
          <w:p w:rsidR="00591870" w:rsidRPr="00E034C6" w:rsidRDefault="000B17F0" w:rsidP="00E772FF">
            <w:pPr>
              <w:spacing w:after="0" w:line="240" w:lineRule="auto"/>
              <w:rPr>
                <w:rFonts w:ascii="Times New Roman" w:eastAsia="Times New Roman" w:hAnsi="Times New Roman"/>
              </w:rPr>
            </w:pPr>
            <w:r w:rsidRPr="000B17F0">
              <w:rPr>
                <w:rFonts w:ascii="Times New Roman" w:eastAsia="Times New Roman" w:hAnsi="Times New Roman"/>
              </w:rPr>
              <w:t>1.2.3 A Small Grants Programme is established to enable Green Economy activities to be undertaken by local stakeholders including women and indigenous communities.</w:t>
            </w:r>
            <w:r w:rsidR="00985A96" w:rsidRPr="00E034C6">
              <w:rPr>
                <w:rFonts w:ascii="Times New Roman" w:eastAsia="Times New Roman" w:hAnsi="Times New Roman"/>
              </w:rPr>
              <w:fldChar w:fldCharType="end"/>
            </w:r>
            <w:bookmarkEnd w:id="29"/>
          </w:p>
        </w:tc>
        <w:tc>
          <w:tcPr>
            <w:tcW w:w="417" w:type="pct"/>
            <w:shd w:val="clear" w:color="auto" w:fill="FFFFFF"/>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91870" w:rsidRPr="00111B5E">
              <w:rPr>
                <w:rFonts w:ascii="Times New Roman" w:eastAsia="Times New Roman" w:hAnsi="Times New Roman"/>
                <w:bCs/>
                <w:smallCaps/>
                <w:sz w:val="20"/>
                <w:szCs w:val="20"/>
              </w:rPr>
              <w:instrText xml:space="preserve"> FORMDROPDOWN </w:instrText>
            </w:r>
            <w:r w:rsidR="00854B34">
              <w:rPr>
                <w:rFonts w:ascii="Times New Roman" w:eastAsia="Times New Roman" w:hAnsi="Times New Roman"/>
                <w:bCs/>
                <w:smallCaps/>
                <w:sz w:val="20"/>
                <w:szCs w:val="20"/>
              </w:rPr>
            </w:r>
            <w:r w:rsidR="00854B34">
              <w:rPr>
                <w:rFonts w:ascii="Times New Roman" w:eastAsia="Times New Roman" w:hAnsi="Times New Roman"/>
                <w:bCs/>
                <w:smallCaps/>
                <w:sz w:val="20"/>
                <w:szCs w:val="20"/>
              </w:rPr>
              <w:fldChar w:fldCharType="separate"/>
            </w:r>
            <w:r w:rsidRPr="00E034C6">
              <w:rPr>
                <w:rFonts w:ascii="Times New Roman" w:eastAsia="Times New Roman" w:hAnsi="Times New Roman"/>
                <w:bCs/>
                <w:smallCaps/>
                <w:sz w:val="20"/>
                <w:szCs w:val="20"/>
              </w:rPr>
              <w:fldChar w:fldCharType="end"/>
            </w:r>
          </w:p>
        </w:tc>
        <w:tc>
          <w:tcPr>
            <w:tcW w:w="524" w:type="pct"/>
            <w:shd w:val="clear" w:color="auto" w:fill="FFFFFF"/>
          </w:tcPr>
          <w:p w:rsidR="00591870" w:rsidRPr="00E034C6" w:rsidRDefault="00BF20E1" w:rsidP="00B1702D">
            <w:pPr>
              <w:spacing w:after="0" w:line="240" w:lineRule="auto"/>
              <w:jc w:val="right"/>
              <w:rPr>
                <w:rFonts w:ascii="Times New Roman" w:eastAsia="Times New Roman" w:hAnsi="Times New Roman"/>
              </w:rPr>
            </w:pPr>
            <w:bookmarkStart w:id="30" w:name="B_GA_01"/>
            <w:r>
              <w:rPr>
                <w:rFonts w:ascii="Times New Roman" w:eastAsia="Times New Roman" w:hAnsi="Times New Roman"/>
              </w:rPr>
              <w:t>1,9</w:t>
            </w:r>
            <w:r w:rsidR="00B1702D">
              <w:rPr>
                <w:rFonts w:ascii="Times New Roman" w:eastAsia="Times New Roman" w:hAnsi="Times New Roman"/>
              </w:rPr>
              <w:t>48</w:t>
            </w:r>
            <w:r>
              <w:rPr>
                <w:rFonts w:ascii="Times New Roman" w:eastAsia="Times New Roman" w:hAnsi="Times New Roman"/>
              </w:rPr>
              <w:t>,</w:t>
            </w:r>
            <w:r w:rsidR="00B1702D">
              <w:rPr>
                <w:rFonts w:ascii="Times New Roman" w:eastAsia="Times New Roman" w:hAnsi="Times New Roman"/>
              </w:rPr>
              <w:t>758</w:t>
            </w:r>
            <w:bookmarkEnd w:id="30"/>
          </w:p>
        </w:tc>
        <w:tc>
          <w:tcPr>
            <w:tcW w:w="560" w:type="pct"/>
            <w:shd w:val="clear" w:color="auto" w:fill="FFFFFF"/>
          </w:tcPr>
          <w:p w:rsidR="00591870" w:rsidRPr="00E034C6" w:rsidRDefault="00C64AED" w:rsidP="00C52662">
            <w:pPr>
              <w:spacing w:after="0" w:line="240" w:lineRule="auto"/>
              <w:jc w:val="right"/>
              <w:rPr>
                <w:rFonts w:ascii="Times New Roman" w:eastAsia="Times New Roman" w:hAnsi="Times New Roman"/>
              </w:rPr>
            </w:pPr>
            <w:r>
              <w:rPr>
                <w:rFonts w:ascii="Times New Roman" w:eastAsia="Times New Roman" w:hAnsi="Times New Roman"/>
              </w:rPr>
              <w:t>13,</w:t>
            </w:r>
            <w:r w:rsidR="00281B92">
              <w:rPr>
                <w:rFonts w:ascii="Times New Roman" w:eastAsia="Times New Roman" w:hAnsi="Times New Roman"/>
              </w:rPr>
              <w:t>1</w:t>
            </w:r>
            <w:r>
              <w:rPr>
                <w:rFonts w:ascii="Times New Roman" w:eastAsia="Times New Roman" w:hAnsi="Times New Roman"/>
              </w:rPr>
              <w:t>83,300</w:t>
            </w:r>
          </w:p>
        </w:tc>
      </w:tr>
      <w:tr w:rsidR="00591870" w:rsidRPr="00E034C6" w:rsidTr="000B17F0">
        <w:trPr>
          <w:jc w:val="center"/>
        </w:trPr>
        <w:tc>
          <w:tcPr>
            <w:tcW w:w="993" w:type="pct"/>
            <w:shd w:val="clear" w:color="auto" w:fill="FFFFFF"/>
          </w:tcPr>
          <w:p w:rsidR="00591870" w:rsidRPr="00E034C6" w:rsidRDefault="00591870" w:rsidP="00E772FF">
            <w:pPr>
              <w:spacing w:after="0" w:line="240" w:lineRule="auto"/>
              <w:rPr>
                <w:rFonts w:ascii="Times New Roman" w:eastAsia="Times New Roman" w:hAnsi="Times New Roman"/>
              </w:rPr>
            </w:pPr>
            <w:r w:rsidRPr="00E034C6">
              <w:rPr>
                <w:rFonts w:ascii="Times New Roman" w:eastAsia="Times New Roman" w:hAnsi="Times New Roman"/>
              </w:rPr>
              <w:t xml:space="preserve"> </w:t>
            </w:r>
            <w:bookmarkStart w:id="31" w:name="projComp_02"/>
            <w:r w:rsidR="00985A96" w:rsidRPr="00E034C6">
              <w:rPr>
                <w:rFonts w:ascii="Times New Roman" w:eastAsia="Times New Roman" w:hAnsi="Times New Roman"/>
              </w:rPr>
              <w:fldChar w:fldCharType="begin">
                <w:ffData>
                  <w:name w:val="projComp_02"/>
                  <w:enabled/>
                  <w:calcOnExit w:val="0"/>
                  <w:textInput/>
                </w:ffData>
              </w:fldChar>
            </w:r>
            <w:r w:rsidRPr="009F499A">
              <w:rPr>
                <w:rFonts w:ascii="Times New Roman" w:eastAsia="Times New Roman" w:hAnsi="Times New Roman"/>
              </w:rPr>
              <w:instrText xml:space="preserve"> FORMTEXT </w:instrText>
            </w:r>
            <w:r w:rsidR="00985A96" w:rsidRPr="00E034C6">
              <w:rPr>
                <w:rFonts w:ascii="Times New Roman" w:eastAsia="Times New Roman" w:hAnsi="Times New Roman"/>
              </w:rPr>
            </w:r>
            <w:r w:rsidR="00985A96" w:rsidRPr="00E034C6">
              <w:rPr>
                <w:rFonts w:ascii="Times New Roman" w:eastAsia="Times New Roman" w:hAnsi="Times New Roman"/>
              </w:rPr>
              <w:fldChar w:fldCharType="separate"/>
            </w:r>
            <w:r w:rsidR="00E772FF" w:rsidRPr="00E772FF">
              <w:rPr>
                <w:rFonts w:ascii="Times New Roman" w:eastAsia="Times New Roman" w:hAnsi="Times New Roman"/>
                <w:noProof/>
              </w:rPr>
              <w:t>2. The practical demonstration to government, business and civil society partners of Green Economic Development to deliver Sustainable Outcomes which enhance the natural capital of water, carbon and biodiversity provided by forests in the RIMBA Corridor.</w:t>
            </w:r>
            <w:r w:rsidR="00985A96" w:rsidRPr="00E034C6">
              <w:rPr>
                <w:rFonts w:ascii="Times New Roman" w:eastAsia="Times New Roman" w:hAnsi="Times New Roman"/>
              </w:rPr>
              <w:fldChar w:fldCharType="end"/>
            </w:r>
            <w:bookmarkEnd w:id="31"/>
          </w:p>
        </w:tc>
        <w:bookmarkStart w:id="32" w:name="GrantType_02"/>
        <w:tc>
          <w:tcPr>
            <w:tcW w:w="425" w:type="pct"/>
            <w:shd w:val="clear" w:color="auto" w:fill="FFFFFF"/>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GrantType_02"/>
                  <w:enabled/>
                  <w:calcOnExit w:val="0"/>
                  <w:ddList>
                    <w:result w:val="1"/>
                    <w:listEntry w:val="(select)"/>
                    <w:listEntry w:val="TA"/>
                    <w:listEntry w:val="Inv"/>
                  </w:ddList>
                </w:ffData>
              </w:fldChar>
            </w:r>
            <w:r w:rsidR="00591870" w:rsidRPr="00040B4B">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32"/>
          </w:p>
        </w:tc>
        <w:bookmarkStart w:id="33" w:name="ExpectedOutCome_02"/>
        <w:tc>
          <w:tcPr>
            <w:tcW w:w="999" w:type="pct"/>
            <w:shd w:val="clear" w:color="auto" w:fill="FFFFFF"/>
          </w:tcPr>
          <w:p w:rsidR="004670BD" w:rsidRPr="00E034C6" w:rsidRDefault="00985A96" w:rsidP="00E5485B">
            <w:pPr>
              <w:spacing w:after="0" w:line="240" w:lineRule="auto"/>
              <w:rPr>
                <w:rFonts w:ascii="Times New Roman" w:eastAsia="Times New Roman" w:hAnsi="Times New Roman"/>
                <w:noProof/>
              </w:rPr>
            </w:pPr>
            <w:r w:rsidRPr="00E034C6">
              <w:rPr>
                <w:rFonts w:ascii="Times New Roman" w:eastAsia="Times New Roman" w:hAnsi="Times New Roman"/>
              </w:rPr>
              <w:fldChar w:fldCharType="begin">
                <w:ffData>
                  <w:name w:val="ExpectedOutCome_02"/>
                  <w:enabled/>
                  <w:calcOnExi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E772FF" w:rsidRPr="00E772FF">
              <w:rPr>
                <w:rFonts w:ascii="Times New Roman" w:eastAsia="Times New Roman" w:hAnsi="Times New Roman"/>
                <w:noProof/>
              </w:rPr>
              <w:t xml:space="preserve">2.1 </w:t>
            </w:r>
            <w:r w:rsidR="00835B1B">
              <w:rPr>
                <w:rFonts w:ascii="Times New Roman" w:eastAsia="Times New Roman" w:hAnsi="Times New Roman"/>
                <w:noProof/>
                <w:lang w:val="id-ID"/>
              </w:rPr>
              <w:t xml:space="preserve">Cluster 1: </w:t>
            </w:r>
            <w:r w:rsidR="00E772FF" w:rsidRPr="00E772FF">
              <w:rPr>
                <w:rFonts w:ascii="Times New Roman" w:eastAsia="Times New Roman" w:hAnsi="Times New Roman"/>
                <w:noProof/>
              </w:rPr>
              <w:t>Forested wildlife corridors have been strengthened through investment which implements FMU management plans, encourages public/private collaboration, and creates green jobs</w:t>
            </w:r>
            <w:r w:rsidR="00EF51E2" w:rsidRPr="00E034C6">
              <w:rPr>
                <w:rFonts w:ascii="Times New Roman" w:eastAsia="Times New Roman" w:hAnsi="Times New Roman"/>
                <w:noProof/>
              </w:rPr>
              <w:t xml:space="preserve"> </w:t>
            </w:r>
          </w:p>
          <w:p w:rsidR="00EF51E2" w:rsidRPr="00E034C6" w:rsidRDefault="00EF51E2"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AD6B97" w:rsidRDefault="00AD6B97" w:rsidP="00785D12">
            <w:pPr>
              <w:spacing w:after="0" w:line="240" w:lineRule="auto"/>
              <w:rPr>
                <w:rFonts w:ascii="Times New Roman" w:eastAsia="Times New Roman" w:hAnsi="Times New Roman"/>
                <w:noProof/>
              </w:rPr>
            </w:pPr>
          </w:p>
          <w:p w:rsidR="00AD6B97" w:rsidRDefault="00AD6B97" w:rsidP="00785D12">
            <w:pPr>
              <w:spacing w:after="0" w:line="240" w:lineRule="auto"/>
              <w:rPr>
                <w:rFonts w:ascii="Times New Roman" w:eastAsia="Times New Roman" w:hAnsi="Times New Roman"/>
                <w:noProof/>
              </w:rPr>
            </w:pPr>
          </w:p>
          <w:p w:rsidR="00AD6B97" w:rsidRDefault="00AD6B97" w:rsidP="00785D12">
            <w:pPr>
              <w:spacing w:after="0" w:line="240" w:lineRule="auto"/>
              <w:rPr>
                <w:rFonts w:ascii="Times New Roman" w:eastAsia="Times New Roman" w:hAnsi="Times New Roman"/>
                <w:noProof/>
              </w:rPr>
            </w:pPr>
          </w:p>
          <w:p w:rsidR="00E772FF" w:rsidRDefault="00E772FF" w:rsidP="00785D12">
            <w:pPr>
              <w:spacing w:after="0" w:line="240" w:lineRule="auto"/>
              <w:rPr>
                <w:rFonts w:ascii="Times New Roman" w:eastAsia="Times New Roman" w:hAnsi="Times New Roman"/>
                <w:noProof/>
              </w:rPr>
            </w:pPr>
          </w:p>
          <w:p w:rsidR="00CA0C77" w:rsidRDefault="00CA0C77" w:rsidP="000930D8">
            <w:pPr>
              <w:spacing w:after="0" w:line="240" w:lineRule="auto"/>
              <w:rPr>
                <w:rFonts w:ascii="Times New Roman" w:eastAsia="Times New Roman" w:hAnsi="Times New Roman"/>
                <w:noProof/>
              </w:rPr>
            </w:pPr>
          </w:p>
          <w:p w:rsidR="00CA0C77" w:rsidRDefault="00CA0C77" w:rsidP="000930D8">
            <w:pPr>
              <w:spacing w:after="0" w:line="240" w:lineRule="auto"/>
              <w:rPr>
                <w:rFonts w:ascii="Times New Roman" w:eastAsia="Times New Roman" w:hAnsi="Times New Roman"/>
                <w:noProof/>
              </w:rPr>
            </w:pPr>
          </w:p>
          <w:p w:rsidR="00CA0C77" w:rsidRDefault="00CA0C77"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2.2 Low carbon-growth practices have been applied to the protection and restoration of critical peatland and forests through investment in Cluster 2 </w:t>
            </w:r>
            <w:r w:rsidR="00CB1994">
              <w:rPr>
                <w:rFonts w:ascii="Times New Roman" w:eastAsia="Times New Roman" w:hAnsi="Times New Roman"/>
                <w:noProof/>
                <w:lang w:val="id-ID"/>
              </w:rPr>
              <w:t xml:space="preserve">involving the District of </w:t>
            </w:r>
            <w:r w:rsidRPr="00E772FF">
              <w:rPr>
                <w:rFonts w:ascii="Times New Roman" w:eastAsia="Times New Roman" w:hAnsi="Times New Roman"/>
                <w:noProof/>
              </w:rPr>
              <w:t xml:space="preserve">Tanjung Jabung Timur and Muaro Jambi. </w:t>
            </w: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8A1A18" w:rsidRDefault="008A1A18" w:rsidP="000930D8">
            <w:pPr>
              <w:spacing w:after="0" w:line="240" w:lineRule="auto"/>
              <w:rPr>
                <w:rFonts w:ascii="Times New Roman" w:eastAsia="Times New Roman" w:hAnsi="Times New Roman"/>
                <w:noProof/>
              </w:rPr>
            </w:pPr>
          </w:p>
          <w:p w:rsidR="008A1A18" w:rsidRDefault="008A1A18" w:rsidP="000930D8">
            <w:pPr>
              <w:spacing w:after="0" w:line="240" w:lineRule="auto"/>
              <w:rPr>
                <w:rFonts w:ascii="Times New Roman" w:eastAsia="Times New Roman" w:hAnsi="Times New Roman"/>
                <w:noProof/>
              </w:rPr>
            </w:pPr>
          </w:p>
          <w:p w:rsidR="008A1A18" w:rsidRDefault="008A1A18"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noProof/>
              </w:rPr>
            </w:pPr>
          </w:p>
          <w:p w:rsidR="00E772FF" w:rsidRDefault="00E772FF" w:rsidP="000930D8">
            <w:pPr>
              <w:spacing w:after="0" w:line="240" w:lineRule="auto"/>
              <w:rPr>
                <w:rFonts w:ascii="Times New Roman" w:eastAsia="Times New Roman" w:hAnsi="Times New Roman"/>
              </w:rPr>
            </w:pPr>
            <w:r w:rsidRPr="00E772FF">
              <w:rPr>
                <w:rFonts w:ascii="Times New Roman" w:eastAsia="Times New Roman" w:hAnsi="Times New Roman"/>
              </w:rPr>
              <w:t xml:space="preserve">2.3 </w:t>
            </w:r>
            <w:r w:rsidR="00CB1994">
              <w:rPr>
                <w:rFonts w:ascii="Times New Roman" w:eastAsia="Times New Roman" w:hAnsi="Times New Roman"/>
                <w:lang w:val="id-ID"/>
              </w:rPr>
              <w:t>Investment in basic human services and local economic assistance in two sub-catchments in the Merangin District (Cluster 3) has removed the drivers of upland deforestation creating the conditions for sustainability of environmental services, especially water for human consumption and generation of power.</w:t>
            </w:r>
            <w:r w:rsidR="00CB1994" w:rsidRPr="00E772FF" w:rsidDel="00CB1994">
              <w:rPr>
                <w:rFonts w:ascii="Times New Roman" w:eastAsia="Times New Roman" w:hAnsi="Times New Roman"/>
              </w:rPr>
              <w:t xml:space="preserve"> </w:t>
            </w: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p>
          <w:p w:rsidR="00E772FF" w:rsidRDefault="00E772FF" w:rsidP="000930D8">
            <w:pPr>
              <w:spacing w:after="0" w:line="240" w:lineRule="auto"/>
              <w:rPr>
                <w:rFonts w:ascii="Times New Roman" w:eastAsia="Times New Roman" w:hAnsi="Times New Roman"/>
              </w:rPr>
            </w:pPr>
            <w:r w:rsidRPr="00E772FF">
              <w:rPr>
                <w:rFonts w:ascii="Times New Roman" w:eastAsia="Times New Roman" w:hAnsi="Times New Roman"/>
              </w:rPr>
              <w:t>2.4 The RIMBA Project experience of Green Economy principles and practice has been integrated into the institutions of government, civil society and private sector in the six target Districts of the Corridor.</w:t>
            </w:r>
          </w:p>
          <w:p w:rsidR="00591870" w:rsidRPr="00E034C6" w:rsidRDefault="00985A96" w:rsidP="000930D8">
            <w:pPr>
              <w:spacing w:after="0" w:line="240" w:lineRule="auto"/>
              <w:rPr>
                <w:rFonts w:ascii="Times New Roman" w:eastAsia="Times New Roman" w:hAnsi="Times New Roman"/>
              </w:rPr>
            </w:pPr>
            <w:r w:rsidRPr="00E034C6">
              <w:rPr>
                <w:rFonts w:ascii="Times New Roman" w:eastAsia="Times New Roman" w:hAnsi="Times New Roman"/>
              </w:rPr>
              <w:fldChar w:fldCharType="end"/>
            </w:r>
            <w:bookmarkEnd w:id="33"/>
          </w:p>
        </w:tc>
        <w:bookmarkStart w:id="34" w:name="ExpectedOutput_02"/>
        <w:tc>
          <w:tcPr>
            <w:tcW w:w="1082" w:type="pct"/>
            <w:shd w:val="clear" w:color="auto" w:fill="FFFFFF"/>
          </w:tcPr>
          <w:p w:rsidR="00E772FF" w:rsidRPr="00E772FF" w:rsidRDefault="00985A96" w:rsidP="00E772FF">
            <w:pPr>
              <w:spacing w:after="0" w:line="240" w:lineRule="auto"/>
              <w:rPr>
                <w:rFonts w:ascii="Times New Roman" w:eastAsia="Times New Roman" w:hAnsi="Times New Roman"/>
                <w:noProof/>
              </w:rPr>
            </w:pPr>
            <w:r w:rsidRPr="00E034C6">
              <w:rPr>
                <w:rFonts w:ascii="Times New Roman" w:eastAsia="Times New Roman" w:hAnsi="Times New Roman"/>
              </w:rPr>
              <w:fldChar w:fldCharType="begin">
                <w:ffData>
                  <w:name w:val="ExpectedOutput_02"/>
                  <w:enabled/>
                  <w:calcOnExi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E772FF" w:rsidRPr="00E772FF">
              <w:rPr>
                <w:rFonts w:ascii="Times New Roman" w:eastAsia="Times New Roman" w:hAnsi="Times New Roman"/>
                <w:noProof/>
              </w:rPr>
              <w:t>2.1.1 Forest Management Units operating in Cluster 1 have been established supporting operational/business planning over state forest and identifying best management practices (e.g., forest restoration, land-swaps, PES, creation of green jobs) that lead to at least 5000 ha under SFM</w:t>
            </w:r>
            <w:r w:rsidR="00E772FF">
              <w:rPr>
                <w:rFonts w:ascii="Times New Roman" w:eastAsia="Times New Roman" w:hAnsi="Times New Roman"/>
                <w:noProof/>
              </w:rPr>
              <w:t>.</w:t>
            </w:r>
          </w:p>
          <w:p w:rsidR="00AD6B97" w:rsidRDefault="00AD6B97"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2.1.2 Participatory Land Use Planning techniques (PLUP) have been used to resolve conflicts among stakeholders to manage encroachment and provide guidance for reforestation, relocation, and sustainable forest management practice.</w:t>
            </w:r>
          </w:p>
          <w:p w:rsidR="00AD6B97" w:rsidRDefault="00AD6B97"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2.1.3 </w:t>
            </w:r>
            <w:r w:rsidR="00CB1994">
              <w:rPr>
                <w:rFonts w:ascii="Times New Roman" w:hAnsi="Times New Roman"/>
                <w:bCs/>
              </w:rPr>
              <w:t>An Involuntary Resettlement Plan, in accordance with IFC Safeguards, has been implemented, in collaboration with the Bukit Batabuh Protection Forest FMU, to relocate an estimated 100 households illegally occupying the Protection Forest.</w:t>
            </w:r>
          </w:p>
          <w:p w:rsidR="00AD6B97" w:rsidRDefault="00AD6B97" w:rsidP="00E772FF">
            <w:pPr>
              <w:spacing w:after="0" w:line="240" w:lineRule="auto"/>
              <w:rPr>
                <w:rFonts w:ascii="Times New Roman" w:eastAsia="Times New Roman" w:hAnsi="Times New Roman"/>
                <w:noProof/>
              </w:rPr>
            </w:pPr>
          </w:p>
          <w:p w:rsidR="00785D12" w:rsidRPr="00E034C6"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2.1.4 </w:t>
            </w:r>
            <w:r w:rsidR="00E5485B" w:rsidRPr="00C401C6">
              <w:rPr>
                <w:rFonts w:ascii="Times New Roman" w:hAnsi="Times New Roman"/>
                <w:bCs/>
              </w:rPr>
              <w:t xml:space="preserve">Wildlife corridors </w:t>
            </w:r>
            <w:r w:rsidR="00E5485B">
              <w:rPr>
                <w:rFonts w:ascii="Times New Roman" w:hAnsi="Times New Roman"/>
                <w:bCs/>
              </w:rPr>
              <w:t xml:space="preserve">have been </w:t>
            </w:r>
            <w:r w:rsidR="00E5485B" w:rsidRPr="00C401C6">
              <w:rPr>
                <w:rFonts w:ascii="Times New Roman" w:hAnsi="Times New Roman"/>
                <w:bCs/>
              </w:rPr>
              <w:t>consolidated</w:t>
            </w:r>
            <w:r w:rsidR="00E5485B">
              <w:rPr>
                <w:rFonts w:ascii="Times New Roman" w:hAnsi="Times New Roman"/>
                <w:bCs/>
              </w:rPr>
              <w:t xml:space="preserve"> by enhanced habitat connectivity through the revegetation of at least 1200 ha and the implementation of engineered road </w:t>
            </w:r>
            <w:r w:rsidR="00E5485B" w:rsidRPr="00C401C6">
              <w:rPr>
                <w:rFonts w:ascii="Times New Roman" w:hAnsi="Times New Roman"/>
                <w:bCs/>
              </w:rPr>
              <w:t xml:space="preserve">eco-designs for </w:t>
            </w:r>
            <w:r w:rsidR="00E5485B">
              <w:rPr>
                <w:rFonts w:ascii="Times New Roman" w:hAnsi="Times New Roman"/>
                <w:bCs/>
              </w:rPr>
              <w:t xml:space="preserve">provincial </w:t>
            </w:r>
            <w:r w:rsidR="00E5485B" w:rsidRPr="00C401C6">
              <w:rPr>
                <w:rFonts w:ascii="Times New Roman" w:hAnsi="Times New Roman"/>
                <w:bCs/>
              </w:rPr>
              <w:t>transport infrastructure</w:t>
            </w:r>
            <w:r w:rsidR="00E5485B">
              <w:rPr>
                <w:rFonts w:ascii="Times New Roman" w:hAnsi="Times New Roman"/>
                <w:bCs/>
                <w:lang w:val="id-ID"/>
              </w:rPr>
              <w:t>.</w:t>
            </w:r>
            <w:r w:rsidR="00785D12" w:rsidRPr="00E034C6">
              <w:rPr>
                <w:rFonts w:ascii="Times New Roman" w:eastAsia="Times New Roman" w:hAnsi="Times New Roman"/>
                <w:noProof/>
              </w:rPr>
              <w:t xml:space="preserve"> </w:t>
            </w:r>
          </w:p>
          <w:p w:rsidR="00E772FF" w:rsidRDefault="00E772FF" w:rsidP="00785D12">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2.2.1 The Forest Management Units KPHP XII</w:t>
            </w:r>
            <w:r w:rsidR="00E5485B">
              <w:rPr>
                <w:rFonts w:ascii="Times New Roman" w:eastAsia="Times New Roman" w:hAnsi="Times New Roman"/>
                <w:noProof/>
                <w:lang w:val="id-ID"/>
              </w:rPr>
              <w:t>I</w:t>
            </w:r>
            <w:r w:rsidRPr="00E772FF">
              <w:rPr>
                <w:rFonts w:ascii="Times New Roman" w:eastAsia="Times New Roman" w:hAnsi="Times New Roman"/>
                <w:noProof/>
              </w:rPr>
              <w:t xml:space="preserve"> and KPHP </w:t>
            </w:r>
            <w:r w:rsidR="00E5485B">
              <w:rPr>
                <w:rFonts w:ascii="Times New Roman" w:eastAsia="Times New Roman" w:hAnsi="Times New Roman"/>
                <w:noProof/>
                <w:lang w:val="id-ID"/>
              </w:rPr>
              <w:t>X</w:t>
            </w:r>
            <w:r w:rsidRPr="00E772FF">
              <w:rPr>
                <w:rFonts w:ascii="Times New Roman" w:eastAsia="Times New Roman" w:hAnsi="Times New Roman"/>
                <w:noProof/>
              </w:rPr>
              <w:t>IV have been established to support operational/ business planning over unallocated state forest that incorporate GHG emissions reduction through prevention of fires, peatland restoration and the optimization of land allocations through revised spatial planning and SCP approaches supporting the provision of green jobs.</w:t>
            </w:r>
          </w:p>
          <w:p w:rsidR="008A1A18" w:rsidRDefault="008A1A18"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2.2.2 PLUP approaches have been incorporated into FMU practices to resolve conflicts among stakeholders, to inform detailed hydrological analysis, to assist economic sustainability of companies and small-holder community enterprises, and to establish a multi-stakeholder community based forum to facilitate SFM. </w:t>
            </w:r>
          </w:p>
          <w:p w:rsidR="008A1A18" w:rsidRDefault="008A1A18" w:rsidP="00E772FF">
            <w:pPr>
              <w:spacing w:after="0" w:line="240" w:lineRule="auto"/>
              <w:rPr>
                <w:rFonts w:ascii="Times New Roman" w:eastAsia="Times New Roman" w:hAnsi="Times New Roman"/>
                <w:noProof/>
              </w:rPr>
            </w:pPr>
          </w:p>
          <w:p w:rsidR="008A1A18"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2.2.3 </w:t>
            </w:r>
            <w:r w:rsidR="00E5485B" w:rsidRPr="00C401C6">
              <w:rPr>
                <w:rFonts w:ascii="Times New Roman" w:hAnsi="Times New Roman"/>
              </w:rPr>
              <w:t xml:space="preserve">The incidence of </w:t>
            </w:r>
            <w:r w:rsidR="00E5485B">
              <w:rPr>
                <w:rFonts w:ascii="Times New Roman" w:hAnsi="Times New Roman"/>
              </w:rPr>
              <w:t>unplanned and illegal f</w:t>
            </w:r>
            <w:r w:rsidR="00E5485B" w:rsidRPr="00C401C6">
              <w:rPr>
                <w:rFonts w:ascii="Times New Roman" w:hAnsi="Times New Roman"/>
              </w:rPr>
              <w:t xml:space="preserve">ires has been </w:t>
            </w:r>
            <w:r w:rsidR="00E5485B">
              <w:rPr>
                <w:rFonts w:ascii="Times New Roman" w:hAnsi="Times New Roman"/>
              </w:rPr>
              <w:t xml:space="preserve">eliminated </w:t>
            </w:r>
            <w:r w:rsidR="00E5485B" w:rsidRPr="00C401C6">
              <w:rPr>
                <w:rFonts w:ascii="Times New Roman" w:hAnsi="Times New Roman"/>
              </w:rPr>
              <w:t xml:space="preserve">through </w:t>
            </w:r>
            <w:r w:rsidR="00E5485B">
              <w:rPr>
                <w:rFonts w:ascii="Times New Roman" w:hAnsi="Times New Roman"/>
              </w:rPr>
              <w:t>behavioural change in local communities resulting from social marketing, industry extension and enforcement activities</w:t>
            </w:r>
            <w:r w:rsidR="00E5485B" w:rsidRPr="00CC311C">
              <w:rPr>
                <w:rFonts w:ascii="Times New Roman" w:hAnsi="Times New Roman"/>
              </w:rPr>
              <w:t xml:space="preserve"> </w:t>
            </w:r>
            <w:r w:rsidR="00E5485B">
              <w:rPr>
                <w:rFonts w:ascii="Times New Roman" w:hAnsi="Times New Roman"/>
              </w:rPr>
              <w:t>and training in firefighting among local communities, implemented through the FMU, in collaboration with other provincial agencies (e.g., Disaster Management)</w:t>
            </w:r>
            <w:r w:rsidR="00E5485B" w:rsidRPr="00E772FF" w:rsidDel="00E5485B">
              <w:rPr>
                <w:rFonts w:ascii="Times New Roman" w:eastAsia="Times New Roman" w:hAnsi="Times New Roman"/>
                <w:noProof/>
              </w:rPr>
              <w:t xml:space="preserve"> </w:t>
            </w:r>
          </w:p>
          <w:p w:rsidR="00CA0C77" w:rsidRDefault="00CA0C77" w:rsidP="00E772FF">
            <w:pPr>
              <w:spacing w:after="0" w:line="240" w:lineRule="auto"/>
              <w:rPr>
                <w:rFonts w:ascii="Times New Roman" w:eastAsia="Times New Roman" w:hAnsi="Times New Roman"/>
                <w:noProof/>
              </w:rPr>
            </w:pPr>
          </w:p>
          <w:p w:rsid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2.2.4 Technical assistance has been provided to FMU (KPHP XII</w:t>
            </w:r>
            <w:r w:rsidR="00E5485B">
              <w:rPr>
                <w:rFonts w:ascii="Times New Roman" w:eastAsia="Times New Roman" w:hAnsi="Times New Roman"/>
                <w:noProof/>
                <w:lang w:val="id-ID"/>
              </w:rPr>
              <w:t>I</w:t>
            </w:r>
            <w:r w:rsidRPr="00E772FF">
              <w:rPr>
                <w:rFonts w:ascii="Times New Roman" w:eastAsia="Times New Roman" w:hAnsi="Times New Roman"/>
                <w:noProof/>
              </w:rPr>
              <w:t xml:space="preserve"> and XIV) and the Public Works Swamp Reclamation unit resulting in a detailed assessment of the issues of restoring hydrological conditions, and an agreed multi-agency plan for restoration interventions to halve GHG emissions.</w:t>
            </w:r>
          </w:p>
          <w:p w:rsidR="00E772FF" w:rsidRDefault="00E772FF"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2.3.1 The Forest Management Units KPHP V and KPHP VII have been established. </w:t>
            </w:r>
          </w:p>
          <w:p w:rsidR="008A1A18" w:rsidRDefault="008A1A18"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2.3.2 PLUP approaches have been incorporated into the operational/business planning activities of each FMU.</w:t>
            </w:r>
          </w:p>
          <w:p w:rsidR="008A1A18" w:rsidRDefault="008A1A18"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2.3.3 In sub-catchment 1 enhanced access to electricity has incentivised the stabilization of land use in 4000 ha by stopping National Park encroachment, engaging in reforestation and supporting sustainable agro-forestry production systems.</w:t>
            </w:r>
          </w:p>
          <w:p w:rsidR="008A1A18" w:rsidRDefault="008A1A18"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2.3.4 A Water Services Payment scheme, as part of the Business Planning for FMU 5, (PWS) has been established within the Merangin Government, providing incentives for sustainable forest management and improved agicultural practices. </w:t>
            </w:r>
          </w:p>
          <w:p w:rsidR="008A1A18" w:rsidRDefault="008A1A18" w:rsidP="00E772FF">
            <w:pPr>
              <w:spacing w:after="0" w:line="240" w:lineRule="auto"/>
              <w:rPr>
                <w:rFonts w:ascii="Times New Roman" w:eastAsia="Times New Roman" w:hAnsi="Times New Roman"/>
                <w:noProof/>
              </w:rPr>
            </w:pPr>
          </w:p>
          <w:p w:rsid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2.3.5 Livelihood focused incentives improving access to and benefits from markets for timber and non-timber forest products have been established that improve sustainability of community land practices.</w:t>
            </w:r>
          </w:p>
          <w:p w:rsidR="00E772FF" w:rsidRDefault="00E772FF"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 xml:space="preserve">2.4.1 Routine practices among government project partners at all levels, reflect adoption of lessons learnt through legislation, policy frameworks, strategic and spatial planning, and budget priority setting. </w:t>
            </w:r>
          </w:p>
          <w:p w:rsidR="008A1A18" w:rsidRDefault="008A1A18" w:rsidP="00E772FF">
            <w:pPr>
              <w:spacing w:after="0" w:line="240" w:lineRule="auto"/>
              <w:rPr>
                <w:rFonts w:ascii="Times New Roman" w:eastAsia="Times New Roman" w:hAnsi="Times New Roman"/>
                <w:noProof/>
              </w:rPr>
            </w:pPr>
          </w:p>
          <w:p w:rsidR="00E772FF" w:rsidRP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2.4.2 Sustainable Production and Consumption (SPC) agreements have been established and institutionalized for the RIMBA Corridor for the Industrial Forest Plantation and Mining sectors.</w:t>
            </w:r>
          </w:p>
          <w:p w:rsidR="008A1A18" w:rsidRDefault="008A1A18" w:rsidP="00E772FF">
            <w:pPr>
              <w:spacing w:after="0" w:line="240" w:lineRule="auto"/>
              <w:rPr>
                <w:rFonts w:ascii="Times New Roman" w:eastAsia="Times New Roman" w:hAnsi="Times New Roman"/>
                <w:noProof/>
              </w:rPr>
            </w:pPr>
          </w:p>
          <w:p w:rsidR="00E772FF" w:rsidRDefault="00E772FF" w:rsidP="00E772FF">
            <w:pPr>
              <w:spacing w:after="0" w:line="240" w:lineRule="auto"/>
              <w:rPr>
                <w:rFonts w:ascii="Times New Roman" w:eastAsia="Times New Roman" w:hAnsi="Times New Roman"/>
                <w:noProof/>
              </w:rPr>
            </w:pPr>
            <w:r w:rsidRPr="00E772FF">
              <w:rPr>
                <w:rFonts w:ascii="Times New Roman" w:eastAsia="Times New Roman" w:hAnsi="Times New Roman"/>
                <w:noProof/>
              </w:rPr>
              <w:t>2.4.3 The values of natural capital and a green economy have been understood in civil society and mechanisms have been entrenched through which this understanding is being perpetuated</w:t>
            </w:r>
          </w:p>
          <w:p w:rsidR="00591870" w:rsidRPr="00E034C6" w:rsidRDefault="00985A96" w:rsidP="00E772FF">
            <w:pPr>
              <w:spacing w:after="0" w:line="240" w:lineRule="auto"/>
              <w:rPr>
                <w:rFonts w:ascii="Times New Roman" w:eastAsia="Times New Roman" w:hAnsi="Times New Roman"/>
              </w:rPr>
            </w:pPr>
            <w:r w:rsidRPr="00E034C6">
              <w:rPr>
                <w:rFonts w:ascii="Times New Roman" w:eastAsia="Times New Roman" w:hAnsi="Times New Roman"/>
              </w:rPr>
              <w:fldChar w:fldCharType="end"/>
            </w:r>
            <w:bookmarkEnd w:id="34"/>
          </w:p>
        </w:tc>
        <w:tc>
          <w:tcPr>
            <w:tcW w:w="417" w:type="pct"/>
            <w:shd w:val="clear" w:color="auto" w:fill="FFFFFF"/>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91870" w:rsidRPr="00E034C6">
              <w:rPr>
                <w:rFonts w:ascii="Times New Roman" w:eastAsia="Times New Roman" w:hAnsi="Times New Roman"/>
                <w:bCs/>
                <w:smallCaps/>
                <w:sz w:val="20"/>
                <w:szCs w:val="20"/>
              </w:rPr>
              <w:instrText xml:space="preserve"> FORMDROPDOWN </w:instrText>
            </w:r>
            <w:r w:rsidR="00854B34">
              <w:rPr>
                <w:rFonts w:ascii="Times New Roman" w:eastAsia="Times New Roman" w:hAnsi="Times New Roman"/>
                <w:bCs/>
                <w:smallCaps/>
                <w:sz w:val="20"/>
                <w:szCs w:val="20"/>
              </w:rPr>
            </w:r>
            <w:r w:rsidR="00854B34">
              <w:rPr>
                <w:rFonts w:ascii="Times New Roman" w:eastAsia="Times New Roman" w:hAnsi="Times New Roman"/>
                <w:bCs/>
                <w:smallCaps/>
                <w:sz w:val="20"/>
                <w:szCs w:val="20"/>
              </w:rPr>
              <w:fldChar w:fldCharType="separate"/>
            </w:r>
            <w:r w:rsidRPr="00E034C6">
              <w:rPr>
                <w:rFonts w:ascii="Times New Roman" w:eastAsia="Times New Roman" w:hAnsi="Times New Roman"/>
                <w:bCs/>
                <w:smallCaps/>
                <w:sz w:val="20"/>
                <w:szCs w:val="20"/>
              </w:rPr>
              <w:fldChar w:fldCharType="end"/>
            </w:r>
          </w:p>
        </w:tc>
        <w:tc>
          <w:tcPr>
            <w:tcW w:w="524" w:type="pct"/>
            <w:shd w:val="clear" w:color="auto" w:fill="FFFFFF"/>
          </w:tcPr>
          <w:p w:rsidR="00591870" w:rsidRPr="00E034C6" w:rsidRDefault="00BF20E1" w:rsidP="00B1702D">
            <w:pPr>
              <w:spacing w:after="0" w:line="240" w:lineRule="auto"/>
              <w:jc w:val="right"/>
              <w:rPr>
                <w:rFonts w:ascii="Times New Roman" w:eastAsia="Times New Roman" w:hAnsi="Times New Roman"/>
              </w:rPr>
            </w:pPr>
            <w:bookmarkStart w:id="35" w:name="B_GA_02"/>
            <w:r>
              <w:rPr>
                <w:rFonts w:ascii="Times New Roman" w:eastAsia="Times New Roman" w:hAnsi="Times New Roman"/>
              </w:rPr>
              <w:t>5,</w:t>
            </w:r>
            <w:r w:rsidR="00B1702D">
              <w:rPr>
                <w:rFonts w:ascii="Times New Roman" w:eastAsia="Times New Roman" w:hAnsi="Times New Roman"/>
              </w:rPr>
              <w:t>659,740</w:t>
            </w:r>
            <w:bookmarkEnd w:id="35"/>
          </w:p>
        </w:tc>
        <w:tc>
          <w:tcPr>
            <w:tcW w:w="560" w:type="pct"/>
            <w:shd w:val="clear" w:color="auto" w:fill="FFFFFF"/>
          </w:tcPr>
          <w:p w:rsidR="00591870" w:rsidRPr="00E034C6" w:rsidRDefault="00C64AED" w:rsidP="00281B92">
            <w:pPr>
              <w:spacing w:after="0" w:line="240" w:lineRule="auto"/>
              <w:jc w:val="right"/>
              <w:rPr>
                <w:rFonts w:ascii="Times New Roman" w:eastAsia="Times New Roman" w:hAnsi="Times New Roman"/>
              </w:rPr>
            </w:pPr>
            <w:r>
              <w:rPr>
                <w:rFonts w:ascii="Times New Roman" w:eastAsia="Times New Roman" w:hAnsi="Times New Roman"/>
              </w:rPr>
              <w:t>2</w:t>
            </w:r>
            <w:r w:rsidR="00281B92">
              <w:rPr>
                <w:rFonts w:ascii="Times New Roman" w:eastAsia="Times New Roman" w:hAnsi="Times New Roman"/>
              </w:rPr>
              <w:t>2,618,111</w:t>
            </w:r>
          </w:p>
        </w:tc>
      </w:tr>
      <w:bookmarkStart w:id="36" w:name="projComp_03"/>
      <w:tr w:rsidR="00591870" w:rsidRPr="00E034C6" w:rsidTr="000B17F0">
        <w:trPr>
          <w:jc w:val="center"/>
        </w:trPr>
        <w:tc>
          <w:tcPr>
            <w:tcW w:w="993" w:type="pct"/>
            <w:tcBorders>
              <w:bottom w:val="single" w:sz="4" w:space="0" w:color="auto"/>
            </w:tcBorders>
            <w:shd w:val="clear" w:color="auto" w:fill="FFFFFF"/>
          </w:tcPr>
          <w:p w:rsidR="00591870" w:rsidRPr="0027526C" w:rsidRDefault="00985A96" w:rsidP="004F4C97">
            <w:pPr>
              <w:spacing w:after="0" w:line="240" w:lineRule="auto"/>
              <w:rPr>
                <w:rFonts w:ascii="Times New Roman" w:eastAsia="Times New Roman" w:hAnsi="Times New Roman"/>
                <w:lang w:val="id-ID"/>
              </w:rPr>
            </w:pPr>
            <w:r w:rsidRPr="00E034C6">
              <w:rPr>
                <w:rFonts w:ascii="Times New Roman" w:eastAsia="Times New Roman" w:hAnsi="Times New Roman"/>
              </w:rPr>
              <w:fldChar w:fldCharType="begin">
                <w:ffData>
                  <w:name w:val="projComp_03"/>
                  <w:enabled/>
                  <w:calcOnExi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8A78F3" w:rsidRPr="008A78F3">
              <w:rPr>
                <w:rFonts w:ascii="Times New Roman" w:eastAsia="Times New Roman" w:hAnsi="Times New Roman"/>
                <w:noProof/>
              </w:rPr>
              <w:t>3. Monitoring, evaluation and dissemination of Green Economy practices in the RIMBA Corridor</w:t>
            </w:r>
            <w:r w:rsidRPr="00E034C6">
              <w:rPr>
                <w:rFonts w:ascii="Times New Roman" w:eastAsia="Times New Roman" w:hAnsi="Times New Roman"/>
              </w:rPr>
              <w:fldChar w:fldCharType="end"/>
            </w:r>
            <w:bookmarkEnd w:id="36"/>
            <w:r w:rsidR="0027526C">
              <w:rPr>
                <w:rFonts w:ascii="Times New Roman" w:eastAsia="Times New Roman" w:hAnsi="Times New Roman"/>
                <w:lang w:val="id-ID"/>
              </w:rPr>
              <w:t xml:space="preserve"> and sharing of lessons learnt</w:t>
            </w:r>
          </w:p>
        </w:tc>
        <w:bookmarkStart w:id="37" w:name="GrantType_03"/>
        <w:tc>
          <w:tcPr>
            <w:tcW w:w="425" w:type="pct"/>
            <w:shd w:val="clear" w:color="auto" w:fill="FFFFFF"/>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GrantType_03"/>
                  <w:enabled/>
                  <w:calcOnExit w:val="0"/>
                  <w:ddList>
                    <w:result w:val="1"/>
                    <w:listEntry w:val="(select)"/>
                    <w:listEntry w:val="TA"/>
                    <w:listEntry w:val="Inv"/>
                  </w:ddList>
                </w:ffData>
              </w:fldChar>
            </w:r>
            <w:r w:rsidR="00591870" w:rsidRPr="00E034C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37"/>
          </w:p>
        </w:tc>
        <w:bookmarkStart w:id="38" w:name="ExpectedOutCome_03"/>
        <w:tc>
          <w:tcPr>
            <w:tcW w:w="999" w:type="pct"/>
            <w:shd w:val="clear" w:color="auto" w:fill="FFFFFF"/>
          </w:tcPr>
          <w:p w:rsidR="00EF51E2" w:rsidRPr="00E034C6" w:rsidRDefault="00985A96" w:rsidP="00E4291E">
            <w:pPr>
              <w:spacing w:after="0" w:line="240" w:lineRule="auto"/>
              <w:rPr>
                <w:rFonts w:ascii="Times New Roman" w:eastAsia="Times New Roman" w:hAnsi="Times New Roman"/>
                <w:noProof/>
              </w:rPr>
            </w:pPr>
            <w:r w:rsidRPr="00E034C6">
              <w:rPr>
                <w:rFonts w:ascii="Times New Roman" w:eastAsia="Times New Roman" w:hAnsi="Times New Roman"/>
              </w:rPr>
              <w:fldChar w:fldCharType="begin">
                <w:ffData>
                  <w:name w:val="ExpectedOutCome_03"/>
                  <w:enabled/>
                  <w:calcOnExi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8A78F3" w:rsidRPr="008A78F3">
              <w:rPr>
                <w:rFonts w:ascii="Times New Roman" w:eastAsia="Times New Roman" w:hAnsi="Times New Roman"/>
                <w:noProof/>
              </w:rPr>
              <w:t>3.1 Effective project impact monitoring and reporting system used by partners for adaptive management and GE compliance monitoring.</w:t>
            </w:r>
            <w:r w:rsidR="00EF51E2" w:rsidRPr="00E034C6">
              <w:rPr>
                <w:rFonts w:ascii="Times New Roman" w:eastAsia="Times New Roman" w:hAnsi="Times New Roman"/>
                <w:noProof/>
              </w:rPr>
              <w:t xml:space="preserve"> </w:t>
            </w: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1A18" w:rsidRDefault="008A1A18"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8A78F3" w:rsidRDefault="008A78F3" w:rsidP="005D5575">
            <w:pPr>
              <w:spacing w:after="0" w:line="240" w:lineRule="auto"/>
              <w:rPr>
                <w:rFonts w:ascii="Times New Roman" w:eastAsia="Times New Roman" w:hAnsi="Times New Roman"/>
                <w:noProof/>
              </w:rPr>
            </w:pPr>
          </w:p>
          <w:p w:rsidR="00EF51E2" w:rsidRPr="00E034C6" w:rsidRDefault="008A78F3" w:rsidP="005D5575">
            <w:pPr>
              <w:spacing w:after="0" w:line="240" w:lineRule="auto"/>
              <w:rPr>
                <w:rFonts w:ascii="Times New Roman" w:eastAsia="Times New Roman" w:hAnsi="Times New Roman"/>
                <w:noProof/>
              </w:rPr>
            </w:pPr>
            <w:r w:rsidRPr="008A78F3">
              <w:rPr>
                <w:rFonts w:ascii="Times New Roman" w:eastAsia="Times New Roman" w:hAnsi="Times New Roman"/>
                <w:noProof/>
              </w:rPr>
              <w:t>3.2 Lessons in Green Economy and sustainable development from the RIMBA Corridor Project are disseminated widely and embodied in an international GE best practice knowledge management system</w:t>
            </w:r>
            <w:r>
              <w:rPr>
                <w:rFonts w:ascii="Times New Roman" w:eastAsia="Times New Roman" w:hAnsi="Times New Roman"/>
                <w:noProof/>
              </w:rPr>
              <w:t>.</w:t>
            </w:r>
            <w:r w:rsidR="00EF51E2" w:rsidRPr="00E034C6">
              <w:rPr>
                <w:rFonts w:ascii="Times New Roman" w:eastAsia="Times New Roman" w:hAnsi="Times New Roman"/>
                <w:noProof/>
              </w:rPr>
              <w:t xml:space="preserve"> </w:t>
            </w:r>
          </w:p>
          <w:p w:rsidR="00EF51E2" w:rsidRPr="00E034C6" w:rsidRDefault="00EF51E2" w:rsidP="005D5575">
            <w:pPr>
              <w:spacing w:after="0" w:line="240" w:lineRule="auto"/>
              <w:rPr>
                <w:rFonts w:ascii="Times New Roman" w:eastAsia="Times New Roman" w:hAnsi="Times New Roman"/>
                <w:noProof/>
              </w:rPr>
            </w:pPr>
          </w:p>
          <w:p w:rsidR="00591870" w:rsidRPr="00E034C6" w:rsidRDefault="00985A96" w:rsidP="005D5575">
            <w:pPr>
              <w:spacing w:after="0" w:line="240" w:lineRule="auto"/>
              <w:rPr>
                <w:rFonts w:ascii="Times New Roman" w:eastAsia="Times New Roman" w:hAnsi="Times New Roman"/>
              </w:rPr>
            </w:pPr>
            <w:r w:rsidRPr="00E034C6">
              <w:rPr>
                <w:rFonts w:ascii="Times New Roman" w:eastAsia="Times New Roman" w:hAnsi="Times New Roman"/>
              </w:rPr>
              <w:fldChar w:fldCharType="end"/>
            </w:r>
            <w:bookmarkEnd w:id="38"/>
          </w:p>
        </w:tc>
        <w:bookmarkStart w:id="39" w:name="ExpectedOutput_03"/>
        <w:tc>
          <w:tcPr>
            <w:tcW w:w="1082" w:type="pct"/>
            <w:shd w:val="clear" w:color="auto" w:fill="FFFFFF"/>
          </w:tcPr>
          <w:p w:rsidR="008A78F3" w:rsidRPr="008A78F3" w:rsidRDefault="00985A96" w:rsidP="008A78F3">
            <w:pPr>
              <w:spacing w:after="0" w:line="240" w:lineRule="auto"/>
              <w:rPr>
                <w:rFonts w:ascii="Times New Roman" w:eastAsia="Times New Roman" w:hAnsi="Times New Roman"/>
                <w:noProof/>
              </w:rPr>
            </w:pPr>
            <w:r w:rsidRPr="00E034C6">
              <w:rPr>
                <w:rFonts w:ascii="Times New Roman" w:eastAsia="Times New Roman" w:hAnsi="Times New Roman"/>
              </w:rPr>
              <w:fldChar w:fldCharType="begin">
                <w:ffData>
                  <w:name w:val="ExpectedOutput_03"/>
                  <w:enabled/>
                  <w:calcOnExi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8A78F3" w:rsidRPr="008A78F3">
              <w:rPr>
                <w:rFonts w:ascii="Times New Roman" w:eastAsia="Times New Roman" w:hAnsi="Times New Roman"/>
                <w:noProof/>
              </w:rPr>
              <w:t xml:space="preserve">3.1.1 </w:t>
            </w:r>
            <w:r w:rsidR="007C70BD">
              <w:rPr>
                <w:rFonts w:ascii="Times New Roman" w:eastAsia="Times New Roman" w:hAnsi="Times New Roman"/>
              </w:rPr>
              <w:t>T</w:t>
            </w:r>
            <w:r w:rsidR="007C70BD" w:rsidRPr="00C401C6">
              <w:rPr>
                <w:rFonts w:ascii="Times New Roman" w:eastAsia="Times New Roman" w:hAnsi="Times New Roman"/>
              </w:rPr>
              <w:t xml:space="preserve">he RIMBA Secretariat monitoring facility </w:t>
            </w:r>
            <w:r w:rsidR="007C70BD">
              <w:rPr>
                <w:rFonts w:ascii="Times New Roman" w:eastAsia="Times New Roman" w:hAnsi="Times New Roman"/>
              </w:rPr>
              <w:t>is operational</w:t>
            </w:r>
            <w:r w:rsidR="007C70BD" w:rsidRPr="00C401C6">
              <w:rPr>
                <w:rFonts w:ascii="Times New Roman" w:eastAsia="Times New Roman" w:hAnsi="Times New Roman"/>
              </w:rPr>
              <w:t xml:space="preserve"> </w:t>
            </w:r>
            <w:r w:rsidR="007C70BD">
              <w:rPr>
                <w:rFonts w:ascii="Times New Roman" w:eastAsia="Times New Roman" w:hAnsi="Times New Roman"/>
              </w:rPr>
              <w:t xml:space="preserve">and </w:t>
            </w:r>
            <w:r w:rsidR="007C70BD" w:rsidRPr="00C401C6">
              <w:rPr>
                <w:rFonts w:ascii="Times New Roman" w:eastAsia="Times New Roman" w:hAnsi="Times New Roman"/>
              </w:rPr>
              <w:t xml:space="preserve">working with all key Government and Non-Government stakeholders to monitor and report compliance with agreed </w:t>
            </w:r>
            <w:r w:rsidR="007C70BD">
              <w:rPr>
                <w:rFonts w:ascii="Times New Roman" w:eastAsia="Times New Roman" w:hAnsi="Times New Roman"/>
              </w:rPr>
              <w:t xml:space="preserve">RIMBA GE Roadmap, Cluster </w:t>
            </w:r>
            <w:r w:rsidR="007C70BD" w:rsidRPr="00C401C6">
              <w:rPr>
                <w:rFonts w:ascii="Times New Roman" w:eastAsia="Times New Roman" w:hAnsi="Times New Roman"/>
              </w:rPr>
              <w:t>development scenarios, spatial plans and economic development decrees</w:t>
            </w:r>
            <w:r w:rsidR="007C70BD">
              <w:rPr>
                <w:rFonts w:ascii="Times New Roman" w:eastAsia="Times New Roman" w:hAnsi="Times New Roman"/>
              </w:rPr>
              <w:t>.</w:t>
            </w:r>
            <w:r w:rsidR="008A78F3" w:rsidRPr="008A78F3">
              <w:rPr>
                <w:rFonts w:ascii="Times New Roman" w:eastAsia="Times New Roman" w:hAnsi="Times New Roman"/>
                <w:noProof/>
              </w:rPr>
              <w:t xml:space="preserve">  </w:t>
            </w:r>
          </w:p>
          <w:p w:rsidR="008A1A18" w:rsidRDefault="008A1A18" w:rsidP="008A78F3">
            <w:pPr>
              <w:spacing w:after="0" w:line="240" w:lineRule="auto"/>
              <w:rPr>
                <w:rFonts w:ascii="Times New Roman" w:eastAsia="Times New Roman" w:hAnsi="Times New Roman"/>
                <w:noProof/>
              </w:rPr>
            </w:pPr>
          </w:p>
          <w:p w:rsidR="00E4291E" w:rsidRPr="00E034C6" w:rsidRDefault="008A78F3" w:rsidP="008A78F3">
            <w:pPr>
              <w:spacing w:after="0" w:line="240" w:lineRule="auto"/>
              <w:rPr>
                <w:rFonts w:ascii="Times New Roman" w:eastAsia="Times New Roman" w:hAnsi="Times New Roman"/>
                <w:noProof/>
              </w:rPr>
            </w:pPr>
            <w:r w:rsidRPr="008A78F3">
              <w:rPr>
                <w:rFonts w:ascii="Times New Roman" w:eastAsia="Times New Roman" w:hAnsi="Times New Roman"/>
                <w:noProof/>
              </w:rPr>
              <w:t>3.1.2 M&amp;E system</w:t>
            </w:r>
            <w:r w:rsidR="007C70BD">
              <w:rPr>
                <w:rFonts w:ascii="Times New Roman" w:eastAsia="Times New Roman" w:hAnsi="Times New Roman"/>
                <w:noProof/>
                <w:lang w:val="id-ID"/>
              </w:rPr>
              <w:t xml:space="preserve"> to</w:t>
            </w:r>
            <w:r w:rsidRPr="008A78F3">
              <w:rPr>
                <w:rFonts w:ascii="Times New Roman" w:eastAsia="Times New Roman" w:hAnsi="Times New Roman"/>
                <w:noProof/>
              </w:rPr>
              <w:t xml:space="preserve"> tracks and reports project performance and impact.</w:t>
            </w:r>
            <w:r w:rsidR="00E4291E" w:rsidRPr="00E034C6">
              <w:rPr>
                <w:rFonts w:ascii="Times New Roman" w:eastAsia="Times New Roman" w:hAnsi="Times New Roman"/>
                <w:noProof/>
              </w:rPr>
              <w:t xml:space="preserve"> </w:t>
            </w:r>
          </w:p>
          <w:p w:rsidR="008A78F3" w:rsidRDefault="008A78F3" w:rsidP="00E4291E">
            <w:pPr>
              <w:spacing w:after="0" w:line="240" w:lineRule="auto"/>
              <w:rPr>
                <w:rFonts w:ascii="Times New Roman" w:eastAsia="Times New Roman" w:hAnsi="Times New Roman"/>
                <w:noProof/>
              </w:rPr>
            </w:pPr>
          </w:p>
          <w:p w:rsidR="008A78F3" w:rsidRPr="008A78F3" w:rsidRDefault="008A78F3" w:rsidP="008A78F3">
            <w:pPr>
              <w:spacing w:after="0" w:line="240" w:lineRule="auto"/>
              <w:rPr>
                <w:rFonts w:ascii="Times New Roman" w:eastAsia="Times New Roman" w:hAnsi="Times New Roman"/>
                <w:noProof/>
              </w:rPr>
            </w:pPr>
            <w:r w:rsidRPr="008A78F3">
              <w:rPr>
                <w:rFonts w:ascii="Times New Roman" w:eastAsia="Times New Roman" w:hAnsi="Times New Roman"/>
                <w:noProof/>
              </w:rPr>
              <w:t xml:space="preserve">3.2.1 Best practices in relation to the sustainable use of forests and targeted ecosystem services - water, carbon and biodiversity have been evaluated, in collaboration with government and non-government partners, in relation to their incorporation into Green Economy practices. </w:t>
            </w:r>
          </w:p>
          <w:p w:rsidR="008A1A18" w:rsidRDefault="008A1A18" w:rsidP="008A78F3">
            <w:pPr>
              <w:spacing w:after="0" w:line="240" w:lineRule="auto"/>
              <w:rPr>
                <w:rFonts w:ascii="Times New Roman" w:eastAsia="Times New Roman" w:hAnsi="Times New Roman"/>
                <w:noProof/>
              </w:rPr>
            </w:pPr>
          </w:p>
          <w:p w:rsidR="008A78F3" w:rsidRPr="008A78F3" w:rsidRDefault="008A78F3" w:rsidP="008A78F3">
            <w:pPr>
              <w:spacing w:after="0" w:line="240" w:lineRule="auto"/>
              <w:rPr>
                <w:rFonts w:ascii="Times New Roman" w:eastAsia="Times New Roman" w:hAnsi="Times New Roman"/>
                <w:noProof/>
              </w:rPr>
            </w:pPr>
            <w:r w:rsidRPr="008A78F3">
              <w:rPr>
                <w:rFonts w:ascii="Times New Roman" w:eastAsia="Times New Roman" w:hAnsi="Times New Roman"/>
                <w:noProof/>
              </w:rPr>
              <w:t xml:space="preserve">3.2.2 A national GE Knowledge Management Information System (KMIS) managed by the monitoring facility within the RIMBA management authority in collaboration with BAPPENAS, the Ministry of Finance and Ministry of Environment and Forestry distributes interactively GE best practice information nationally and internationally. </w:t>
            </w:r>
          </w:p>
          <w:p w:rsidR="008A1A18" w:rsidRDefault="008A1A18" w:rsidP="008A78F3">
            <w:pPr>
              <w:spacing w:after="0" w:line="240" w:lineRule="auto"/>
              <w:rPr>
                <w:rFonts w:ascii="Times New Roman" w:eastAsia="Times New Roman" w:hAnsi="Times New Roman"/>
                <w:noProof/>
              </w:rPr>
            </w:pPr>
          </w:p>
          <w:p w:rsidR="00591870" w:rsidRPr="00E034C6" w:rsidRDefault="008A78F3" w:rsidP="008A78F3">
            <w:pPr>
              <w:spacing w:after="0" w:line="240" w:lineRule="auto"/>
              <w:rPr>
                <w:rFonts w:ascii="Times New Roman" w:eastAsia="Times New Roman" w:hAnsi="Times New Roman"/>
              </w:rPr>
            </w:pPr>
            <w:r w:rsidRPr="008A78F3">
              <w:rPr>
                <w:rFonts w:ascii="Times New Roman" w:eastAsia="Times New Roman" w:hAnsi="Times New Roman"/>
                <w:noProof/>
              </w:rPr>
              <w:t>3.2.3 The RIMBA management agency has facilitated at least 4 national and international professional publications, 50 outreach and best practice products, as well as made active monthly contributions to national social-media platforms annually (including seminars and conference papers).</w:t>
            </w:r>
            <w:r w:rsidR="00985A96" w:rsidRPr="00E034C6">
              <w:rPr>
                <w:rFonts w:ascii="Times New Roman" w:eastAsia="Times New Roman" w:hAnsi="Times New Roman"/>
              </w:rPr>
              <w:fldChar w:fldCharType="end"/>
            </w:r>
            <w:bookmarkEnd w:id="39"/>
          </w:p>
        </w:tc>
        <w:tc>
          <w:tcPr>
            <w:tcW w:w="417" w:type="pct"/>
            <w:tcBorders>
              <w:bottom w:val="single" w:sz="4" w:space="0" w:color="auto"/>
            </w:tcBorders>
            <w:shd w:val="clear" w:color="auto" w:fill="FFFFFF"/>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91870" w:rsidRPr="00E034C6">
              <w:rPr>
                <w:rFonts w:ascii="Times New Roman" w:eastAsia="Times New Roman" w:hAnsi="Times New Roman"/>
                <w:bCs/>
                <w:smallCaps/>
                <w:sz w:val="20"/>
                <w:szCs w:val="20"/>
              </w:rPr>
              <w:instrText xml:space="preserve"> FORMDROPDOWN </w:instrText>
            </w:r>
            <w:r w:rsidR="00854B34">
              <w:rPr>
                <w:rFonts w:ascii="Times New Roman" w:eastAsia="Times New Roman" w:hAnsi="Times New Roman"/>
                <w:bCs/>
                <w:smallCaps/>
                <w:sz w:val="20"/>
                <w:szCs w:val="20"/>
              </w:rPr>
            </w:r>
            <w:r w:rsidR="00854B34">
              <w:rPr>
                <w:rFonts w:ascii="Times New Roman" w:eastAsia="Times New Roman" w:hAnsi="Times New Roman"/>
                <w:bCs/>
                <w:smallCaps/>
                <w:sz w:val="20"/>
                <w:szCs w:val="20"/>
              </w:rPr>
              <w:fldChar w:fldCharType="separate"/>
            </w:r>
            <w:r w:rsidRPr="00E034C6">
              <w:rPr>
                <w:rFonts w:ascii="Times New Roman" w:eastAsia="Times New Roman" w:hAnsi="Times New Roman"/>
                <w:bCs/>
                <w:smallCaps/>
                <w:sz w:val="20"/>
                <w:szCs w:val="20"/>
              </w:rPr>
              <w:fldChar w:fldCharType="end"/>
            </w:r>
          </w:p>
        </w:tc>
        <w:tc>
          <w:tcPr>
            <w:tcW w:w="524" w:type="pct"/>
            <w:tcBorders>
              <w:bottom w:val="single" w:sz="4" w:space="0" w:color="auto"/>
            </w:tcBorders>
            <w:shd w:val="clear" w:color="auto" w:fill="FFFFFF"/>
          </w:tcPr>
          <w:p w:rsidR="00591870" w:rsidRPr="00E034C6" w:rsidRDefault="00BF20E1" w:rsidP="00B1702D">
            <w:pPr>
              <w:spacing w:after="0" w:line="240" w:lineRule="auto"/>
              <w:jc w:val="right"/>
              <w:rPr>
                <w:rFonts w:ascii="Times New Roman" w:eastAsia="Times New Roman" w:hAnsi="Times New Roman"/>
              </w:rPr>
            </w:pPr>
            <w:bookmarkStart w:id="40" w:name="B_GA_03"/>
            <w:r>
              <w:rPr>
                <w:rFonts w:ascii="Times New Roman" w:eastAsia="Times New Roman" w:hAnsi="Times New Roman"/>
              </w:rPr>
              <w:t>1,</w:t>
            </w:r>
            <w:r w:rsidR="00B1702D">
              <w:rPr>
                <w:rFonts w:ascii="Times New Roman" w:eastAsia="Times New Roman" w:hAnsi="Times New Roman"/>
              </w:rPr>
              <w:t>165,235</w:t>
            </w:r>
            <w:bookmarkEnd w:id="40"/>
          </w:p>
        </w:tc>
        <w:tc>
          <w:tcPr>
            <w:tcW w:w="560" w:type="pct"/>
            <w:tcBorders>
              <w:bottom w:val="single" w:sz="4" w:space="0" w:color="auto"/>
            </w:tcBorders>
            <w:shd w:val="clear" w:color="auto" w:fill="FFFFFF"/>
          </w:tcPr>
          <w:p w:rsidR="00591870" w:rsidRPr="00E034C6" w:rsidRDefault="00C64AED" w:rsidP="00C52662">
            <w:pPr>
              <w:spacing w:after="0" w:line="240" w:lineRule="auto"/>
              <w:jc w:val="right"/>
              <w:rPr>
                <w:rFonts w:ascii="Times New Roman" w:eastAsia="Times New Roman" w:hAnsi="Times New Roman"/>
              </w:rPr>
            </w:pPr>
            <w:r>
              <w:rPr>
                <w:rFonts w:ascii="Times New Roman" w:eastAsia="Times New Roman" w:hAnsi="Times New Roman"/>
              </w:rPr>
              <w:t>3,028,270</w:t>
            </w:r>
          </w:p>
        </w:tc>
      </w:tr>
      <w:tr w:rsidR="00591870" w:rsidRPr="00E034C6" w:rsidTr="000B17F0">
        <w:trPr>
          <w:jc w:val="center"/>
        </w:trPr>
        <w:tc>
          <w:tcPr>
            <w:tcW w:w="3499" w:type="pct"/>
            <w:gridSpan w:val="4"/>
            <w:tcBorders>
              <w:bottom w:val="single" w:sz="4" w:space="0" w:color="auto"/>
            </w:tcBorders>
            <w:shd w:val="clear" w:color="auto" w:fill="FFFFFF"/>
          </w:tcPr>
          <w:p w:rsidR="00591870" w:rsidRPr="00E034C6" w:rsidRDefault="00591870" w:rsidP="00591870">
            <w:pPr>
              <w:spacing w:after="0" w:line="240" w:lineRule="auto"/>
              <w:jc w:val="right"/>
              <w:rPr>
                <w:rFonts w:ascii="Times New Roman" w:eastAsia="Times New Roman" w:hAnsi="Times New Roman"/>
                <w:sz w:val="20"/>
                <w:szCs w:val="20"/>
              </w:rPr>
            </w:pPr>
            <w:r w:rsidRPr="00E034C6">
              <w:rPr>
                <w:rFonts w:ascii="Times New Roman" w:eastAsia="Times New Roman" w:hAnsi="Times New Roman"/>
                <w:sz w:val="20"/>
                <w:szCs w:val="20"/>
              </w:rPr>
              <w:t>Subtotal</w:t>
            </w:r>
          </w:p>
        </w:tc>
        <w:tc>
          <w:tcPr>
            <w:tcW w:w="417" w:type="pct"/>
            <w:tcBorders>
              <w:bottom w:val="single" w:sz="4" w:space="0" w:color="auto"/>
            </w:tcBorders>
            <w:shd w:val="clear" w:color="auto" w:fill="FFFFFF"/>
          </w:tcPr>
          <w:p w:rsidR="00591870" w:rsidRPr="00E034C6" w:rsidRDefault="00591870" w:rsidP="00591870">
            <w:pPr>
              <w:spacing w:after="0" w:line="240" w:lineRule="auto"/>
              <w:jc w:val="right"/>
              <w:rPr>
                <w:rFonts w:ascii="Times New Roman" w:eastAsia="Times New Roman" w:hAnsi="Times New Roman"/>
              </w:rPr>
            </w:pPr>
          </w:p>
        </w:tc>
        <w:tc>
          <w:tcPr>
            <w:tcW w:w="524" w:type="pct"/>
            <w:tcBorders>
              <w:bottom w:val="single" w:sz="4" w:space="0" w:color="auto"/>
            </w:tcBorders>
            <w:shd w:val="clear" w:color="auto" w:fill="FFFFFF"/>
          </w:tcPr>
          <w:p w:rsidR="00591870" w:rsidRPr="00E034C6" w:rsidRDefault="00985A96"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SUBTOT_B_GA"/>
                  <w:enabled/>
                  <w:calcOnExit/>
                  <w:textInput>
                    <w:type w:val="number"/>
                    <w:default w:val="8,773,733"/>
                    <w:format w:val="#,##0"/>
                  </w:textInput>
                </w:ffData>
              </w:fldChar>
            </w:r>
            <w:bookmarkStart w:id="41" w:name="SUBTOT_B_GA"/>
            <w:r w:rsidR="005D6CCB">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D6CCB">
              <w:rPr>
                <w:rFonts w:ascii="Times New Roman" w:eastAsia="Times New Roman" w:hAnsi="Times New Roman"/>
                <w:noProof/>
              </w:rPr>
              <w:t>8,773,733</w:t>
            </w:r>
            <w:r>
              <w:rPr>
                <w:rFonts w:ascii="Times New Roman" w:eastAsia="Times New Roman" w:hAnsi="Times New Roman"/>
              </w:rPr>
              <w:fldChar w:fldCharType="end"/>
            </w:r>
            <w:bookmarkEnd w:id="41"/>
          </w:p>
        </w:tc>
        <w:tc>
          <w:tcPr>
            <w:tcW w:w="560" w:type="pct"/>
            <w:tcBorders>
              <w:bottom w:val="single" w:sz="4" w:space="0" w:color="auto"/>
            </w:tcBorders>
            <w:shd w:val="clear" w:color="auto" w:fill="FFFFFF"/>
          </w:tcPr>
          <w:p w:rsidR="00591870" w:rsidRPr="00E034C6" w:rsidRDefault="00C64AED" w:rsidP="00281B92">
            <w:pPr>
              <w:spacing w:after="0" w:line="240" w:lineRule="auto"/>
              <w:jc w:val="right"/>
              <w:rPr>
                <w:rFonts w:ascii="Times New Roman" w:eastAsia="Times New Roman" w:hAnsi="Times New Roman"/>
              </w:rPr>
            </w:pPr>
            <w:r>
              <w:rPr>
                <w:rFonts w:ascii="Times New Roman" w:eastAsia="Times New Roman" w:hAnsi="Times New Roman"/>
              </w:rPr>
              <w:t>3</w:t>
            </w:r>
            <w:r w:rsidR="00281B92">
              <w:rPr>
                <w:rFonts w:ascii="Times New Roman" w:eastAsia="Times New Roman" w:hAnsi="Times New Roman"/>
              </w:rPr>
              <w:t>8,829,681</w:t>
            </w:r>
          </w:p>
        </w:tc>
      </w:tr>
      <w:tr w:rsidR="00591870" w:rsidRPr="00E034C6" w:rsidTr="000B17F0">
        <w:trPr>
          <w:jc w:val="center"/>
        </w:trPr>
        <w:tc>
          <w:tcPr>
            <w:tcW w:w="3499" w:type="pct"/>
            <w:gridSpan w:val="4"/>
            <w:tcBorders>
              <w:top w:val="double" w:sz="4" w:space="0" w:color="auto"/>
              <w:left w:val="single" w:sz="4" w:space="0" w:color="auto"/>
              <w:bottom w:val="double" w:sz="4" w:space="0" w:color="auto"/>
              <w:right w:val="single" w:sz="4" w:space="0" w:color="auto"/>
            </w:tcBorders>
            <w:shd w:val="clear" w:color="auto" w:fill="FFFFFF"/>
          </w:tcPr>
          <w:p w:rsidR="00591870" w:rsidRPr="00E034C6" w:rsidRDefault="00591870" w:rsidP="00591870">
            <w:pPr>
              <w:spacing w:after="0" w:line="240" w:lineRule="auto"/>
              <w:jc w:val="right"/>
              <w:rPr>
                <w:rFonts w:ascii="Times New Roman" w:eastAsia="Times New Roman" w:hAnsi="Times New Roman"/>
                <w:sz w:val="20"/>
                <w:szCs w:val="20"/>
              </w:rPr>
            </w:pPr>
            <w:r w:rsidRPr="00E034C6">
              <w:rPr>
                <w:rFonts w:ascii="Times New Roman" w:eastAsia="Times New Roman" w:hAnsi="Times New Roman"/>
                <w:sz w:val="20"/>
                <w:szCs w:val="20"/>
              </w:rPr>
              <w:t>Project management Cost (PMC)</w:t>
            </w:r>
            <w:r w:rsidRPr="00E034C6">
              <w:rPr>
                <w:rFonts w:ascii="Times New Roman" w:eastAsia="Times New Roman" w:hAnsi="Times New Roman"/>
                <w:sz w:val="20"/>
                <w:szCs w:val="20"/>
                <w:vertAlign w:val="superscript"/>
              </w:rPr>
              <w:footnoteReference w:id="3"/>
            </w:r>
          </w:p>
        </w:tc>
        <w:tc>
          <w:tcPr>
            <w:tcW w:w="417" w:type="pct"/>
            <w:tcBorders>
              <w:top w:val="double" w:sz="4" w:space="0" w:color="auto"/>
              <w:left w:val="single" w:sz="4" w:space="0" w:color="auto"/>
              <w:bottom w:val="double" w:sz="4" w:space="0" w:color="auto"/>
              <w:right w:val="single" w:sz="4" w:space="0" w:color="auto"/>
            </w:tcBorders>
            <w:shd w:val="clear" w:color="auto" w:fill="FFFFFF"/>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91870" w:rsidRPr="00C00D54">
              <w:rPr>
                <w:rFonts w:ascii="Times New Roman" w:eastAsia="Times New Roman" w:hAnsi="Times New Roman"/>
                <w:bCs/>
                <w:smallCaps/>
                <w:sz w:val="20"/>
                <w:szCs w:val="20"/>
              </w:rPr>
              <w:instrText xml:space="preserve"> FORMDROPDOWN </w:instrText>
            </w:r>
            <w:r w:rsidR="00854B34">
              <w:rPr>
                <w:rFonts w:ascii="Times New Roman" w:eastAsia="Times New Roman" w:hAnsi="Times New Roman"/>
                <w:bCs/>
                <w:smallCaps/>
                <w:sz w:val="20"/>
                <w:szCs w:val="20"/>
              </w:rPr>
            </w:r>
            <w:r w:rsidR="00854B34">
              <w:rPr>
                <w:rFonts w:ascii="Times New Roman" w:eastAsia="Times New Roman" w:hAnsi="Times New Roman"/>
                <w:bCs/>
                <w:smallCaps/>
                <w:sz w:val="20"/>
                <w:szCs w:val="20"/>
              </w:rPr>
              <w:fldChar w:fldCharType="separate"/>
            </w:r>
            <w:r w:rsidRPr="00E034C6">
              <w:rPr>
                <w:rFonts w:ascii="Times New Roman" w:eastAsia="Times New Roman" w:hAnsi="Times New Roman"/>
                <w:bCs/>
                <w:smallCaps/>
                <w:sz w:val="20"/>
                <w:szCs w:val="20"/>
              </w:rPr>
              <w:fldChar w:fldCharType="end"/>
            </w:r>
          </w:p>
        </w:tc>
        <w:bookmarkStart w:id="42" w:name="B_ProjMgmt_GA"/>
        <w:tc>
          <w:tcPr>
            <w:tcW w:w="524" w:type="pct"/>
            <w:tcBorders>
              <w:top w:val="single" w:sz="4" w:space="0" w:color="auto"/>
              <w:bottom w:val="double" w:sz="4" w:space="0" w:color="auto"/>
              <w:right w:val="single" w:sz="4" w:space="0" w:color="auto"/>
            </w:tcBorders>
            <w:shd w:val="clear" w:color="auto" w:fill="FFFFFF"/>
          </w:tcPr>
          <w:p w:rsidR="00591870" w:rsidRPr="00E034C6" w:rsidRDefault="00985A96" w:rsidP="00C52662">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B_ProjMgmt_GA"/>
                  <w:enabled/>
                  <w:calcOnExit/>
                  <w:textInput>
                    <w:type w:val="number"/>
                    <w:format w:val="#,##0"/>
                  </w:textInput>
                </w:ffData>
              </w:fldChar>
            </w:r>
            <w:r w:rsidR="00591870" w:rsidRPr="00C00D54">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C52662">
              <w:rPr>
                <w:rFonts w:ascii="Times New Roman" w:eastAsia="Times New Roman" w:hAnsi="Times New Roman"/>
                <w:noProof/>
              </w:rPr>
              <w:t>658,030</w:t>
            </w:r>
            <w:r w:rsidRPr="00E034C6">
              <w:rPr>
                <w:rFonts w:ascii="Times New Roman" w:eastAsia="Times New Roman" w:hAnsi="Times New Roman"/>
              </w:rPr>
              <w:fldChar w:fldCharType="end"/>
            </w:r>
            <w:bookmarkEnd w:id="42"/>
          </w:p>
        </w:tc>
        <w:tc>
          <w:tcPr>
            <w:tcW w:w="560" w:type="pct"/>
            <w:tcBorders>
              <w:top w:val="single" w:sz="4" w:space="0" w:color="auto"/>
              <w:left w:val="single" w:sz="4" w:space="0" w:color="auto"/>
              <w:bottom w:val="double" w:sz="4" w:space="0" w:color="auto"/>
              <w:right w:val="single" w:sz="4" w:space="0" w:color="auto"/>
            </w:tcBorders>
            <w:shd w:val="clear" w:color="auto" w:fill="FFFFFF"/>
          </w:tcPr>
          <w:p w:rsidR="00591870" w:rsidRPr="00E034C6" w:rsidRDefault="002C30AC" w:rsidP="00C52662">
            <w:pPr>
              <w:spacing w:after="0" w:line="240" w:lineRule="auto"/>
              <w:jc w:val="right"/>
              <w:rPr>
                <w:rFonts w:ascii="Times New Roman" w:eastAsia="Times New Roman" w:hAnsi="Times New Roman"/>
              </w:rPr>
            </w:pPr>
            <w:r>
              <w:rPr>
                <w:rFonts w:ascii="Times New Roman" w:eastAsia="Times New Roman" w:hAnsi="Times New Roman"/>
              </w:rPr>
              <w:t>1,811,191</w:t>
            </w:r>
          </w:p>
        </w:tc>
      </w:tr>
      <w:tr w:rsidR="00591870" w:rsidRPr="00E034C6" w:rsidTr="000B17F0">
        <w:trPr>
          <w:jc w:val="center"/>
        </w:trPr>
        <w:tc>
          <w:tcPr>
            <w:tcW w:w="3499" w:type="pct"/>
            <w:gridSpan w:val="4"/>
            <w:tcBorders>
              <w:top w:val="double" w:sz="4" w:space="0" w:color="auto"/>
              <w:bottom w:val="double" w:sz="4" w:space="0" w:color="auto"/>
            </w:tcBorders>
            <w:shd w:val="clear" w:color="auto" w:fill="FFFFFF"/>
          </w:tcPr>
          <w:p w:rsidR="00591870" w:rsidRPr="00E034C6" w:rsidRDefault="00591870" w:rsidP="00591870">
            <w:pPr>
              <w:spacing w:after="0" w:line="240" w:lineRule="auto"/>
              <w:jc w:val="right"/>
              <w:rPr>
                <w:rFonts w:ascii="Times New Roman" w:eastAsia="Times New Roman" w:hAnsi="Times New Roman"/>
              </w:rPr>
            </w:pPr>
            <w:r w:rsidRPr="00E034C6">
              <w:rPr>
                <w:rFonts w:ascii="Times New Roman" w:eastAsia="Times New Roman" w:hAnsi="Times New Roman"/>
                <w:b/>
              </w:rPr>
              <w:t>Total project costs</w:t>
            </w:r>
          </w:p>
        </w:tc>
        <w:tc>
          <w:tcPr>
            <w:tcW w:w="417" w:type="pct"/>
            <w:tcBorders>
              <w:top w:val="double" w:sz="4" w:space="0" w:color="auto"/>
              <w:bottom w:val="double" w:sz="4" w:space="0" w:color="auto"/>
            </w:tcBorders>
            <w:shd w:val="clear" w:color="auto" w:fill="FFFFFF"/>
          </w:tcPr>
          <w:p w:rsidR="00591870" w:rsidRPr="00E034C6" w:rsidRDefault="00591870" w:rsidP="00591870">
            <w:pPr>
              <w:spacing w:after="0" w:line="240" w:lineRule="auto"/>
              <w:jc w:val="right"/>
              <w:rPr>
                <w:rFonts w:ascii="Times New Roman" w:eastAsia="Times New Roman" w:hAnsi="Times New Roman"/>
              </w:rPr>
            </w:pPr>
          </w:p>
        </w:tc>
        <w:tc>
          <w:tcPr>
            <w:tcW w:w="524" w:type="pct"/>
            <w:tcBorders>
              <w:top w:val="double" w:sz="4" w:space="0" w:color="auto"/>
              <w:bottom w:val="double" w:sz="4" w:space="0" w:color="auto"/>
            </w:tcBorders>
            <w:shd w:val="clear" w:color="auto" w:fill="FFFFFF"/>
          </w:tcPr>
          <w:p w:rsidR="00591870" w:rsidRPr="00E034C6" w:rsidRDefault="00985A96" w:rsidP="00591870">
            <w:pPr>
              <w:spacing w:after="0" w:line="240" w:lineRule="auto"/>
              <w:jc w:val="right"/>
              <w:rPr>
                <w:rFonts w:ascii="Times New Roman" w:eastAsia="Times New Roman" w:hAnsi="Times New Roman"/>
              </w:rPr>
            </w:pPr>
            <w:r>
              <w:rPr>
                <w:rFonts w:ascii="Times New Roman" w:eastAsia="Times New Roman" w:hAnsi="Times New Roman"/>
              </w:rPr>
              <w:fldChar w:fldCharType="begin">
                <w:ffData>
                  <w:name w:val="PFtotalProjCostGEF"/>
                  <w:enabled/>
                  <w:calcOnExit/>
                  <w:textInput>
                    <w:type w:val="number"/>
                    <w:default w:val="9,431,763"/>
                    <w:format w:val="#,##0"/>
                  </w:textInput>
                </w:ffData>
              </w:fldChar>
            </w:r>
            <w:bookmarkStart w:id="43" w:name="PFtotalProjCostGEF"/>
            <w:r w:rsidR="005D6CCB">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sidR="005D6CCB">
              <w:rPr>
                <w:rFonts w:ascii="Times New Roman" w:eastAsia="Times New Roman" w:hAnsi="Times New Roman"/>
                <w:noProof/>
              </w:rPr>
              <w:t>9,431,763</w:t>
            </w:r>
            <w:r>
              <w:rPr>
                <w:rFonts w:ascii="Times New Roman" w:eastAsia="Times New Roman" w:hAnsi="Times New Roman"/>
              </w:rPr>
              <w:fldChar w:fldCharType="end"/>
            </w:r>
            <w:bookmarkEnd w:id="43"/>
          </w:p>
        </w:tc>
        <w:tc>
          <w:tcPr>
            <w:tcW w:w="560" w:type="pct"/>
            <w:tcBorders>
              <w:top w:val="double" w:sz="4" w:space="0" w:color="auto"/>
              <w:bottom w:val="double" w:sz="4" w:space="0" w:color="auto"/>
            </w:tcBorders>
            <w:shd w:val="clear" w:color="auto" w:fill="FFFFFF"/>
          </w:tcPr>
          <w:p w:rsidR="00591870" w:rsidRPr="00E034C6" w:rsidRDefault="00C64AED" w:rsidP="00281B92">
            <w:pPr>
              <w:spacing w:after="0" w:line="240" w:lineRule="auto"/>
              <w:jc w:val="right"/>
              <w:rPr>
                <w:rFonts w:ascii="Times New Roman" w:eastAsia="Times New Roman" w:hAnsi="Times New Roman"/>
              </w:rPr>
            </w:pPr>
            <w:bookmarkStart w:id="44" w:name="OLE_LINK1"/>
            <w:r>
              <w:rPr>
                <w:rFonts w:ascii="Times New Roman" w:eastAsia="Times New Roman" w:hAnsi="Times New Roman"/>
              </w:rPr>
              <w:t>4</w:t>
            </w:r>
            <w:r w:rsidR="00281B92">
              <w:rPr>
                <w:rFonts w:ascii="Times New Roman" w:eastAsia="Times New Roman" w:hAnsi="Times New Roman"/>
              </w:rPr>
              <w:t>0,640,872</w:t>
            </w:r>
            <w:bookmarkEnd w:id="44"/>
          </w:p>
        </w:tc>
      </w:tr>
    </w:tbl>
    <w:p w:rsidR="00591870" w:rsidRPr="00E034C6" w:rsidRDefault="00591870" w:rsidP="00591870">
      <w:pPr>
        <w:spacing w:before="240" w:after="80" w:line="240" w:lineRule="auto"/>
        <w:ind w:left="-90"/>
        <w:rPr>
          <w:rFonts w:ascii="Times New Roman" w:eastAsia="Times New Roman" w:hAnsi="Times New Roman"/>
          <w:b/>
          <w:smallCaps/>
        </w:rPr>
      </w:pPr>
    </w:p>
    <w:p w:rsidR="00591870" w:rsidRPr="00E034C6"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E034C6">
        <w:rPr>
          <w:rFonts w:ascii="Times New Roman" w:eastAsia="Times New Roman" w:hAnsi="Times New Roman"/>
          <w:b/>
          <w:smallCaps/>
        </w:rPr>
        <w:t xml:space="preserve">sources of confirmed </w:t>
      </w:r>
      <w:hyperlink r:id="rId11" w:history="1">
        <w:r w:rsidRPr="00E034C6">
          <w:rPr>
            <w:rFonts w:ascii="Times New Roman Bold" w:eastAsia="Times New Roman" w:hAnsi="Times New Roman Bold"/>
            <w:b/>
            <w:smallCaps/>
          </w:rPr>
          <w:t>Cofinancing</w:t>
        </w:r>
      </w:hyperlink>
      <w:r w:rsidRPr="00E034C6">
        <w:rPr>
          <w:rFonts w:ascii="Times New Roman" w:eastAsia="Times New Roman" w:hAnsi="Times New Roman"/>
          <w:b/>
          <w:smallCaps/>
        </w:rPr>
        <w:t xml:space="preserve"> for the project by source and by name ($)</w:t>
      </w:r>
    </w:p>
    <w:p w:rsidR="00591870" w:rsidRPr="00E034C6" w:rsidRDefault="00591870" w:rsidP="00591870">
      <w:pPr>
        <w:spacing w:before="240" w:after="80" w:line="240" w:lineRule="auto"/>
        <w:ind w:left="-90"/>
        <w:rPr>
          <w:rFonts w:ascii="Times New Roman" w:eastAsia="Times New Roman" w:hAnsi="Times New Roman"/>
        </w:rPr>
      </w:pPr>
      <w:r w:rsidRPr="00E034C6">
        <w:rPr>
          <w:rFonts w:ascii="Times New Roman" w:eastAsia="Times New Roman" w:hAnsi="Times New Roman"/>
        </w:rPr>
        <w:t>Please include letters confirming co</w:t>
      </w:r>
      <w:r w:rsidR="004211E7">
        <w:rPr>
          <w:rFonts w:ascii="Times New Roman" w:eastAsia="Times New Roman" w:hAnsi="Times New Roman"/>
        </w:rPr>
        <w:t>-</w:t>
      </w:r>
      <w:r w:rsidRPr="00E034C6">
        <w:rPr>
          <w:rFonts w:ascii="Times New Roman" w:eastAsia="Times New Roman" w:hAnsi="Times New Roman"/>
        </w:rPr>
        <w:t>financing for the project with this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5"/>
        <w:gridCol w:w="3994"/>
        <w:gridCol w:w="2105"/>
        <w:gridCol w:w="1975"/>
      </w:tblGrid>
      <w:tr w:rsidR="00591870" w:rsidRPr="00BA1C6A" w:rsidTr="00B37EA5">
        <w:trPr>
          <w:cantSplit/>
          <w:trHeight w:val="359"/>
        </w:trPr>
        <w:tc>
          <w:tcPr>
            <w:tcW w:w="1272" w:type="pct"/>
            <w:shd w:val="clear" w:color="auto" w:fill="auto"/>
            <w:vAlign w:val="center"/>
          </w:tcPr>
          <w:p w:rsidR="00591870" w:rsidRPr="00BA1C6A" w:rsidRDefault="00591870" w:rsidP="00591870">
            <w:pPr>
              <w:spacing w:after="0" w:line="240" w:lineRule="auto"/>
              <w:jc w:val="center"/>
              <w:rPr>
                <w:rFonts w:ascii="Times New Roman" w:eastAsia="Times New Roman" w:hAnsi="Times New Roman"/>
                <w:b/>
              </w:rPr>
            </w:pPr>
            <w:r w:rsidRPr="00BA1C6A">
              <w:rPr>
                <w:rFonts w:ascii="Times New Roman" w:eastAsia="Times New Roman" w:hAnsi="Times New Roman"/>
                <w:b/>
              </w:rPr>
              <w:t xml:space="preserve">Sources of Co-financing </w:t>
            </w:r>
          </w:p>
        </w:tc>
        <w:tc>
          <w:tcPr>
            <w:tcW w:w="1844" w:type="pct"/>
            <w:shd w:val="clear" w:color="auto" w:fill="auto"/>
            <w:vAlign w:val="center"/>
          </w:tcPr>
          <w:p w:rsidR="00591870" w:rsidRPr="00BA1C6A" w:rsidRDefault="00591870" w:rsidP="00591870">
            <w:pPr>
              <w:spacing w:after="0" w:line="240" w:lineRule="auto"/>
              <w:jc w:val="center"/>
              <w:rPr>
                <w:rFonts w:ascii="Times New Roman" w:eastAsia="Times New Roman" w:hAnsi="Times New Roman"/>
                <w:b/>
              </w:rPr>
            </w:pPr>
            <w:r w:rsidRPr="00BA1C6A">
              <w:rPr>
                <w:rFonts w:ascii="Times New Roman" w:eastAsia="Times New Roman" w:hAnsi="Times New Roman"/>
                <w:b/>
              </w:rPr>
              <w:t>Name of Co-financier (source)</w:t>
            </w:r>
          </w:p>
        </w:tc>
        <w:tc>
          <w:tcPr>
            <w:tcW w:w="972" w:type="pct"/>
            <w:shd w:val="clear" w:color="auto" w:fill="auto"/>
            <w:vAlign w:val="center"/>
          </w:tcPr>
          <w:p w:rsidR="00591870" w:rsidRPr="00BA1C6A" w:rsidRDefault="00591870" w:rsidP="00591870">
            <w:pPr>
              <w:spacing w:after="0" w:line="240" w:lineRule="auto"/>
              <w:jc w:val="center"/>
              <w:rPr>
                <w:rFonts w:ascii="Times New Roman" w:eastAsia="Times New Roman" w:hAnsi="Times New Roman"/>
                <w:b/>
              </w:rPr>
            </w:pPr>
            <w:r w:rsidRPr="00BA1C6A">
              <w:rPr>
                <w:rFonts w:ascii="Times New Roman" w:eastAsia="Times New Roman" w:hAnsi="Times New Roman"/>
                <w:b/>
              </w:rPr>
              <w:t>Type of Cofinancing</w:t>
            </w:r>
          </w:p>
        </w:tc>
        <w:tc>
          <w:tcPr>
            <w:tcW w:w="912" w:type="pct"/>
            <w:shd w:val="clear" w:color="auto" w:fill="auto"/>
            <w:vAlign w:val="center"/>
          </w:tcPr>
          <w:p w:rsidR="00591870" w:rsidRPr="00BA1C6A" w:rsidRDefault="00591870" w:rsidP="00591870">
            <w:pPr>
              <w:spacing w:after="0" w:line="240" w:lineRule="auto"/>
              <w:jc w:val="center"/>
              <w:rPr>
                <w:rFonts w:ascii="Times New Roman" w:eastAsia="Times New Roman" w:hAnsi="Times New Roman"/>
                <w:b/>
              </w:rPr>
            </w:pPr>
            <w:r w:rsidRPr="00BA1C6A">
              <w:rPr>
                <w:rFonts w:ascii="Times New Roman" w:eastAsia="Times New Roman" w:hAnsi="Times New Roman"/>
                <w:b/>
              </w:rPr>
              <w:t xml:space="preserve">Cofinancing Amount </w:t>
            </w:r>
            <w:r w:rsidRPr="00BA1C6A">
              <w:rPr>
                <w:rFonts w:ascii="Times New Roman" w:eastAsia="Times New Roman" w:hAnsi="Times New Roman"/>
              </w:rPr>
              <w:t xml:space="preserve">($) </w:t>
            </w:r>
          </w:p>
        </w:tc>
      </w:tr>
      <w:bookmarkStart w:id="45" w:name="SrcCo_03"/>
      <w:tr w:rsidR="00591870" w:rsidRPr="00BA1C6A" w:rsidTr="00B37EA5">
        <w:trPr>
          <w:cantSplit/>
        </w:trPr>
        <w:tc>
          <w:tcPr>
            <w:tcW w:w="1272" w:type="pct"/>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3"/>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591870"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45"/>
          </w:p>
        </w:tc>
        <w:bookmarkStart w:id="46" w:name="CofinanciarName_03"/>
        <w:tc>
          <w:tcPr>
            <w:tcW w:w="1844" w:type="pct"/>
            <w:shd w:val="clear" w:color="auto" w:fill="auto"/>
          </w:tcPr>
          <w:p w:rsidR="00591870" w:rsidRPr="00371376" w:rsidRDefault="00985A96" w:rsidP="001452CF">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3"/>
                  <w:enabled/>
                  <w:calcOnExit w:val="0"/>
                  <w:textInput/>
                </w:ffData>
              </w:fldChar>
            </w:r>
            <w:r w:rsidR="00591870"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1452CF" w:rsidRPr="00371376">
              <w:rPr>
                <w:rFonts w:ascii="Times New Roman" w:eastAsia="Times New Roman" w:hAnsi="Times New Roman"/>
              </w:rPr>
              <w:t>Coordinating Ministry of Economic Affair</w:t>
            </w:r>
            <w:r w:rsidRPr="00371376">
              <w:rPr>
                <w:rFonts w:ascii="Times New Roman" w:eastAsia="Times New Roman" w:hAnsi="Times New Roman"/>
              </w:rPr>
              <w:fldChar w:fldCharType="end"/>
            </w:r>
            <w:bookmarkEnd w:id="46"/>
          </w:p>
        </w:tc>
        <w:bookmarkStart w:id="47" w:name="CofinType_03"/>
        <w:tc>
          <w:tcPr>
            <w:tcW w:w="972" w:type="pct"/>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Type_03"/>
                  <w:enabled/>
                  <w:calcOnExit w:val="0"/>
                  <w:ddList>
                    <w:result w:val="5"/>
                    <w:listEntry w:val="(select)"/>
                    <w:listEntry w:val="Grant"/>
                    <w:listEntry w:val="Soft-loan"/>
                    <w:listEntry w:val="Hard-loan"/>
                    <w:listEntry w:val="Guarantee"/>
                    <w:listEntry w:val="In-Kind"/>
                  </w:ddList>
                </w:ffData>
              </w:fldChar>
            </w:r>
            <w:r w:rsidR="00591870"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47"/>
          </w:p>
        </w:tc>
        <w:tc>
          <w:tcPr>
            <w:tcW w:w="912" w:type="pct"/>
            <w:shd w:val="clear" w:color="auto" w:fill="auto"/>
          </w:tcPr>
          <w:p w:rsidR="00591870" w:rsidRPr="00371376" w:rsidRDefault="00692D88" w:rsidP="003B239B">
            <w:pPr>
              <w:spacing w:after="0" w:line="240" w:lineRule="auto"/>
              <w:jc w:val="right"/>
              <w:rPr>
                <w:rFonts w:ascii="Times New Roman" w:eastAsia="Times New Roman" w:hAnsi="Times New Roman"/>
              </w:rPr>
            </w:pPr>
            <w:r w:rsidRPr="00371376">
              <w:rPr>
                <w:rFonts w:ascii="Times New Roman" w:eastAsia="Times New Roman" w:hAnsi="Times New Roman"/>
              </w:rPr>
              <w:t>400,000</w:t>
            </w:r>
          </w:p>
        </w:tc>
      </w:tr>
      <w:tr w:rsidR="00692D88" w:rsidRPr="00BA1C6A" w:rsidTr="00B37EA5">
        <w:trPr>
          <w:cantSplit/>
        </w:trPr>
        <w:tc>
          <w:tcPr>
            <w:tcW w:w="1272" w:type="pct"/>
            <w:shd w:val="clear" w:color="auto" w:fill="auto"/>
          </w:tcPr>
          <w:p w:rsidR="00692D88" w:rsidRPr="00371376" w:rsidRDefault="00692D88" w:rsidP="00591870">
            <w:pPr>
              <w:spacing w:after="0" w:line="240" w:lineRule="auto"/>
              <w:rPr>
                <w:rFonts w:ascii="Times New Roman" w:eastAsia="Times New Roman" w:hAnsi="Times New Roman"/>
              </w:rPr>
            </w:pPr>
            <w:r w:rsidRPr="00371376">
              <w:rPr>
                <w:rFonts w:ascii="Times New Roman" w:eastAsia="Times New Roman" w:hAnsi="Times New Roman"/>
              </w:rPr>
              <w:t>,,</w:t>
            </w:r>
          </w:p>
        </w:tc>
        <w:tc>
          <w:tcPr>
            <w:tcW w:w="1844" w:type="pct"/>
            <w:shd w:val="clear" w:color="auto" w:fill="auto"/>
          </w:tcPr>
          <w:p w:rsidR="00692D88" w:rsidRPr="00371376" w:rsidRDefault="00692D88" w:rsidP="001452CF">
            <w:pPr>
              <w:spacing w:after="0" w:line="240" w:lineRule="auto"/>
              <w:rPr>
                <w:rFonts w:ascii="Times New Roman" w:eastAsia="Times New Roman" w:hAnsi="Times New Roman"/>
              </w:rPr>
            </w:pPr>
            <w:r w:rsidRPr="00371376">
              <w:rPr>
                <w:rFonts w:ascii="Times New Roman" w:eastAsia="Times New Roman" w:hAnsi="Times New Roman"/>
              </w:rPr>
              <w:t>,,  ,,</w:t>
            </w:r>
          </w:p>
        </w:tc>
        <w:tc>
          <w:tcPr>
            <w:tcW w:w="972" w:type="pct"/>
            <w:shd w:val="clear" w:color="auto" w:fill="auto"/>
          </w:tcPr>
          <w:p w:rsidR="00692D88" w:rsidRPr="00371376" w:rsidRDefault="00692D88" w:rsidP="00591870">
            <w:pPr>
              <w:spacing w:after="0" w:line="240" w:lineRule="auto"/>
              <w:rPr>
                <w:rFonts w:ascii="Times New Roman" w:eastAsia="Times New Roman" w:hAnsi="Times New Roman"/>
              </w:rPr>
            </w:pPr>
            <w:r w:rsidRPr="00371376">
              <w:rPr>
                <w:rFonts w:ascii="Times New Roman" w:eastAsia="Times New Roman" w:hAnsi="Times New Roman"/>
              </w:rPr>
              <w:t>Cash</w:t>
            </w:r>
          </w:p>
        </w:tc>
        <w:tc>
          <w:tcPr>
            <w:tcW w:w="912" w:type="pct"/>
            <w:shd w:val="clear" w:color="auto" w:fill="auto"/>
          </w:tcPr>
          <w:p w:rsidR="00692D88" w:rsidRPr="00371376" w:rsidRDefault="00692D88" w:rsidP="003B239B">
            <w:pPr>
              <w:spacing w:after="0" w:line="240" w:lineRule="auto"/>
              <w:jc w:val="right"/>
              <w:rPr>
                <w:rFonts w:ascii="Times New Roman" w:eastAsia="Times New Roman" w:hAnsi="Times New Roman"/>
              </w:rPr>
            </w:pPr>
            <w:r w:rsidRPr="00371376">
              <w:rPr>
                <w:rFonts w:ascii="Times New Roman" w:eastAsia="Times New Roman" w:hAnsi="Times New Roman"/>
              </w:rPr>
              <w:t>600,000</w:t>
            </w:r>
          </w:p>
        </w:tc>
      </w:tr>
      <w:bookmarkStart w:id="48" w:name="SrcCo_04"/>
      <w:tr w:rsidR="00591870" w:rsidRPr="00BA1C6A" w:rsidTr="00B37EA5">
        <w:trPr>
          <w:cantSplit/>
        </w:trPr>
        <w:tc>
          <w:tcPr>
            <w:tcW w:w="1272" w:type="pct"/>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4"/>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591870"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48"/>
          </w:p>
        </w:tc>
        <w:bookmarkStart w:id="49" w:name="CofinanciarName_04"/>
        <w:tc>
          <w:tcPr>
            <w:tcW w:w="1844" w:type="pct"/>
            <w:shd w:val="clear" w:color="auto" w:fill="auto"/>
          </w:tcPr>
          <w:p w:rsidR="00591870" w:rsidRPr="00371376" w:rsidRDefault="00985A96" w:rsidP="00716F1B">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4"/>
                  <w:enabled/>
                  <w:calcOnExit w:val="0"/>
                  <w:textInput/>
                </w:ffData>
              </w:fldChar>
            </w:r>
            <w:r w:rsidR="00591870"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716F1B" w:rsidRPr="00371376">
              <w:rPr>
                <w:rFonts w:ascii="Times New Roman" w:eastAsia="Times New Roman" w:hAnsi="Times New Roman"/>
                <w:noProof/>
              </w:rPr>
              <w:t>Ministry of Public Works</w:t>
            </w:r>
            <w:r w:rsidRPr="00371376">
              <w:rPr>
                <w:rFonts w:ascii="Times New Roman" w:eastAsia="Times New Roman" w:hAnsi="Times New Roman"/>
              </w:rPr>
              <w:fldChar w:fldCharType="end"/>
            </w:r>
            <w:bookmarkEnd w:id="49"/>
            <w:r w:rsidR="00692D88" w:rsidRPr="00371376">
              <w:rPr>
                <w:rFonts w:ascii="Times New Roman" w:eastAsia="Times New Roman" w:hAnsi="Times New Roman"/>
              </w:rPr>
              <w:t xml:space="preserve"> – </w:t>
            </w:r>
            <w:r w:rsidR="004211E7" w:rsidRPr="00371376">
              <w:rPr>
                <w:rFonts w:ascii="Times New Roman" w:eastAsia="Times New Roman" w:hAnsi="Times New Roman"/>
              </w:rPr>
              <w:t xml:space="preserve">DG </w:t>
            </w:r>
            <w:r w:rsidR="00692D88" w:rsidRPr="00371376">
              <w:rPr>
                <w:rFonts w:ascii="Times New Roman" w:eastAsia="Times New Roman" w:hAnsi="Times New Roman"/>
              </w:rPr>
              <w:t xml:space="preserve">Binamarga &amp; </w:t>
            </w:r>
            <w:r w:rsidR="004211E7" w:rsidRPr="00371376">
              <w:rPr>
                <w:rFonts w:ascii="Times New Roman" w:eastAsia="Times New Roman" w:hAnsi="Times New Roman"/>
              </w:rPr>
              <w:t xml:space="preserve">DG </w:t>
            </w:r>
            <w:r w:rsidR="00692D88" w:rsidRPr="00371376">
              <w:rPr>
                <w:rFonts w:ascii="Times New Roman" w:eastAsia="Times New Roman" w:hAnsi="Times New Roman"/>
              </w:rPr>
              <w:t>Swamps</w:t>
            </w:r>
          </w:p>
        </w:tc>
        <w:tc>
          <w:tcPr>
            <w:tcW w:w="972" w:type="pct"/>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listEntry w:val="Cash"/>
                    <w:listEntry w:val="(select)"/>
                    <w:listEntry w:val="Grant"/>
                    <w:listEntry w:val="Soft-loan"/>
                    <w:listEntry w:val="Hard-loan"/>
                    <w:listEntry w:val="Guarantee"/>
                    <w:listEntry w:val="In-Kind"/>
                  </w:ddList>
                </w:ffData>
              </w:fldChar>
            </w:r>
            <w:r w:rsidR="0089580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591870" w:rsidRPr="00371376" w:rsidRDefault="00846F3E" w:rsidP="003B239B">
            <w:pPr>
              <w:spacing w:after="0" w:line="240" w:lineRule="auto"/>
              <w:jc w:val="right"/>
              <w:rPr>
                <w:rFonts w:ascii="Times New Roman" w:eastAsia="Times New Roman" w:hAnsi="Times New Roman"/>
              </w:rPr>
            </w:pPr>
            <w:r>
              <w:rPr>
                <w:rFonts w:ascii="Times New Roman" w:eastAsia="Times New Roman" w:hAnsi="Times New Roman"/>
              </w:rPr>
              <w:t>6,670,502</w:t>
            </w:r>
          </w:p>
        </w:tc>
      </w:tr>
      <w:bookmarkStart w:id="50" w:name="SrcCo_02"/>
      <w:tr w:rsidR="00A2743F" w:rsidRPr="00BA1C6A" w:rsidTr="00B37EA5">
        <w:trPr>
          <w:cantSplit/>
        </w:trPr>
        <w:tc>
          <w:tcPr>
            <w:tcW w:w="1272" w:type="pct"/>
            <w:shd w:val="clear" w:color="auto" w:fill="auto"/>
          </w:tcPr>
          <w:p w:rsidR="00A2743F" w:rsidRPr="00371376" w:rsidRDefault="00985A96" w:rsidP="00B1335F">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2"/>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2743F"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50"/>
          </w:p>
        </w:tc>
        <w:bookmarkStart w:id="51" w:name="CofinanciarName_02"/>
        <w:tc>
          <w:tcPr>
            <w:tcW w:w="1844" w:type="pct"/>
            <w:shd w:val="clear" w:color="auto" w:fill="auto"/>
          </w:tcPr>
          <w:p w:rsidR="00A2743F" w:rsidRPr="00371376" w:rsidRDefault="00985A96" w:rsidP="001452CF">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2"/>
                  <w:enabled/>
                  <w:calcOnExit w:val="0"/>
                  <w:textInput/>
                </w:ffData>
              </w:fldChar>
            </w:r>
            <w:r w:rsidR="00A2743F"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A2743F" w:rsidRPr="00371376">
              <w:rPr>
                <w:rFonts w:ascii="Times New Roman" w:eastAsia="Times New Roman" w:hAnsi="Times New Roman"/>
                <w:noProof/>
              </w:rPr>
              <w:t>Ministry of Environment</w:t>
            </w:r>
            <w:r w:rsidR="001452CF" w:rsidRPr="00371376">
              <w:rPr>
                <w:rFonts w:ascii="Times New Roman" w:eastAsia="Times New Roman" w:hAnsi="Times New Roman"/>
                <w:noProof/>
              </w:rPr>
              <w:t xml:space="preserve"> and Forestry</w:t>
            </w:r>
            <w:r w:rsidRPr="00371376">
              <w:rPr>
                <w:rFonts w:ascii="Times New Roman" w:eastAsia="Times New Roman" w:hAnsi="Times New Roman"/>
              </w:rPr>
              <w:fldChar w:fldCharType="end"/>
            </w:r>
            <w:bookmarkEnd w:id="51"/>
            <w:r w:rsidR="00692D88" w:rsidRPr="00371376">
              <w:rPr>
                <w:rFonts w:ascii="Times New Roman" w:eastAsia="Times New Roman" w:hAnsi="Times New Roman"/>
              </w:rPr>
              <w:t xml:space="preserve"> </w:t>
            </w:r>
            <w:r w:rsidR="004211E7" w:rsidRPr="00371376">
              <w:rPr>
                <w:rFonts w:ascii="Times New Roman" w:eastAsia="Times New Roman" w:hAnsi="Times New Roman"/>
              </w:rPr>
              <w:t>–</w:t>
            </w:r>
            <w:r w:rsidR="00692D88" w:rsidRPr="00371376">
              <w:rPr>
                <w:rFonts w:ascii="Times New Roman" w:eastAsia="Times New Roman" w:hAnsi="Times New Roman"/>
              </w:rPr>
              <w:t xml:space="preserve"> </w:t>
            </w:r>
            <w:r w:rsidR="004211E7" w:rsidRPr="00371376">
              <w:rPr>
                <w:rFonts w:ascii="Times New Roman" w:eastAsia="Times New Roman" w:hAnsi="Times New Roman"/>
              </w:rPr>
              <w:t xml:space="preserve">DG </w:t>
            </w:r>
            <w:r w:rsidR="00692D88" w:rsidRPr="00371376">
              <w:rPr>
                <w:rFonts w:ascii="Times New Roman" w:eastAsia="Times New Roman" w:hAnsi="Times New Roman"/>
              </w:rPr>
              <w:t>KSDAE</w:t>
            </w:r>
          </w:p>
        </w:tc>
        <w:tc>
          <w:tcPr>
            <w:tcW w:w="972" w:type="pct"/>
            <w:shd w:val="clear" w:color="auto" w:fill="auto"/>
          </w:tcPr>
          <w:p w:rsidR="00A2743F" w:rsidRPr="00371376" w:rsidRDefault="00CE68D6" w:rsidP="00B1335F">
            <w:pPr>
              <w:spacing w:after="0" w:line="240" w:lineRule="auto"/>
              <w:rPr>
                <w:rFonts w:ascii="Times New Roman" w:eastAsia="Times New Roman" w:hAnsi="Times New Roman"/>
              </w:rPr>
            </w:pPr>
            <w:r w:rsidRPr="00371376">
              <w:rPr>
                <w:rFonts w:ascii="Times New Roman" w:eastAsia="Times New Roman" w:hAnsi="Times New Roman"/>
              </w:rPr>
              <w:t>Cash</w:t>
            </w:r>
          </w:p>
        </w:tc>
        <w:tc>
          <w:tcPr>
            <w:tcW w:w="912" w:type="pct"/>
            <w:shd w:val="clear" w:color="auto" w:fill="auto"/>
          </w:tcPr>
          <w:p w:rsidR="00A2743F" w:rsidRPr="00371376" w:rsidRDefault="000B7E49" w:rsidP="00692D88">
            <w:pPr>
              <w:spacing w:after="0" w:line="240" w:lineRule="auto"/>
              <w:jc w:val="right"/>
              <w:rPr>
                <w:rFonts w:ascii="Times New Roman" w:eastAsia="Times New Roman" w:hAnsi="Times New Roman"/>
              </w:rPr>
            </w:pPr>
            <w:r w:rsidRPr="00371376">
              <w:rPr>
                <w:rFonts w:ascii="Times New Roman" w:eastAsia="Times New Roman" w:hAnsi="Times New Roman"/>
              </w:rPr>
              <w:t>7,404,740</w:t>
            </w:r>
          </w:p>
        </w:tc>
      </w:tr>
      <w:tr w:rsidR="00692D88" w:rsidRPr="00BA1C6A" w:rsidTr="00B37EA5">
        <w:trPr>
          <w:cantSplit/>
        </w:trPr>
        <w:tc>
          <w:tcPr>
            <w:tcW w:w="1272" w:type="pct"/>
            <w:shd w:val="clear" w:color="auto" w:fill="auto"/>
          </w:tcPr>
          <w:p w:rsidR="00692D88" w:rsidRPr="00371376" w:rsidRDefault="00692D88" w:rsidP="00B1335F">
            <w:pPr>
              <w:spacing w:after="0" w:line="240" w:lineRule="auto"/>
              <w:rPr>
                <w:rFonts w:ascii="Times New Roman" w:eastAsia="Times New Roman" w:hAnsi="Times New Roman"/>
              </w:rPr>
            </w:pPr>
            <w:r w:rsidRPr="00371376">
              <w:rPr>
                <w:rFonts w:ascii="Times New Roman" w:eastAsia="Times New Roman" w:hAnsi="Times New Roman"/>
              </w:rPr>
              <w:t>,,</w:t>
            </w:r>
          </w:p>
        </w:tc>
        <w:tc>
          <w:tcPr>
            <w:tcW w:w="1844" w:type="pct"/>
            <w:shd w:val="clear" w:color="auto" w:fill="auto"/>
          </w:tcPr>
          <w:p w:rsidR="00692D88" w:rsidRPr="00371376" w:rsidRDefault="00985A96" w:rsidP="001452CF">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2"/>
                  <w:enabled/>
                  <w:calcOnExit w:val="0"/>
                  <w:textInput/>
                </w:ffData>
              </w:fldChar>
            </w:r>
            <w:r w:rsidR="00692D88"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692D88" w:rsidRPr="00371376">
              <w:rPr>
                <w:rFonts w:ascii="Times New Roman" w:eastAsia="Times New Roman" w:hAnsi="Times New Roman"/>
                <w:noProof/>
              </w:rPr>
              <w:t>Ministry of Environment and Forestry</w:t>
            </w:r>
            <w:r w:rsidRPr="00371376">
              <w:rPr>
                <w:rFonts w:ascii="Times New Roman" w:eastAsia="Times New Roman" w:hAnsi="Times New Roman"/>
              </w:rPr>
              <w:fldChar w:fldCharType="end"/>
            </w:r>
            <w:r w:rsidR="00692D88" w:rsidRPr="00371376">
              <w:rPr>
                <w:rFonts w:ascii="Times New Roman" w:eastAsia="Times New Roman" w:hAnsi="Times New Roman"/>
              </w:rPr>
              <w:t xml:space="preserve"> </w:t>
            </w:r>
            <w:r w:rsidR="004211E7" w:rsidRPr="00371376">
              <w:rPr>
                <w:rFonts w:ascii="Times New Roman" w:eastAsia="Times New Roman" w:hAnsi="Times New Roman"/>
              </w:rPr>
              <w:t>–</w:t>
            </w:r>
            <w:r w:rsidR="00692D88" w:rsidRPr="00371376">
              <w:rPr>
                <w:rFonts w:ascii="Times New Roman" w:eastAsia="Times New Roman" w:hAnsi="Times New Roman"/>
              </w:rPr>
              <w:t xml:space="preserve"> </w:t>
            </w:r>
            <w:r w:rsidR="004211E7" w:rsidRPr="00371376">
              <w:rPr>
                <w:rFonts w:ascii="Times New Roman" w:eastAsia="Times New Roman" w:hAnsi="Times New Roman"/>
              </w:rPr>
              <w:t xml:space="preserve">DG </w:t>
            </w:r>
            <w:r w:rsidR="00692D88" w:rsidRPr="00371376">
              <w:rPr>
                <w:rFonts w:ascii="Times New Roman" w:eastAsia="Times New Roman" w:hAnsi="Times New Roman"/>
              </w:rPr>
              <w:t>PHPL</w:t>
            </w:r>
          </w:p>
        </w:tc>
        <w:tc>
          <w:tcPr>
            <w:tcW w:w="972" w:type="pct"/>
            <w:shd w:val="clear" w:color="auto" w:fill="auto"/>
          </w:tcPr>
          <w:p w:rsidR="00692D88" w:rsidRPr="00371376" w:rsidRDefault="00692D88" w:rsidP="00B1335F">
            <w:pPr>
              <w:spacing w:after="0" w:line="240" w:lineRule="auto"/>
              <w:rPr>
                <w:rFonts w:ascii="Times New Roman" w:eastAsia="Times New Roman" w:hAnsi="Times New Roman"/>
              </w:rPr>
            </w:pPr>
            <w:r w:rsidRPr="00371376">
              <w:rPr>
                <w:rFonts w:ascii="Times New Roman" w:eastAsia="Times New Roman" w:hAnsi="Times New Roman"/>
              </w:rPr>
              <w:t>Cash</w:t>
            </w:r>
          </w:p>
        </w:tc>
        <w:tc>
          <w:tcPr>
            <w:tcW w:w="912" w:type="pct"/>
            <w:shd w:val="clear" w:color="auto" w:fill="auto"/>
          </w:tcPr>
          <w:p w:rsidR="00692D88" w:rsidRPr="00371376" w:rsidRDefault="00692D88" w:rsidP="00692D88">
            <w:pPr>
              <w:spacing w:after="0" w:line="240" w:lineRule="auto"/>
              <w:jc w:val="right"/>
              <w:rPr>
                <w:rFonts w:ascii="Times New Roman" w:eastAsia="Times New Roman" w:hAnsi="Times New Roman"/>
              </w:rPr>
            </w:pPr>
            <w:r w:rsidRPr="00371376">
              <w:rPr>
                <w:rFonts w:ascii="Times New Roman" w:eastAsia="Times New Roman" w:hAnsi="Times New Roman"/>
              </w:rPr>
              <w:t>6,030,606</w:t>
            </w:r>
          </w:p>
        </w:tc>
      </w:tr>
      <w:tr w:rsidR="00A2743F" w:rsidRPr="00BA1C6A" w:rsidTr="00B37EA5">
        <w:trPr>
          <w:cantSplit/>
        </w:trPr>
        <w:tc>
          <w:tcPr>
            <w:tcW w:w="1272" w:type="pct"/>
            <w:shd w:val="clear" w:color="auto" w:fill="auto"/>
          </w:tcPr>
          <w:p w:rsidR="00A2743F" w:rsidRPr="00371376" w:rsidRDefault="00985A96" w:rsidP="00B1335F">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3"/>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2743F"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shd w:val="clear" w:color="auto" w:fill="auto"/>
          </w:tcPr>
          <w:p w:rsidR="00A2743F" w:rsidRPr="00371376" w:rsidRDefault="00985A96" w:rsidP="001452CF">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3"/>
                  <w:enabled/>
                  <w:calcOnExit w:val="0"/>
                  <w:textInput/>
                </w:ffData>
              </w:fldChar>
            </w:r>
            <w:r w:rsidR="00A2743F"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1452CF" w:rsidRPr="00371376">
              <w:rPr>
                <w:rFonts w:ascii="Times New Roman" w:eastAsia="Times New Roman" w:hAnsi="Times New Roman"/>
                <w:noProof/>
              </w:rPr>
              <w:t>Ministry Agraria and Spatial Planning</w:t>
            </w:r>
            <w:r w:rsidRPr="00371376">
              <w:rPr>
                <w:rFonts w:ascii="Times New Roman" w:eastAsia="Times New Roman" w:hAnsi="Times New Roman"/>
              </w:rPr>
              <w:fldChar w:fldCharType="end"/>
            </w:r>
          </w:p>
        </w:tc>
        <w:tc>
          <w:tcPr>
            <w:tcW w:w="972" w:type="pct"/>
            <w:shd w:val="clear" w:color="auto" w:fill="auto"/>
          </w:tcPr>
          <w:p w:rsidR="00A2743F" w:rsidRPr="00371376" w:rsidRDefault="00985A96" w:rsidP="00B1335F">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listEntry w:val="Cash"/>
                    <w:listEntry w:val="(select)"/>
                    <w:listEntry w:val="Grant"/>
                    <w:listEntry w:val="Soft-loan"/>
                    <w:listEntry w:val="Hard-loan"/>
                    <w:listEntry w:val="Guarantee"/>
                    <w:listEntry w:val="In-Kind"/>
                  </w:ddList>
                </w:ffData>
              </w:fldChar>
            </w:r>
            <w:r w:rsidR="0089580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A2743F" w:rsidRPr="00371376" w:rsidRDefault="00985A96" w:rsidP="001452CF">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C_COAMT_03"/>
                  <w:enabled/>
                  <w:calcOnExit/>
                  <w:textInput>
                    <w:type w:val="number"/>
                    <w:format w:val="#,##0"/>
                  </w:textInput>
                </w:ffData>
              </w:fldChar>
            </w:r>
            <w:r w:rsidR="00A2743F"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1452CF" w:rsidRPr="00371376">
              <w:rPr>
                <w:rFonts w:ascii="Times New Roman" w:eastAsia="Times New Roman" w:hAnsi="Times New Roman"/>
                <w:noProof/>
              </w:rPr>
              <w:t>2,013,598</w:t>
            </w:r>
            <w:r w:rsidRPr="00371376">
              <w:rPr>
                <w:rFonts w:ascii="Times New Roman" w:eastAsia="Times New Roman" w:hAnsi="Times New Roman"/>
              </w:rPr>
              <w:fldChar w:fldCharType="end"/>
            </w:r>
          </w:p>
        </w:tc>
      </w:tr>
      <w:tr w:rsidR="00716F1B" w:rsidRPr="00BA1C6A" w:rsidTr="00B37EA5">
        <w:trPr>
          <w:cantSplit/>
        </w:trPr>
        <w:tc>
          <w:tcPr>
            <w:tcW w:w="1272" w:type="pct"/>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8"/>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716F1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shd w:val="clear" w:color="auto" w:fill="auto"/>
          </w:tcPr>
          <w:p w:rsidR="00716F1B" w:rsidRPr="00371376" w:rsidRDefault="00985A96" w:rsidP="00BB4679">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8"/>
                  <w:enabled/>
                  <w:calcOnExit w:val="0"/>
                  <w:textInput/>
                </w:ffData>
              </w:fldChar>
            </w:r>
            <w:r w:rsidR="00716F1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BB4679" w:rsidRPr="00371376">
              <w:rPr>
                <w:rFonts w:ascii="Times New Roman" w:eastAsia="Times New Roman" w:hAnsi="Times New Roman"/>
                <w:noProof/>
              </w:rPr>
              <w:t>Provincial Government of Jambi</w:t>
            </w:r>
            <w:r w:rsidRPr="00371376">
              <w:rPr>
                <w:rFonts w:ascii="Times New Roman" w:eastAsia="Times New Roman" w:hAnsi="Times New Roman"/>
              </w:rPr>
              <w:fldChar w:fldCharType="end"/>
            </w:r>
          </w:p>
        </w:tc>
        <w:tc>
          <w:tcPr>
            <w:tcW w:w="972" w:type="pct"/>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Type_08"/>
                  <w:enabled/>
                  <w:calcOnExit w:val="0"/>
                  <w:ddList>
                    <w:result w:val="5"/>
                    <w:listEntry w:val="(select)"/>
                    <w:listEntry w:val="Grant"/>
                    <w:listEntry w:val="Soft-loan"/>
                    <w:listEntry w:val="Hard-loan"/>
                    <w:listEntry w:val="Guarantee"/>
                    <w:listEntry w:val="In-Kind"/>
                  </w:ddList>
                </w:ffData>
              </w:fldChar>
            </w:r>
            <w:r w:rsidR="00716F1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716F1B" w:rsidRPr="00371376" w:rsidRDefault="00985A96" w:rsidP="00BA4AA3">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C_COAMT_08"/>
                  <w:enabled/>
                  <w:calcOnExit/>
                  <w:textInput>
                    <w:type w:val="number"/>
                    <w:default w:val="528,923"/>
                    <w:format w:val="#,##0"/>
                  </w:textInput>
                </w:ffData>
              </w:fldChar>
            </w:r>
            <w:bookmarkStart w:id="52" w:name="C_COAMT_08"/>
            <w:r w:rsidR="0089580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89580B" w:rsidRPr="00371376">
              <w:rPr>
                <w:rFonts w:ascii="Times New Roman" w:eastAsia="Times New Roman" w:hAnsi="Times New Roman"/>
                <w:noProof/>
              </w:rPr>
              <w:t>528,923</w:t>
            </w:r>
            <w:r w:rsidRPr="00371376">
              <w:rPr>
                <w:rFonts w:ascii="Times New Roman" w:eastAsia="Times New Roman" w:hAnsi="Times New Roman"/>
              </w:rPr>
              <w:fldChar w:fldCharType="end"/>
            </w:r>
            <w:bookmarkEnd w:id="52"/>
          </w:p>
        </w:tc>
      </w:tr>
      <w:tr w:rsidR="00E62F7A" w:rsidRPr="00BA1C6A" w:rsidTr="00B37EA5">
        <w:trPr>
          <w:cantSplit/>
        </w:trPr>
        <w:tc>
          <w:tcPr>
            <w:tcW w:w="1272" w:type="pct"/>
            <w:shd w:val="clear" w:color="auto" w:fill="auto"/>
          </w:tcPr>
          <w:p w:rsidR="00E62F7A"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8"/>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E62F7A"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shd w:val="clear" w:color="auto" w:fill="auto"/>
          </w:tcPr>
          <w:p w:rsidR="00E62F7A" w:rsidRPr="00371376" w:rsidRDefault="00985A96" w:rsidP="00BB4679">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8"/>
                  <w:enabled/>
                  <w:calcOnExit w:val="0"/>
                  <w:textInput/>
                </w:ffData>
              </w:fldChar>
            </w:r>
            <w:r w:rsidR="00E62F7A"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E62F7A" w:rsidRPr="00371376">
              <w:rPr>
                <w:rFonts w:ascii="Times New Roman" w:eastAsia="Times New Roman" w:hAnsi="Times New Roman"/>
                <w:noProof/>
              </w:rPr>
              <w:t>Provincial Government of Jambi</w:t>
            </w:r>
            <w:r w:rsidRPr="00371376">
              <w:rPr>
                <w:rFonts w:ascii="Times New Roman" w:eastAsia="Times New Roman" w:hAnsi="Times New Roman"/>
              </w:rPr>
              <w:fldChar w:fldCharType="end"/>
            </w:r>
          </w:p>
        </w:tc>
        <w:tc>
          <w:tcPr>
            <w:tcW w:w="972" w:type="pct"/>
            <w:shd w:val="clear" w:color="auto" w:fill="auto"/>
          </w:tcPr>
          <w:p w:rsidR="00E62F7A"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listEntry w:val="Cash"/>
                    <w:listEntry w:val="(select)"/>
                    <w:listEntry w:val="Grant"/>
                    <w:listEntry w:val="Soft-loan"/>
                    <w:listEntry w:val="Hard-loan"/>
                    <w:listEntry w:val="Guarantee"/>
                    <w:listEntry w:val="In-Kind"/>
                  </w:ddList>
                </w:ffData>
              </w:fldChar>
            </w:r>
            <w:r w:rsidR="0089580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E62F7A" w:rsidRPr="00371376" w:rsidRDefault="00985A96" w:rsidP="00BA4AA3">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
                  <w:enabled/>
                  <w:calcOnExit/>
                  <w:textInput>
                    <w:type w:val="number"/>
                    <w:default w:val="1,212,308"/>
                    <w:format w:val="#,##0"/>
                  </w:textInput>
                </w:ffData>
              </w:fldChar>
            </w:r>
            <w:r w:rsidR="0051222A"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51222A" w:rsidRPr="00371376">
              <w:rPr>
                <w:rFonts w:ascii="Times New Roman" w:eastAsia="Times New Roman" w:hAnsi="Times New Roman"/>
                <w:noProof/>
              </w:rPr>
              <w:t>1,212,308</w:t>
            </w:r>
            <w:r w:rsidRPr="00371376">
              <w:rPr>
                <w:rFonts w:ascii="Times New Roman" w:eastAsia="Times New Roman" w:hAnsi="Times New Roman"/>
              </w:rPr>
              <w:fldChar w:fldCharType="end"/>
            </w:r>
          </w:p>
        </w:tc>
      </w:tr>
      <w:tr w:rsidR="00716F1B" w:rsidRPr="00BA1C6A" w:rsidTr="00B37EA5">
        <w:trPr>
          <w:cantSplit/>
        </w:trPr>
        <w:tc>
          <w:tcPr>
            <w:tcW w:w="1272" w:type="pct"/>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8"/>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716F1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shd w:val="clear" w:color="auto" w:fill="auto"/>
          </w:tcPr>
          <w:p w:rsidR="00716F1B" w:rsidRPr="00371376" w:rsidRDefault="00985A96" w:rsidP="00BB4679">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8"/>
                  <w:enabled/>
                  <w:calcOnExit w:val="0"/>
                  <w:textInput/>
                </w:ffData>
              </w:fldChar>
            </w:r>
            <w:r w:rsidR="00716F1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BB4679" w:rsidRPr="00371376">
              <w:rPr>
                <w:rFonts w:ascii="Times New Roman" w:eastAsia="Times New Roman" w:hAnsi="Times New Roman"/>
                <w:noProof/>
              </w:rPr>
              <w:t>Provincial Government of Riau</w:t>
            </w:r>
            <w:r w:rsidRPr="00371376">
              <w:rPr>
                <w:rFonts w:ascii="Times New Roman" w:eastAsia="Times New Roman" w:hAnsi="Times New Roman"/>
              </w:rPr>
              <w:fldChar w:fldCharType="end"/>
            </w:r>
          </w:p>
        </w:tc>
        <w:tc>
          <w:tcPr>
            <w:tcW w:w="972" w:type="pct"/>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Type_08"/>
                  <w:enabled/>
                  <w:calcOnExit w:val="0"/>
                  <w:ddList>
                    <w:result w:val="5"/>
                    <w:listEntry w:val="(select)"/>
                    <w:listEntry w:val="Grant"/>
                    <w:listEntry w:val="Soft-loan"/>
                    <w:listEntry w:val="Hard-loan"/>
                    <w:listEntry w:val="Guarantee"/>
                    <w:listEntry w:val="In-Kind"/>
                  </w:ddList>
                </w:ffData>
              </w:fldChar>
            </w:r>
            <w:r w:rsidR="00716F1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716F1B" w:rsidRPr="00371376" w:rsidRDefault="00846F3E" w:rsidP="00BA4AA3">
            <w:pPr>
              <w:spacing w:after="0" w:line="240" w:lineRule="auto"/>
              <w:jc w:val="right"/>
              <w:rPr>
                <w:rFonts w:ascii="Times New Roman" w:eastAsia="Times New Roman" w:hAnsi="Times New Roman"/>
              </w:rPr>
            </w:pPr>
            <w:r>
              <w:rPr>
                <w:rFonts w:ascii="Times New Roman" w:eastAsia="Times New Roman" w:hAnsi="Times New Roman"/>
              </w:rPr>
              <w:t>1,610,422</w:t>
            </w:r>
          </w:p>
        </w:tc>
      </w:tr>
      <w:tr w:rsidR="00E62F7A" w:rsidRPr="00BA1C6A" w:rsidTr="00B37EA5">
        <w:trPr>
          <w:cantSplit/>
        </w:trPr>
        <w:tc>
          <w:tcPr>
            <w:tcW w:w="1272" w:type="pct"/>
            <w:shd w:val="clear" w:color="auto" w:fill="auto"/>
          </w:tcPr>
          <w:p w:rsidR="00E62F7A"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8"/>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89580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shd w:val="clear" w:color="auto" w:fill="auto"/>
          </w:tcPr>
          <w:p w:rsidR="00E62F7A" w:rsidRPr="00371376" w:rsidRDefault="00985A96" w:rsidP="00BB4679">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8"/>
                  <w:enabled/>
                  <w:calcOnExit w:val="0"/>
                  <w:textInput/>
                </w:ffData>
              </w:fldChar>
            </w:r>
            <w:r w:rsidR="0089580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89580B" w:rsidRPr="00371376">
              <w:rPr>
                <w:rFonts w:ascii="Times New Roman" w:eastAsia="Times New Roman" w:hAnsi="Times New Roman"/>
                <w:noProof/>
              </w:rPr>
              <w:t>Provincial Government of Riau</w:t>
            </w:r>
            <w:r w:rsidRPr="00371376">
              <w:rPr>
                <w:rFonts w:ascii="Times New Roman" w:eastAsia="Times New Roman" w:hAnsi="Times New Roman"/>
              </w:rPr>
              <w:fldChar w:fldCharType="end"/>
            </w:r>
          </w:p>
        </w:tc>
        <w:tc>
          <w:tcPr>
            <w:tcW w:w="972" w:type="pct"/>
            <w:shd w:val="clear" w:color="auto" w:fill="auto"/>
          </w:tcPr>
          <w:p w:rsidR="00E62F7A"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listEntry w:val="Cash"/>
                    <w:listEntry w:val="(select)"/>
                    <w:listEntry w:val="Grant"/>
                    <w:listEntry w:val="Soft-loan"/>
                    <w:listEntry w:val="Hard-loan"/>
                    <w:listEntry w:val="Guarantee"/>
                    <w:listEntry w:val="In-Kind"/>
                  </w:ddList>
                </w:ffData>
              </w:fldChar>
            </w:r>
            <w:r w:rsidR="0089580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E62F7A" w:rsidRPr="00371376" w:rsidRDefault="00985A96" w:rsidP="00BA4AA3">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
                  <w:enabled/>
                  <w:calcOnExit/>
                  <w:textInput>
                    <w:type w:val="number"/>
                    <w:default w:val="1,837,120"/>
                    <w:format w:val="#,##0"/>
                  </w:textInput>
                </w:ffData>
              </w:fldChar>
            </w:r>
            <w:r w:rsidR="0051222A"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51222A" w:rsidRPr="00371376">
              <w:rPr>
                <w:rFonts w:ascii="Times New Roman" w:eastAsia="Times New Roman" w:hAnsi="Times New Roman"/>
                <w:noProof/>
              </w:rPr>
              <w:t>1,837,120</w:t>
            </w:r>
            <w:r w:rsidRPr="00371376">
              <w:rPr>
                <w:rFonts w:ascii="Times New Roman" w:eastAsia="Times New Roman" w:hAnsi="Times New Roman"/>
              </w:rPr>
              <w:fldChar w:fldCharType="end"/>
            </w:r>
          </w:p>
        </w:tc>
      </w:tr>
      <w:tr w:rsidR="00716F1B" w:rsidRPr="00BA1C6A" w:rsidTr="00B37EA5">
        <w:trPr>
          <w:cantSplit/>
        </w:trPr>
        <w:tc>
          <w:tcPr>
            <w:tcW w:w="1272" w:type="pct"/>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716F1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shd w:val="clear" w:color="auto" w:fill="auto"/>
          </w:tcPr>
          <w:p w:rsidR="00716F1B" w:rsidRPr="00371376" w:rsidRDefault="00985A96" w:rsidP="00BB4679">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8"/>
                  <w:enabled/>
                  <w:calcOnExit w:val="0"/>
                  <w:textInput/>
                </w:ffData>
              </w:fldChar>
            </w:r>
            <w:r w:rsidR="00716F1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BB4679" w:rsidRPr="00371376">
              <w:rPr>
                <w:rFonts w:ascii="Times New Roman" w:eastAsia="Times New Roman" w:hAnsi="Times New Roman"/>
                <w:noProof/>
              </w:rPr>
              <w:t>Provincial Government of West Sumatra</w:t>
            </w:r>
            <w:r w:rsidRPr="00371376">
              <w:rPr>
                <w:rFonts w:ascii="Times New Roman" w:eastAsia="Times New Roman" w:hAnsi="Times New Roman"/>
              </w:rPr>
              <w:fldChar w:fldCharType="end"/>
            </w:r>
          </w:p>
        </w:tc>
        <w:tc>
          <w:tcPr>
            <w:tcW w:w="972" w:type="pct"/>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Type_08"/>
                  <w:enabled/>
                  <w:calcOnExit w:val="0"/>
                  <w:ddList>
                    <w:result w:val="5"/>
                    <w:listEntry w:val="(select)"/>
                    <w:listEntry w:val="Grant"/>
                    <w:listEntry w:val="Soft-loan"/>
                    <w:listEntry w:val="Hard-loan"/>
                    <w:listEntry w:val="Guarantee"/>
                    <w:listEntry w:val="In-Kind"/>
                  </w:ddList>
                </w:ffData>
              </w:fldChar>
            </w:r>
            <w:r w:rsidR="00716F1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716F1B" w:rsidRPr="00371376" w:rsidRDefault="00985A96" w:rsidP="00BA4AA3">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
                  <w:enabled/>
                  <w:calcOnExit/>
                  <w:textInput>
                    <w:type w:val="number"/>
                    <w:default w:val="1,460,655"/>
                    <w:format w:val="#,##0"/>
                  </w:textInput>
                </w:ffData>
              </w:fldChar>
            </w:r>
            <w:r w:rsidR="0089580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89580B" w:rsidRPr="00371376">
              <w:rPr>
                <w:rFonts w:ascii="Times New Roman" w:eastAsia="Times New Roman" w:hAnsi="Times New Roman"/>
                <w:noProof/>
              </w:rPr>
              <w:t>1,460,655</w:t>
            </w:r>
            <w:r w:rsidRPr="00371376">
              <w:rPr>
                <w:rFonts w:ascii="Times New Roman" w:eastAsia="Times New Roman" w:hAnsi="Times New Roman"/>
              </w:rPr>
              <w:fldChar w:fldCharType="end"/>
            </w:r>
          </w:p>
        </w:tc>
      </w:tr>
      <w:tr w:rsidR="0089580B" w:rsidRPr="00BA1C6A" w:rsidTr="00B37EA5">
        <w:trPr>
          <w:cantSplit/>
        </w:trPr>
        <w:tc>
          <w:tcPr>
            <w:tcW w:w="1272" w:type="pct"/>
            <w:shd w:val="clear" w:color="auto" w:fill="auto"/>
          </w:tcPr>
          <w:p w:rsidR="0089580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8"/>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89580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shd w:val="clear" w:color="auto" w:fill="auto"/>
          </w:tcPr>
          <w:p w:rsidR="0089580B" w:rsidRPr="00371376" w:rsidRDefault="00985A96" w:rsidP="00BB4679">
            <w:pPr>
              <w:spacing w:after="0" w:line="240" w:lineRule="auto"/>
              <w:rPr>
                <w:rFonts w:ascii="Times New Roman" w:hAnsi="Times New Roman"/>
              </w:rPr>
            </w:pPr>
            <w:r w:rsidRPr="00371376">
              <w:rPr>
                <w:rFonts w:ascii="Times New Roman" w:eastAsia="Times New Roman" w:hAnsi="Times New Roman"/>
              </w:rPr>
              <w:fldChar w:fldCharType="begin">
                <w:ffData>
                  <w:name w:val="CofinanciarName_08"/>
                  <w:enabled/>
                  <w:calcOnExit w:val="0"/>
                  <w:textInput/>
                </w:ffData>
              </w:fldChar>
            </w:r>
            <w:r w:rsidR="0089580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89580B" w:rsidRPr="00371376">
              <w:rPr>
                <w:rFonts w:ascii="Times New Roman" w:eastAsia="Times New Roman" w:hAnsi="Times New Roman"/>
                <w:noProof/>
              </w:rPr>
              <w:t>Provincial Government of West Sumatra</w:t>
            </w:r>
            <w:r w:rsidRPr="00371376">
              <w:rPr>
                <w:rFonts w:ascii="Times New Roman" w:eastAsia="Times New Roman" w:hAnsi="Times New Roman"/>
              </w:rPr>
              <w:fldChar w:fldCharType="end"/>
            </w:r>
          </w:p>
        </w:tc>
        <w:tc>
          <w:tcPr>
            <w:tcW w:w="972" w:type="pct"/>
            <w:shd w:val="clear" w:color="auto" w:fill="auto"/>
          </w:tcPr>
          <w:p w:rsidR="0089580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listEntry w:val="Cash"/>
                    <w:listEntry w:val="(select)"/>
                    <w:listEntry w:val="Grant"/>
                    <w:listEntry w:val="Soft-loan"/>
                    <w:listEntry w:val="Hard-loan"/>
                    <w:listEntry w:val="Guarantee"/>
                    <w:listEntry w:val="In-Kind"/>
                  </w:ddList>
                </w:ffData>
              </w:fldChar>
            </w:r>
            <w:r w:rsidR="0051222A"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shd w:val="clear" w:color="auto" w:fill="auto"/>
          </w:tcPr>
          <w:p w:rsidR="0089580B" w:rsidRPr="00371376" w:rsidRDefault="00985A96" w:rsidP="00BA4AA3">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
                  <w:enabled/>
                  <w:calcOnExit/>
                  <w:textInput>
                    <w:type w:val="number"/>
                    <w:default w:val="2,231,126"/>
                    <w:format w:val="#,##0"/>
                  </w:textInput>
                </w:ffData>
              </w:fldChar>
            </w:r>
            <w:r w:rsidR="0051222A"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51222A" w:rsidRPr="00371376">
              <w:rPr>
                <w:rFonts w:ascii="Times New Roman" w:eastAsia="Times New Roman" w:hAnsi="Times New Roman"/>
                <w:noProof/>
              </w:rPr>
              <w:t>2,231,126</w:t>
            </w:r>
            <w:r w:rsidRPr="00371376">
              <w:rPr>
                <w:rFonts w:ascii="Times New Roman" w:eastAsia="Times New Roman" w:hAnsi="Times New Roman"/>
              </w:rPr>
              <w:fldChar w:fldCharType="end"/>
            </w:r>
          </w:p>
        </w:tc>
      </w:tr>
      <w:tr w:rsidR="00716F1B" w:rsidRPr="00BA1C6A" w:rsidTr="00B37EA5">
        <w:trPr>
          <w:cantSplit/>
        </w:trPr>
        <w:tc>
          <w:tcPr>
            <w:tcW w:w="1272" w:type="pct"/>
            <w:tcBorders>
              <w:bottom w:val="single" w:sz="4" w:space="0" w:color="auto"/>
            </w:tcBorders>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result w:val="1"/>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716F1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tcBorders>
              <w:bottom w:val="single" w:sz="4" w:space="0" w:color="auto"/>
            </w:tcBorders>
            <w:shd w:val="clear" w:color="auto" w:fill="auto"/>
          </w:tcPr>
          <w:p w:rsidR="00716F1B" w:rsidRPr="00371376" w:rsidRDefault="00985A96" w:rsidP="00BB4679">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8"/>
                  <w:enabled/>
                  <w:calcOnExit w:val="0"/>
                  <w:textInput/>
                </w:ffData>
              </w:fldChar>
            </w:r>
            <w:r w:rsidR="00716F1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BB4679" w:rsidRPr="00371376">
              <w:rPr>
                <w:rFonts w:ascii="Times New Roman" w:eastAsia="Times New Roman" w:hAnsi="Times New Roman"/>
                <w:noProof/>
              </w:rPr>
              <w:t>Tropical Forest Conservation Action (TFCA)</w:t>
            </w:r>
            <w:r w:rsidRPr="00371376">
              <w:rPr>
                <w:rFonts w:ascii="Times New Roman" w:eastAsia="Times New Roman" w:hAnsi="Times New Roman"/>
              </w:rPr>
              <w:fldChar w:fldCharType="end"/>
            </w:r>
          </w:p>
        </w:tc>
        <w:tc>
          <w:tcPr>
            <w:tcW w:w="972" w:type="pct"/>
            <w:tcBorders>
              <w:bottom w:val="single" w:sz="4" w:space="0" w:color="auto"/>
            </w:tcBorders>
            <w:shd w:val="clear" w:color="auto" w:fill="auto"/>
          </w:tcPr>
          <w:p w:rsidR="00716F1B"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listEntry w:val="Cash"/>
                    <w:listEntry w:val="(select)"/>
                    <w:listEntry w:val="Grant"/>
                    <w:listEntry w:val="Soft-loan"/>
                    <w:listEntry w:val="Hard-loan"/>
                    <w:listEntry w:val="Guarantee"/>
                    <w:listEntry w:val="In-Kind"/>
                  </w:ddList>
                </w:ffData>
              </w:fldChar>
            </w:r>
            <w:r w:rsidR="0089580B"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tcBorders>
              <w:bottom w:val="single" w:sz="4" w:space="0" w:color="auto"/>
            </w:tcBorders>
            <w:shd w:val="clear" w:color="auto" w:fill="auto"/>
          </w:tcPr>
          <w:p w:rsidR="00716F1B" w:rsidRPr="00371376" w:rsidRDefault="00985A96" w:rsidP="00BA4AA3">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C_COAMT_08"/>
                  <w:enabled/>
                  <w:calcOnExit/>
                  <w:textInput>
                    <w:type w:val="number"/>
                    <w:format w:val="#,##0"/>
                  </w:textInput>
                </w:ffData>
              </w:fldChar>
            </w:r>
            <w:r w:rsidR="00716F1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BB4679" w:rsidRPr="00371376">
              <w:rPr>
                <w:rFonts w:ascii="Times New Roman" w:eastAsia="Times New Roman" w:hAnsi="Times New Roman"/>
                <w:noProof/>
              </w:rPr>
              <w:t>1,</w:t>
            </w:r>
            <w:r w:rsidR="00BA4AA3" w:rsidRPr="00371376">
              <w:rPr>
                <w:rFonts w:ascii="Times New Roman" w:eastAsia="Times New Roman" w:hAnsi="Times New Roman"/>
                <w:noProof/>
              </w:rPr>
              <w:t>2</w:t>
            </w:r>
            <w:r w:rsidR="00BB4679" w:rsidRPr="00371376">
              <w:rPr>
                <w:rFonts w:ascii="Times New Roman" w:eastAsia="Times New Roman" w:hAnsi="Times New Roman"/>
                <w:noProof/>
              </w:rPr>
              <w:t>00,000</w:t>
            </w:r>
            <w:r w:rsidRPr="00371376">
              <w:rPr>
                <w:rFonts w:ascii="Times New Roman" w:eastAsia="Times New Roman" w:hAnsi="Times New Roman"/>
              </w:rPr>
              <w:fldChar w:fldCharType="end"/>
            </w:r>
          </w:p>
        </w:tc>
      </w:tr>
      <w:tr w:rsidR="00692D88" w:rsidRPr="00BA1C6A" w:rsidTr="00B37EA5">
        <w:trPr>
          <w:cantSplit/>
        </w:trPr>
        <w:tc>
          <w:tcPr>
            <w:tcW w:w="1272" w:type="pct"/>
            <w:tcBorders>
              <w:bottom w:val="single" w:sz="4" w:space="0" w:color="auto"/>
            </w:tcBorders>
            <w:shd w:val="clear" w:color="auto" w:fill="auto"/>
          </w:tcPr>
          <w:p w:rsidR="00692D88"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6"/>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692D88"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1844" w:type="pct"/>
            <w:tcBorders>
              <w:bottom w:val="single" w:sz="4" w:space="0" w:color="auto"/>
            </w:tcBorders>
            <w:shd w:val="clear" w:color="auto" w:fill="auto"/>
          </w:tcPr>
          <w:p w:rsidR="00692D88" w:rsidRPr="00371376" w:rsidRDefault="00985A96" w:rsidP="00BB4679">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6"/>
                  <w:enabled/>
                  <w:calcOnExit w:val="0"/>
                  <w:textInput>
                    <w:default w:val="Asian Pulp and Paper (APP)"/>
                  </w:textInput>
                </w:ffData>
              </w:fldChar>
            </w:r>
            <w:r w:rsidR="00692D88"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692D88" w:rsidRPr="00371376">
              <w:rPr>
                <w:rFonts w:ascii="Times New Roman" w:eastAsia="Times New Roman" w:hAnsi="Times New Roman"/>
                <w:noProof/>
              </w:rPr>
              <w:t>Asian Pulp and Paper (APP)</w:t>
            </w:r>
            <w:r w:rsidRPr="00371376">
              <w:rPr>
                <w:rFonts w:ascii="Times New Roman" w:eastAsia="Times New Roman" w:hAnsi="Times New Roman"/>
              </w:rPr>
              <w:fldChar w:fldCharType="end"/>
            </w:r>
          </w:p>
        </w:tc>
        <w:tc>
          <w:tcPr>
            <w:tcW w:w="972" w:type="pct"/>
            <w:tcBorders>
              <w:bottom w:val="single" w:sz="4" w:space="0" w:color="auto"/>
            </w:tcBorders>
            <w:shd w:val="clear" w:color="auto" w:fill="auto"/>
          </w:tcPr>
          <w:p w:rsidR="00692D88" w:rsidRPr="00371376" w:rsidRDefault="00985A96" w:rsidP="000729C2">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ddList>
                    <w:listEntry w:val="Cash"/>
                    <w:listEntry w:val="(select)"/>
                    <w:listEntry w:val="Grant"/>
                    <w:listEntry w:val="Soft-loan"/>
                    <w:listEntry w:val="Hard-loan"/>
                    <w:listEntry w:val="Guarantee"/>
                    <w:listEntry w:val="In-Kind"/>
                  </w:ddList>
                </w:ffData>
              </w:fldChar>
            </w:r>
            <w:r w:rsidR="00692D88"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p>
        </w:tc>
        <w:tc>
          <w:tcPr>
            <w:tcW w:w="912" w:type="pct"/>
            <w:tcBorders>
              <w:bottom w:val="single" w:sz="4" w:space="0" w:color="auto"/>
            </w:tcBorders>
            <w:shd w:val="clear" w:color="auto" w:fill="auto"/>
          </w:tcPr>
          <w:p w:rsidR="00692D88" w:rsidRPr="00371376" w:rsidRDefault="00985A96" w:rsidP="00BA4AA3">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C_COAMT_06"/>
                  <w:enabled/>
                  <w:calcOnExit/>
                  <w:textInput>
                    <w:type w:val="number"/>
                    <w:format w:val="#,##0"/>
                  </w:textInput>
                </w:ffData>
              </w:fldChar>
            </w:r>
            <w:r w:rsidR="00692D88"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692D88" w:rsidRPr="00371376">
              <w:rPr>
                <w:rFonts w:ascii="Times New Roman" w:eastAsia="Times New Roman" w:hAnsi="Times New Roman"/>
                <w:noProof/>
              </w:rPr>
              <w:t>1,412,802</w:t>
            </w:r>
            <w:r w:rsidRPr="00371376">
              <w:rPr>
                <w:rFonts w:ascii="Times New Roman" w:eastAsia="Times New Roman" w:hAnsi="Times New Roman"/>
              </w:rPr>
              <w:fldChar w:fldCharType="end"/>
            </w:r>
          </w:p>
        </w:tc>
      </w:tr>
      <w:bookmarkStart w:id="53" w:name="SrcCo_09"/>
      <w:tr w:rsidR="00591870" w:rsidRPr="00BA1C6A" w:rsidTr="00B37EA5">
        <w:trPr>
          <w:cantSplit/>
        </w:trPr>
        <w:tc>
          <w:tcPr>
            <w:tcW w:w="1272" w:type="pct"/>
            <w:tcBorders>
              <w:bottom w:val="single" w:sz="4" w:space="0" w:color="auto"/>
            </w:tcBorders>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9"/>
                  <w:enabled/>
                  <w:calcOnExit w:val="0"/>
                  <w:ddList>
                    <w:result w:val="6"/>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591870"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53"/>
          </w:p>
        </w:tc>
        <w:bookmarkStart w:id="54" w:name="CofinanciarName_09"/>
        <w:tc>
          <w:tcPr>
            <w:tcW w:w="1844" w:type="pct"/>
            <w:tcBorders>
              <w:bottom w:val="single" w:sz="4" w:space="0" w:color="auto"/>
            </w:tcBorders>
            <w:shd w:val="clear" w:color="auto" w:fill="auto"/>
          </w:tcPr>
          <w:p w:rsidR="00591870" w:rsidRPr="00371376" w:rsidRDefault="00985A96" w:rsidP="00716F1B">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9"/>
                  <w:enabled/>
                  <w:calcOnExit w:val="0"/>
                  <w:textInput/>
                </w:ffData>
              </w:fldChar>
            </w:r>
            <w:r w:rsidR="00591870"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716F1B" w:rsidRPr="00371376">
              <w:rPr>
                <w:rFonts w:ascii="Times New Roman" w:eastAsia="Times New Roman" w:hAnsi="Times New Roman"/>
                <w:noProof/>
              </w:rPr>
              <w:t>WWF Indonesia</w:t>
            </w:r>
            <w:r w:rsidRPr="00371376">
              <w:rPr>
                <w:rFonts w:ascii="Times New Roman" w:eastAsia="Times New Roman" w:hAnsi="Times New Roman"/>
              </w:rPr>
              <w:fldChar w:fldCharType="end"/>
            </w:r>
            <w:bookmarkEnd w:id="54"/>
          </w:p>
        </w:tc>
        <w:bookmarkStart w:id="55" w:name="CofinType_09"/>
        <w:tc>
          <w:tcPr>
            <w:tcW w:w="972" w:type="pct"/>
            <w:tcBorders>
              <w:bottom w:val="single" w:sz="4" w:space="0" w:color="auto"/>
            </w:tcBorders>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Type_09"/>
                  <w:enabled/>
                  <w:calcOnExit w:val="0"/>
                  <w:ddList>
                    <w:result w:val="5"/>
                    <w:listEntry w:val="(select)"/>
                    <w:listEntry w:val="Grant"/>
                    <w:listEntry w:val="Soft-loan"/>
                    <w:listEntry w:val="Hard-loan"/>
                    <w:listEntry w:val="Guarantee"/>
                    <w:listEntry w:val="In-Kind"/>
                  </w:ddList>
                </w:ffData>
              </w:fldChar>
            </w:r>
            <w:r w:rsidR="00591870"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55"/>
          </w:p>
        </w:tc>
        <w:tc>
          <w:tcPr>
            <w:tcW w:w="912" w:type="pct"/>
            <w:tcBorders>
              <w:bottom w:val="single" w:sz="4" w:space="0" w:color="auto"/>
            </w:tcBorders>
            <w:shd w:val="clear" w:color="auto" w:fill="auto"/>
          </w:tcPr>
          <w:p w:rsidR="00591870" w:rsidRPr="00371376" w:rsidRDefault="00B37EA5" w:rsidP="00BA397E">
            <w:pPr>
              <w:spacing w:after="0" w:line="240" w:lineRule="auto"/>
              <w:jc w:val="right"/>
              <w:rPr>
                <w:rFonts w:ascii="Times New Roman" w:eastAsia="Times New Roman" w:hAnsi="Times New Roman"/>
              </w:rPr>
            </w:pPr>
            <w:r w:rsidRPr="00371376">
              <w:rPr>
                <w:rFonts w:ascii="Times New Roman" w:eastAsia="Times New Roman" w:hAnsi="Times New Roman"/>
              </w:rPr>
              <w:t>1,415,931</w:t>
            </w:r>
          </w:p>
        </w:tc>
      </w:tr>
      <w:tr w:rsidR="00A45126" w:rsidRPr="00BA1C6A" w:rsidTr="00B37EA5">
        <w:trPr>
          <w:cantSplit/>
        </w:trPr>
        <w:tc>
          <w:tcPr>
            <w:tcW w:w="1272" w:type="pct"/>
            <w:tcBorders>
              <w:top w:val="single" w:sz="4" w:space="0" w:color="auto"/>
              <w:bottom w:val="double" w:sz="4" w:space="0" w:color="auto"/>
            </w:tcBorders>
            <w:shd w:val="clear" w:color="auto" w:fill="auto"/>
          </w:tcPr>
          <w:p w:rsidR="00A45126" w:rsidRPr="00371376" w:rsidRDefault="00A45126" w:rsidP="00591870">
            <w:pPr>
              <w:spacing w:after="0" w:line="240" w:lineRule="auto"/>
              <w:rPr>
                <w:rFonts w:ascii="Times New Roman" w:eastAsia="Times New Roman" w:hAnsi="Times New Roman"/>
              </w:rPr>
            </w:pPr>
          </w:p>
        </w:tc>
        <w:tc>
          <w:tcPr>
            <w:tcW w:w="1844" w:type="pct"/>
            <w:tcBorders>
              <w:top w:val="single" w:sz="4" w:space="0" w:color="auto"/>
              <w:bottom w:val="double" w:sz="4" w:space="0" w:color="auto"/>
            </w:tcBorders>
            <w:shd w:val="clear" w:color="auto" w:fill="auto"/>
          </w:tcPr>
          <w:p w:rsidR="00A45126" w:rsidRPr="00371376" w:rsidRDefault="00BA1C6A" w:rsidP="00BA1C6A">
            <w:pPr>
              <w:spacing w:after="0" w:line="240" w:lineRule="auto"/>
              <w:rPr>
                <w:rFonts w:ascii="Times New Roman" w:eastAsia="Times New Roman" w:hAnsi="Times New Roman"/>
              </w:rPr>
            </w:pPr>
            <w:r w:rsidRPr="00371376">
              <w:rPr>
                <w:rFonts w:ascii="Times New Roman" w:eastAsia="Times New Roman" w:hAnsi="Times New Roman"/>
              </w:rPr>
              <w:t xml:space="preserve">WWF </w:t>
            </w:r>
            <w:r w:rsidR="009D381C" w:rsidRPr="00371376">
              <w:rPr>
                <w:rFonts w:ascii="Times New Roman" w:eastAsia="Times New Roman" w:hAnsi="Times New Roman"/>
              </w:rPr>
              <w:t xml:space="preserve">(through  </w:t>
            </w:r>
            <w:r w:rsidR="00A45126" w:rsidRPr="00371376">
              <w:rPr>
                <w:rFonts w:ascii="Times New Roman" w:eastAsia="Times New Roman" w:hAnsi="Times New Roman"/>
              </w:rPr>
              <w:t>MCA-I grant</w:t>
            </w:r>
            <w:r w:rsidR="009D381C" w:rsidRPr="00371376">
              <w:rPr>
                <w:rFonts w:ascii="Times New Roman" w:eastAsia="Times New Roman" w:hAnsi="Times New Roman"/>
              </w:rPr>
              <w:t>)</w:t>
            </w:r>
          </w:p>
        </w:tc>
        <w:tc>
          <w:tcPr>
            <w:tcW w:w="972" w:type="pct"/>
            <w:tcBorders>
              <w:top w:val="single" w:sz="4" w:space="0" w:color="auto"/>
              <w:bottom w:val="double" w:sz="4" w:space="0" w:color="auto"/>
            </w:tcBorders>
            <w:shd w:val="clear" w:color="auto" w:fill="auto"/>
          </w:tcPr>
          <w:p w:rsidR="00A45126" w:rsidRPr="00371376" w:rsidRDefault="009D381C" w:rsidP="00591870">
            <w:pPr>
              <w:spacing w:after="0" w:line="240" w:lineRule="auto"/>
              <w:rPr>
                <w:rFonts w:ascii="Times New Roman" w:eastAsia="Times New Roman" w:hAnsi="Times New Roman"/>
              </w:rPr>
            </w:pPr>
            <w:r w:rsidRPr="00371376">
              <w:rPr>
                <w:rFonts w:ascii="Times New Roman" w:eastAsia="Times New Roman" w:hAnsi="Times New Roman"/>
              </w:rPr>
              <w:t>C</w:t>
            </w:r>
            <w:r w:rsidR="00A45126" w:rsidRPr="00371376">
              <w:rPr>
                <w:rFonts w:ascii="Times New Roman" w:eastAsia="Times New Roman" w:hAnsi="Times New Roman"/>
              </w:rPr>
              <w:t>ash</w:t>
            </w:r>
          </w:p>
        </w:tc>
        <w:tc>
          <w:tcPr>
            <w:tcW w:w="912" w:type="pct"/>
            <w:tcBorders>
              <w:top w:val="single" w:sz="4" w:space="0" w:color="auto"/>
              <w:bottom w:val="double" w:sz="4" w:space="0" w:color="auto"/>
            </w:tcBorders>
            <w:shd w:val="clear" w:color="auto" w:fill="auto"/>
          </w:tcPr>
          <w:p w:rsidR="00A45126" w:rsidRPr="00371376" w:rsidRDefault="00B37EA5" w:rsidP="00BA397E">
            <w:pPr>
              <w:spacing w:after="0" w:line="240" w:lineRule="auto"/>
              <w:jc w:val="right"/>
              <w:rPr>
                <w:rFonts w:ascii="Times New Roman" w:eastAsia="Times New Roman" w:hAnsi="Times New Roman"/>
              </w:rPr>
            </w:pPr>
            <w:r w:rsidRPr="00371376">
              <w:rPr>
                <w:rFonts w:ascii="Times New Roman" w:eastAsia="Times New Roman" w:hAnsi="Times New Roman"/>
              </w:rPr>
              <w:t>3,400,000</w:t>
            </w:r>
          </w:p>
        </w:tc>
      </w:tr>
      <w:tr w:rsidR="00B37EA5" w:rsidRPr="00BA1C6A" w:rsidTr="00B37EA5">
        <w:trPr>
          <w:cantSplit/>
        </w:trPr>
        <w:tc>
          <w:tcPr>
            <w:tcW w:w="1272" w:type="pct"/>
            <w:tcBorders>
              <w:bottom w:val="double" w:sz="4" w:space="0" w:color="auto"/>
            </w:tcBorders>
            <w:shd w:val="clear" w:color="auto" w:fill="auto"/>
          </w:tcPr>
          <w:p w:rsidR="00B37EA5" w:rsidRPr="00371376" w:rsidRDefault="00B37EA5" w:rsidP="00591870">
            <w:pPr>
              <w:spacing w:after="0" w:line="240" w:lineRule="auto"/>
              <w:rPr>
                <w:rFonts w:ascii="Times New Roman" w:eastAsia="Times New Roman" w:hAnsi="Times New Roman"/>
              </w:rPr>
            </w:pPr>
            <w:r w:rsidRPr="00371376">
              <w:rPr>
                <w:rFonts w:ascii="Times New Roman" w:eastAsia="Times New Roman" w:hAnsi="Times New Roman"/>
              </w:rPr>
              <w:t>CSO</w:t>
            </w:r>
          </w:p>
        </w:tc>
        <w:tc>
          <w:tcPr>
            <w:tcW w:w="1844" w:type="pct"/>
            <w:tcBorders>
              <w:bottom w:val="double" w:sz="4" w:space="0" w:color="auto"/>
            </w:tcBorders>
            <w:shd w:val="clear" w:color="auto" w:fill="auto"/>
          </w:tcPr>
          <w:p w:rsidR="00B37EA5" w:rsidRPr="00371376" w:rsidRDefault="00B37EA5" w:rsidP="00716F1B">
            <w:pPr>
              <w:spacing w:after="0" w:line="240" w:lineRule="auto"/>
              <w:rPr>
                <w:rFonts w:ascii="Times New Roman" w:eastAsia="Times New Roman" w:hAnsi="Times New Roman"/>
              </w:rPr>
            </w:pPr>
            <w:r w:rsidRPr="00371376">
              <w:rPr>
                <w:rFonts w:ascii="Times New Roman" w:eastAsia="Times New Roman" w:hAnsi="Times New Roman"/>
              </w:rPr>
              <w:t>VECO</w:t>
            </w:r>
          </w:p>
        </w:tc>
        <w:tc>
          <w:tcPr>
            <w:tcW w:w="972" w:type="pct"/>
            <w:tcBorders>
              <w:bottom w:val="double" w:sz="4" w:space="0" w:color="auto"/>
            </w:tcBorders>
            <w:shd w:val="clear" w:color="auto" w:fill="auto"/>
          </w:tcPr>
          <w:p w:rsidR="00B37EA5" w:rsidRPr="00371376" w:rsidRDefault="00B37EA5" w:rsidP="00591870">
            <w:pPr>
              <w:spacing w:after="0" w:line="240" w:lineRule="auto"/>
              <w:rPr>
                <w:rFonts w:ascii="Times New Roman" w:eastAsia="Times New Roman" w:hAnsi="Times New Roman"/>
              </w:rPr>
            </w:pPr>
            <w:r w:rsidRPr="00371376">
              <w:rPr>
                <w:rFonts w:ascii="Times New Roman" w:eastAsia="Times New Roman" w:hAnsi="Times New Roman"/>
              </w:rPr>
              <w:t>In-kind</w:t>
            </w:r>
          </w:p>
        </w:tc>
        <w:tc>
          <w:tcPr>
            <w:tcW w:w="912" w:type="pct"/>
            <w:tcBorders>
              <w:bottom w:val="double" w:sz="4" w:space="0" w:color="auto"/>
            </w:tcBorders>
            <w:shd w:val="clear" w:color="auto" w:fill="auto"/>
          </w:tcPr>
          <w:p w:rsidR="00B37EA5" w:rsidRPr="00371376" w:rsidRDefault="00B37EA5" w:rsidP="00BA397E">
            <w:pPr>
              <w:spacing w:after="0" w:line="240" w:lineRule="auto"/>
              <w:jc w:val="right"/>
              <w:rPr>
                <w:rFonts w:ascii="Times New Roman" w:eastAsia="Times New Roman" w:hAnsi="Times New Roman"/>
              </w:rPr>
            </w:pPr>
            <w:r w:rsidRPr="00371376">
              <w:rPr>
                <w:rFonts w:ascii="Times New Roman" w:eastAsia="Times New Roman" w:hAnsi="Times New Roman"/>
              </w:rPr>
              <w:t>327,139</w:t>
            </w:r>
          </w:p>
        </w:tc>
      </w:tr>
      <w:tr w:rsidR="0089580B" w:rsidRPr="00BA1C6A" w:rsidTr="00B37EA5">
        <w:trPr>
          <w:cantSplit/>
        </w:trPr>
        <w:tc>
          <w:tcPr>
            <w:tcW w:w="1272" w:type="pct"/>
            <w:tcBorders>
              <w:bottom w:val="double" w:sz="4" w:space="0" w:color="auto"/>
            </w:tcBorders>
            <w:shd w:val="clear" w:color="auto" w:fill="auto"/>
          </w:tcPr>
          <w:p w:rsidR="0089580B"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8"/>
                  <w:enabled/>
                  <w:calcOnExit w:val="0"/>
                  <w:ddList>
                    <w:listEntry w:val="Others"/>
                    <w:listEntry w:val="Bilateral Aid Agency (ies)"/>
                    <w:listEntry w:val="(select)"/>
                    <w:listEntry w:val="Foundation"/>
                    <w:listEntry w:val="GEF Agency"/>
                    <w:listEntry w:val="Local Government"/>
                    <w:listEntry w:val="National Government"/>
                    <w:listEntry w:val="CSO"/>
                    <w:listEntry w:val="Other Multilateral Agency (ies)"/>
                    <w:listEntry w:val="Private Sector"/>
                  </w:ddList>
                </w:ffData>
              </w:fldChar>
            </w:r>
            <w:bookmarkStart w:id="56" w:name="SrcCo_08"/>
            <w:r w:rsidR="00846A58"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56"/>
          </w:p>
        </w:tc>
        <w:tc>
          <w:tcPr>
            <w:tcW w:w="1844" w:type="pct"/>
            <w:tcBorders>
              <w:bottom w:val="double" w:sz="4" w:space="0" w:color="auto"/>
            </w:tcBorders>
            <w:shd w:val="clear" w:color="auto" w:fill="auto"/>
          </w:tcPr>
          <w:p w:rsidR="0089580B" w:rsidRPr="00371376" w:rsidRDefault="00985A96" w:rsidP="00716F1B">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
                  <w:enabled/>
                  <w:calcOnExit w:val="0"/>
                  <w:textInput>
                    <w:default w:val="ACIAR - University of Adelaide"/>
                  </w:textInput>
                </w:ffData>
              </w:fldChar>
            </w:r>
            <w:r w:rsidR="0089580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89580B" w:rsidRPr="00371376">
              <w:rPr>
                <w:rFonts w:ascii="Times New Roman" w:eastAsia="Times New Roman" w:hAnsi="Times New Roman"/>
                <w:noProof/>
              </w:rPr>
              <w:t>ACIAR - University of Adelaide</w:t>
            </w:r>
            <w:r w:rsidRPr="00371376">
              <w:rPr>
                <w:rFonts w:ascii="Times New Roman" w:eastAsia="Times New Roman" w:hAnsi="Times New Roman"/>
              </w:rPr>
              <w:fldChar w:fldCharType="end"/>
            </w:r>
          </w:p>
        </w:tc>
        <w:tc>
          <w:tcPr>
            <w:tcW w:w="972" w:type="pct"/>
            <w:tcBorders>
              <w:bottom w:val="double" w:sz="4" w:space="0" w:color="auto"/>
            </w:tcBorders>
            <w:shd w:val="clear" w:color="auto" w:fill="auto"/>
          </w:tcPr>
          <w:p w:rsidR="0089580B" w:rsidRPr="00371376" w:rsidRDefault="00846F3E" w:rsidP="00591870">
            <w:pPr>
              <w:spacing w:after="0" w:line="240" w:lineRule="auto"/>
              <w:rPr>
                <w:rFonts w:ascii="Times New Roman" w:eastAsia="Times New Roman" w:hAnsi="Times New Roman"/>
              </w:rPr>
            </w:pPr>
            <w:r>
              <w:rPr>
                <w:rFonts w:ascii="Times New Roman" w:eastAsia="Times New Roman" w:hAnsi="Times New Roman"/>
              </w:rPr>
              <w:t>In-kind</w:t>
            </w:r>
          </w:p>
        </w:tc>
        <w:tc>
          <w:tcPr>
            <w:tcW w:w="912" w:type="pct"/>
            <w:tcBorders>
              <w:bottom w:val="double" w:sz="4" w:space="0" w:color="auto"/>
            </w:tcBorders>
            <w:shd w:val="clear" w:color="auto" w:fill="auto"/>
          </w:tcPr>
          <w:p w:rsidR="0089580B" w:rsidRPr="00371376" w:rsidRDefault="00985A96" w:rsidP="00BA397E">
            <w:pPr>
              <w:spacing w:after="0" w:line="240" w:lineRule="auto"/>
              <w:jc w:val="right"/>
              <w:rPr>
                <w:rFonts w:ascii="Times New Roman" w:eastAsia="Times New Roman" w:hAnsi="Times New Roman"/>
              </w:rPr>
            </w:pPr>
            <w:r w:rsidRPr="00371376">
              <w:rPr>
                <w:rFonts w:ascii="Times New Roman" w:eastAsia="Times New Roman" w:hAnsi="Times New Roman"/>
              </w:rPr>
              <w:fldChar w:fldCharType="begin">
                <w:ffData>
                  <w:name w:val=""/>
                  <w:enabled/>
                  <w:calcOnExit/>
                  <w:textInput>
                    <w:type w:val="number"/>
                    <w:default w:val="200,000"/>
                    <w:format w:val="#,##0"/>
                  </w:textInput>
                </w:ffData>
              </w:fldChar>
            </w:r>
            <w:r w:rsidR="0089580B"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89580B" w:rsidRPr="00371376">
              <w:rPr>
                <w:rFonts w:ascii="Times New Roman" w:eastAsia="Times New Roman" w:hAnsi="Times New Roman"/>
                <w:noProof/>
              </w:rPr>
              <w:t>200,000</w:t>
            </w:r>
            <w:r w:rsidRPr="00371376">
              <w:rPr>
                <w:rFonts w:ascii="Times New Roman" w:eastAsia="Times New Roman" w:hAnsi="Times New Roman"/>
              </w:rPr>
              <w:fldChar w:fldCharType="end"/>
            </w:r>
          </w:p>
        </w:tc>
      </w:tr>
      <w:bookmarkStart w:id="57" w:name="SrcCo_010"/>
      <w:tr w:rsidR="00591870" w:rsidRPr="00BA1C6A" w:rsidTr="00B37EA5">
        <w:trPr>
          <w:cantSplit/>
        </w:trPr>
        <w:tc>
          <w:tcPr>
            <w:tcW w:w="1272" w:type="pct"/>
            <w:tcBorders>
              <w:bottom w:val="double" w:sz="4" w:space="0" w:color="auto"/>
            </w:tcBorders>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SrcCo_010"/>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591870"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57"/>
          </w:p>
        </w:tc>
        <w:bookmarkStart w:id="58" w:name="CofinanciarName_010"/>
        <w:tc>
          <w:tcPr>
            <w:tcW w:w="1844" w:type="pct"/>
            <w:tcBorders>
              <w:bottom w:val="double" w:sz="4" w:space="0" w:color="auto"/>
            </w:tcBorders>
            <w:shd w:val="clear" w:color="auto" w:fill="auto"/>
          </w:tcPr>
          <w:p w:rsidR="00591870" w:rsidRPr="00371376" w:rsidRDefault="00985A96" w:rsidP="00716F1B">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anciarName_010"/>
                  <w:enabled/>
                  <w:calcOnExit w:val="0"/>
                  <w:textInput/>
                </w:ffData>
              </w:fldChar>
            </w:r>
            <w:r w:rsidR="00591870" w:rsidRPr="00371376">
              <w:rPr>
                <w:rFonts w:ascii="Times New Roman" w:eastAsia="Times New Roman" w:hAnsi="Times New Roman"/>
              </w:rPr>
              <w:instrText xml:space="preserve"> FORMTEXT </w:instrText>
            </w:r>
            <w:r w:rsidRPr="00371376">
              <w:rPr>
                <w:rFonts w:ascii="Times New Roman" w:eastAsia="Times New Roman" w:hAnsi="Times New Roman"/>
              </w:rPr>
            </w:r>
            <w:r w:rsidRPr="00371376">
              <w:rPr>
                <w:rFonts w:ascii="Times New Roman" w:eastAsia="Times New Roman" w:hAnsi="Times New Roman"/>
              </w:rPr>
              <w:fldChar w:fldCharType="separate"/>
            </w:r>
            <w:r w:rsidR="00716F1B" w:rsidRPr="00371376">
              <w:rPr>
                <w:rFonts w:ascii="Times New Roman" w:eastAsia="Times New Roman" w:hAnsi="Times New Roman"/>
                <w:noProof/>
              </w:rPr>
              <w:t>UNEP</w:t>
            </w:r>
            <w:r w:rsidRPr="00371376">
              <w:rPr>
                <w:rFonts w:ascii="Times New Roman" w:eastAsia="Times New Roman" w:hAnsi="Times New Roman"/>
              </w:rPr>
              <w:fldChar w:fldCharType="end"/>
            </w:r>
            <w:bookmarkEnd w:id="58"/>
            <w:r w:rsidR="00E16F7C">
              <w:rPr>
                <w:rFonts w:ascii="Times New Roman" w:eastAsia="Times New Roman" w:hAnsi="Times New Roman"/>
              </w:rPr>
              <w:t xml:space="preserve"> (DEPI plus ROAP)</w:t>
            </w:r>
          </w:p>
        </w:tc>
        <w:bookmarkStart w:id="59" w:name="CofinType_010"/>
        <w:tc>
          <w:tcPr>
            <w:tcW w:w="972" w:type="pct"/>
            <w:tcBorders>
              <w:bottom w:val="double" w:sz="4" w:space="0" w:color="auto"/>
            </w:tcBorders>
            <w:shd w:val="clear" w:color="auto" w:fill="auto"/>
          </w:tcPr>
          <w:p w:rsidR="00591870" w:rsidRPr="00371376" w:rsidRDefault="00985A96" w:rsidP="00591870">
            <w:pPr>
              <w:spacing w:after="0" w:line="240" w:lineRule="auto"/>
              <w:rPr>
                <w:rFonts w:ascii="Times New Roman" w:eastAsia="Times New Roman" w:hAnsi="Times New Roman"/>
              </w:rPr>
            </w:pPr>
            <w:r w:rsidRPr="00371376">
              <w:rPr>
                <w:rFonts w:ascii="Times New Roman" w:eastAsia="Times New Roman" w:hAnsi="Times New Roman"/>
              </w:rPr>
              <w:fldChar w:fldCharType="begin">
                <w:ffData>
                  <w:name w:val="CofinType_010"/>
                  <w:enabled/>
                  <w:calcOnExit w:val="0"/>
                  <w:ddList>
                    <w:result w:val="5"/>
                    <w:listEntry w:val="(select)"/>
                    <w:listEntry w:val="Grant"/>
                    <w:listEntry w:val="Soft-loan"/>
                    <w:listEntry w:val="Hard-loan"/>
                    <w:listEntry w:val="Guarantee"/>
                    <w:listEntry w:val="In-Kind"/>
                  </w:ddList>
                </w:ffData>
              </w:fldChar>
            </w:r>
            <w:r w:rsidR="00591870" w:rsidRPr="0037137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371376">
              <w:rPr>
                <w:rFonts w:ascii="Times New Roman" w:eastAsia="Times New Roman" w:hAnsi="Times New Roman"/>
              </w:rPr>
              <w:fldChar w:fldCharType="end"/>
            </w:r>
            <w:bookmarkEnd w:id="59"/>
          </w:p>
        </w:tc>
        <w:tc>
          <w:tcPr>
            <w:tcW w:w="912" w:type="pct"/>
            <w:tcBorders>
              <w:bottom w:val="double" w:sz="4" w:space="0" w:color="auto"/>
            </w:tcBorders>
            <w:shd w:val="clear" w:color="auto" w:fill="auto"/>
          </w:tcPr>
          <w:p w:rsidR="00591870" w:rsidRPr="00371376" w:rsidRDefault="0031680B" w:rsidP="00BB4679">
            <w:pPr>
              <w:spacing w:after="0" w:line="240" w:lineRule="auto"/>
              <w:jc w:val="right"/>
              <w:rPr>
                <w:rFonts w:ascii="Times New Roman" w:eastAsia="Times New Roman" w:hAnsi="Times New Roman"/>
              </w:rPr>
            </w:pPr>
            <w:r w:rsidRPr="00371376">
              <w:rPr>
                <w:rFonts w:ascii="Times New Roman" w:eastAsia="Times New Roman" w:hAnsi="Times New Roman"/>
              </w:rPr>
              <w:t>685,000</w:t>
            </w:r>
          </w:p>
        </w:tc>
      </w:tr>
      <w:tr w:rsidR="00591870" w:rsidRPr="00BA1C6A" w:rsidTr="00B37EA5">
        <w:trPr>
          <w:cantSplit/>
        </w:trPr>
        <w:tc>
          <w:tcPr>
            <w:tcW w:w="4088" w:type="pct"/>
            <w:gridSpan w:val="3"/>
            <w:tcBorders>
              <w:top w:val="double" w:sz="4" w:space="0" w:color="auto"/>
            </w:tcBorders>
            <w:shd w:val="clear" w:color="auto" w:fill="auto"/>
          </w:tcPr>
          <w:p w:rsidR="00591870" w:rsidRPr="00371376" w:rsidRDefault="00591870" w:rsidP="00591870">
            <w:pPr>
              <w:spacing w:after="0" w:line="240" w:lineRule="auto"/>
              <w:rPr>
                <w:rFonts w:ascii="Times New Roman" w:eastAsia="Times New Roman" w:hAnsi="Times New Roman"/>
                <w:b/>
              </w:rPr>
            </w:pPr>
            <w:r w:rsidRPr="00371376">
              <w:rPr>
                <w:rFonts w:ascii="Times New Roman" w:eastAsia="Times New Roman" w:hAnsi="Times New Roman"/>
                <w:b/>
              </w:rPr>
              <w:t>Total Co-financing</w:t>
            </w:r>
          </w:p>
        </w:tc>
        <w:tc>
          <w:tcPr>
            <w:tcW w:w="912" w:type="pct"/>
            <w:tcBorders>
              <w:top w:val="double" w:sz="4" w:space="0" w:color="auto"/>
            </w:tcBorders>
            <w:shd w:val="clear" w:color="auto" w:fill="auto"/>
          </w:tcPr>
          <w:p w:rsidR="00591870" w:rsidRPr="00371376" w:rsidRDefault="000B7E49" w:rsidP="00846F3E">
            <w:pPr>
              <w:spacing w:after="0" w:line="240" w:lineRule="auto"/>
              <w:jc w:val="right"/>
              <w:rPr>
                <w:rFonts w:ascii="Times New Roman" w:eastAsia="Times New Roman" w:hAnsi="Times New Roman"/>
              </w:rPr>
            </w:pPr>
            <w:r w:rsidRPr="00371376">
              <w:rPr>
                <w:rFonts w:ascii="Times New Roman" w:eastAsia="Times New Roman" w:hAnsi="Times New Roman"/>
              </w:rPr>
              <w:t>4</w:t>
            </w:r>
            <w:r w:rsidR="00846F3E">
              <w:rPr>
                <w:rFonts w:ascii="Times New Roman" w:eastAsia="Times New Roman" w:hAnsi="Times New Roman"/>
              </w:rPr>
              <w:t>0,640,872</w:t>
            </w:r>
          </w:p>
        </w:tc>
      </w:tr>
    </w:tbl>
    <w:p w:rsidR="00591870" w:rsidRPr="00E034C6"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E034C6">
        <w:rPr>
          <w:rFonts w:ascii="Times New Roman" w:eastAsia="Times New Roman" w:hAnsi="Times New Roman"/>
          <w:b/>
          <w:bCs/>
          <w:smallCaps/>
        </w:rPr>
        <w:t>trust fund Resources Requested by agency, Focal Area  and country</w:t>
      </w:r>
      <w:r w:rsidRPr="00E034C6">
        <w:rPr>
          <w:rFonts w:ascii="Times New Roman" w:eastAsia="Times New Roman" w:hAnsi="Times New Roman"/>
          <w:bCs/>
          <w:smallCaps/>
          <w:vertAlign w:val="superscript"/>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395"/>
        <w:gridCol w:w="1711"/>
        <w:gridCol w:w="1800"/>
        <w:gridCol w:w="1349"/>
        <w:gridCol w:w="1442"/>
        <w:gridCol w:w="1360"/>
      </w:tblGrid>
      <w:tr w:rsidR="00591870" w:rsidRPr="00E034C6" w:rsidTr="00591870">
        <w:trPr>
          <w:trHeight w:val="278"/>
        </w:trPr>
        <w:tc>
          <w:tcPr>
            <w:tcW w:w="818" w:type="pct"/>
            <w:vMerge w:val="restart"/>
            <w:shd w:val="clear" w:color="auto" w:fill="auto"/>
            <w:vAlign w:val="center"/>
          </w:tcPr>
          <w:p w:rsidR="00591870" w:rsidRPr="00E034C6" w:rsidRDefault="00591870" w:rsidP="00591870">
            <w:pPr>
              <w:spacing w:after="80" w:line="240" w:lineRule="auto"/>
              <w:jc w:val="center"/>
              <w:rPr>
                <w:rFonts w:ascii="Times New Roman" w:eastAsia="Times New Roman" w:hAnsi="Times New Roman"/>
                <w:b/>
              </w:rPr>
            </w:pPr>
            <w:r w:rsidRPr="00E034C6">
              <w:rPr>
                <w:rFonts w:ascii="Times New Roman" w:eastAsia="Times New Roman" w:hAnsi="Times New Roman"/>
                <w:b/>
              </w:rPr>
              <w:t>GEF Agency</w:t>
            </w:r>
          </w:p>
        </w:tc>
        <w:tc>
          <w:tcPr>
            <w:tcW w:w="644" w:type="pct"/>
            <w:vMerge w:val="restart"/>
            <w:shd w:val="clear" w:color="auto" w:fill="auto"/>
            <w:vAlign w:val="center"/>
          </w:tcPr>
          <w:p w:rsidR="00591870" w:rsidRPr="00E034C6" w:rsidRDefault="00591870" w:rsidP="00591870">
            <w:pPr>
              <w:spacing w:after="0" w:line="240" w:lineRule="auto"/>
              <w:jc w:val="center"/>
              <w:rPr>
                <w:rFonts w:ascii="Times New Roman" w:eastAsia="Times New Roman" w:hAnsi="Times New Roman"/>
                <w:b/>
              </w:rPr>
            </w:pPr>
            <w:r w:rsidRPr="00E034C6">
              <w:rPr>
                <w:rFonts w:ascii="Times New Roman" w:eastAsia="Times New Roman" w:hAnsi="Times New Roman"/>
                <w:b/>
              </w:rPr>
              <w:t>Type of Trust Fund</w:t>
            </w:r>
          </w:p>
        </w:tc>
        <w:tc>
          <w:tcPr>
            <w:tcW w:w="790" w:type="pct"/>
            <w:vMerge w:val="restart"/>
            <w:shd w:val="clear" w:color="auto" w:fill="auto"/>
            <w:vAlign w:val="center"/>
          </w:tcPr>
          <w:p w:rsidR="00591870" w:rsidRPr="00E034C6" w:rsidRDefault="00591870" w:rsidP="00591870">
            <w:pPr>
              <w:spacing w:after="0" w:line="240" w:lineRule="auto"/>
              <w:jc w:val="center"/>
              <w:rPr>
                <w:rFonts w:ascii="Times New Roman" w:eastAsia="Times New Roman" w:hAnsi="Times New Roman"/>
                <w:b/>
              </w:rPr>
            </w:pPr>
            <w:r w:rsidRPr="00E034C6">
              <w:rPr>
                <w:rFonts w:ascii="Times New Roman" w:eastAsia="Times New Roman" w:hAnsi="Times New Roman"/>
                <w:b/>
              </w:rPr>
              <w:t>Focal Area</w:t>
            </w:r>
          </w:p>
        </w:tc>
        <w:tc>
          <w:tcPr>
            <w:tcW w:w="831" w:type="pct"/>
            <w:vMerge w:val="restart"/>
            <w:shd w:val="clear" w:color="auto" w:fill="auto"/>
            <w:vAlign w:val="center"/>
          </w:tcPr>
          <w:p w:rsidR="00591870" w:rsidRPr="00E034C6" w:rsidRDefault="00591870" w:rsidP="00591870">
            <w:pPr>
              <w:spacing w:after="80" w:line="240" w:lineRule="auto"/>
              <w:ind w:right="-108"/>
              <w:jc w:val="center"/>
              <w:rPr>
                <w:rFonts w:ascii="Times New Roman" w:eastAsia="Times New Roman" w:hAnsi="Times New Roman"/>
                <w:b/>
              </w:rPr>
            </w:pPr>
            <w:r w:rsidRPr="00E034C6">
              <w:rPr>
                <w:rFonts w:ascii="Times New Roman" w:eastAsia="Times New Roman" w:hAnsi="Times New Roman"/>
                <w:b/>
              </w:rPr>
              <w:t>Country Name/</w:t>
            </w:r>
          </w:p>
          <w:p w:rsidR="00591870" w:rsidRPr="00E034C6" w:rsidRDefault="00591870" w:rsidP="00591870">
            <w:pPr>
              <w:spacing w:after="80" w:line="240" w:lineRule="auto"/>
              <w:jc w:val="center"/>
              <w:rPr>
                <w:rFonts w:ascii="Times New Roman" w:eastAsia="Times New Roman" w:hAnsi="Times New Roman"/>
                <w:b/>
              </w:rPr>
            </w:pPr>
            <w:r w:rsidRPr="00E034C6">
              <w:rPr>
                <w:rFonts w:ascii="Times New Roman" w:eastAsia="Times New Roman" w:hAnsi="Times New Roman"/>
                <w:b/>
              </w:rPr>
              <w:t>Global</w:t>
            </w:r>
          </w:p>
        </w:tc>
        <w:tc>
          <w:tcPr>
            <w:tcW w:w="1917" w:type="pct"/>
            <w:gridSpan w:val="3"/>
            <w:shd w:val="clear" w:color="auto" w:fill="auto"/>
            <w:vAlign w:val="center"/>
          </w:tcPr>
          <w:p w:rsidR="00591870" w:rsidRPr="00E034C6" w:rsidRDefault="00591870" w:rsidP="00591870">
            <w:pPr>
              <w:spacing w:after="80" w:line="240" w:lineRule="auto"/>
              <w:jc w:val="center"/>
              <w:rPr>
                <w:rFonts w:ascii="Times New Roman" w:eastAsia="Times New Roman" w:hAnsi="Times New Roman"/>
                <w:b/>
              </w:rPr>
            </w:pPr>
            <w:r w:rsidRPr="00E034C6">
              <w:rPr>
                <w:rFonts w:ascii="Times New Roman" w:eastAsia="Times New Roman" w:hAnsi="Times New Roman"/>
                <w:b/>
              </w:rPr>
              <w:t>(in $)</w:t>
            </w:r>
          </w:p>
        </w:tc>
      </w:tr>
      <w:tr w:rsidR="00591870" w:rsidRPr="00E034C6" w:rsidTr="00591870">
        <w:trPr>
          <w:trHeight w:val="260"/>
        </w:trPr>
        <w:tc>
          <w:tcPr>
            <w:tcW w:w="818" w:type="pct"/>
            <w:vMerge/>
            <w:shd w:val="clear" w:color="auto" w:fill="auto"/>
          </w:tcPr>
          <w:p w:rsidR="00591870" w:rsidRPr="00E034C6" w:rsidRDefault="00591870" w:rsidP="00591870">
            <w:pPr>
              <w:spacing w:after="0" w:line="240" w:lineRule="auto"/>
              <w:rPr>
                <w:rFonts w:ascii="Times New Roman" w:eastAsia="Times New Roman" w:hAnsi="Times New Roman"/>
                <w:b/>
                <w:smallCaps/>
              </w:rPr>
            </w:pPr>
          </w:p>
        </w:tc>
        <w:tc>
          <w:tcPr>
            <w:tcW w:w="644" w:type="pct"/>
            <w:vMerge/>
            <w:shd w:val="clear" w:color="auto" w:fill="auto"/>
          </w:tcPr>
          <w:p w:rsidR="00591870" w:rsidRPr="00E034C6" w:rsidRDefault="00591870" w:rsidP="00591870">
            <w:pPr>
              <w:spacing w:after="0" w:line="240" w:lineRule="auto"/>
              <w:rPr>
                <w:rFonts w:ascii="Times New Roman" w:eastAsia="Times New Roman" w:hAnsi="Times New Roman"/>
                <w:b/>
                <w:smallCaps/>
              </w:rPr>
            </w:pPr>
          </w:p>
        </w:tc>
        <w:tc>
          <w:tcPr>
            <w:tcW w:w="790" w:type="pct"/>
            <w:vMerge/>
            <w:shd w:val="clear" w:color="auto" w:fill="auto"/>
          </w:tcPr>
          <w:p w:rsidR="00591870" w:rsidRPr="00E034C6" w:rsidRDefault="00591870" w:rsidP="00591870">
            <w:pPr>
              <w:spacing w:after="0" w:line="240" w:lineRule="auto"/>
              <w:rPr>
                <w:rFonts w:ascii="Times New Roman" w:eastAsia="Times New Roman" w:hAnsi="Times New Roman"/>
                <w:b/>
                <w:smallCaps/>
              </w:rPr>
            </w:pPr>
          </w:p>
        </w:tc>
        <w:tc>
          <w:tcPr>
            <w:tcW w:w="831" w:type="pct"/>
            <w:vMerge/>
            <w:shd w:val="clear" w:color="auto" w:fill="auto"/>
          </w:tcPr>
          <w:p w:rsidR="00591870" w:rsidRPr="00E034C6" w:rsidRDefault="00591870" w:rsidP="00591870">
            <w:pPr>
              <w:spacing w:after="0" w:line="240" w:lineRule="auto"/>
              <w:jc w:val="center"/>
              <w:rPr>
                <w:rFonts w:ascii="Times New Roman" w:eastAsia="Times New Roman" w:hAnsi="Times New Roman"/>
                <w:b/>
              </w:rPr>
            </w:pPr>
          </w:p>
        </w:tc>
        <w:tc>
          <w:tcPr>
            <w:tcW w:w="623" w:type="pct"/>
            <w:shd w:val="clear" w:color="auto" w:fill="auto"/>
            <w:vAlign w:val="center"/>
          </w:tcPr>
          <w:p w:rsidR="00591870" w:rsidRPr="00E034C6" w:rsidRDefault="00591870" w:rsidP="00591870">
            <w:pPr>
              <w:spacing w:after="0" w:line="240" w:lineRule="auto"/>
              <w:jc w:val="center"/>
              <w:rPr>
                <w:rFonts w:ascii="Times New Roman" w:eastAsia="Times New Roman" w:hAnsi="Times New Roman"/>
                <w:b/>
              </w:rPr>
            </w:pPr>
            <w:r w:rsidRPr="00E034C6">
              <w:rPr>
                <w:rFonts w:ascii="Times New Roman" w:eastAsia="Times New Roman" w:hAnsi="Times New Roman"/>
                <w:b/>
              </w:rPr>
              <w:t xml:space="preserve">Grant Amount </w:t>
            </w:r>
            <w:r w:rsidRPr="00E034C6">
              <w:rPr>
                <w:rFonts w:ascii="Times New Roman" w:eastAsia="Times New Roman" w:hAnsi="Times New Roman"/>
              </w:rPr>
              <w:t>(a)</w:t>
            </w:r>
          </w:p>
        </w:tc>
        <w:tc>
          <w:tcPr>
            <w:tcW w:w="666" w:type="pct"/>
            <w:shd w:val="clear" w:color="auto" w:fill="auto"/>
            <w:vAlign w:val="center"/>
          </w:tcPr>
          <w:p w:rsidR="00591870" w:rsidRPr="00E034C6" w:rsidRDefault="00591870" w:rsidP="00591870">
            <w:pPr>
              <w:spacing w:after="0" w:line="240" w:lineRule="auto"/>
              <w:jc w:val="center"/>
              <w:rPr>
                <w:rFonts w:ascii="Times New Roman" w:eastAsia="Times New Roman" w:hAnsi="Times New Roman"/>
                <w:b/>
              </w:rPr>
            </w:pPr>
            <w:r w:rsidRPr="00E034C6">
              <w:rPr>
                <w:rFonts w:ascii="Times New Roman" w:eastAsia="Times New Roman" w:hAnsi="Times New Roman"/>
                <w:b/>
              </w:rPr>
              <w:t xml:space="preserve">Agency Fee </w:t>
            </w:r>
            <w:r w:rsidRPr="00E034C6">
              <w:rPr>
                <w:rFonts w:ascii="Times New Roman" w:eastAsia="Times New Roman" w:hAnsi="Times New Roman"/>
              </w:rPr>
              <w:t>(b)</w:t>
            </w:r>
            <w:r w:rsidRPr="00E034C6">
              <w:rPr>
                <w:rFonts w:ascii="Times New Roman" w:eastAsia="Times New Roman" w:hAnsi="Times New Roman"/>
                <w:vertAlign w:val="superscript"/>
              </w:rPr>
              <w:t>2</w:t>
            </w:r>
          </w:p>
        </w:tc>
        <w:tc>
          <w:tcPr>
            <w:tcW w:w="628" w:type="pct"/>
            <w:shd w:val="clear" w:color="auto" w:fill="auto"/>
            <w:vAlign w:val="center"/>
          </w:tcPr>
          <w:p w:rsidR="00591870" w:rsidRPr="00E034C6" w:rsidRDefault="00591870" w:rsidP="00591870">
            <w:pPr>
              <w:spacing w:after="0" w:line="240" w:lineRule="auto"/>
              <w:ind w:firstLine="195"/>
              <w:jc w:val="center"/>
              <w:rPr>
                <w:rFonts w:ascii="Times New Roman" w:eastAsia="Times New Roman" w:hAnsi="Times New Roman"/>
                <w:b/>
              </w:rPr>
            </w:pPr>
            <w:r w:rsidRPr="00E034C6">
              <w:rPr>
                <w:rFonts w:ascii="Times New Roman" w:eastAsia="Times New Roman" w:hAnsi="Times New Roman"/>
                <w:b/>
              </w:rPr>
              <w:t xml:space="preserve">Total </w:t>
            </w:r>
            <w:r w:rsidRPr="00E034C6">
              <w:rPr>
                <w:rFonts w:ascii="Times New Roman" w:eastAsia="Times New Roman" w:hAnsi="Times New Roman"/>
              </w:rPr>
              <w:t>c=a+b</w:t>
            </w:r>
          </w:p>
        </w:tc>
      </w:tr>
      <w:bookmarkStart w:id="60" w:name="D_Agency_01"/>
      <w:tr w:rsidR="00591870" w:rsidRPr="00E034C6" w:rsidTr="00591870">
        <w:trPr>
          <w:trHeight w:val="253"/>
        </w:trPr>
        <w:tc>
          <w:tcPr>
            <w:tcW w:w="818"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Agency_01"/>
                  <w:enabled/>
                  <w:calcOnExit w:val="0"/>
                  <w:ddList>
                    <w:result w:val="8"/>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BA397E">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60"/>
          </w:p>
        </w:tc>
        <w:tc>
          <w:tcPr>
            <w:tcW w:w="644"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91870" w:rsidRPr="00E034C6">
              <w:rPr>
                <w:rFonts w:ascii="Times New Roman" w:eastAsia="Times New Roman" w:hAnsi="Times New Roman"/>
                <w:bCs/>
                <w:smallCaps/>
                <w:sz w:val="20"/>
                <w:szCs w:val="20"/>
              </w:rPr>
              <w:instrText xml:space="preserve"> FORMDROPDOWN </w:instrText>
            </w:r>
            <w:r w:rsidR="00854B34">
              <w:rPr>
                <w:rFonts w:ascii="Times New Roman" w:eastAsia="Times New Roman" w:hAnsi="Times New Roman"/>
                <w:bCs/>
                <w:smallCaps/>
                <w:sz w:val="20"/>
                <w:szCs w:val="20"/>
              </w:rPr>
            </w:r>
            <w:r w:rsidR="00854B34">
              <w:rPr>
                <w:rFonts w:ascii="Times New Roman" w:eastAsia="Times New Roman" w:hAnsi="Times New Roman"/>
                <w:bCs/>
                <w:smallCaps/>
                <w:sz w:val="20"/>
                <w:szCs w:val="20"/>
              </w:rPr>
              <w:fldChar w:fldCharType="separate"/>
            </w:r>
            <w:r w:rsidRPr="00E034C6">
              <w:rPr>
                <w:rFonts w:ascii="Times New Roman" w:eastAsia="Times New Roman" w:hAnsi="Times New Roman"/>
                <w:bCs/>
                <w:smallCaps/>
                <w:sz w:val="20"/>
                <w:szCs w:val="20"/>
              </w:rPr>
              <w:fldChar w:fldCharType="end"/>
            </w:r>
          </w:p>
        </w:tc>
        <w:bookmarkStart w:id="61" w:name="D_FocalArea_01"/>
        <w:tc>
          <w:tcPr>
            <w:tcW w:w="790"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FocalArea_01"/>
                  <w:enabled/>
                  <w:calcOnExit w:val="0"/>
                  <w:ddList>
                    <w:result w:val="1"/>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3B239B">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61"/>
          </w:p>
        </w:tc>
        <w:bookmarkStart w:id="62" w:name="D_Country_01"/>
        <w:tc>
          <w:tcPr>
            <w:tcW w:w="831" w:type="pct"/>
            <w:shd w:val="clear" w:color="auto" w:fill="auto"/>
          </w:tcPr>
          <w:p w:rsidR="00591870" w:rsidRPr="00E034C6" w:rsidRDefault="00985A96" w:rsidP="00BA4AA3">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Country_01"/>
                  <w:enabled/>
                  <w:calcOnExit w:val="0"/>
                  <w:textInput/>
                </w:ffData>
              </w:fldChar>
            </w:r>
            <w:r w:rsidR="00591870" w:rsidRPr="00BA397E">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Pr>
                <w:rFonts w:ascii="Times New Roman" w:eastAsia="Times New Roman" w:hAnsi="Times New Roman"/>
                <w:noProof/>
              </w:rPr>
              <w:t>Indonesia</w:t>
            </w:r>
            <w:r w:rsidRPr="00E034C6">
              <w:rPr>
                <w:rFonts w:ascii="Times New Roman" w:eastAsia="Times New Roman" w:hAnsi="Times New Roman"/>
              </w:rPr>
              <w:fldChar w:fldCharType="end"/>
            </w:r>
            <w:bookmarkEnd w:id="62"/>
          </w:p>
        </w:tc>
        <w:bookmarkStart w:id="63" w:name="D_GA_01"/>
        <w:tc>
          <w:tcPr>
            <w:tcW w:w="623" w:type="pct"/>
            <w:shd w:val="clear" w:color="auto" w:fill="auto"/>
          </w:tcPr>
          <w:p w:rsidR="00591870" w:rsidRPr="00E034C6" w:rsidRDefault="00985A96" w:rsidP="00BA4AA3">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GA_01"/>
                  <w:enabled/>
                  <w:calcOnExit/>
                  <w:textInput>
                    <w:type w:val="number"/>
                    <w:format w:val="#,##0"/>
                  </w:textInput>
                </w:ffData>
              </w:fldChar>
            </w:r>
            <w:r w:rsidR="00591870" w:rsidRPr="00BA397E">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sidRPr="00BA4AA3">
              <w:rPr>
                <w:rFonts w:ascii="Times New Roman" w:eastAsia="Times New Roman" w:hAnsi="Times New Roman"/>
                <w:noProof/>
              </w:rPr>
              <w:t>6,283,197</w:t>
            </w:r>
            <w:r w:rsidRPr="00E034C6">
              <w:rPr>
                <w:rFonts w:ascii="Times New Roman" w:eastAsia="Times New Roman" w:hAnsi="Times New Roman"/>
              </w:rPr>
              <w:fldChar w:fldCharType="end"/>
            </w:r>
            <w:bookmarkEnd w:id="63"/>
          </w:p>
        </w:tc>
        <w:bookmarkStart w:id="64" w:name="D_AF_01"/>
        <w:tc>
          <w:tcPr>
            <w:tcW w:w="666" w:type="pct"/>
            <w:shd w:val="clear" w:color="auto" w:fill="auto"/>
          </w:tcPr>
          <w:p w:rsidR="00591870" w:rsidRPr="00E034C6" w:rsidRDefault="00985A96" w:rsidP="00BA4AA3">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AF_01"/>
                  <w:enabled/>
                  <w:calcOnExit/>
                  <w:textInput>
                    <w:type w:val="number"/>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sidRPr="00BA4AA3">
              <w:rPr>
                <w:rFonts w:ascii="Times New Roman" w:eastAsia="Times New Roman" w:hAnsi="Times New Roman"/>
                <w:noProof/>
              </w:rPr>
              <w:t>596,904</w:t>
            </w:r>
            <w:r w:rsidRPr="00E034C6">
              <w:rPr>
                <w:rFonts w:ascii="Times New Roman" w:eastAsia="Times New Roman" w:hAnsi="Times New Roman"/>
              </w:rPr>
              <w:fldChar w:fldCharType="end"/>
            </w:r>
            <w:bookmarkEnd w:id="64"/>
          </w:p>
        </w:tc>
        <w:bookmarkStart w:id="65" w:name="D_GAAF_TOT_01"/>
        <w:tc>
          <w:tcPr>
            <w:tcW w:w="628" w:type="pct"/>
            <w:shd w:val="clear" w:color="auto" w:fill="auto"/>
          </w:tcPr>
          <w:p w:rsidR="00591870" w:rsidRPr="00E034C6" w:rsidRDefault="00985A96" w:rsidP="00591870">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GAAF_TOT_01"/>
                  <w:enabled w:val="0"/>
                  <w:calcOnExit/>
                  <w:textInput>
                    <w:type w:val="calculated"/>
                    <w:default w:val="=sum(D_GA_01,D_AF_01)"/>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fldChar w:fldCharType="begin"/>
            </w:r>
            <w:r w:rsidR="00591870" w:rsidRPr="00E034C6">
              <w:rPr>
                <w:rFonts w:ascii="Times New Roman" w:eastAsia="Times New Roman" w:hAnsi="Times New Roman"/>
              </w:rPr>
              <w:instrText xml:space="preserve"> =sum(D_GA_01,D_AF_01) </w:instrText>
            </w:r>
            <w:r w:rsidRPr="00E034C6">
              <w:rPr>
                <w:rFonts w:ascii="Times New Roman" w:eastAsia="Times New Roman" w:hAnsi="Times New Roman"/>
              </w:rPr>
              <w:fldChar w:fldCharType="separate"/>
            </w:r>
            <w:r w:rsidR="00E62F7A">
              <w:rPr>
                <w:rFonts w:ascii="Times New Roman" w:eastAsia="Times New Roman" w:hAnsi="Times New Roman"/>
                <w:noProof/>
              </w:rPr>
              <w:instrText>6,880,101</w:instrText>
            </w:r>
            <w:r w:rsidRPr="00E034C6">
              <w:rPr>
                <w:rFonts w:ascii="Times New Roman" w:eastAsia="Times New Roman" w:hAnsi="Times New Roman"/>
              </w:rPr>
              <w:fldChar w:fldCharType="end"/>
            </w:r>
            <w:r w:rsidRPr="00E034C6">
              <w:rPr>
                <w:rFonts w:ascii="Times New Roman" w:eastAsia="Times New Roman" w:hAnsi="Times New Roman"/>
              </w:rPr>
            </w:r>
            <w:r w:rsidRPr="00E034C6">
              <w:rPr>
                <w:rFonts w:ascii="Times New Roman" w:eastAsia="Times New Roman" w:hAnsi="Times New Roman"/>
              </w:rPr>
              <w:fldChar w:fldCharType="separate"/>
            </w:r>
            <w:r w:rsidR="00E62F7A">
              <w:rPr>
                <w:rFonts w:ascii="Times New Roman" w:eastAsia="Times New Roman" w:hAnsi="Times New Roman"/>
                <w:noProof/>
              </w:rPr>
              <w:t>6,880,101</w:t>
            </w:r>
            <w:r w:rsidRPr="00E034C6">
              <w:rPr>
                <w:rFonts w:ascii="Times New Roman" w:eastAsia="Times New Roman" w:hAnsi="Times New Roman"/>
              </w:rPr>
              <w:fldChar w:fldCharType="end"/>
            </w:r>
            <w:bookmarkEnd w:id="65"/>
          </w:p>
        </w:tc>
      </w:tr>
      <w:bookmarkStart w:id="66" w:name="D_Agency_02"/>
      <w:tr w:rsidR="00591870" w:rsidRPr="00E034C6" w:rsidTr="00591870">
        <w:trPr>
          <w:trHeight w:val="253"/>
        </w:trPr>
        <w:tc>
          <w:tcPr>
            <w:tcW w:w="818"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Agency_02"/>
                  <w:enabled/>
                  <w:calcOnExit w:val="0"/>
                  <w:ddList>
                    <w:result w:val="8"/>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E034C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66"/>
          </w:p>
        </w:tc>
        <w:tc>
          <w:tcPr>
            <w:tcW w:w="644"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91870" w:rsidRPr="00E034C6">
              <w:rPr>
                <w:rFonts w:ascii="Times New Roman" w:eastAsia="Times New Roman" w:hAnsi="Times New Roman"/>
                <w:bCs/>
                <w:smallCaps/>
                <w:sz w:val="20"/>
                <w:szCs w:val="20"/>
              </w:rPr>
              <w:instrText xml:space="preserve"> FORMDROPDOWN </w:instrText>
            </w:r>
            <w:r w:rsidR="00854B34">
              <w:rPr>
                <w:rFonts w:ascii="Times New Roman" w:eastAsia="Times New Roman" w:hAnsi="Times New Roman"/>
                <w:bCs/>
                <w:smallCaps/>
                <w:sz w:val="20"/>
                <w:szCs w:val="20"/>
              </w:rPr>
            </w:r>
            <w:r w:rsidR="00854B34">
              <w:rPr>
                <w:rFonts w:ascii="Times New Roman" w:eastAsia="Times New Roman" w:hAnsi="Times New Roman"/>
                <w:bCs/>
                <w:smallCaps/>
                <w:sz w:val="20"/>
                <w:szCs w:val="20"/>
              </w:rPr>
              <w:fldChar w:fldCharType="separate"/>
            </w:r>
            <w:r w:rsidRPr="00E034C6">
              <w:rPr>
                <w:rFonts w:ascii="Times New Roman" w:eastAsia="Times New Roman" w:hAnsi="Times New Roman"/>
                <w:bCs/>
                <w:smallCaps/>
                <w:sz w:val="20"/>
                <w:szCs w:val="20"/>
              </w:rPr>
              <w:fldChar w:fldCharType="end"/>
            </w:r>
          </w:p>
        </w:tc>
        <w:bookmarkStart w:id="67" w:name="D_FocalArea_02"/>
        <w:tc>
          <w:tcPr>
            <w:tcW w:w="790"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FocalArea_02"/>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E034C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67"/>
          </w:p>
        </w:tc>
        <w:bookmarkStart w:id="68" w:name="D_Country_02"/>
        <w:tc>
          <w:tcPr>
            <w:tcW w:w="831" w:type="pct"/>
            <w:shd w:val="clear" w:color="auto" w:fill="auto"/>
          </w:tcPr>
          <w:p w:rsidR="00591870" w:rsidRPr="00E034C6" w:rsidRDefault="00985A96" w:rsidP="00BA4AA3">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Country_02"/>
                  <w:enabled/>
                  <w:calcOnExi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Pr>
                <w:rFonts w:ascii="Times New Roman" w:eastAsia="Times New Roman" w:hAnsi="Times New Roman"/>
                <w:noProof/>
              </w:rPr>
              <w:t>Indonesia</w:t>
            </w:r>
            <w:r w:rsidRPr="00E034C6">
              <w:rPr>
                <w:rFonts w:ascii="Times New Roman" w:eastAsia="Times New Roman" w:hAnsi="Times New Roman"/>
              </w:rPr>
              <w:fldChar w:fldCharType="end"/>
            </w:r>
            <w:bookmarkEnd w:id="68"/>
          </w:p>
        </w:tc>
        <w:bookmarkStart w:id="69" w:name="D_GA_02"/>
        <w:tc>
          <w:tcPr>
            <w:tcW w:w="623" w:type="pct"/>
            <w:shd w:val="clear" w:color="auto" w:fill="auto"/>
          </w:tcPr>
          <w:p w:rsidR="00591870" w:rsidRPr="00E034C6" w:rsidRDefault="00985A96" w:rsidP="00BA4AA3">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GA_02"/>
                  <w:enabled/>
                  <w:calcOnExit/>
                  <w:textInput>
                    <w:type w:val="number"/>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sidRPr="00BA4AA3">
              <w:rPr>
                <w:rFonts w:ascii="Times New Roman" w:eastAsia="Times New Roman" w:hAnsi="Times New Roman"/>
                <w:noProof/>
              </w:rPr>
              <w:t>1,340,000</w:t>
            </w:r>
            <w:r w:rsidRPr="00E034C6">
              <w:rPr>
                <w:rFonts w:ascii="Times New Roman" w:eastAsia="Times New Roman" w:hAnsi="Times New Roman"/>
              </w:rPr>
              <w:fldChar w:fldCharType="end"/>
            </w:r>
            <w:bookmarkEnd w:id="69"/>
          </w:p>
        </w:tc>
        <w:bookmarkStart w:id="70" w:name="D_AF_02"/>
        <w:tc>
          <w:tcPr>
            <w:tcW w:w="666" w:type="pct"/>
            <w:shd w:val="clear" w:color="auto" w:fill="auto"/>
          </w:tcPr>
          <w:p w:rsidR="00591870" w:rsidRPr="00E034C6" w:rsidRDefault="00985A96" w:rsidP="00BA4AA3">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AF_02"/>
                  <w:enabled/>
                  <w:calcOnExit/>
                  <w:textInput>
                    <w:type w:val="number"/>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sidRPr="00BA4AA3">
              <w:rPr>
                <w:rFonts w:ascii="Times New Roman" w:eastAsia="Times New Roman" w:hAnsi="Times New Roman"/>
                <w:noProof/>
              </w:rPr>
              <w:t>127,300</w:t>
            </w:r>
            <w:r w:rsidRPr="00E034C6">
              <w:rPr>
                <w:rFonts w:ascii="Times New Roman" w:eastAsia="Times New Roman" w:hAnsi="Times New Roman"/>
              </w:rPr>
              <w:fldChar w:fldCharType="end"/>
            </w:r>
            <w:bookmarkEnd w:id="70"/>
          </w:p>
        </w:tc>
        <w:bookmarkStart w:id="71" w:name="D_GAAF_TOT_02"/>
        <w:tc>
          <w:tcPr>
            <w:tcW w:w="628" w:type="pct"/>
            <w:shd w:val="clear" w:color="auto" w:fill="auto"/>
          </w:tcPr>
          <w:p w:rsidR="00591870" w:rsidRPr="00E034C6" w:rsidRDefault="00985A96" w:rsidP="00591870">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GAAF_TOT_02"/>
                  <w:enabled w:val="0"/>
                  <w:calcOnExit/>
                  <w:textInput>
                    <w:type w:val="calculated"/>
                    <w:default w:val="=sum(D_GA_02,D_AF_02)"/>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fldChar w:fldCharType="begin"/>
            </w:r>
            <w:r w:rsidR="00591870" w:rsidRPr="00E034C6">
              <w:rPr>
                <w:rFonts w:ascii="Times New Roman" w:eastAsia="Times New Roman" w:hAnsi="Times New Roman"/>
              </w:rPr>
              <w:instrText xml:space="preserve"> =sum(D_GA_02,D_AF_02) </w:instrText>
            </w:r>
            <w:r w:rsidRPr="00E034C6">
              <w:rPr>
                <w:rFonts w:ascii="Times New Roman" w:eastAsia="Times New Roman" w:hAnsi="Times New Roman"/>
              </w:rPr>
              <w:fldChar w:fldCharType="separate"/>
            </w:r>
            <w:r w:rsidR="00E62F7A">
              <w:rPr>
                <w:rFonts w:ascii="Times New Roman" w:eastAsia="Times New Roman" w:hAnsi="Times New Roman"/>
                <w:noProof/>
              </w:rPr>
              <w:instrText>1,467,300</w:instrText>
            </w:r>
            <w:r w:rsidRPr="00E034C6">
              <w:rPr>
                <w:rFonts w:ascii="Times New Roman" w:eastAsia="Times New Roman" w:hAnsi="Times New Roman"/>
              </w:rPr>
              <w:fldChar w:fldCharType="end"/>
            </w:r>
            <w:r w:rsidRPr="00E034C6">
              <w:rPr>
                <w:rFonts w:ascii="Times New Roman" w:eastAsia="Times New Roman" w:hAnsi="Times New Roman"/>
              </w:rPr>
            </w:r>
            <w:r w:rsidRPr="00E034C6">
              <w:rPr>
                <w:rFonts w:ascii="Times New Roman" w:eastAsia="Times New Roman" w:hAnsi="Times New Roman"/>
              </w:rPr>
              <w:fldChar w:fldCharType="separate"/>
            </w:r>
            <w:r w:rsidR="00E62F7A">
              <w:rPr>
                <w:rFonts w:ascii="Times New Roman" w:eastAsia="Times New Roman" w:hAnsi="Times New Roman"/>
                <w:noProof/>
              </w:rPr>
              <w:t>1,467,300</w:t>
            </w:r>
            <w:r w:rsidRPr="00E034C6">
              <w:rPr>
                <w:rFonts w:ascii="Times New Roman" w:eastAsia="Times New Roman" w:hAnsi="Times New Roman"/>
              </w:rPr>
              <w:fldChar w:fldCharType="end"/>
            </w:r>
            <w:bookmarkEnd w:id="71"/>
          </w:p>
        </w:tc>
      </w:tr>
      <w:bookmarkStart w:id="72" w:name="D_Agency_03"/>
      <w:tr w:rsidR="00591870" w:rsidRPr="00E034C6" w:rsidTr="00591870">
        <w:trPr>
          <w:trHeight w:val="253"/>
        </w:trPr>
        <w:tc>
          <w:tcPr>
            <w:tcW w:w="818"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Agency_03"/>
                  <w:enabled/>
                  <w:calcOnExit w:val="0"/>
                  <w:ddList>
                    <w:result w:val="8"/>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E034C6">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Pr="00E034C6">
              <w:rPr>
                <w:rFonts w:ascii="Times New Roman" w:eastAsia="Times New Roman" w:hAnsi="Times New Roman"/>
              </w:rPr>
              <w:fldChar w:fldCharType="end"/>
            </w:r>
            <w:bookmarkEnd w:id="72"/>
          </w:p>
        </w:tc>
        <w:tc>
          <w:tcPr>
            <w:tcW w:w="644" w:type="pct"/>
            <w:shd w:val="clear" w:color="auto" w:fill="auto"/>
          </w:tcPr>
          <w:p w:rsidR="00591870" w:rsidRPr="00E034C6" w:rsidRDefault="00985A96" w:rsidP="00591870">
            <w:pPr>
              <w:spacing w:after="0" w:line="240" w:lineRule="auto"/>
              <w:rPr>
                <w:rFonts w:ascii="Times New Roman" w:eastAsia="Times New Roman" w:hAnsi="Times New Roman"/>
              </w:rPr>
            </w:pPr>
            <w:r w:rsidRPr="00E034C6">
              <w:rPr>
                <w:rFonts w:ascii="Times New Roman" w:eastAsia="Times New Roman" w:hAnsi="Times New Roman"/>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91870" w:rsidRPr="00E034C6">
              <w:rPr>
                <w:rFonts w:ascii="Times New Roman" w:eastAsia="Times New Roman" w:hAnsi="Times New Roman"/>
                <w:bCs/>
                <w:smallCaps/>
                <w:sz w:val="20"/>
                <w:szCs w:val="20"/>
              </w:rPr>
              <w:instrText xml:space="preserve"> FORMDROPDOWN </w:instrText>
            </w:r>
            <w:r w:rsidR="00854B34">
              <w:rPr>
                <w:rFonts w:ascii="Times New Roman" w:eastAsia="Times New Roman" w:hAnsi="Times New Roman"/>
                <w:bCs/>
                <w:smallCaps/>
                <w:sz w:val="20"/>
                <w:szCs w:val="20"/>
              </w:rPr>
            </w:r>
            <w:r w:rsidR="00854B34">
              <w:rPr>
                <w:rFonts w:ascii="Times New Roman" w:eastAsia="Times New Roman" w:hAnsi="Times New Roman"/>
                <w:bCs/>
                <w:smallCaps/>
                <w:sz w:val="20"/>
                <w:szCs w:val="20"/>
              </w:rPr>
              <w:fldChar w:fldCharType="separate"/>
            </w:r>
            <w:r w:rsidRPr="00E034C6">
              <w:rPr>
                <w:rFonts w:ascii="Times New Roman" w:eastAsia="Times New Roman" w:hAnsi="Times New Roman"/>
                <w:bCs/>
                <w:smallCaps/>
                <w:sz w:val="20"/>
                <w:szCs w:val="20"/>
              </w:rPr>
              <w:fldChar w:fldCharType="end"/>
            </w:r>
          </w:p>
        </w:tc>
        <w:tc>
          <w:tcPr>
            <w:tcW w:w="790" w:type="pct"/>
            <w:shd w:val="clear" w:color="auto" w:fill="auto"/>
          </w:tcPr>
          <w:p w:rsidR="00591870" w:rsidRPr="00E034C6" w:rsidRDefault="00DA5AB5" w:rsidP="00591870">
            <w:pPr>
              <w:spacing w:after="0" w:line="240" w:lineRule="auto"/>
              <w:rPr>
                <w:rFonts w:ascii="Times New Roman" w:eastAsia="Times New Roman" w:hAnsi="Times New Roman"/>
              </w:rPr>
            </w:pPr>
            <w:r>
              <w:rPr>
                <w:rFonts w:ascii="Times New Roman" w:eastAsia="Times New Roman" w:hAnsi="Times New Roman"/>
              </w:rPr>
              <w:t>SFM</w:t>
            </w:r>
          </w:p>
        </w:tc>
        <w:bookmarkStart w:id="73" w:name="D_Country_03"/>
        <w:tc>
          <w:tcPr>
            <w:tcW w:w="831" w:type="pct"/>
            <w:shd w:val="clear" w:color="auto" w:fill="auto"/>
          </w:tcPr>
          <w:p w:rsidR="00591870" w:rsidRPr="00E034C6" w:rsidRDefault="00985A96" w:rsidP="00BA4AA3">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D_Country_03"/>
                  <w:enabled/>
                  <w:calcOnExit w:val="0"/>
                  <w:textInput/>
                </w:ffData>
              </w:fldChar>
            </w:r>
            <w:r w:rsidR="00591870" w:rsidRPr="00DC2C10">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Pr>
                <w:rFonts w:ascii="Times New Roman" w:eastAsia="Times New Roman" w:hAnsi="Times New Roman"/>
                <w:noProof/>
              </w:rPr>
              <w:t>Indonesia</w:t>
            </w:r>
            <w:r w:rsidRPr="00E034C6">
              <w:rPr>
                <w:rFonts w:ascii="Times New Roman" w:eastAsia="Times New Roman" w:hAnsi="Times New Roman"/>
              </w:rPr>
              <w:fldChar w:fldCharType="end"/>
            </w:r>
            <w:bookmarkEnd w:id="73"/>
          </w:p>
        </w:tc>
        <w:bookmarkStart w:id="74" w:name="D_GA_03"/>
        <w:tc>
          <w:tcPr>
            <w:tcW w:w="623" w:type="pct"/>
            <w:shd w:val="clear" w:color="auto" w:fill="auto"/>
          </w:tcPr>
          <w:p w:rsidR="00591870" w:rsidRPr="00E034C6" w:rsidRDefault="00985A96" w:rsidP="00BA4AA3">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GA_03"/>
                  <w:enabled/>
                  <w:calcOnExit/>
                  <w:textInput>
                    <w:type w:val="number"/>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sidRPr="00BA4AA3">
              <w:rPr>
                <w:rFonts w:ascii="Times New Roman" w:eastAsia="Times New Roman" w:hAnsi="Times New Roman"/>
                <w:noProof/>
              </w:rPr>
              <w:t>1,808,566</w:t>
            </w:r>
            <w:r w:rsidRPr="00E034C6">
              <w:rPr>
                <w:rFonts w:ascii="Times New Roman" w:eastAsia="Times New Roman" w:hAnsi="Times New Roman"/>
              </w:rPr>
              <w:fldChar w:fldCharType="end"/>
            </w:r>
            <w:bookmarkEnd w:id="74"/>
          </w:p>
        </w:tc>
        <w:bookmarkStart w:id="75" w:name="D_AF_03"/>
        <w:tc>
          <w:tcPr>
            <w:tcW w:w="666" w:type="pct"/>
            <w:shd w:val="clear" w:color="auto" w:fill="auto"/>
          </w:tcPr>
          <w:p w:rsidR="00591870" w:rsidRPr="00E034C6" w:rsidRDefault="00985A96" w:rsidP="00BA4AA3">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AF_03"/>
                  <w:enabled/>
                  <w:calcOnExit/>
                  <w:textInput>
                    <w:type w:val="number"/>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A4AA3">
              <w:rPr>
                <w:rFonts w:ascii="Times New Roman" w:eastAsia="Times New Roman" w:hAnsi="Times New Roman"/>
                <w:noProof/>
              </w:rPr>
              <w:t>171,814</w:t>
            </w:r>
            <w:r w:rsidRPr="00E034C6">
              <w:rPr>
                <w:rFonts w:ascii="Times New Roman" w:eastAsia="Times New Roman" w:hAnsi="Times New Roman"/>
              </w:rPr>
              <w:fldChar w:fldCharType="end"/>
            </w:r>
            <w:bookmarkEnd w:id="75"/>
          </w:p>
        </w:tc>
        <w:bookmarkStart w:id="76" w:name="D_GAAF_TOT_03"/>
        <w:tc>
          <w:tcPr>
            <w:tcW w:w="628" w:type="pct"/>
            <w:shd w:val="clear" w:color="auto" w:fill="auto"/>
          </w:tcPr>
          <w:p w:rsidR="00591870" w:rsidRPr="00E034C6" w:rsidRDefault="00985A96" w:rsidP="00591870">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GAAF_TOT_03"/>
                  <w:enabled w:val="0"/>
                  <w:calcOnExit/>
                  <w:textInput>
                    <w:type w:val="calculated"/>
                    <w:default w:val="=sum(D_GA_03,D_AF_03)"/>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fldChar w:fldCharType="begin"/>
            </w:r>
            <w:r w:rsidR="00591870" w:rsidRPr="00E034C6">
              <w:rPr>
                <w:rFonts w:ascii="Times New Roman" w:eastAsia="Times New Roman" w:hAnsi="Times New Roman"/>
              </w:rPr>
              <w:instrText xml:space="preserve"> =sum(D_GA_03,D_AF_03) </w:instrText>
            </w:r>
            <w:r w:rsidRPr="00E034C6">
              <w:rPr>
                <w:rFonts w:ascii="Times New Roman" w:eastAsia="Times New Roman" w:hAnsi="Times New Roman"/>
              </w:rPr>
              <w:fldChar w:fldCharType="separate"/>
            </w:r>
            <w:r w:rsidR="00E62F7A">
              <w:rPr>
                <w:rFonts w:ascii="Times New Roman" w:eastAsia="Times New Roman" w:hAnsi="Times New Roman"/>
                <w:noProof/>
              </w:rPr>
              <w:instrText>1,980,380</w:instrText>
            </w:r>
            <w:r w:rsidRPr="00E034C6">
              <w:rPr>
                <w:rFonts w:ascii="Times New Roman" w:eastAsia="Times New Roman" w:hAnsi="Times New Roman"/>
              </w:rPr>
              <w:fldChar w:fldCharType="end"/>
            </w:r>
            <w:r w:rsidRPr="00E034C6">
              <w:rPr>
                <w:rFonts w:ascii="Times New Roman" w:eastAsia="Times New Roman" w:hAnsi="Times New Roman"/>
              </w:rPr>
            </w:r>
            <w:r w:rsidRPr="00E034C6">
              <w:rPr>
                <w:rFonts w:ascii="Times New Roman" w:eastAsia="Times New Roman" w:hAnsi="Times New Roman"/>
              </w:rPr>
              <w:fldChar w:fldCharType="separate"/>
            </w:r>
            <w:r w:rsidR="00E62F7A">
              <w:rPr>
                <w:rFonts w:ascii="Times New Roman" w:eastAsia="Times New Roman" w:hAnsi="Times New Roman"/>
                <w:noProof/>
              </w:rPr>
              <w:t>1,980,380</w:t>
            </w:r>
            <w:r w:rsidRPr="00E034C6">
              <w:rPr>
                <w:rFonts w:ascii="Times New Roman" w:eastAsia="Times New Roman" w:hAnsi="Times New Roman"/>
              </w:rPr>
              <w:fldChar w:fldCharType="end"/>
            </w:r>
            <w:bookmarkEnd w:id="76"/>
          </w:p>
        </w:tc>
      </w:tr>
      <w:tr w:rsidR="00591870" w:rsidRPr="00E034C6" w:rsidTr="00591870">
        <w:trPr>
          <w:trHeight w:val="253"/>
        </w:trPr>
        <w:tc>
          <w:tcPr>
            <w:tcW w:w="3083" w:type="pct"/>
            <w:gridSpan w:val="4"/>
            <w:tcBorders>
              <w:top w:val="double" w:sz="4" w:space="0" w:color="auto"/>
            </w:tcBorders>
            <w:shd w:val="clear" w:color="auto" w:fill="auto"/>
          </w:tcPr>
          <w:p w:rsidR="00591870" w:rsidRPr="00E034C6" w:rsidRDefault="00591870" w:rsidP="00591870">
            <w:pPr>
              <w:spacing w:after="0" w:line="240" w:lineRule="auto"/>
              <w:rPr>
                <w:rFonts w:ascii="Times New Roman" w:eastAsia="Times New Roman" w:hAnsi="Times New Roman"/>
              </w:rPr>
            </w:pPr>
            <w:r w:rsidRPr="00E034C6">
              <w:rPr>
                <w:rFonts w:ascii="Times New Roman" w:eastAsia="Times New Roman" w:hAnsi="Times New Roman"/>
                <w:b/>
              </w:rPr>
              <w:t>Total Grant Resources</w:t>
            </w:r>
          </w:p>
        </w:tc>
        <w:bookmarkStart w:id="77" w:name="D_GA_TOT"/>
        <w:tc>
          <w:tcPr>
            <w:tcW w:w="623" w:type="pct"/>
            <w:tcBorders>
              <w:top w:val="double" w:sz="4" w:space="0" w:color="auto"/>
            </w:tcBorders>
            <w:shd w:val="clear" w:color="auto" w:fill="auto"/>
          </w:tcPr>
          <w:p w:rsidR="00591870" w:rsidRPr="00E034C6" w:rsidRDefault="00985A96" w:rsidP="00591870">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GA_TOT"/>
                  <w:enabled w:val="0"/>
                  <w:calcOnExit/>
                  <w:textInput>
                    <w:type w:val="calculated"/>
                    <w:default w:val="=sum(D_GA_01,D_GA_02,D_GA_03,D_GA_04,D_GA_05,D_GA_06,D_GA_07,D_GA_08,D_GA_09,D_GA_010)"/>
                    <w:format w:val="#,##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fldChar w:fldCharType="begin"/>
            </w:r>
            <w:r w:rsidR="00591870" w:rsidRPr="00E034C6">
              <w:rPr>
                <w:rFonts w:ascii="Times New Roman" w:eastAsia="Times New Roman" w:hAnsi="Times New Roman"/>
              </w:rPr>
              <w:instrText xml:space="preserve"> =sum(D_GA_01,D_GA_02,D_GA_03,D_GA_04,D_GA_05,D_GA_06,D_GA_07,D_GA_08,D_GA_09,D_GA_010) </w:instrText>
            </w:r>
            <w:r w:rsidRPr="00E034C6">
              <w:rPr>
                <w:rFonts w:ascii="Times New Roman" w:eastAsia="Times New Roman" w:hAnsi="Times New Roman"/>
              </w:rPr>
              <w:fldChar w:fldCharType="separate"/>
            </w:r>
            <w:r w:rsidR="00E62F7A">
              <w:rPr>
                <w:rFonts w:ascii="Times New Roman" w:eastAsia="Times New Roman" w:hAnsi="Times New Roman"/>
                <w:noProof/>
              </w:rPr>
              <w:instrText>9,431,763</w:instrText>
            </w:r>
            <w:r w:rsidRPr="00E034C6">
              <w:rPr>
                <w:rFonts w:ascii="Times New Roman" w:eastAsia="Times New Roman" w:hAnsi="Times New Roman"/>
              </w:rPr>
              <w:fldChar w:fldCharType="end"/>
            </w:r>
            <w:r w:rsidRPr="00E034C6">
              <w:rPr>
                <w:rFonts w:ascii="Times New Roman" w:eastAsia="Times New Roman" w:hAnsi="Times New Roman"/>
              </w:rPr>
            </w:r>
            <w:r w:rsidRPr="00E034C6">
              <w:rPr>
                <w:rFonts w:ascii="Times New Roman" w:eastAsia="Times New Roman" w:hAnsi="Times New Roman"/>
              </w:rPr>
              <w:fldChar w:fldCharType="separate"/>
            </w:r>
            <w:r w:rsidR="00E62F7A">
              <w:rPr>
                <w:rFonts w:ascii="Times New Roman" w:eastAsia="Times New Roman" w:hAnsi="Times New Roman"/>
                <w:noProof/>
              </w:rPr>
              <w:t>9,431,763</w:t>
            </w:r>
            <w:r w:rsidRPr="00E034C6">
              <w:rPr>
                <w:rFonts w:ascii="Times New Roman" w:eastAsia="Times New Roman" w:hAnsi="Times New Roman"/>
              </w:rPr>
              <w:fldChar w:fldCharType="end"/>
            </w:r>
            <w:bookmarkEnd w:id="77"/>
          </w:p>
        </w:tc>
        <w:bookmarkStart w:id="78" w:name="D_AF_TOT"/>
        <w:tc>
          <w:tcPr>
            <w:tcW w:w="666" w:type="pct"/>
            <w:tcBorders>
              <w:top w:val="double" w:sz="4" w:space="0" w:color="auto"/>
            </w:tcBorders>
            <w:shd w:val="clear" w:color="auto" w:fill="auto"/>
          </w:tcPr>
          <w:p w:rsidR="00591870" w:rsidRPr="00E034C6" w:rsidRDefault="00985A96" w:rsidP="00591870">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D_AF_TOT"/>
                  <w:enabled w:val="0"/>
                  <w:calcOnExit/>
                  <w:textInput>
                    <w:type w:val="calculated"/>
                    <w:default w:val="=sum(D_AF_01,D_AF_02,D_AF_03,D_AF_04,D_AF_05,D_AF_06,D_AF_07,D_AF_08,D_AF_09,D_AF_010)"/>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fldChar w:fldCharType="begin"/>
            </w:r>
            <w:r w:rsidR="00591870" w:rsidRPr="00E034C6">
              <w:rPr>
                <w:rFonts w:ascii="Times New Roman" w:eastAsia="Times New Roman" w:hAnsi="Times New Roman"/>
              </w:rPr>
              <w:instrText xml:space="preserve"> =sum(D_AF_01,D_AF_02,D_AF_03,D_AF_04,D_AF_05,D_AF_06,D_AF_07,D_AF_08,D_AF_09,D_AF_010) </w:instrText>
            </w:r>
            <w:r w:rsidRPr="00E034C6">
              <w:rPr>
                <w:rFonts w:ascii="Times New Roman" w:eastAsia="Times New Roman" w:hAnsi="Times New Roman"/>
              </w:rPr>
              <w:fldChar w:fldCharType="separate"/>
            </w:r>
            <w:r w:rsidR="00E62F7A">
              <w:rPr>
                <w:rFonts w:ascii="Times New Roman" w:eastAsia="Times New Roman" w:hAnsi="Times New Roman"/>
                <w:noProof/>
              </w:rPr>
              <w:instrText>896,018</w:instrText>
            </w:r>
            <w:r w:rsidRPr="00E034C6">
              <w:rPr>
                <w:rFonts w:ascii="Times New Roman" w:eastAsia="Times New Roman" w:hAnsi="Times New Roman"/>
              </w:rPr>
              <w:fldChar w:fldCharType="end"/>
            </w:r>
            <w:r w:rsidRPr="00E034C6">
              <w:rPr>
                <w:rFonts w:ascii="Times New Roman" w:eastAsia="Times New Roman" w:hAnsi="Times New Roman"/>
              </w:rPr>
            </w:r>
            <w:r w:rsidRPr="00E034C6">
              <w:rPr>
                <w:rFonts w:ascii="Times New Roman" w:eastAsia="Times New Roman" w:hAnsi="Times New Roman"/>
              </w:rPr>
              <w:fldChar w:fldCharType="separate"/>
            </w:r>
            <w:r w:rsidR="00E62F7A">
              <w:rPr>
                <w:rFonts w:ascii="Times New Roman" w:eastAsia="Times New Roman" w:hAnsi="Times New Roman"/>
                <w:noProof/>
              </w:rPr>
              <w:t>896,018</w:t>
            </w:r>
            <w:r w:rsidRPr="00E034C6">
              <w:rPr>
                <w:rFonts w:ascii="Times New Roman" w:eastAsia="Times New Roman" w:hAnsi="Times New Roman"/>
              </w:rPr>
              <w:fldChar w:fldCharType="end"/>
            </w:r>
            <w:bookmarkEnd w:id="78"/>
          </w:p>
        </w:tc>
        <w:bookmarkStart w:id="79" w:name="TOTGAAFTOT"/>
        <w:tc>
          <w:tcPr>
            <w:tcW w:w="628" w:type="pct"/>
            <w:tcBorders>
              <w:top w:val="double" w:sz="4" w:space="0" w:color="auto"/>
            </w:tcBorders>
            <w:shd w:val="clear" w:color="auto" w:fill="auto"/>
          </w:tcPr>
          <w:p w:rsidR="00591870" w:rsidRPr="00E034C6" w:rsidRDefault="00985A96" w:rsidP="00591870">
            <w:pPr>
              <w:spacing w:after="0" w:line="240" w:lineRule="auto"/>
              <w:jc w:val="right"/>
              <w:rPr>
                <w:rFonts w:ascii="Times New Roman" w:eastAsia="Times New Roman" w:hAnsi="Times New Roman"/>
              </w:rPr>
            </w:pPr>
            <w:r w:rsidRPr="00E034C6">
              <w:rPr>
                <w:rFonts w:ascii="Times New Roman" w:eastAsia="Times New Roman" w:hAnsi="Times New Roman"/>
              </w:rPr>
              <w:fldChar w:fldCharType="begin">
                <w:ffData>
                  <w:name w:val="TOTGAAFTOT"/>
                  <w:enabled w:val="0"/>
                  <w:calcOnExit/>
                  <w:textInput>
                    <w:type w:val="calculated"/>
                    <w:default w:val="=sum(D_GA_TOT,D_AF_TOT)"/>
                  </w:textInput>
                </w:ffData>
              </w:fldChar>
            </w:r>
            <w:r w:rsidR="00591870" w:rsidRPr="00E034C6">
              <w:rPr>
                <w:rFonts w:ascii="Times New Roman" w:eastAsia="Times New Roman" w:hAnsi="Times New Roman"/>
              </w:rPr>
              <w:instrText xml:space="preserve"> FORMTEXT </w:instrText>
            </w:r>
            <w:r w:rsidRPr="00E034C6">
              <w:rPr>
                <w:rFonts w:ascii="Times New Roman" w:eastAsia="Times New Roman" w:hAnsi="Times New Roman"/>
              </w:rPr>
              <w:fldChar w:fldCharType="begin"/>
            </w:r>
            <w:r w:rsidR="00591870" w:rsidRPr="00E034C6">
              <w:rPr>
                <w:rFonts w:ascii="Times New Roman" w:eastAsia="Times New Roman" w:hAnsi="Times New Roman"/>
              </w:rPr>
              <w:instrText xml:space="preserve"> =sum(D_GA_TOT,D_AF_TOT) </w:instrText>
            </w:r>
            <w:r w:rsidRPr="00E034C6">
              <w:rPr>
                <w:rFonts w:ascii="Times New Roman" w:eastAsia="Times New Roman" w:hAnsi="Times New Roman"/>
              </w:rPr>
              <w:fldChar w:fldCharType="separate"/>
            </w:r>
            <w:r w:rsidR="00E62F7A">
              <w:rPr>
                <w:rFonts w:ascii="Times New Roman" w:eastAsia="Times New Roman" w:hAnsi="Times New Roman"/>
                <w:noProof/>
              </w:rPr>
              <w:instrText>10,327,781</w:instrText>
            </w:r>
            <w:r w:rsidRPr="00E034C6">
              <w:rPr>
                <w:rFonts w:ascii="Times New Roman" w:eastAsia="Times New Roman" w:hAnsi="Times New Roman"/>
              </w:rPr>
              <w:fldChar w:fldCharType="end"/>
            </w:r>
            <w:r w:rsidRPr="00E034C6">
              <w:rPr>
                <w:rFonts w:ascii="Times New Roman" w:eastAsia="Times New Roman" w:hAnsi="Times New Roman"/>
              </w:rPr>
            </w:r>
            <w:r w:rsidRPr="00E034C6">
              <w:rPr>
                <w:rFonts w:ascii="Times New Roman" w:eastAsia="Times New Roman" w:hAnsi="Times New Roman"/>
              </w:rPr>
              <w:fldChar w:fldCharType="separate"/>
            </w:r>
            <w:r w:rsidR="00E62F7A">
              <w:rPr>
                <w:rFonts w:ascii="Times New Roman" w:eastAsia="Times New Roman" w:hAnsi="Times New Roman"/>
                <w:noProof/>
              </w:rPr>
              <w:t>10,327,781</w:t>
            </w:r>
            <w:r w:rsidRPr="00E034C6">
              <w:rPr>
                <w:rFonts w:ascii="Times New Roman" w:eastAsia="Times New Roman" w:hAnsi="Times New Roman"/>
              </w:rPr>
              <w:fldChar w:fldCharType="end"/>
            </w:r>
            <w:bookmarkEnd w:id="79"/>
          </w:p>
        </w:tc>
      </w:tr>
    </w:tbl>
    <w:p w:rsidR="00591870" w:rsidRPr="00E034C6" w:rsidRDefault="00591870" w:rsidP="00591870">
      <w:pPr>
        <w:spacing w:after="0" w:line="240" w:lineRule="auto"/>
        <w:ind w:left="-90"/>
        <w:rPr>
          <w:rFonts w:ascii="Times New Roman" w:eastAsia="Times New Roman" w:hAnsi="Times New Roman"/>
          <w:sz w:val="18"/>
          <w:szCs w:val="18"/>
        </w:rPr>
      </w:pPr>
      <w:r w:rsidRPr="00E034C6">
        <w:rPr>
          <w:rFonts w:ascii="Times New Roman" w:eastAsia="Times New Roman" w:hAnsi="Times New Roman"/>
          <w:bCs/>
          <w:smallCaps/>
          <w:sz w:val="18"/>
          <w:szCs w:val="18"/>
          <w:vertAlign w:val="superscript"/>
        </w:rPr>
        <w:t xml:space="preserve">1 </w:t>
      </w:r>
      <w:r w:rsidRPr="00E034C6">
        <w:rPr>
          <w:rFonts w:ascii="Times New Roman" w:eastAsia="Times New Roman" w:hAnsi="Times New Roman"/>
          <w:sz w:val="18"/>
          <w:szCs w:val="18"/>
        </w:rPr>
        <w:t xml:space="preserve"> In case of a single focal area, single country, single GEF Agency project, and single trust fund project, no need to provide information for this</w:t>
      </w:r>
      <w:r w:rsidRPr="00E034C6">
        <w:rPr>
          <w:rFonts w:ascii="Times New Roman" w:eastAsia="Times New Roman" w:hAnsi="Times New Roman"/>
          <w:sz w:val="18"/>
          <w:szCs w:val="18"/>
        </w:rPr>
        <w:br/>
        <w:t xml:space="preserve">    table.  PMC amount from Table B should be included proportionately to the focal area amount in this table. </w:t>
      </w:r>
    </w:p>
    <w:p w:rsidR="00591870" w:rsidRPr="00E034C6" w:rsidRDefault="00591870" w:rsidP="00591870">
      <w:pPr>
        <w:spacing w:after="0" w:line="240" w:lineRule="auto"/>
        <w:ind w:left="-90"/>
        <w:rPr>
          <w:rFonts w:ascii="Times New Roman" w:eastAsia="Times New Roman" w:hAnsi="Times New Roman"/>
          <w:bCs/>
          <w:sz w:val="18"/>
          <w:szCs w:val="18"/>
        </w:rPr>
      </w:pPr>
      <w:r w:rsidRPr="00E034C6">
        <w:rPr>
          <w:rFonts w:ascii="Times New Roman" w:eastAsia="Times New Roman" w:hAnsi="Times New Roman"/>
          <w:bCs/>
          <w:smallCaps/>
          <w:sz w:val="18"/>
          <w:szCs w:val="18"/>
          <w:vertAlign w:val="superscript"/>
        </w:rPr>
        <w:t xml:space="preserve">2   </w:t>
      </w:r>
      <w:r w:rsidRPr="00E034C6">
        <w:rPr>
          <w:rFonts w:ascii="Times New Roman" w:eastAsia="Times New Roman" w:hAnsi="Times New Roman"/>
          <w:bCs/>
          <w:sz w:val="18"/>
          <w:szCs w:val="18"/>
        </w:rPr>
        <w:t>Indicate fees related to this project.</w:t>
      </w:r>
    </w:p>
    <w:p w:rsidR="00591870" w:rsidRPr="00E034C6" w:rsidRDefault="00591870" w:rsidP="00EE0A54">
      <w:pPr>
        <w:numPr>
          <w:ilvl w:val="0"/>
          <w:numId w:val="5"/>
        </w:numPr>
        <w:spacing w:before="240" w:after="80" w:line="240" w:lineRule="auto"/>
        <w:ind w:left="270"/>
        <w:rPr>
          <w:rFonts w:ascii="Times New Roman" w:eastAsia="Times New Roman" w:hAnsi="Times New Roman"/>
          <w:b/>
          <w:smallCaps/>
        </w:rPr>
      </w:pPr>
      <w:r w:rsidRPr="00E034C6">
        <w:rPr>
          <w:rFonts w:ascii="Times New Roman" w:eastAsia="Times New Roman" w:hAnsi="Times New Roman"/>
          <w:b/>
          <w:bCs/>
          <w:smallCaps/>
        </w:rPr>
        <w:t>Consultants working for technical assistance components: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432"/>
        <w:gridCol w:w="2521"/>
        <w:gridCol w:w="2609"/>
      </w:tblGrid>
      <w:tr w:rsidR="00F51DEB" w:rsidRPr="00E034C6" w:rsidTr="00F51DEB">
        <w:tc>
          <w:tcPr>
            <w:tcW w:w="1505" w:type="pct"/>
            <w:tcBorders>
              <w:bottom w:val="double" w:sz="4" w:space="0" w:color="auto"/>
            </w:tcBorders>
            <w:shd w:val="clear" w:color="auto" w:fill="auto"/>
            <w:vAlign w:val="center"/>
          </w:tcPr>
          <w:p w:rsidR="00F51DEB" w:rsidRPr="00E034C6" w:rsidRDefault="00F51DEB" w:rsidP="00591870">
            <w:pPr>
              <w:keepNext/>
              <w:spacing w:after="0" w:line="240" w:lineRule="auto"/>
              <w:jc w:val="center"/>
              <w:outlineLvl w:val="2"/>
              <w:rPr>
                <w:rFonts w:ascii="Times New Roman" w:eastAsia="Times New Roman" w:hAnsi="Times New Roman"/>
                <w:b/>
                <w:bCs/>
                <w:iCs/>
              </w:rPr>
            </w:pPr>
            <w:r w:rsidRPr="00E034C6">
              <w:rPr>
                <w:rFonts w:ascii="Times New Roman" w:eastAsia="Times New Roman" w:hAnsi="Times New Roman"/>
                <w:b/>
                <w:bCs/>
                <w:iCs/>
              </w:rPr>
              <w:t>Component</w:t>
            </w:r>
          </w:p>
        </w:tc>
        <w:tc>
          <w:tcPr>
            <w:tcW w:w="1124" w:type="pct"/>
            <w:tcBorders>
              <w:bottom w:val="double" w:sz="4" w:space="0" w:color="auto"/>
            </w:tcBorders>
            <w:shd w:val="clear" w:color="auto" w:fill="auto"/>
            <w:vAlign w:val="center"/>
          </w:tcPr>
          <w:p w:rsidR="00F51DEB" w:rsidRPr="00E034C6" w:rsidRDefault="00F51DEB" w:rsidP="00591870">
            <w:pPr>
              <w:keepNext/>
              <w:spacing w:after="0" w:line="240" w:lineRule="auto"/>
              <w:jc w:val="center"/>
              <w:outlineLvl w:val="2"/>
              <w:rPr>
                <w:rFonts w:ascii="Times New Roman" w:eastAsia="Times New Roman" w:hAnsi="Times New Roman"/>
                <w:b/>
                <w:bCs/>
                <w:iCs/>
              </w:rPr>
            </w:pPr>
            <w:r w:rsidRPr="00E034C6">
              <w:rPr>
                <w:rFonts w:ascii="Times New Roman" w:eastAsia="Times New Roman" w:hAnsi="Times New Roman"/>
                <w:b/>
                <w:bCs/>
                <w:iCs/>
              </w:rPr>
              <w:t>Grant Amount</w:t>
            </w:r>
            <w:r w:rsidRPr="00E034C6">
              <w:rPr>
                <w:rFonts w:ascii="Times New Roman" w:eastAsia="Times New Roman" w:hAnsi="Times New Roman"/>
                <w:b/>
                <w:bCs/>
                <w:iCs/>
              </w:rPr>
              <w:br/>
              <w:t>($)</w:t>
            </w:r>
          </w:p>
        </w:tc>
        <w:tc>
          <w:tcPr>
            <w:tcW w:w="1165" w:type="pct"/>
            <w:tcBorders>
              <w:bottom w:val="double" w:sz="4" w:space="0" w:color="auto"/>
            </w:tcBorders>
            <w:shd w:val="clear" w:color="auto" w:fill="auto"/>
            <w:vAlign w:val="center"/>
          </w:tcPr>
          <w:p w:rsidR="00F51DEB" w:rsidRPr="00E034C6" w:rsidRDefault="00F51DEB" w:rsidP="00591870">
            <w:pPr>
              <w:keepNext/>
              <w:spacing w:after="0" w:line="240" w:lineRule="auto"/>
              <w:jc w:val="center"/>
              <w:outlineLvl w:val="2"/>
              <w:rPr>
                <w:rFonts w:ascii="Times New Roman" w:eastAsia="Times New Roman" w:hAnsi="Times New Roman"/>
                <w:b/>
                <w:bCs/>
                <w:iCs/>
              </w:rPr>
            </w:pPr>
            <w:r w:rsidRPr="00E034C6">
              <w:rPr>
                <w:rFonts w:ascii="Times New Roman" w:eastAsia="Times New Roman" w:hAnsi="Times New Roman"/>
                <w:b/>
                <w:bCs/>
                <w:iCs/>
              </w:rPr>
              <w:t>Cofinancing</w:t>
            </w:r>
            <w:r w:rsidRPr="00E034C6">
              <w:rPr>
                <w:rFonts w:ascii="Times New Roman" w:eastAsia="Times New Roman" w:hAnsi="Times New Roman"/>
                <w:b/>
                <w:bCs/>
                <w:iCs/>
              </w:rPr>
              <w:br/>
              <w:t xml:space="preserve"> ($)</w:t>
            </w:r>
          </w:p>
        </w:tc>
        <w:tc>
          <w:tcPr>
            <w:tcW w:w="1206" w:type="pct"/>
            <w:tcBorders>
              <w:bottom w:val="double" w:sz="4" w:space="0" w:color="auto"/>
            </w:tcBorders>
            <w:shd w:val="clear" w:color="auto" w:fill="auto"/>
            <w:vAlign w:val="center"/>
          </w:tcPr>
          <w:p w:rsidR="00F51DEB" w:rsidRPr="00E034C6" w:rsidRDefault="00F51DEB" w:rsidP="00591870">
            <w:pPr>
              <w:keepNext/>
              <w:spacing w:after="0" w:line="240" w:lineRule="auto"/>
              <w:jc w:val="center"/>
              <w:outlineLvl w:val="2"/>
              <w:rPr>
                <w:rFonts w:ascii="Times New Roman" w:eastAsia="Times New Roman" w:hAnsi="Times New Roman"/>
                <w:b/>
                <w:bCs/>
                <w:iCs/>
              </w:rPr>
            </w:pPr>
            <w:r w:rsidRPr="00E034C6">
              <w:rPr>
                <w:rFonts w:ascii="Times New Roman" w:eastAsia="Times New Roman" w:hAnsi="Times New Roman"/>
                <w:b/>
                <w:bCs/>
                <w:iCs/>
              </w:rPr>
              <w:t>Project Total</w:t>
            </w:r>
            <w:r w:rsidRPr="00E034C6">
              <w:rPr>
                <w:rFonts w:ascii="Times New Roman" w:eastAsia="Times New Roman" w:hAnsi="Times New Roman"/>
                <w:b/>
                <w:bCs/>
                <w:iCs/>
              </w:rPr>
              <w:br/>
              <w:t xml:space="preserve"> ($)</w:t>
            </w:r>
          </w:p>
        </w:tc>
      </w:tr>
      <w:tr w:rsidR="00F51DEB" w:rsidRPr="00E034C6" w:rsidTr="00F51DEB">
        <w:tc>
          <w:tcPr>
            <w:tcW w:w="1505" w:type="pct"/>
            <w:shd w:val="clear" w:color="auto" w:fill="auto"/>
          </w:tcPr>
          <w:p w:rsidR="00F51DEB" w:rsidRPr="00E034C6" w:rsidRDefault="00F51DEB" w:rsidP="00591870">
            <w:pPr>
              <w:keepNext/>
              <w:spacing w:after="0" w:line="240" w:lineRule="auto"/>
              <w:outlineLvl w:val="2"/>
              <w:rPr>
                <w:rFonts w:ascii="Times New Roman" w:eastAsia="Times New Roman" w:hAnsi="Times New Roman"/>
              </w:rPr>
            </w:pPr>
            <w:r w:rsidRPr="00E034C6">
              <w:rPr>
                <w:rFonts w:ascii="Times New Roman" w:eastAsia="Times New Roman" w:hAnsi="Times New Roman"/>
              </w:rPr>
              <w:t>International Consultants</w:t>
            </w:r>
          </w:p>
        </w:tc>
        <w:tc>
          <w:tcPr>
            <w:tcW w:w="1124" w:type="pct"/>
            <w:shd w:val="clear" w:color="auto" w:fill="auto"/>
          </w:tcPr>
          <w:p w:rsidR="00F51DEB" w:rsidRPr="00E034C6" w:rsidRDefault="002C30AC" w:rsidP="00591870">
            <w:pPr>
              <w:spacing w:after="0" w:line="240" w:lineRule="auto"/>
              <w:jc w:val="right"/>
              <w:rPr>
                <w:rFonts w:ascii="Times New Roman" w:eastAsia="Times New Roman" w:hAnsi="Times New Roman"/>
              </w:rPr>
            </w:pPr>
            <w:r>
              <w:rPr>
                <w:rFonts w:ascii="Times New Roman" w:eastAsia="Times New Roman" w:hAnsi="Times New Roman"/>
              </w:rPr>
              <w:t>820,000</w:t>
            </w:r>
          </w:p>
        </w:tc>
        <w:tc>
          <w:tcPr>
            <w:tcW w:w="1165" w:type="pct"/>
            <w:shd w:val="clear" w:color="auto" w:fill="auto"/>
          </w:tcPr>
          <w:p w:rsidR="00F51DEB" w:rsidRPr="00E034C6" w:rsidRDefault="002C30AC" w:rsidP="00591870">
            <w:pPr>
              <w:spacing w:after="0" w:line="240" w:lineRule="auto"/>
              <w:jc w:val="right"/>
              <w:rPr>
                <w:rFonts w:ascii="Times New Roman" w:eastAsia="Times New Roman" w:hAnsi="Times New Roman"/>
              </w:rPr>
            </w:pPr>
            <w:r>
              <w:rPr>
                <w:rFonts w:ascii="Times New Roman" w:eastAsia="Times New Roman" w:hAnsi="Times New Roman"/>
              </w:rPr>
              <w:t>0</w:t>
            </w:r>
          </w:p>
        </w:tc>
        <w:tc>
          <w:tcPr>
            <w:tcW w:w="1206" w:type="pct"/>
            <w:shd w:val="clear" w:color="auto" w:fill="auto"/>
          </w:tcPr>
          <w:p w:rsidR="00F51DEB" w:rsidRPr="00E034C6" w:rsidRDefault="002C30AC" w:rsidP="00591870">
            <w:pPr>
              <w:spacing w:after="0" w:line="240" w:lineRule="auto"/>
              <w:jc w:val="right"/>
              <w:rPr>
                <w:rFonts w:ascii="Times New Roman" w:eastAsia="Times New Roman" w:hAnsi="Times New Roman"/>
              </w:rPr>
            </w:pPr>
            <w:bookmarkStart w:id="80" w:name="ProjTotalLocal"/>
            <w:r>
              <w:rPr>
                <w:rFonts w:ascii="Times New Roman" w:eastAsia="Times New Roman" w:hAnsi="Times New Roman"/>
              </w:rPr>
              <w:t>820,000</w:t>
            </w:r>
            <w:bookmarkEnd w:id="80"/>
          </w:p>
        </w:tc>
      </w:tr>
      <w:tr w:rsidR="00F51DEB" w:rsidRPr="00E034C6" w:rsidTr="00F51DEB">
        <w:tc>
          <w:tcPr>
            <w:tcW w:w="1505" w:type="pct"/>
            <w:shd w:val="clear" w:color="auto" w:fill="auto"/>
          </w:tcPr>
          <w:p w:rsidR="00F51DEB" w:rsidRPr="00E034C6" w:rsidRDefault="00F51DEB" w:rsidP="00591870">
            <w:pPr>
              <w:keepNext/>
              <w:spacing w:after="0" w:line="240" w:lineRule="auto"/>
              <w:outlineLvl w:val="2"/>
              <w:rPr>
                <w:rFonts w:ascii="Times New Roman" w:eastAsia="Times New Roman" w:hAnsi="Times New Roman"/>
              </w:rPr>
            </w:pPr>
            <w:r w:rsidRPr="00E034C6">
              <w:rPr>
                <w:rFonts w:ascii="Times New Roman" w:eastAsia="Times New Roman" w:hAnsi="Times New Roman"/>
              </w:rPr>
              <w:t>National/Local Consultants</w:t>
            </w:r>
          </w:p>
        </w:tc>
        <w:tc>
          <w:tcPr>
            <w:tcW w:w="1124" w:type="pct"/>
            <w:shd w:val="clear" w:color="auto" w:fill="auto"/>
          </w:tcPr>
          <w:p w:rsidR="002C30AC" w:rsidRDefault="002C30AC" w:rsidP="007A5BDD">
            <w:pPr>
              <w:spacing w:after="0" w:line="240" w:lineRule="auto"/>
              <w:jc w:val="right"/>
              <w:rPr>
                <w:rFonts w:ascii="Times New Roman" w:eastAsia="Times New Roman" w:hAnsi="Times New Roman"/>
              </w:rPr>
            </w:pPr>
            <w:r>
              <w:rPr>
                <w:rFonts w:ascii="Times New Roman" w:eastAsia="Times New Roman" w:hAnsi="Times New Roman"/>
              </w:rPr>
              <w:t>240,000</w:t>
            </w:r>
          </w:p>
          <w:p w:rsidR="00F51DEB" w:rsidRPr="00E034C6" w:rsidRDefault="00F51DEB" w:rsidP="007A5BDD">
            <w:pPr>
              <w:spacing w:after="0" w:line="240" w:lineRule="auto"/>
              <w:jc w:val="right"/>
              <w:rPr>
                <w:rFonts w:ascii="Times New Roman" w:eastAsia="Times New Roman" w:hAnsi="Times New Roman"/>
              </w:rPr>
            </w:pPr>
          </w:p>
        </w:tc>
        <w:tc>
          <w:tcPr>
            <w:tcW w:w="1165" w:type="pct"/>
            <w:shd w:val="clear" w:color="auto" w:fill="auto"/>
          </w:tcPr>
          <w:p w:rsidR="00F51DEB" w:rsidRDefault="002C30AC" w:rsidP="007A5BDD">
            <w:pPr>
              <w:spacing w:after="0" w:line="240" w:lineRule="auto"/>
              <w:jc w:val="right"/>
              <w:rPr>
                <w:rFonts w:ascii="Times New Roman" w:eastAsia="Times New Roman" w:hAnsi="Times New Roman"/>
              </w:rPr>
            </w:pPr>
            <w:r>
              <w:rPr>
                <w:rFonts w:ascii="Times New Roman" w:eastAsia="Times New Roman" w:hAnsi="Times New Roman"/>
              </w:rPr>
              <w:t>0</w:t>
            </w:r>
          </w:p>
          <w:p w:rsidR="002C30AC" w:rsidRPr="00E034C6" w:rsidRDefault="002C30AC" w:rsidP="007A5BDD">
            <w:pPr>
              <w:spacing w:after="0" w:line="240" w:lineRule="auto"/>
              <w:jc w:val="right"/>
              <w:rPr>
                <w:rFonts w:ascii="Times New Roman" w:eastAsia="Times New Roman" w:hAnsi="Times New Roman"/>
              </w:rPr>
            </w:pPr>
          </w:p>
        </w:tc>
        <w:tc>
          <w:tcPr>
            <w:tcW w:w="1206" w:type="pct"/>
            <w:shd w:val="clear" w:color="auto" w:fill="auto"/>
          </w:tcPr>
          <w:p w:rsidR="00F51DEB" w:rsidRPr="00E034C6" w:rsidRDefault="002C30AC" w:rsidP="007A5BDD">
            <w:pPr>
              <w:spacing w:after="0" w:line="240" w:lineRule="auto"/>
              <w:jc w:val="right"/>
              <w:rPr>
                <w:rFonts w:ascii="Times New Roman" w:eastAsia="Times New Roman" w:hAnsi="Times New Roman"/>
              </w:rPr>
            </w:pPr>
            <w:r>
              <w:rPr>
                <w:rFonts w:ascii="Times New Roman" w:eastAsia="Times New Roman" w:hAnsi="Times New Roman"/>
              </w:rPr>
              <w:t>240,000</w:t>
            </w:r>
          </w:p>
        </w:tc>
      </w:tr>
    </w:tbl>
    <w:p w:rsidR="00591870" w:rsidRPr="00E034C6" w:rsidRDefault="00591870" w:rsidP="00591870">
      <w:pPr>
        <w:spacing w:after="0" w:line="240" w:lineRule="auto"/>
        <w:rPr>
          <w:rFonts w:ascii="Times New Roman" w:eastAsia="Times New Roman" w:hAnsi="Times New Roman"/>
          <w:sz w:val="24"/>
          <w:szCs w:val="24"/>
        </w:rPr>
      </w:pPr>
    </w:p>
    <w:p w:rsidR="00591870" w:rsidRPr="00E034C6" w:rsidRDefault="00591870" w:rsidP="00EE0A54">
      <w:pPr>
        <w:numPr>
          <w:ilvl w:val="0"/>
          <w:numId w:val="5"/>
        </w:numPr>
        <w:spacing w:after="80" w:line="240" w:lineRule="auto"/>
        <w:ind w:left="270"/>
        <w:rPr>
          <w:rFonts w:ascii="Times New Roman" w:eastAsia="Times New Roman" w:hAnsi="Times New Roman"/>
          <w:b/>
          <w:smallCaps/>
        </w:rPr>
      </w:pPr>
      <w:r w:rsidRPr="00E034C6">
        <w:rPr>
          <w:rFonts w:ascii="Times New Roman" w:eastAsia="Times New Roman" w:hAnsi="Times New Roman"/>
          <w:b/>
          <w:smallCaps/>
        </w:rPr>
        <w:t>Does the project include a “non-grant” instrument?</w:t>
      </w:r>
      <w:r w:rsidRPr="00E034C6">
        <w:rPr>
          <w:rFonts w:ascii="Times New Roman" w:eastAsia="Times New Roman" w:hAnsi="Times New Roman"/>
        </w:rPr>
        <w:t xml:space="preserve">    </w:t>
      </w:r>
      <w:bookmarkStart w:id="81" w:name="NonGrantIns"/>
      <w:r w:rsidR="00985A96" w:rsidRPr="00E034C6">
        <w:rPr>
          <w:rFonts w:ascii="Times New Roman" w:eastAsia="Times New Roman" w:hAnsi="Times New Roman"/>
        </w:rPr>
        <w:fldChar w:fldCharType="begin">
          <w:ffData>
            <w:name w:val="NonGrantIns"/>
            <w:enabled/>
            <w:calcOnExit w:val="0"/>
            <w:ddList>
              <w:result w:val="2"/>
              <w:listEntry w:val="(Select)"/>
              <w:listEntry w:val="Yes"/>
              <w:listEntry w:val="No"/>
            </w:ddList>
          </w:ffData>
        </w:fldChar>
      </w:r>
      <w:r w:rsidRPr="00E26A08">
        <w:rPr>
          <w:rFonts w:ascii="Times New Roman" w:eastAsia="Times New Roman" w:hAnsi="Times New Roman"/>
        </w:rPr>
        <w:instrText xml:space="preserve"> FORMDROPDOWN </w:instrText>
      </w:r>
      <w:r w:rsidR="00854B34">
        <w:rPr>
          <w:rFonts w:ascii="Times New Roman" w:eastAsia="Times New Roman" w:hAnsi="Times New Roman"/>
        </w:rPr>
      </w:r>
      <w:r w:rsidR="00854B34">
        <w:rPr>
          <w:rFonts w:ascii="Times New Roman" w:eastAsia="Times New Roman" w:hAnsi="Times New Roman"/>
        </w:rPr>
        <w:fldChar w:fldCharType="separate"/>
      </w:r>
      <w:r w:rsidR="00985A96" w:rsidRPr="00E034C6">
        <w:rPr>
          <w:rFonts w:ascii="Times New Roman" w:eastAsia="Times New Roman" w:hAnsi="Times New Roman"/>
        </w:rPr>
        <w:fldChar w:fldCharType="end"/>
      </w:r>
      <w:bookmarkEnd w:id="81"/>
      <w:r w:rsidRPr="00E034C6">
        <w:rPr>
          <w:rFonts w:ascii="Times New Roman" w:eastAsia="Times New Roman" w:hAnsi="Times New Roman"/>
        </w:rPr>
        <w:t xml:space="preserve">                  </w:t>
      </w:r>
    </w:p>
    <w:p w:rsidR="00591870" w:rsidRPr="00E034C6" w:rsidRDefault="00591870" w:rsidP="00591870">
      <w:pPr>
        <w:tabs>
          <w:tab w:val="num" w:pos="360"/>
        </w:tabs>
        <w:spacing w:after="80" w:line="240" w:lineRule="auto"/>
        <w:rPr>
          <w:rFonts w:ascii="Times New Roman" w:eastAsia="Times New Roman" w:hAnsi="Times New Roman"/>
          <w:b/>
          <w:smallCaps/>
        </w:rPr>
      </w:pPr>
      <w:r w:rsidRPr="00E034C6">
        <w:rPr>
          <w:rFonts w:ascii="Times New Roman" w:eastAsia="Times New Roman" w:hAnsi="Times New Roman"/>
        </w:rPr>
        <w:t xml:space="preserve">     (If non-grant instruments are used, provide in Annex D an indicative calendar of expected reflows to your Agency </w:t>
      </w:r>
      <w:r w:rsidRPr="00E034C6">
        <w:rPr>
          <w:rFonts w:ascii="Times New Roman" w:eastAsia="Times New Roman" w:hAnsi="Times New Roman"/>
        </w:rPr>
        <w:br/>
        <w:t xml:space="preserve">       and to the GEF/LDCF/SCCF/NPIF Trust Fund).</w:t>
      </w:r>
      <w:r w:rsidRPr="00E034C6">
        <w:rPr>
          <w:rFonts w:ascii="Times New Roman" w:eastAsia="Times New Roman" w:hAnsi="Times New Roman"/>
          <w:b/>
          <w:smallCaps/>
        </w:rPr>
        <w:t xml:space="preserve">       </w:t>
      </w:r>
    </w:p>
    <w:tbl>
      <w:tblPr>
        <w:tblW w:w="0" w:type="auto"/>
        <w:tblLook w:val="04A0" w:firstRow="1" w:lastRow="0" w:firstColumn="1" w:lastColumn="0" w:noHBand="0" w:noVBand="1"/>
      </w:tblPr>
      <w:tblGrid>
        <w:gridCol w:w="10829"/>
      </w:tblGrid>
      <w:tr w:rsidR="00591870" w:rsidRPr="00E034C6" w:rsidTr="002E4A63">
        <w:tc>
          <w:tcPr>
            <w:tcW w:w="10829" w:type="dxa"/>
          </w:tcPr>
          <w:p w:rsidR="00591870" w:rsidRPr="00E034C6" w:rsidRDefault="00591870" w:rsidP="00591870">
            <w:pPr>
              <w:tabs>
                <w:tab w:val="num" w:pos="360"/>
              </w:tabs>
              <w:spacing w:after="0" w:line="240" w:lineRule="auto"/>
              <w:rPr>
                <w:rFonts w:ascii="Times New Roman" w:eastAsia="Times New Roman" w:hAnsi="Times New Roman"/>
                <w:b/>
                <w:caps/>
                <w:u w:val="single"/>
              </w:rPr>
            </w:pPr>
          </w:p>
        </w:tc>
      </w:tr>
    </w:tbl>
    <w:p w:rsidR="00591870" w:rsidRPr="00E034C6" w:rsidRDefault="00591870" w:rsidP="00591870">
      <w:pPr>
        <w:tabs>
          <w:tab w:val="num" w:pos="360"/>
          <w:tab w:val="center" w:pos="4320"/>
          <w:tab w:val="right" w:pos="8640"/>
        </w:tabs>
        <w:spacing w:after="0" w:line="240" w:lineRule="auto"/>
        <w:rPr>
          <w:rFonts w:ascii="Times New Roman Bold" w:eastAsia="Times New Roman" w:hAnsi="Times New Roman Bold"/>
          <w:b/>
          <w:caps/>
          <w:color w:val="00B0F0"/>
          <w:u w:val="single"/>
        </w:rPr>
      </w:pPr>
      <w:r w:rsidRPr="00E034C6">
        <w:rPr>
          <w:rFonts w:ascii="Times New Roman Bold" w:eastAsia="Times New Roman" w:hAnsi="Times New Roman Bold"/>
          <w:b/>
          <w:caps/>
          <w:color w:val="00B0F0"/>
          <w:u w:val="single"/>
        </w:rPr>
        <w:t>part ii:  project justification</w:t>
      </w:r>
    </w:p>
    <w:p w:rsidR="00591870" w:rsidRPr="00E034C6"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p w:rsidR="00591870" w:rsidRPr="00E034C6" w:rsidRDefault="00591870" w:rsidP="00591870">
      <w:pPr>
        <w:tabs>
          <w:tab w:val="num" w:pos="360"/>
          <w:tab w:val="center" w:pos="4320"/>
          <w:tab w:val="right" w:pos="8640"/>
        </w:tabs>
        <w:spacing w:after="0" w:line="240" w:lineRule="auto"/>
        <w:rPr>
          <w:rFonts w:ascii="Times New Roman Bold" w:eastAsia="Times New Roman" w:hAnsi="Times New Roman Bold"/>
          <w:b/>
          <w:caps/>
        </w:rPr>
      </w:pPr>
      <w:r w:rsidRPr="00E034C6">
        <w:rPr>
          <w:rFonts w:ascii="Times New Roman Bold" w:eastAsia="Times New Roman" w:hAnsi="Times New Roman Bold"/>
          <w:b/>
          <w:caps/>
        </w:rPr>
        <w:t>A. describe any changes in alignment with the project design of the original pif</w:t>
      </w:r>
      <w:r w:rsidRPr="00E034C6">
        <w:rPr>
          <w:rFonts w:ascii="Times New Roman" w:eastAsia="Times New Roman" w:hAnsi="Times New Roman"/>
          <w:b/>
          <w:caps/>
          <w:vertAlign w:val="superscript"/>
        </w:rPr>
        <w:footnoteReference w:id="4"/>
      </w:r>
      <w:r w:rsidRPr="00E034C6">
        <w:rPr>
          <w:rFonts w:ascii="Times New Roman Bold" w:eastAsia="Times New Roman" w:hAnsi="Times New Roman Bold"/>
          <w:b/>
          <w:caps/>
        </w:rPr>
        <w:t xml:space="preserve"> </w:t>
      </w:r>
    </w:p>
    <w:p w:rsidR="00591870" w:rsidRPr="00E034C6"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tbl>
      <w:tblPr>
        <w:tblW w:w="0" w:type="auto"/>
        <w:tblInd w:w="18" w:type="dxa"/>
        <w:tblLook w:val="04A0" w:firstRow="1" w:lastRow="0" w:firstColumn="1" w:lastColumn="0" w:noHBand="0" w:noVBand="1"/>
      </w:tblPr>
      <w:tblGrid>
        <w:gridCol w:w="10260"/>
      </w:tblGrid>
      <w:tr w:rsidR="00591870" w:rsidRPr="00E034C6" w:rsidTr="00591870">
        <w:tc>
          <w:tcPr>
            <w:tcW w:w="10260" w:type="dxa"/>
          </w:tcPr>
          <w:p w:rsidR="002A2C27" w:rsidRPr="00E034C6" w:rsidRDefault="00591870" w:rsidP="008214C3">
            <w:pPr>
              <w:spacing w:after="120" w:line="240" w:lineRule="auto"/>
              <w:ind w:left="432" w:right="-1530" w:hanging="432"/>
              <w:rPr>
                <w:rFonts w:ascii="Times New Roman" w:eastAsia="Times New Roman" w:hAnsi="Times New Roman"/>
              </w:rPr>
            </w:pPr>
            <w:r w:rsidRPr="00E034C6">
              <w:rPr>
                <w:rFonts w:ascii="Times New Roman" w:eastAsia="Times New Roman" w:hAnsi="Times New Roman"/>
              </w:rPr>
              <w:t xml:space="preserve">A.1 </w:t>
            </w:r>
            <w:r w:rsidRPr="00E034C6">
              <w:rPr>
                <w:rFonts w:ascii="Times New Roman" w:eastAsia="Times New Roman" w:hAnsi="Times New Roman"/>
                <w:u w:val="single"/>
              </w:rPr>
              <w:t>National strategies and plans</w:t>
            </w:r>
            <w:r w:rsidRPr="00E034C6">
              <w:rPr>
                <w:rFonts w:ascii="Times New Roman" w:eastAsia="Times New Roman" w:hAnsi="Times New Roman"/>
              </w:rPr>
              <w:t xml:space="preserve"> or reports and assessments under relevant conventions, if applicable, i.e. NAPAS, NAPs,      NBSAPs, national communications, TNAs, NCSA, NIPs, PRSPs, NPFE, Biennial Update Reports, etc</w:t>
            </w:r>
            <w:r w:rsidR="002A2C27" w:rsidRPr="00E034C6">
              <w:rPr>
                <w:rFonts w:ascii="Times New Roman" w:eastAsia="Times New Roman" w:hAnsi="Times New Roman"/>
              </w:rPr>
              <w:t>.</w:t>
            </w:r>
          </w:p>
          <w:p w:rsidR="00F87445" w:rsidRDefault="009D62A1" w:rsidP="00921B05">
            <w:pPr>
              <w:shd w:val="clear" w:color="auto" w:fill="BFBFBF" w:themeFill="background1" w:themeFillShade="BF"/>
              <w:autoSpaceDE w:val="0"/>
              <w:autoSpaceDN w:val="0"/>
              <w:adjustRightInd w:val="0"/>
              <w:spacing w:after="0" w:line="240" w:lineRule="auto"/>
              <w:jc w:val="both"/>
              <w:rPr>
                <w:rFonts w:ascii="Times New Roman" w:hAnsi="Times New Roman"/>
              </w:rPr>
            </w:pPr>
            <w:r>
              <w:rPr>
                <w:rFonts w:ascii="Times New Roman" w:hAnsi="Times New Roman"/>
              </w:rPr>
              <w:t>The national policy environment with regard to the environment remains largely unchanged since submission of the original PIF</w:t>
            </w:r>
            <w:r w:rsidR="00E47F53">
              <w:rPr>
                <w:rFonts w:ascii="Times New Roman" w:hAnsi="Times New Roman"/>
              </w:rPr>
              <w:t xml:space="preserve"> or to the contrary strengthened support for the decentralized GE approach of RIMBA</w:t>
            </w:r>
            <w:r>
              <w:rPr>
                <w:rFonts w:ascii="Times New Roman" w:hAnsi="Times New Roman"/>
              </w:rPr>
              <w:t xml:space="preserve">.  </w:t>
            </w:r>
            <w:r w:rsidR="00F87445">
              <w:rPr>
                <w:rFonts w:ascii="Times New Roman" w:hAnsi="Times New Roman"/>
              </w:rPr>
              <w:t xml:space="preserve">While a </w:t>
            </w:r>
            <w:r>
              <w:rPr>
                <w:rFonts w:ascii="Times New Roman" w:hAnsi="Times New Roman"/>
              </w:rPr>
              <w:t>new President</w:t>
            </w:r>
            <w:r w:rsidR="00F87445">
              <w:rPr>
                <w:rFonts w:ascii="Times New Roman" w:hAnsi="Times New Roman"/>
              </w:rPr>
              <w:t xml:space="preserve">, Joko Widodo, was elected in October 2014, the environmental policies of the Government of Indonesia continue to pursue both biodiversity conservation and economic development through a Green Economy approach.  This can be seen, for example, in the continued support for former President Susilo Bambang Yudhoyono’s commitment </w:t>
            </w:r>
            <w:r w:rsidR="007B102D">
              <w:rPr>
                <w:rFonts w:ascii="Times New Roman" w:hAnsi="Times New Roman"/>
              </w:rPr>
              <w:t>to</w:t>
            </w:r>
            <w:r w:rsidR="00F87445">
              <w:rPr>
                <w:rFonts w:ascii="Times New Roman" w:hAnsi="Times New Roman"/>
              </w:rPr>
              <w:t xml:space="preserve"> a 26-41% reduction in greenhouse gas emissions, alongside continued support for the MP3EI (the Masterplan for Acceleration and Expansion of Indonesia’s Economic Development).  </w:t>
            </w:r>
          </w:p>
          <w:p w:rsidR="00F87445" w:rsidRDefault="00F87445" w:rsidP="00921B05">
            <w:pPr>
              <w:shd w:val="clear" w:color="auto" w:fill="BFBFBF" w:themeFill="background1" w:themeFillShade="BF"/>
              <w:autoSpaceDE w:val="0"/>
              <w:autoSpaceDN w:val="0"/>
              <w:adjustRightInd w:val="0"/>
              <w:spacing w:after="0" w:line="240" w:lineRule="auto"/>
              <w:jc w:val="both"/>
              <w:rPr>
                <w:rFonts w:ascii="Times New Roman" w:hAnsi="Times New Roman"/>
              </w:rPr>
            </w:pPr>
          </w:p>
          <w:p w:rsidR="00921B05" w:rsidRPr="00E034C6" w:rsidRDefault="00921B05" w:rsidP="00921B05">
            <w:pPr>
              <w:shd w:val="clear" w:color="auto" w:fill="BFBFBF" w:themeFill="background1" w:themeFillShade="BF"/>
              <w:autoSpaceDE w:val="0"/>
              <w:autoSpaceDN w:val="0"/>
              <w:adjustRightInd w:val="0"/>
              <w:spacing w:after="0" w:line="240" w:lineRule="auto"/>
              <w:jc w:val="both"/>
              <w:rPr>
                <w:rFonts w:ascii="Times New Roman" w:hAnsi="Times New Roman"/>
              </w:rPr>
            </w:pPr>
            <w:r w:rsidRPr="00E034C6">
              <w:rPr>
                <w:rFonts w:ascii="Times New Roman" w:hAnsi="Times New Roman"/>
              </w:rPr>
              <w:t xml:space="preserve">The Government of </w:t>
            </w:r>
            <w:r w:rsidR="00F87445">
              <w:rPr>
                <w:rFonts w:ascii="Times New Roman" w:hAnsi="Times New Roman"/>
              </w:rPr>
              <w:t>Joko Widodo</w:t>
            </w:r>
            <w:r w:rsidRPr="00E034C6">
              <w:rPr>
                <w:rFonts w:ascii="Times New Roman" w:hAnsi="Times New Roman"/>
              </w:rPr>
              <w:t xml:space="preserve"> is guided by a national 5 year medium term development</w:t>
            </w:r>
            <w:r w:rsidR="007370B4">
              <w:rPr>
                <w:rFonts w:ascii="Times New Roman" w:hAnsi="Times New Roman"/>
              </w:rPr>
              <w:t xml:space="preserve"> </w:t>
            </w:r>
            <w:r w:rsidRPr="00E034C6">
              <w:rPr>
                <w:rFonts w:ascii="Times New Roman" w:hAnsi="Times New Roman"/>
              </w:rPr>
              <w:t>plan (RPJMN) for the period 2015-2019, largely coinciding with the proposed period of implementation of the RIMBA Project.</w:t>
            </w:r>
            <w:r w:rsidR="00F87445">
              <w:rPr>
                <w:rFonts w:ascii="Times New Roman" w:hAnsi="Times New Roman"/>
              </w:rPr>
              <w:t xml:space="preserve">  </w:t>
            </w:r>
            <w:r w:rsidRPr="00E034C6">
              <w:rPr>
                <w:rFonts w:ascii="Times New Roman" w:hAnsi="Times New Roman"/>
              </w:rPr>
              <w:t xml:space="preserve">The RPJMN has identified several national priorities which </w:t>
            </w:r>
            <w:r w:rsidR="007370B4">
              <w:rPr>
                <w:rFonts w:ascii="Times New Roman" w:hAnsi="Times New Roman"/>
              </w:rPr>
              <w:t>will build on</w:t>
            </w:r>
            <w:r w:rsidRPr="00E034C6">
              <w:rPr>
                <w:rFonts w:ascii="Times New Roman" w:hAnsi="Times New Roman"/>
              </w:rPr>
              <w:t xml:space="preserve"> </w:t>
            </w:r>
            <w:r w:rsidR="007370B4" w:rsidRPr="00E034C6">
              <w:rPr>
                <w:rFonts w:ascii="Times New Roman" w:hAnsi="Times New Roman"/>
              </w:rPr>
              <w:t>initiatives</w:t>
            </w:r>
            <w:r w:rsidRPr="00E034C6">
              <w:rPr>
                <w:rFonts w:ascii="Times New Roman" w:hAnsi="Times New Roman"/>
              </w:rPr>
              <w:t xml:space="preserve"> which </w:t>
            </w:r>
            <w:r w:rsidR="00F87445">
              <w:rPr>
                <w:rFonts w:ascii="Times New Roman" w:hAnsi="Times New Roman"/>
              </w:rPr>
              <w:t xml:space="preserve">were started under the Yudhoyono administration.  </w:t>
            </w:r>
            <w:r w:rsidRPr="00E034C6">
              <w:rPr>
                <w:rFonts w:ascii="Times New Roman" w:hAnsi="Times New Roman"/>
              </w:rPr>
              <w:t>In particular, the RPJMN identifies the following priorities:</w:t>
            </w:r>
          </w:p>
          <w:p w:rsidR="00921B05" w:rsidRPr="00E034C6" w:rsidRDefault="00921B05" w:rsidP="00AD6B97">
            <w:pPr>
              <w:pStyle w:val="ListParagraph"/>
            </w:pPr>
            <w:r w:rsidRPr="00E034C6">
              <w:t>A focus on economic growth</w:t>
            </w:r>
          </w:p>
          <w:p w:rsidR="00921B05" w:rsidRPr="00E034C6" w:rsidRDefault="00921B05" w:rsidP="00AD6B97">
            <w:pPr>
              <w:pStyle w:val="ListParagraph"/>
            </w:pPr>
            <w:r w:rsidRPr="00E034C6">
              <w:t>The development of food sovereignty</w:t>
            </w:r>
          </w:p>
          <w:p w:rsidR="00921B05" w:rsidRPr="00E034C6" w:rsidRDefault="00921B05" w:rsidP="00AD6B97">
            <w:pPr>
              <w:pStyle w:val="ListParagraph"/>
            </w:pPr>
            <w:r w:rsidRPr="00E034C6">
              <w:t>The resolution of land conflicts associated with a history of unclear and often competing legislative decisions</w:t>
            </w:r>
          </w:p>
          <w:p w:rsidR="00921B05" w:rsidRPr="00E034C6" w:rsidRDefault="00921B05" w:rsidP="00AD6B97">
            <w:pPr>
              <w:pStyle w:val="ListParagraph"/>
            </w:pPr>
            <w:r w:rsidRPr="00E034C6">
              <w:t xml:space="preserve">The management of climate change. </w:t>
            </w:r>
          </w:p>
          <w:p w:rsidR="00DA5AB5" w:rsidRDefault="00DA5AB5" w:rsidP="0065243D">
            <w:pPr>
              <w:shd w:val="clear" w:color="auto" w:fill="BFBFBF" w:themeFill="background1" w:themeFillShade="BF"/>
              <w:autoSpaceDE w:val="0"/>
              <w:autoSpaceDN w:val="0"/>
              <w:adjustRightInd w:val="0"/>
              <w:spacing w:after="0" w:line="240" w:lineRule="auto"/>
              <w:jc w:val="both"/>
              <w:rPr>
                <w:rFonts w:ascii="Times New Roman" w:hAnsi="Times New Roman"/>
              </w:rPr>
            </w:pPr>
          </w:p>
          <w:p w:rsidR="00121F75" w:rsidRDefault="00F87445" w:rsidP="0065243D">
            <w:pPr>
              <w:shd w:val="clear" w:color="auto" w:fill="BFBFBF" w:themeFill="background1" w:themeFillShade="BF"/>
              <w:autoSpaceDE w:val="0"/>
              <w:autoSpaceDN w:val="0"/>
              <w:adjustRightInd w:val="0"/>
              <w:spacing w:after="0" w:line="240" w:lineRule="auto"/>
              <w:jc w:val="both"/>
              <w:rPr>
                <w:rFonts w:ascii="Times New Roman" w:hAnsi="Times New Roman"/>
              </w:rPr>
            </w:pPr>
            <w:r>
              <w:rPr>
                <w:rFonts w:ascii="Times New Roman" w:hAnsi="Times New Roman"/>
              </w:rPr>
              <w:t xml:space="preserve">There have been significant organizational changes </w:t>
            </w:r>
            <w:r w:rsidR="007370B4">
              <w:rPr>
                <w:rFonts w:ascii="Times New Roman" w:hAnsi="Times New Roman"/>
              </w:rPr>
              <w:t>under President Widodo</w:t>
            </w:r>
            <w:r>
              <w:rPr>
                <w:rFonts w:ascii="Times New Roman" w:hAnsi="Times New Roman"/>
              </w:rPr>
              <w:t xml:space="preserve">.  For the current project, the most important of these </w:t>
            </w:r>
            <w:r w:rsidR="0009732C">
              <w:rPr>
                <w:rFonts w:ascii="Times New Roman" w:hAnsi="Times New Roman"/>
              </w:rPr>
              <w:t xml:space="preserve">changes </w:t>
            </w:r>
            <w:r>
              <w:rPr>
                <w:rFonts w:ascii="Times New Roman" w:hAnsi="Times New Roman"/>
              </w:rPr>
              <w:t xml:space="preserve">has been the </w:t>
            </w:r>
            <w:r w:rsidR="0009732C">
              <w:rPr>
                <w:rFonts w:ascii="Times New Roman" w:hAnsi="Times New Roman"/>
              </w:rPr>
              <w:t>joining</w:t>
            </w:r>
            <w:r>
              <w:rPr>
                <w:rFonts w:ascii="Times New Roman" w:hAnsi="Times New Roman"/>
              </w:rPr>
              <w:t xml:space="preserve"> of</w:t>
            </w:r>
            <w:r w:rsidR="007370B4">
              <w:rPr>
                <w:rFonts w:ascii="Times New Roman" w:hAnsi="Times New Roman"/>
              </w:rPr>
              <w:t xml:space="preserve"> the </w:t>
            </w:r>
            <w:r w:rsidR="00B96E76">
              <w:rPr>
                <w:rFonts w:ascii="Times New Roman" w:hAnsi="Times New Roman"/>
              </w:rPr>
              <w:t>Ministry of Environment and the Ministry of Forestry</w:t>
            </w:r>
            <w:r w:rsidR="0009732C">
              <w:rPr>
                <w:rFonts w:ascii="Times New Roman" w:hAnsi="Times New Roman"/>
              </w:rPr>
              <w:t xml:space="preserve">.  </w:t>
            </w:r>
            <w:r w:rsidR="00B96E76">
              <w:rPr>
                <w:rFonts w:ascii="Times New Roman" w:hAnsi="Times New Roman"/>
              </w:rPr>
              <w:t xml:space="preserve">Further, the REDD+ Agency, formerly under </w:t>
            </w:r>
            <w:r w:rsidR="0009732C">
              <w:rPr>
                <w:rFonts w:ascii="Times New Roman" w:hAnsi="Times New Roman"/>
              </w:rPr>
              <w:t>the office of the President</w:t>
            </w:r>
            <w:r w:rsidR="00B96E76">
              <w:rPr>
                <w:rFonts w:ascii="Times New Roman" w:hAnsi="Times New Roman"/>
              </w:rPr>
              <w:t xml:space="preserve">, </w:t>
            </w:r>
            <w:r w:rsidR="0009732C">
              <w:rPr>
                <w:rFonts w:ascii="Times New Roman" w:hAnsi="Times New Roman"/>
              </w:rPr>
              <w:t>has been</w:t>
            </w:r>
            <w:r w:rsidR="00B96E76">
              <w:rPr>
                <w:rFonts w:ascii="Times New Roman" w:hAnsi="Times New Roman"/>
              </w:rPr>
              <w:t xml:space="preserve"> </w:t>
            </w:r>
            <w:r w:rsidR="002F1433">
              <w:rPr>
                <w:rFonts w:ascii="Times New Roman" w:hAnsi="Times New Roman"/>
              </w:rPr>
              <w:t>cancelled and merged with a new Directorate General of Climate Change under</w:t>
            </w:r>
            <w:r w:rsidR="00822781">
              <w:rPr>
                <w:rFonts w:ascii="Times New Roman" w:hAnsi="Times New Roman"/>
              </w:rPr>
              <w:t xml:space="preserve"> </w:t>
            </w:r>
            <w:r w:rsidR="0009732C">
              <w:rPr>
                <w:rFonts w:ascii="Times New Roman" w:hAnsi="Times New Roman"/>
              </w:rPr>
              <w:t>this</w:t>
            </w:r>
            <w:r w:rsidR="00B96E76">
              <w:rPr>
                <w:rFonts w:ascii="Times New Roman" w:hAnsi="Times New Roman"/>
              </w:rPr>
              <w:t xml:space="preserve"> new Ministry of </w:t>
            </w:r>
            <w:r w:rsidR="004A3563">
              <w:rPr>
                <w:rFonts w:ascii="Times New Roman" w:hAnsi="Times New Roman"/>
              </w:rPr>
              <w:t>Environment</w:t>
            </w:r>
            <w:r w:rsidR="00B96E76">
              <w:rPr>
                <w:rFonts w:ascii="Times New Roman" w:hAnsi="Times New Roman"/>
              </w:rPr>
              <w:t xml:space="preserve"> &amp; </w:t>
            </w:r>
            <w:r w:rsidR="004A3563">
              <w:rPr>
                <w:rFonts w:ascii="Times New Roman" w:hAnsi="Times New Roman"/>
              </w:rPr>
              <w:t>Forestry</w:t>
            </w:r>
            <w:r w:rsidR="00B96E76">
              <w:rPr>
                <w:rFonts w:ascii="Times New Roman" w:hAnsi="Times New Roman"/>
              </w:rPr>
              <w:t xml:space="preserve">.  </w:t>
            </w:r>
            <w:r w:rsidR="0065243D">
              <w:rPr>
                <w:rFonts w:ascii="Times New Roman" w:hAnsi="Times New Roman"/>
              </w:rPr>
              <w:t xml:space="preserve">(Full details of the government reorganization under President Widodo are in </w:t>
            </w:r>
            <w:r w:rsidR="004346FC">
              <w:rPr>
                <w:rFonts w:ascii="Times New Roman" w:hAnsi="Times New Roman"/>
              </w:rPr>
              <w:t xml:space="preserve">ProDoc </w:t>
            </w:r>
            <w:r w:rsidR="0065243D">
              <w:rPr>
                <w:rFonts w:ascii="Times New Roman" w:hAnsi="Times New Roman"/>
              </w:rPr>
              <w:t xml:space="preserve">Section 4.1, The Context for Governance of RIMBA.)  </w:t>
            </w:r>
          </w:p>
          <w:p w:rsidR="00121F75" w:rsidRDefault="00121F75" w:rsidP="0065243D">
            <w:pPr>
              <w:shd w:val="clear" w:color="auto" w:fill="BFBFBF" w:themeFill="background1" w:themeFillShade="BF"/>
              <w:autoSpaceDE w:val="0"/>
              <w:autoSpaceDN w:val="0"/>
              <w:adjustRightInd w:val="0"/>
              <w:spacing w:after="0" w:line="240" w:lineRule="auto"/>
              <w:jc w:val="both"/>
              <w:rPr>
                <w:rFonts w:ascii="Times New Roman" w:hAnsi="Times New Roman"/>
              </w:rPr>
            </w:pPr>
          </w:p>
          <w:p w:rsidR="00121F75" w:rsidRDefault="0009732C" w:rsidP="0065243D">
            <w:pPr>
              <w:shd w:val="clear" w:color="auto" w:fill="BFBFBF" w:themeFill="background1" w:themeFillShade="BF"/>
              <w:autoSpaceDE w:val="0"/>
              <w:autoSpaceDN w:val="0"/>
              <w:adjustRightInd w:val="0"/>
              <w:spacing w:after="0" w:line="240" w:lineRule="auto"/>
              <w:jc w:val="both"/>
              <w:rPr>
                <w:rFonts w:ascii="Times New Roman" w:hAnsi="Times New Roman"/>
              </w:rPr>
            </w:pPr>
            <w:r>
              <w:rPr>
                <w:rFonts w:ascii="Times New Roman" w:hAnsi="Times New Roman"/>
              </w:rPr>
              <w:t xml:space="preserve">Since submission of the PIF, there have been </w:t>
            </w:r>
            <w:r w:rsidR="00E47F53">
              <w:rPr>
                <w:rFonts w:ascii="Times New Roman" w:hAnsi="Times New Roman"/>
              </w:rPr>
              <w:t xml:space="preserve">legislative reforms and </w:t>
            </w:r>
            <w:r>
              <w:rPr>
                <w:rFonts w:ascii="Times New Roman" w:hAnsi="Times New Roman"/>
              </w:rPr>
              <w:t xml:space="preserve">changes in some of the tools that the Government of Indonesia uses to </w:t>
            </w:r>
            <w:r w:rsidR="003129DD">
              <w:rPr>
                <w:rFonts w:ascii="Times New Roman" w:hAnsi="Times New Roman"/>
              </w:rPr>
              <w:t xml:space="preserve">achieve </w:t>
            </w:r>
            <w:r>
              <w:rPr>
                <w:rFonts w:ascii="Times New Roman" w:hAnsi="Times New Roman"/>
              </w:rPr>
              <w:t xml:space="preserve">policy objectives.  The two that have most impacted </w:t>
            </w:r>
            <w:r w:rsidR="003129DD">
              <w:rPr>
                <w:rFonts w:ascii="Times New Roman" w:hAnsi="Times New Roman"/>
              </w:rPr>
              <w:t xml:space="preserve">RIMBA </w:t>
            </w:r>
            <w:r>
              <w:rPr>
                <w:rFonts w:ascii="Times New Roman" w:hAnsi="Times New Roman"/>
              </w:rPr>
              <w:t>project design</w:t>
            </w:r>
            <w:r w:rsidR="003129DD">
              <w:rPr>
                <w:rFonts w:ascii="Times New Roman" w:hAnsi="Times New Roman"/>
              </w:rPr>
              <w:t xml:space="preserve"> include</w:t>
            </w:r>
            <w:r>
              <w:rPr>
                <w:rFonts w:ascii="Times New Roman" w:hAnsi="Times New Roman"/>
              </w:rPr>
              <w:t xml:space="preserve">: </w:t>
            </w:r>
          </w:p>
          <w:p w:rsidR="0009732C" w:rsidRDefault="00121F75" w:rsidP="00AD6B97">
            <w:pPr>
              <w:pStyle w:val="ListParagraph"/>
            </w:pPr>
            <w:r w:rsidRPr="0009732C">
              <w:rPr>
                <w:b/>
              </w:rPr>
              <w:t xml:space="preserve">Villages now emphasized </w:t>
            </w:r>
            <w:r w:rsidR="0009732C" w:rsidRPr="0009732C">
              <w:rPr>
                <w:b/>
              </w:rPr>
              <w:t>alongside</w:t>
            </w:r>
            <w:r w:rsidRPr="0009732C">
              <w:rPr>
                <w:b/>
              </w:rPr>
              <w:t xml:space="preserve"> districts</w:t>
            </w:r>
            <w:r w:rsidR="0009732C">
              <w:rPr>
                <w:b/>
              </w:rPr>
              <w:t xml:space="preserve"> (</w:t>
            </w:r>
            <w:r w:rsidR="0015230E" w:rsidRPr="0015230E">
              <w:rPr>
                <w:b/>
                <w:i/>
              </w:rPr>
              <w:t>Kabupaten</w:t>
            </w:r>
            <w:r w:rsidRPr="0009732C">
              <w:rPr>
                <w:b/>
              </w:rPr>
              <w:t>)</w:t>
            </w:r>
            <w:r w:rsidRPr="00121F75">
              <w:t>.</w:t>
            </w:r>
            <w:r w:rsidR="00E47F53">
              <w:t xml:space="preserve"> </w:t>
            </w:r>
            <w:r w:rsidR="00E47F53" w:rsidRPr="00E47F53">
              <w:t xml:space="preserve">These reforms have involved the recognition that the level of the Village is now the focus for implementation of government activities below the </w:t>
            </w:r>
            <w:r w:rsidR="0015230E" w:rsidRPr="0015230E">
              <w:rPr>
                <w:i/>
              </w:rPr>
              <w:t>Kabupat</w:t>
            </w:r>
            <w:r w:rsidR="0015230E" w:rsidRPr="0015230E">
              <w:rPr>
                <w:i/>
                <w:lang w:val="id-ID"/>
              </w:rPr>
              <w:t>e</w:t>
            </w:r>
            <w:r w:rsidR="0015230E" w:rsidRPr="0015230E">
              <w:rPr>
                <w:i/>
              </w:rPr>
              <w:t>n</w:t>
            </w:r>
            <w:r w:rsidR="00412C26" w:rsidRPr="00E47F53">
              <w:t xml:space="preserve"> </w:t>
            </w:r>
            <w:r w:rsidR="00E47F53" w:rsidRPr="00E47F53">
              <w:t xml:space="preserve">(District) and the Sub-District (Law 10/2014). </w:t>
            </w:r>
            <w:r w:rsidR="0009732C">
              <w:t xml:space="preserve"> A </w:t>
            </w:r>
            <w:r w:rsidR="00B145D1" w:rsidRPr="0009732C">
              <w:t xml:space="preserve">number of Government ministries are identifying villages as the focus for their budget allocations from fiscal year 2015. </w:t>
            </w:r>
            <w:r w:rsidR="00F44F65">
              <w:t xml:space="preserve">The establishment of the new Ministry of Villages and Least Developed Regions is to additionally strengthen the process. </w:t>
            </w:r>
            <w:r w:rsidR="00B145D1" w:rsidRPr="0009732C">
              <w:t xml:space="preserve">This change in national budget allocation from a focus on the </w:t>
            </w:r>
            <w:r w:rsidR="0015230E" w:rsidRPr="0015230E">
              <w:rPr>
                <w:i/>
              </w:rPr>
              <w:t>Kabupat</w:t>
            </w:r>
            <w:r w:rsidR="0015230E" w:rsidRPr="0015230E">
              <w:rPr>
                <w:i/>
                <w:lang w:val="id-ID"/>
              </w:rPr>
              <w:t>e</w:t>
            </w:r>
            <w:r w:rsidR="0015230E" w:rsidRPr="0015230E">
              <w:rPr>
                <w:i/>
              </w:rPr>
              <w:t>n</w:t>
            </w:r>
            <w:r w:rsidR="00412C26" w:rsidRPr="0009732C">
              <w:t xml:space="preserve"> </w:t>
            </w:r>
            <w:r w:rsidR="00B145D1" w:rsidRPr="0009732C">
              <w:t xml:space="preserve">to the Village is linked to a reform of the civil service. It removes a number of authorities for staffing </w:t>
            </w:r>
            <w:r w:rsidR="0009732C">
              <w:t>from the</w:t>
            </w:r>
            <w:r w:rsidR="00B145D1" w:rsidRPr="0009732C">
              <w:t xml:space="preserve"> </w:t>
            </w:r>
            <w:r w:rsidR="0015230E" w:rsidRPr="0015230E">
              <w:rPr>
                <w:i/>
              </w:rPr>
              <w:t>Kabupat</w:t>
            </w:r>
            <w:r w:rsidR="0015230E" w:rsidRPr="0015230E">
              <w:rPr>
                <w:i/>
                <w:lang w:val="id-ID"/>
              </w:rPr>
              <w:t>e</w:t>
            </w:r>
            <w:r w:rsidR="0015230E" w:rsidRPr="0015230E">
              <w:rPr>
                <w:i/>
              </w:rPr>
              <w:t>n</w:t>
            </w:r>
            <w:r w:rsidR="00412C26" w:rsidRPr="0009732C">
              <w:t xml:space="preserve"> </w:t>
            </w:r>
            <w:r w:rsidR="00B145D1" w:rsidRPr="0009732C">
              <w:t xml:space="preserve">and directs funding for local government staff back to the national government. Associated with this reform has been the revision of the Regional Autonomy Laws in September 2014 which further erode the authorities of the Governor and the </w:t>
            </w:r>
            <w:r w:rsidR="0015230E" w:rsidRPr="0015230E">
              <w:rPr>
                <w:i/>
              </w:rPr>
              <w:t>Bupati</w:t>
            </w:r>
            <w:r w:rsidR="00B145D1" w:rsidRPr="0009732C">
              <w:t xml:space="preserve"> (District Head) to act without the approval of relevant sectoral ministers. </w:t>
            </w:r>
          </w:p>
          <w:p w:rsidR="00B145D1" w:rsidRPr="00121F75" w:rsidRDefault="00121F75" w:rsidP="00AD6B97">
            <w:pPr>
              <w:pStyle w:val="ListParagraph"/>
            </w:pPr>
            <w:r w:rsidRPr="00796D00">
              <w:rPr>
                <w:b/>
              </w:rPr>
              <w:t>Forest Management Units now the avenue for disbursement of forest sector funds</w:t>
            </w:r>
            <w:r w:rsidRPr="00121F75">
              <w:t xml:space="preserve">.  </w:t>
            </w:r>
            <w:r w:rsidR="005960F0" w:rsidRPr="00121F75">
              <w:t xml:space="preserve">A major regional development affecting RIMBA implementation at the local level has been the </w:t>
            </w:r>
            <w:r w:rsidR="004346FC">
              <w:t xml:space="preserve">decision on the incremental establishment of </w:t>
            </w:r>
            <w:r w:rsidR="005960F0" w:rsidRPr="00121F75">
              <w:t xml:space="preserve">Forest Management Units </w:t>
            </w:r>
            <w:r w:rsidR="0009732C" w:rsidRPr="00121F75">
              <w:t>(</w:t>
            </w:r>
            <w:r w:rsidR="0009732C" w:rsidRPr="00121F75">
              <w:rPr>
                <w:i/>
              </w:rPr>
              <w:t>Kesatuan Pengelolaan Hutan</w:t>
            </w:r>
            <w:r w:rsidR="0009732C" w:rsidRPr="00121F75">
              <w:t xml:space="preserve">, or KPH) </w:t>
            </w:r>
            <w:r w:rsidR="005960F0" w:rsidRPr="00121F75">
              <w:t xml:space="preserve">throughout the Country as the avenue for the </w:t>
            </w:r>
            <w:r w:rsidR="004346FC">
              <w:t xml:space="preserve">forest production management and protection as well as </w:t>
            </w:r>
            <w:r w:rsidR="005960F0" w:rsidRPr="00121F75">
              <w:t>disbursement of forest sector funds. FMU</w:t>
            </w:r>
            <w:r w:rsidR="0011510D">
              <w:t>s</w:t>
            </w:r>
            <w:r w:rsidR="005960F0" w:rsidRPr="00121F75">
              <w:t xml:space="preserve"> within the RIMBA Project Area will be the organizational structure through which local forest area planning and management activities</w:t>
            </w:r>
            <w:r w:rsidR="0011510D">
              <w:t>,</w:t>
            </w:r>
            <w:r w:rsidR="005960F0" w:rsidRPr="00121F75">
              <w:t xml:space="preserve"> including reforestation and community based forest enterprises</w:t>
            </w:r>
            <w:r w:rsidR="0011510D">
              <w:t>,</w:t>
            </w:r>
            <w:r w:rsidR="005960F0" w:rsidRPr="00121F75">
              <w:t xml:space="preserve"> will exist as activities cross-cutting the previous roles of the Directorates-General within the </w:t>
            </w:r>
            <w:r w:rsidR="007B102D">
              <w:t xml:space="preserve">former </w:t>
            </w:r>
            <w:r w:rsidR="005960F0" w:rsidRPr="00121F75">
              <w:t>Forestry Ministry.</w:t>
            </w:r>
            <w:r w:rsidR="00F62C83" w:rsidRPr="00121F75">
              <w:t xml:space="preserve"> </w:t>
            </w:r>
          </w:p>
        </w:tc>
      </w:tr>
    </w:tbl>
    <w:p w:rsidR="004D4656" w:rsidRDefault="004D4656" w:rsidP="00C0015E">
      <w:pPr>
        <w:spacing w:after="120" w:line="240" w:lineRule="auto"/>
        <w:ind w:left="432" w:hanging="432"/>
        <w:rPr>
          <w:rFonts w:ascii="Times New Roman" w:eastAsia="Times New Roman" w:hAnsi="Times New Roman"/>
        </w:rPr>
      </w:pPr>
    </w:p>
    <w:p w:rsidR="00921B05" w:rsidRPr="00E034C6" w:rsidRDefault="00C0015E" w:rsidP="00C0015E">
      <w:pPr>
        <w:spacing w:after="120" w:line="240" w:lineRule="auto"/>
        <w:ind w:left="432" w:hanging="432"/>
        <w:rPr>
          <w:rFonts w:ascii="Times New Roman" w:eastAsia="Times New Roman" w:hAnsi="Times New Roman"/>
        </w:rPr>
      </w:pPr>
      <w:r w:rsidRPr="00E034C6">
        <w:rPr>
          <w:rFonts w:ascii="Times New Roman" w:eastAsia="Times New Roman" w:hAnsi="Times New Roman"/>
        </w:rPr>
        <w:t xml:space="preserve"> </w:t>
      </w:r>
      <w:r w:rsidR="00591870" w:rsidRPr="00E034C6">
        <w:rPr>
          <w:rFonts w:ascii="Times New Roman" w:eastAsia="Times New Roman" w:hAnsi="Times New Roman"/>
        </w:rPr>
        <w:t xml:space="preserve">A.2. </w:t>
      </w:r>
      <w:r w:rsidR="00591870" w:rsidRPr="00E034C6">
        <w:rPr>
          <w:rFonts w:ascii="Times New Roman" w:eastAsia="Times New Roman" w:hAnsi="Times New Roman"/>
          <w:u w:val="single"/>
        </w:rPr>
        <w:t>GEF</w:t>
      </w:r>
      <w:r w:rsidR="00591870" w:rsidRPr="00E034C6">
        <w:rPr>
          <w:rFonts w:ascii="Times New Roman" w:eastAsia="Times New Roman" w:hAnsi="Times New Roman"/>
        </w:rPr>
        <w:t xml:space="preserve"> focal area and/or fund(s) strategies, eligibility criteria and priorities.  </w:t>
      </w:r>
    </w:p>
    <w:p w:rsidR="00591870" w:rsidRPr="00E034C6" w:rsidRDefault="00985A96" w:rsidP="00921B05">
      <w:pPr>
        <w:spacing w:after="120" w:line="240" w:lineRule="auto"/>
        <w:rPr>
          <w:rFonts w:ascii="Times New Roman" w:eastAsia="Times New Roman" w:hAnsi="Times New Roman"/>
        </w:rPr>
      </w:pPr>
      <w:r w:rsidRPr="00E034C6">
        <w:rPr>
          <w:rFonts w:ascii="Times New Roman" w:eastAsia="Times New Roman" w:hAnsi="Times New Roman"/>
        </w:rPr>
        <w:fldChar w:fldCharType="begin">
          <w:ffData>
            <w:name w:val="nationalStratergy"/>
            <w:enabled/>
            <w:calcOnExit w:val="0"/>
            <w:textInput/>
          </w:ffData>
        </w:fldChar>
      </w:r>
      <w:r w:rsidR="00591870" w:rsidRPr="00E26A08">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921B05" w:rsidRPr="00E034C6">
        <w:rPr>
          <w:rFonts w:ascii="Times New Roman" w:eastAsia="Times New Roman" w:hAnsi="Times New Roman"/>
          <w:noProof/>
        </w:rPr>
        <w:t xml:space="preserve">Unchanged.  </w:t>
      </w:r>
      <w:r w:rsidR="00470821" w:rsidRPr="00E034C6">
        <w:rPr>
          <w:rFonts w:ascii="Times New Roman" w:eastAsia="Times New Roman" w:hAnsi="Times New Roman"/>
          <w:noProof/>
        </w:rPr>
        <w:t xml:space="preserve">As with PIF, </w:t>
      </w:r>
      <w:r w:rsidR="000B67D8" w:rsidRPr="00E034C6">
        <w:rPr>
          <w:rFonts w:ascii="Times New Roman" w:eastAsia="Times New Roman" w:hAnsi="Times New Roman"/>
          <w:noProof/>
        </w:rPr>
        <w:t xml:space="preserve">current </w:t>
      </w:r>
      <w:r w:rsidR="00470821" w:rsidRPr="00E034C6">
        <w:rPr>
          <w:rFonts w:ascii="Times New Roman" w:eastAsia="Times New Roman" w:hAnsi="Times New Roman"/>
          <w:noProof/>
        </w:rPr>
        <w:t xml:space="preserve">Program includes </w:t>
      </w:r>
      <w:r w:rsidR="00830EC9">
        <w:rPr>
          <w:rFonts w:ascii="Times New Roman" w:eastAsia="Times New Roman" w:hAnsi="Times New Roman"/>
          <w:noProof/>
        </w:rPr>
        <w:t xml:space="preserve">same allocations and </w:t>
      </w:r>
      <w:r w:rsidR="00470821" w:rsidRPr="00E034C6">
        <w:rPr>
          <w:rFonts w:ascii="Times New Roman" w:eastAsia="Times New Roman" w:hAnsi="Times New Roman"/>
          <w:noProof/>
        </w:rPr>
        <w:t>GEF focal areas of Biodiversity, Climate Change, and Sustainable Forest Management/REDD+</w:t>
      </w:r>
      <w:r w:rsidR="00067964" w:rsidRPr="00E034C6">
        <w:rPr>
          <w:rFonts w:ascii="Times New Roman" w:eastAsia="Times New Roman" w:hAnsi="Times New Roman"/>
          <w:noProof/>
        </w:rPr>
        <w:t>]</w:t>
      </w:r>
      <w:r w:rsidRPr="00E034C6">
        <w:rPr>
          <w:rFonts w:ascii="Times New Roman" w:eastAsia="Times New Roman" w:hAnsi="Times New Roman"/>
        </w:rPr>
        <w:fldChar w:fldCharType="end"/>
      </w:r>
    </w:p>
    <w:p w:rsidR="00921B05" w:rsidRPr="00E034C6" w:rsidRDefault="00921B05" w:rsidP="00921B05">
      <w:pPr>
        <w:spacing w:after="120" w:line="240" w:lineRule="auto"/>
        <w:rPr>
          <w:rFonts w:ascii="Times New Roman" w:eastAsia="Times New Roman" w:hAnsi="Times New Roman"/>
        </w:rPr>
      </w:pPr>
    </w:p>
    <w:p w:rsidR="00591870" w:rsidRPr="00E034C6" w:rsidRDefault="00C0015E" w:rsidP="00C0015E">
      <w:pPr>
        <w:spacing w:after="120" w:line="240" w:lineRule="auto"/>
        <w:ind w:left="432" w:hanging="432"/>
        <w:rPr>
          <w:rFonts w:ascii="Times New Roman" w:eastAsia="Times New Roman" w:hAnsi="Times New Roman"/>
        </w:rPr>
      </w:pPr>
      <w:r w:rsidRPr="00E034C6">
        <w:rPr>
          <w:rFonts w:ascii="Times New Roman" w:eastAsia="Times New Roman" w:hAnsi="Times New Roman"/>
        </w:rPr>
        <w:t xml:space="preserve"> </w:t>
      </w:r>
      <w:r w:rsidR="00591870" w:rsidRPr="00E034C6">
        <w:rPr>
          <w:rFonts w:ascii="Times New Roman" w:eastAsia="Times New Roman" w:hAnsi="Times New Roman"/>
        </w:rPr>
        <w:t xml:space="preserve">A.3 The GEF Agency’s comparative advantage: </w:t>
      </w:r>
      <w:r w:rsidR="00985A96" w:rsidRPr="00E034C6">
        <w:rPr>
          <w:rFonts w:ascii="Times New Roman" w:eastAsia="Times New Roman" w:hAnsi="Times New Roman"/>
        </w:rPr>
        <w:fldChar w:fldCharType="begin">
          <w:ffData>
            <w:name w:val="nationalStratergy"/>
            <w:enabled/>
            <w:calcOnExit w:val="0"/>
            <w:textInput/>
          </w:ffData>
        </w:fldChar>
      </w:r>
      <w:r w:rsidR="00591870" w:rsidRPr="00F15257">
        <w:rPr>
          <w:rFonts w:ascii="Times New Roman" w:eastAsia="Times New Roman" w:hAnsi="Times New Roman"/>
        </w:rPr>
        <w:instrText xml:space="preserve"> FORMTEXT </w:instrText>
      </w:r>
      <w:r w:rsidR="00985A96" w:rsidRPr="00E034C6">
        <w:rPr>
          <w:rFonts w:ascii="Times New Roman" w:eastAsia="Times New Roman" w:hAnsi="Times New Roman"/>
        </w:rPr>
      </w:r>
      <w:r w:rsidR="00985A96" w:rsidRPr="00E034C6">
        <w:rPr>
          <w:rFonts w:ascii="Times New Roman" w:eastAsia="Times New Roman" w:hAnsi="Times New Roman"/>
        </w:rPr>
        <w:fldChar w:fldCharType="separate"/>
      </w:r>
      <w:r w:rsidR="00067964" w:rsidRPr="00E034C6">
        <w:rPr>
          <w:rFonts w:ascii="Times New Roman" w:eastAsia="Times New Roman" w:hAnsi="Times New Roman"/>
          <w:noProof/>
        </w:rPr>
        <w:t>[</w:t>
      </w:r>
      <w:r w:rsidR="002E4A63" w:rsidRPr="00E034C6">
        <w:rPr>
          <w:rFonts w:ascii="Times New Roman" w:eastAsia="Times New Roman" w:hAnsi="Times New Roman"/>
          <w:noProof/>
        </w:rPr>
        <w:t>NA</w:t>
      </w:r>
      <w:r w:rsidR="00067964" w:rsidRPr="00E034C6">
        <w:rPr>
          <w:rFonts w:ascii="Times New Roman" w:eastAsia="Times New Roman" w:hAnsi="Times New Roman"/>
          <w:noProof/>
        </w:rPr>
        <w:t>]</w:t>
      </w:r>
      <w:r w:rsidR="00985A96" w:rsidRPr="00E034C6">
        <w:rPr>
          <w:rFonts w:ascii="Times New Roman" w:eastAsia="Times New Roman" w:hAnsi="Times New Roman"/>
        </w:rPr>
        <w:fldChar w:fldCharType="end"/>
      </w:r>
    </w:p>
    <w:p w:rsidR="00921B05" w:rsidRPr="00E034C6" w:rsidRDefault="00921B05" w:rsidP="00C0015E">
      <w:pPr>
        <w:spacing w:after="120" w:line="240" w:lineRule="auto"/>
        <w:ind w:left="432" w:hanging="432"/>
        <w:rPr>
          <w:rFonts w:ascii="Times New Roman" w:eastAsia="Times New Roman" w:hAnsi="Times New Roman"/>
        </w:rPr>
      </w:pPr>
    </w:p>
    <w:p w:rsidR="00661138" w:rsidRPr="00E034C6" w:rsidRDefault="00591870" w:rsidP="00C0015E">
      <w:pPr>
        <w:spacing w:after="120" w:line="240" w:lineRule="auto"/>
        <w:ind w:left="432" w:hanging="432"/>
        <w:rPr>
          <w:rFonts w:ascii="Times New Roman" w:eastAsia="Times New Roman" w:hAnsi="Times New Roman"/>
        </w:rPr>
      </w:pPr>
      <w:r w:rsidRPr="00E034C6">
        <w:rPr>
          <w:rFonts w:ascii="Times New Roman" w:eastAsia="Times New Roman" w:hAnsi="Times New Roman"/>
        </w:rPr>
        <w:t xml:space="preserve">A.4. The baseline project and the problem that it seeks to address:  </w:t>
      </w:r>
    </w:p>
    <w:p w:rsidR="006414DD" w:rsidRPr="00F04B84" w:rsidRDefault="00C03FEE" w:rsidP="00F04B84">
      <w:pPr>
        <w:shd w:val="clear" w:color="auto" w:fill="BFBFBF" w:themeFill="background1" w:themeFillShade="BF"/>
        <w:tabs>
          <w:tab w:val="left" w:pos="1350"/>
        </w:tabs>
        <w:spacing w:after="0" w:line="240" w:lineRule="auto"/>
        <w:jc w:val="both"/>
        <w:rPr>
          <w:rFonts w:ascii="Times New Roman" w:hAnsi="Times New Roman"/>
        </w:rPr>
      </w:pPr>
      <w:r w:rsidRPr="00F04B84">
        <w:rPr>
          <w:rFonts w:ascii="Times New Roman" w:hAnsi="Times New Roman"/>
        </w:rPr>
        <w:t>There have been no substantive</w:t>
      </w:r>
      <w:r w:rsidR="005C2CC9" w:rsidRPr="00F04B84">
        <w:rPr>
          <w:rFonts w:ascii="Times New Roman" w:hAnsi="Times New Roman"/>
        </w:rPr>
        <w:t xml:space="preserve"> changes </w:t>
      </w:r>
      <w:r w:rsidRPr="00F04B84">
        <w:rPr>
          <w:rFonts w:ascii="Times New Roman" w:hAnsi="Times New Roman"/>
        </w:rPr>
        <w:t>to</w:t>
      </w:r>
      <w:r w:rsidR="005C2CC9" w:rsidRPr="00F04B84">
        <w:rPr>
          <w:rFonts w:ascii="Times New Roman" w:hAnsi="Times New Roman"/>
        </w:rPr>
        <w:t xml:space="preserve"> the problem</w:t>
      </w:r>
      <w:r w:rsidR="006414DD" w:rsidRPr="00F04B84">
        <w:rPr>
          <w:rFonts w:ascii="Times New Roman" w:hAnsi="Times New Roman"/>
        </w:rPr>
        <w:t xml:space="preserve">(s) </w:t>
      </w:r>
      <w:r w:rsidR="005C2CC9" w:rsidRPr="00F04B84">
        <w:rPr>
          <w:rFonts w:ascii="Times New Roman" w:hAnsi="Times New Roman"/>
        </w:rPr>
        <w:t>that the project seeks to address</w:t>
      </w:r>
      <w:r w:rsidR="008C31A5">
        <w:rPr>
          <w:rFonts w:ascii="Times New Roman" w:hAnsi="Times New Roman"/>
        </w:rPr>
        <w:t>, yet the following changes need to be notified:</w:t>
      </w:r>
      <w:r w:rsidR="006414DD" w:rsidRPr="00F04B84">
        <w:rPr>
          <w:rFonts w:ascii="Times New Roman" w:hAnsi="Times New Roman"/>
        </w:rPr>
        <w:t xml:space="preserve"> </w:t>
      </w:r>
    </w:p>
    <w:p w:rsidR="006414DD" w:rsidRDefault="006414DD" w:rsidP="00F346B2">
      <w:pPr>
        <w:shd w:val="clear" w:color="auto" w:fill="BFBFBF" w:themeFill="background1" w:themeFillShade="BF"/>
        <w:tabs>
          <w:tab w:val="left" w:pos="1350"/>
        </w:tabs>
        <w:spacing w:after="0" w:line="240" w:lineRule="auto"/>
        <w:jc w:val="both"/>
        <w:rPr>
          <w:rFonts w:ascii="Times New Roman" w:hAnsi="Times New Roman"/>
        </w:rPr>
      </w:pPr>
    </w:p>
    <w:p w:rsidR="00366B7D" w:rsidRPr="008C31A5" w:rsidRDefault="008C31A5" w:rsidP="00AD6B97">
      <w:pPr>
        <w:pStyle w:val="ListParagraph"/>
        <w:rPr>
          <w:b/>
          <w:bCs/>
        </w:rPr>
      </w:pPr>
      <w:r w:rsidRPr="008C31A5">
        <w:rPr>
          <w:b/>
          <w:bCs/>
        </w:rPr>
        <w:t xml:space="preserve">1. </w:t>
      </w:r>
      <w:r w:rsidR="00366B7D" w:rsidRPr="008C31A5">
        <w:rPr>
          <w:b/>
          <w:bCs/>
        </w:rPr>
        <w:t>The Executing Partners have changed</w:t>
      </w:r>
      <w:r w:rsidR="00A30A0A" w:rsidRPr="008C31A5">
        <w:rPr>
          <w:b/>
          <w:bCs/>
        </w:rPr>
        <w:t xml:space="preserve"> including </w:t>
      </w:r>
      <w:r w:rsidR="00922621" w:rsidRPr="008C31A5">
        <w:rPr>
          <w:b/>
          <w:bCs/>
        </w:rPr>
        <w:t xml:space="preserve">enhanced </w:t>
      </w:r>
      <w:r w:rsidR="00F04B84" w:rsidRPr="008C31A5">
        <w:rPr>
          <w:b/>
          <w:bCs/>
        </w:rPr>
        <w:t xml:space="preserve">program </w:t>
      </w:r>
      <w:r w:rsidR="00922621" w:rsidRPr="008C31A5">
        <w:rPr>
          <w:b/>
          <w:bCs/>
        </w:rPr>
        <w:t xml:space="preserve">alignment and </w:t>
      </w:r>
      <w:r w:rsidR="00A30A0A" w:rsidRPr="008C31A5">
        <w:rPr>
          <w:b/>
          <w:bCs/>
        </w:rPr>
        <w:t>co-financing</w:t>
      </w:r>
    </w:p>
    <w:p w:rsidR="00366B7D" w:rsidRDefault="00366B7D" w:rsidP="0065243D">
      <w:pPr>
        <w:shd w:val="clear" w:color="auto" w:fill="BFBFBF" w:themeFill="background1" w:themeFillShade="BF"/>
        <w:tabs>
          <w:tab w:val="left" w:pos="1350"/>
        </w:tabs>
        <w:spacing w:after="0" w:line="240" w:lineRule="auto"/>
        <w:jc w:val="both"/>
        <w:rPr>
          <w:rFonts w:ascii="Times New Roman" w:hAnsi="Times New Roman"/>
        </w:rPr>
      </w:pPr>
    </w:p>
    <w:p w:rsidR="00D1075B" w:rsidRPr="00D1075B" w:rsidRDefault="00D1075B" w:rsidP="0065243D">
      <w:pPr>
        <w:shd w:val="clear" w:color="auto" w:fill="BFBFBF" w:themeFill="background1" w:themeFillShade="BF"/>
        <w:tabs>
          <w:tab w:val="left" w:pos="1350"/>
        </w:tabs>
        <w:spacing w:after="0" w:line="240" w:lineRule="auto"/>
        <w:jc w:val="both"/>
        <w:rPr>
          <w:rFonts w:ascii="Times New Roman" w:hAnsi="Times New Roman"/>
          <w:b/>
        </w:rPr>
      </w:pPr>
      <w:r>
        <w:rPr>
          <w:rFonts w:ascii="Times New Roman" w:hAnsi="Times New Roman"/>
        </w:rPr>
        <w:t xml:space="preserve">In the PIF, </w:t>
      </w:r>
      <w:r w:rsidR="00581A27">
        <w:rPr>
          <w:rFonts w:ascii="Times New Roman" w:hAnsi="Times New Roman"/>
        </w:rPr>
        <w:t xml:space="preserve">the lead </w:t>
      </w:r>
      <w:r w:rsidR="00581A27" w:rsidRPr="00581A27">
        <w:rPr>
          <w:rFonts w:ascii="Times New Roman" w:hAnsi="Times New Roman"/>
          <w:b/>
          <w:bCs/>
        </w:rPr>
        <w:t>NEA</w:t>
      </w:r>
      <w:r w:rsidR="00581A27">
        <w:rPr>
          <w:rFonts w:ascii="Times New Roman" w:hAnsi="Times New Roman"/>
        </w:rPr>
        <w:t xml:space="preserve"> as envisioned would be </w:t>
      </w:r>
      <w:r w:rsidR="0036022A">
        <w:rPr>
          <w:rFonts w:ascii="Times New Roman" w:hAnsi="Times New Roman"/>
        </w:rPr>
        <w:t xml:space="preserve">the </w:t>
      </w:r>
      <w:r>
        <w:rPr>
          <w:rFonts w:ascii="Times New Roman" w:hAnsi="Times New Roman"/>
        </w:rPr>
        <w:t>Ministry of Home Affairs</w:t>
      </w:r>
      <w:r w:rsidR="00581A27">
        <w:rPr>
          <w:rFonts w:ascii="Times New Roman" w:hAnsi="Times New Roman"/>
        </w:rPr>
        <w:t xml:space="preserve">; together with </w:t>
      </w:r>
      <w:r>
        <w:rPr>
          <w:rFonts w:ascii="Times New Roman" w:hAnsi="Times New Roman"/>
          <w:b/>
        </w:rPr>
        <w:t>Executi</w:t>
      </w:r>
      <w:r w:rsidR="000971FB">
        <w:rPr>
          <w:rFonts w:ascii="Times New Roman" w:hAnsi="Times New Roman"/>
          <w:b/>
        </w:rPr>
        <w:t>ng</w:t>
      </w:r>
      <w:r>
        <w:rPr>
          <w:rFonts w:ascii="Times New Roman" w:hAnsi="Times New Roman"/>
          <w:b/>
        </w:rPr>
        <w:t xml:space="preserve"> P</w:t>
      </w:r>
      <w:r w:rsidRPr="00D1075B">
        <w:rPr>
          <w:rFonts w:ascii="Times New Roman" w:hAnsi="Times New Roman"/>
          <w:b/>
        </w:rPr>
        <w:t>artners:</w:t>
      </w:r>
    </w:p>
    <w:p w:rsidR="00D1075B" w:rsidRDefault="00D1075B"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Ministry of Public Works,</w:t>
      </w:r>
      <w:r w:rsidR="00581A27">
        <w:rPr>
          <w:rFonts w:ascii="Times New Roman" w:hAnsi="Times New Roman"/>
        </w:rPr>
        <w:t xml:space="preserve"> </w:t>
      </w:r>
      <w:r>
        <w:rPr>
          <w:rFonts w:ascii="Times New Roman" w:hAnsi="Times New Roman"/>
        </w:rPr>
        <w:t>Ministry of Forestry</w:t>
      </w:r>
      <w:r w:rsidR="00581A27">
        <w:rPr>
          <w:rFonts w:ascii="Times New Roman" w:hAnsi="Times New Roman"/>
        </w:rPr>
        <w:t xml:space="preserve">, </w:t>
      </w:r>
      <w:r>
        <w:rPr>
          <w:rFonts w:ascii="Times New Roman" w:hAnsi="Times New Roman"/>
        </w:rPr>
        <w:t>Ministry of Environment</w:t>
      </w:r>
      <w:r w:rsidR="00581A27">
        <w:rPr>
          <w:rFonts w:ascii="Times New Roman" w:hAnsi="Times New Roman"/>
        </w:rPr>
        <w:t xml:space="preserve">, </w:t>
      </w:r>
      <w:r>
        <w:rPr>
          <w:rFonts w:ascii="Times New Roman" w:hAnsi="Times New Roman"/>
        </w:rPr>
        <w:t>Ministry of National Development Planning (BAPPENAS)</w:t>
      </w:r>
      <w:r w:rsidR="00581A27">
        <w:rPr>
          <w:rFonts w:ascii="Times New Roman" w:hAnsi="Times New Roman"/>
        </w:rPr>
        <w:t xml:space="preserve">, </w:t>
      </w:r>
      <w:r>
        <w:rPr>
          <w:rFonts w:ascii="Times New Roman" w:hAnsi="Times New Roman"/>
        </w:rPr>
        <w:t>Jambi Province</w:t>
      </w:r>
      <w:r w:rsidR="00581A27">
        <w:rPr>
          <w:rFonts w:ascii="Times New Roman" w:hAnsi="Times New Roman"/>
        </w:rPr>
        <w:t xml:space="preserve">, </w:t>
      </w:r>
      <w:r>
        <w:rPr>
          <w:rFonts w:ascii="Times New Roman" w:hAnsi="Times New Roman"/>
        </w:rPr>
        <w:t>Riau Province</w:t>
      </w:r>
      <w:r w:rsidR="00581A27">
        <w:rPr>
          <w:rFonts w:ascii="Times New Roman" w:hAnsi="Times New Roman"/>
        </w:rPr>
        <w:t xml:space="preserve">, </w:t>
      </w:r>
      <w:r>
        <w:rPr>
          <w:rFonts w:ascii="Times New Roman" w:hAnsi="Times New Roman"/>
        </w:rPr>
        <w:t>West Sumatra Province</w:t>
      </w:r>
      <w:r w:rsidR="00581A27">
        <w:rPr>
          <w:rFonts w:ascii="Times New Roman" w:hAnsi="Times New Roman"/>
        </w:rPr>
        <w:t xml:space="preserve">, and </w:t>
      </w:r>
      <w:r>
        <w:rPr>
          <w:rFonts w:ascii="Times New Roman" w:hAnsi="Times New Roman"/>
        </w:rPr>
        <w:t>WWF Indonesia</w:t>
      </w:r>
    </w:p>
    <w:p w:rsidR="00D1075B" w:rsidRDefault="00D1075B" w:rsidP="0065243D">
      <w:pPr>
        <w:shd w:val="clear" w:color="auto" w:fill="BFBFBF" w:themeFill="background1" w:themeFillShade="BF"/>
        <w:tabs>
          <w:tab w:val="left" w:pos="1350"/>
        </w:tabs>
        <w:spacing w:after="0" w:line="240" w:lineRule="auto"/>
        <w:jc w:val="both"/>
        <w:rPr>
          <w:rFonts w:ascii="Times New Roman" w:hAnsi="Times New Roman"/>
        </w:rPr>
      </w:pPr>
    </w:p>
    <w:p w:rsidR="00337A1A" w:rsidRDefault="00D1075B"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 xml:space="preserve">In the </w:t>
      </w:r>
      <w:r w:rsidR="00581A27">
        <w:rPr>
          <w:rFonts w:ascii="Times New Roman" w:hAnsi="Times New Roman"/>
        </w:rPr>
        <w:t xml:space="preserve">CEO ER/ProDoc: after a careful process of institutional mapping and assessment of </w:t>
      </w:r>
      <w:r w:rsidR="00411807">
        <w:rPr>
          <w:rFonts w:ascii="Times New Roman" w:hAnsi="Times New Roman"/>
        </w:rPr>
        <w:t xml:space="preserve">new or revised </w:t>
      </w:r>
      <w:r w:rsidR="00581A27">
        <w:rPr>
          <w:rFonts w:ascii="Times New Roman" w:hAnsi="Times New Roman"/>
        </w:rPr>
        <w:t>mandates</w:t>
      </w:r>
      <w:r w:rsidR="00411807">
        <w:rPr>
          <w:rFonts w:ascii="Times New Roman" w:hAnsi="Times New Roman"/>
        </w:rPr>
        <w:t xml:space="preserve"> under the new Government</w:t>
      </w:r>
      <w:r w:rsidR="00581A27">
        <w:rPr>
          <w:rFonts w:ascii="Times New Roman" w:hAnsi="Times New Roman"/>
        </w:rPr>
        <w:t xml:space="preserve">, it was agreed to have as </w:t>
      </w:r>
      <w:r w:rsidR="00581A27" w:rsidRPr="00581A27">
        <w:rPr>
          <w:rFonts w:ascii="Times New Roman" w:hAnsi="Times New Roman"/>
          <w:b/>
          <w:bCs/>
        </w:rPr>
        <w:t>NEA</w:t>
      </w:r>
      <w:r w:rsidR="00581A27">
        <w:rPr>
          <w:rFonts w:ascii="Times New Roman" w:hAnsi="Times New Roman"/>
        </w:rPr>
        <w:t xml:space="preserve"> the </w:t>
      </w:r>
      <w:r w:rsidR="000971FB" w:rsidRPr="000971FB">
        <w:rPr>
          <w:rFonts w:ascii="Times New Roman" w:hAnsi="Times New Roman"/>
          <w:i/>
          <w:iCs/>
        </w:rPr>
        <w:t>new</w:t>
      </w:r>
      <w:r w:rsidR="0036022A">
        <w:rPr>
          <w:rFonts w:ascii="Times New Roman" w:hAnsi="Times New Roman"/>
          <w:i/>
          <w:iCs/>
        </w:rPr>
        <w:t>ly added</w:t>
      </w:r>
      <w:r w:rsidR="000971FB">
        <w:rPr>
          <w:rFonts w:ascii="Times New Roman" w:hAnsi="Times New Roman"/>
        </w:rPr>
        <w:t xml:space="preserve"> </w:t>
      </w:r>
      <w:r>
        <w:rPr>
          <w:rFonts w:ascii="Times New Roman" w:hAnsi="Times New Roman"/>
        </w:rPr>
        <w:t>Coordinating Ministry of Economic Affairs</w:t>
      </w:r>
      <w:r w:rsidR="00581A27">
        <w:rPr>
          <w:rFonts w:ascii="Times New Roman" w:hAnsi="Times New Roman"/>
        </w:rPr>
        <w:t xml:space="preserve">, which will work with </w:t>
      </w:r>
      <w:r w:rsidRPr="00D1075B">
        <w:rPr>
          <w:rFonts w:ascii="Times New Roman" w:hAnsi="Times New Roman"/>
          <w:b/>
        </w:rPr>
        <w:t>Executi</w:t>
      </w:r>
      <w:r w:rsidR="000971FB">
        <w:rPr>
          <w:rFonts w:ascii="Times New Roman" w:hAnsi="Times New Roman"/>
          <w:b/>
        </w:rPr>
        <w:t>ng</w:t>
      </w:r>
      <w:r w:rsidRPr="00D1075B">
        <w:rPr>
          <w:rFonts w:ascii="Times New Roman" w:hAnsi="Times New Roman"/>
          <w:b/>
        </w:rPr>
        <w:t xml:space="preserve"> Partners</w:t>
      </w:r>
      <w:r>
        <w:rPr>
          <w:rFonts w:ascii="Times New Roman" w:hAnsi="Times New Roman"/>
        </w:rPr>
        <w:t>:</w:t>
      </w:r>
      <w:r w:rsidR="00581A27">
        <w:rPr>
          <w:rFonts w:ascii="Times New Roman" w:hAnsi="Times New Roman"/>
        </w:rPr>
        <w:t xml:space="preserve"> </w:t>
      </w:r>
      <w:r w:rsidR="00337A1A">
        <w:rPr>
          <w:rFonts w:ascii="Times New Roman" w:hAnsi="Times New Roman"/>
        </w:rPr>
        <w:t>Ministry of Home Affairs</w:t>
      </w:r>
      <w:r w:rsidR="00581A27">
        <w:rPr>
          <w:rFonts w:ascii="Times New Roman" w:hAnsi="Times New Roman"/>
        </w:rPr>
        <w:t xml:space="preserve">; </w:t>
      </w:r>
      <w:r w:rsidR="00337A1A">
        <w:rPr>
          <w:rFonts w:ascii="Times New Roman" w:hAnsi="Times New Roman"/>
        </w:rPr>
        <w:t>Ministry of Public Works and Housing</w:t>
      </w:r>
      <w:r w:rsidR="00581A27">
        <w:rPr>
          <w:rFonts w:ascii="Times New Roman" w:hAnsi="Times New Roman"/>
        </w:rPr>
        <w:t>;</w:t>
      </w:r>
      <w:r w:rsidR="00823305">
        <w:rPr>
          <w:rFonts w:ascii="Times New Roman" w:hAnsi="Times New Roman"/>
        </w:rPr>
        <w:t xml:space="preserve"> </w:t>
      </w:r>
      <w:r w:rsidR="00823305" w:rsidRPr="00823305">
        <w:rPr>
          <w:rFonts w:ascii="Times New Roman" w:hAnsi="Times New Roman"/>
          <w:i/>
          <w:iCs/>
        </w:rPr>
        <w:t>new</w:t>
      </w:r>
      <w:r w:rsidR="0036022A">
        <w:rPr>
          <w:rFonts w:ascii="Times New Roman" w:hAnsi="Times New Roman"/>
          <w:i/>
          <w:iCs/>
        </w:rPr>
        <w:t>ly added</w:t>
      </w:r>
      <w:r w:rsidR="00823305">
        <w:rPr>
          <w:rFonts w:ascii="Times New Roman" w:hAnsi="Times New Roman"/>
        </w:rPr>
        <w:t xml:space="preserve"> </w:t>
      </w:r>
      <w:r w:rsidR="00581A27">
        <w:rPr>
          <w:rFonts w:ascii="Times New Roman" w:hAnsi="Times New Roman"/>
        </w:rPr>
        <w:t xml:space="preserve">Ministry of Mining and Energy,  </w:t>
      </w:r>
      <w:r w:rsidR="00337A1A">
        <w:rPr>
          <w:rFonts w:ascii="Times New Roman" w:hAnsi="Times New Roman"/>
        </w:rPr>
        <w:t>Ministry of Environment and Forestry</w:t>
      </w:r>
      <w:r w:rsidR="00581A27">
        <w:rPr>
          <w:rFonts w:ascii="Times New Roman" w:hAnsi="Times New Roman"/>
        </w:rPr>
        <w:t xml:space="preserve">; </w:t>
      </w:r>
      <w:r w:rsidR="00823305" w:rsidRPr="00823305">
        <w:rPr>
          <w:rFonts w:ascii="Times New Roman" w:hAnsi="Times New Roman"/>
          <w:i/>
          <w:iCs/>
        </w:rPr>
        <w:t>new</w:t>
      </w:r>
      <w:r w:rsidR="00823305">
        <w:rPr>
          <w:rFonts w:ascii="Times New Roman" w:hAnsi="Times New Roman"/>
        </w:rPr>
        <w:t xml:space="preserve"> </w:t>
      </w:r>
      <w:r w:rsidR="00581A27">
        <w:rPr>
          <w:rFonts w:ascii="Times New Roman" w:hAnsi="Times New Roman"/>
        </w:rPr>
        <w:t xml:space="preserve">Ministry of Agrarian Affairs and Spatial Planning, </w:t>
      </w:r>
      <w:r w:rsidR="00823305" w:rsidRPr="00823305">
        <w:rPr>
          <w:rFonts w:ascii="Times New Roman" w:hAnsi="Times New Roman"/>
          <w:i/>
          <w:iCs/>
        </w:rPr>
        <w:t>new</w:t>
      </w:r>
      <w:r w:rsidR="00823305">
        <w:rPr>
          <w:rFonts w:ascii="Times New Roman" w:hAnsi="Times New Roman"/>
        </w:rPr>
        <w:t xml:space="preserve"> </w:t>
      </w:r>
      <w:r w:rsidR="00337A1A">
        <w:rPr>
          <w:rFonts w:ascii="Times New Roman" w:hAnsi="Times New Roman"/>
        </w:rPr>
        <w:t>Ministry of Villages, Least Developed Regions, and Transmigration</w:t>
      </w:r>
      <w:r w:rsidR="00581A27">
        <w:rPr>
          <w:rFonts w:ascii="Times New Roman" w:hAnsi="Times New Roman"/>
        </w:rPr>
        <w:t xml:space="preserve">; </w:t>
      </w:r>
      <w:r w:rsidR="00337A1A">
        <w:rPr>
          <w:rFonts w:ascii="Times New Roman" w:hAnsi="Times New Roman"/>
        </w:rPr>
        <w:t>Ministry of National Development Planning (BAPPENAS)</w:t>
      </w:r>
      <w:r w:rsidR="00581A27">
        <w:rPr>
          <w:rFonts w:ascii="Times New Roman" w:hAnsi="Times New Roman"/>
        </w:rPr>
        <w:t xml:space="preserve">; with </w:t>
      </w:r>
      <w:r w:rsidR="00337A1A">
        <w:rPr>
          <w:rFonts w:ascii="Times New Roman" w:hAnsi="Times New Roman"/>
        </w:rPr>
        <w:t>Jambi Province</w:t>
      </w:r>
      <w:r w:rsidR="00581A27">
        <w:rPr>
          <w:rFonts w:ascii="Times New Roman" w:hAnsi="Times New Roman"/>
        </w:rPr>
        <w:t xml:space="preserve">, </w:t>
      </w:r>
      <w:r w:rsidR="00337A1A">
        <w:rPr>
          <w:rFonts w:ascii="Times New Roman" w:hAnsi="Times New Roman"/>
        </w:rPr>
        <w:t>Riau Province</w:t>
      </w:r>
      <w:r w:rsidR="00581A27">
        <w:rPr>
          <w:rFonts w:ascii="Times New Roman" w:hAnsi="Times New Roman"/>
        </w:rPr>
        <w:t xml:space="preserve">, </w:t>
      </w:r>
      <w:r w:rsidR="00337A1A">
        <w:rPr>
          <w:rFonts w:ascii="Times New Roman" w:hAnsi="Times New Roman"/>
        </w:rPr>
        <w:t>West Sumatra Province</w:t>
      </w:r>
      <w:r w:rsidR="00581A27">
        <w:rPr>
          <w:rFonts w:ascii="Times New Roman" w:hAnsi="Times New Roman"/>
        </w:rPr>
        <w:t xml:space="preserve">; and </w:t>
      </w:r>
      <w:r w:rsidR="00337A1A">
        <w:rPr>
          <w:rFonts w:ascii="Times New Roman" w:hAnsi="Times New Roman"/>
        </w:rPr>
        <w:t>WWF Indonesia</w:t>
      </w:r>
      <w:r w:rsidR="0036022A">
        <w:rPr>
          <w:rFonts w:ascii="Times New Roman" w:hAnsi="Times New Roman"/>
        </w:rPr>
        <w:t xml:space="preserve"> and other partners such as VECO, MCA-I etc</w:t>
      </w:r>
    </w:p>
    <w:p w:rsidR="00337A1A" w:rsidRDefault="00337A1A" w:rsidP="0065243D">
      <w:pPr>
        <w:shd w:val="clear" w:color="auto" w:fill="BFBFBF" w:themeFill="background1" w:themeFillShade="BF"/>
        <w:tabs>
          <w:tab w:val="left" w:pos="1350"/>
        </w:tabs>
        <w:spacing w:after="0" w:line="240" w:lineRule="auto"/>
        <w:jc w:val="both"/>
        <w:rPr>
          <w:rFonts w:ascii="Times New Roman" w:hAnsi="Times New Roman"/>
        </w:rPr>
      </w:pPr>
    </w:p>
    <w:p w:rsidR="00337A1A" w:rsidRDefault="00337A1A"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 xml:space="preserve">The </w:t>
      </w:r>
      <w:r w:rsidR="00C03FEE">
        <w:rPr>
          <w:rFonts w:ascii="Times New Roman" w:hAnsi="Times New Roman"/>
        </w:rPr>
        <w:t>context</w:t>
      </w:r>
      <w:r>
        <w:rPr>
          <w:rFonts w:ascii="Times New Roman" w:hAnsi="Times New Roman"/>
        </w:rPr>
        <w:t xml:space="preserve"> for these changes </w:t>
      </w:r>
      <w:r w:rsidR="00C03FEE">
        <w:rPr>
          <w:rFonts w:ascii="Times New Roman" w:hAnsi="Times New Roman"/>
        </w:rPr>
        <w:t>is reviewed i</w:t>
      </w:r>
      <w:r>
        <w:rPr>
          <w:rFonts w:ascii="Times New Roman" w:hAnsi="Times New Roman"/>
        </w:rPr>
        <w:t xml:space="preserve">n </w:t>
      </w:r>
      <w:r w:rsidR="008C31A5">
        <w:rPr>
          <w:rFonts w:ascii="Times New Roman" w:hAnsi="Times New Roman"/>
        </w:rPr>
        <w:t xml:space="preserve">ProDoc </w:t>
      </w:r>
      <w:r>
        <w:rPr>
          <w:rFonts w:ascii="Times New Roman" w:hAnsi="Times New Roman"/>
        </w:rPr>
        <w:t xml:space="preserve">Section 4.1, Context of Governance for RIMBA, 2015-2021.  </w:t>
      </w:r>
    </w:p>
    <w:p w:rsidR="00337A1A" w:rsidRDefault="00337A1A" w:rsidP="0065243D">
      <w:pPr>
        <w:shd w:val="clear" w:color="auto" w:fill="BFBFBF" w:themeFill="background1" w:themeFillShade="BF"/>
        <w:tabs>
          <w:tab w:val="left" w:pos="1350"/>
        </w:tabs>
        <w:spacing w:after="0" w:line="240" w:lineRule="auto"/>
        <w:jc w:val="both"/>
        <w:rPr>
          <w:rFonts w:ascii="Times New Roman" w:hAnsi="Times New Roman"/>
        </w:rPr>
      </w:pPr>
    </w:p>
    <w:p w:rsidR="0065243D" w:rsidRDefault="000B7167"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The c</w:t>
      </w:r>
      <w:r w:rsidR="0065243D">
        <w:rPr>
          <w:rFonts w:ascii="Times New Roman" w:hAnsi="Times New Roman"/>
        </w:rPr>
        <w:t xml:space="preserve">o-financing confirmed is </w:t>
      </w:r>
      <w:r w:rsidR="006414DD">
        <w:rPr>
          <w:rFonts w:ascii="Times New Roman" w:hAnsi="Times New Roman"/>
        </w:rPr>
        <w:t xml:space="preserve">somewhat </w:t>
      </w:r>
      <w:r w:rsidR="0065243D">
        <w:rPr>
          <w:rFonts w:ascii="Times New Roman" w:hAnsi="Times New Roman"/>
        </w:rPr>
        <w:t>higher than anticipated at the time of the PIF</w:t>
      </w:r>
      <w:r w:rsidR="006414DD">
        <w:rPr>
          <w:rFonts w:ascii="Times New Roman" w:hAnsi="Times New Roman"/>
        </w:rPr>
        <w:t>; but importantly with significantly more cash resources. This will be achieved through the annual alignment of the government</w:t>
      </w:r>
      <w:r w:rsidR="00411807">
        <w:rPr>
          <w:rFonts w:ascii="Times New Roman" w:hAnsi="Times New Roman"/>
        </w:rPr>
        <w:t>-</w:t>
      </w:r>
      <w:r w:rsidR="006414DD">
        <w:rPr>
          <w:rFonts w:ascii="Times New Roman" w:hAnsi="Times New Roman"/>
        </w:rPr>
        <w:t xml:space="preserve"> with GEF programming, and agreeing on collaborative </w:t>
      </w:r>
      <w:r w:rsidR="00BB4003">
        <w:rPr>
          <w:rFonts w:ascii="Times New Roman" w:hAnsi="Times New Roman"/>
        </w:rPr>
        <w:t xml:space="preserve">cash </w:t>
      </w:r>
      <w:r w:rsidR="006414DD">
        <w:rPr>
          <w:rFonts w:ascii="Times New Roman" w:hAnsi="Times New Roman"/>
        </w:rPr>
        <w:t xml:space="preserve">investments meeting the RIMBA targeted outcomes and objective. </w:t>
      </w:r>
      <w:r w:rsidR="002F2901">
        <w:rPr>
          <w:rFonts w:ascii="Times New Roman" w:hAnsi="Times New Roman"/>
        </w:rPr>
        <w:t xml:space="preserve">This alignment has strong potential to generate significantly higher co-funding as well as the mainstreaming and sustaining of the outcomes beyond the GEF project.  </w:t>
      </w:r>
      <w:r w:rsidR="006414DD">
        <w:rPr>
          <w:rFonts w:ascii="Times New Roman" w:hAnsi="Times New Roman"/>
        </w:rPr>
        <w:t xml:space="preserve">Additionally, more partners are involved now as compared the PIF.  </w:t>
      </w:r>
      <w:r w:rsidR="0065243D">
        <w:rPr>
          <w:rFonts w:ascii="Times New Roman" w:hAnsi="Times New Roman"/>
        </w:rPr>
        <w:t>Whil</w:t>
      </w:r>
      <w:r w:rsidR="00411807">
        <w:rPr>
          <w:rFonts w:ascii="Times New Roman" w:hAnsi="Times New Roman"/>
        </w:rPr>
        <w:t>st</w:t>
      </w:r>
      <w:r w:rsidR="0065243D">
        <w:rPr>
          <w:rFonts w:ascii="Times New Roman" w:hAnsi="Times New Roman"/>
        </w:rPr>
        <w:t xml:space="preserve"> the PIF had co-financing at </w:t>
      </w:r>
      <w:r>
        <w:rPr>
          <w:rFonts w:ascii="Times New Roman" w:hAnsi="Times New Roman"/>
        </w:rPr>
        <w:t>$37.78 million, the current project has confirmed co-financing of $</w:t>
      </w:r>
      <w:r w:rsidR="000020C5">
        <w:rPr>
          <w:rFonts w:ascii="Times New Roman" w:hAnsi="Times New Roman"/>
        </w:rPr>
        <w:t>41.58</w:t>
      </w:r>
      <w:r>
        <w:rPr>
          <w:rFonts w:ascii="Times New Roman" w:hAnsi="Times New Roman"/>
        </w:rPr>
        <w:t xml:space="preserve"> million.</w:t>
      </w:r>
      <w:r w:rsidR="008E1ED2">
        <w:rPr>
          <w:rFonts w:ascii="Times New Roman" w:hAnsi="Times New Roman"/>
        </w:rPr>
        <w:t xml:space="preserve">  </w:t>
      </w:r>
    </w:p>
    <w:p w:rsidR="000B7167" w:rsidRDefault="000B7167" w:rsidP="0065243D">
      <w:pPr>
        <w:shd w:val="clear" w:color="auto" w:fill="BFBFBF" w:themeFill="background1" w:themeFillShade="BF"/>
        <w:tabs>
          <w:tab w:val="left" w:pos="1350"/>
        </w:tabs>
        <w:spacing w:after="0" w:line="240" w:lineRule="auto"/>
        <w:jc w:val="both"/>
        <w:rPr>
          <w:rFonts w:ascii="Times New Roman" w:hAnsi="Times New Roman"/>
        </w:rPr>
      </w:pPr>
    </w:p>
    <w:p w:rsidR="00F04B84" w:rsidRDefault="00F04B84"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M</w:t>
      </w:r>
      <w:r w:rsidR="00B12D3F">
        <w:rPr>
          <w:rFonts w:ascii="Times New Roman" w:hAnsi="Times New Roman"/>
        </w:rPr>
        <w:t>ore</w:t>
      </w:r>
      <w:r>
        <w:rPr>
          <w:rFonts w:ascii="Times New Roman" w:hAnsi="Times New Roman"/>
        </w:rPr>
        <w:t xml:space="preserve"> information on present alignment, project linkages and co-funding partnership can be found in Section 2.7 </w:t>
      </w:r>
      <w:r w:rsidR="00B34830">
        <w:rPr>
          <w:rFonts w:ascii="Times New Roman" w:hAnsi="Times New Roman"/>
        </w:rPr>
        <w:t>on l</w:t>
      </w:r>
      <w:r>
        <w:rPr>
          <w:rFonts w:ascii="Times New Roman" w:hAnsi="Times New Roman"/>
        </w:rPr>
        <w:t xml:space="preserve">inkages.  </w:t>
      </w:r>
      <w:r w:rsidR="0056663E">
        <w:rPr>
          <w:rFonts w:ascii="Times New Roman" w:hAnsi="Times New Roman"/>
        </w:rPr>
        <w:t>See also Section 7.3 on costs effectiveness related to (co-funding) program</w:t>
      </w:r>
      <w:r w:rsidR="00B12D3F">
        <w:rPr>
          <w:rFonts w:ascii="Times New Roman" w:hAnsi="Times New Roman"/>
        </w:rPr>
        <w:t>ming</w:t>
      </w:r>
      <w:r w:rsidR="0056663E">
        <w:rPr>
          <w:rFonts w:ascii="Times New Roman" w:hAnsi="Times New Roman"/>
        </w:rPr>
        <w:t xml:space="preserve"> alignment.</w:t>
      </w:r>
    </w:p>
    <w:p w:rsidR="00F04B84" w:rsidRDefault="00F04B84" w:rsidP="0065243D">
      <w:pPr>
        <w:shd w:val="clear" w:color="auto" w:fill="BFBFBF" w:themeFill="background1" w:themeFillShade="BF"/>
        <w:tabs>
          <w:tab w:val="left" w:pos="1350"/>
        </w:tabs>
        <w:spacing w:after="0" w:line="240" w:lineRule="auto"/>
        <w:jc w:val="both"/>
        <w:rPr>
          <w:rFonts w:ascii="Times New Roman" w:hAnsi="Times New Roman"/>
        </w:rPr>
      </w:pPr>
    </w:p>
    <w:p w:rsidR="00E169C1" w:rsidRPr="00E169C1" w:rsidRDefault="008C31A5" w:rsidP="0065243D">
      <w:pPr>
        <w:shd w:val="clear" w:color="auto" w:fill="BFBFBF" w:themeFill="background1" w:themeFillShade="BF"/>
        <w:tabs>
          <w:tab w:val="left" w:pos="1350"/>
        </w:tabs>
        <w:spacing w:after="0" w:line="240" w:lineRule="auto"/>
        <w:jc w:val="both"/>
        <w:rPr>
          <w:rFonts w:ascii="Times New Roman" w:hAnsi="Times New Roman"/>
          <w:b/>
        </w:rPr>
      </w:pPr>
      <w:r>
        <w:rPr>
          <w:rFonts w:ascii="Times New Roman" w:hAnsi="Times New Roman"/>
          <w:b/>
        </w:rPr>
        <w:t>2</w:t>
      </w:r>
      <w:r w:rsidR="007B102D">
        <w:rPr>
          <w:rFonts w:ascii="Times New Roman" w:hAnsi="Times New Roman"/>
          <w:b/>
        </w:rPr>
        <w:t>.  Activities have been</w:t>
      </w:r>
      <w:r w:rsidR="00E169C1" w:rsidRPr="00E169C1">
        <w:rPr>
          <w:rFonts w:ascii="Times New Roman" w:hAnsi="Times New Roman"/>
          <w:b/>
        </w:rPr>
        <w:t xml:space="preserve"> adapt</w:t>
      </w:r>
      <w:r w:rsidR="007B102D">
        <w:rPr>
          <w:rFonts w:ascii="Times New Roman" w:hAnsi="Times New Roman"/>
          <w:b/>
        </w:rPr>
        <w:t>ed</w:t>
      </w:r>
      <w:r w:rsidR="00E169C1" w:rsidRPr="00E169C1">
        <w:rPr>
          <w:rFonts w:ascii="Times New Roman" w:hAnsi="Times New Roman"/>
          <w:b/>
        </w:rPr>
        <w:t xml:space="preserve"> to </w:t>
      </w:r>
      <w:r w:rsidR="007B102D">
        <w:rPr>
          <w:rFonts w:ascii="Times New Roman" w:hAnsi="Times New Roman"/>
          <w:b/>
        </w:rPr>
        <w:t>fit</w:t>
      </w:r>
      <w:r w:rsidR="00E169C1" w:rsidRPr="00E169C1">
        <w:rPr>
          <w:rFonts w:ascii="Times New Roman" w:hAnsi="Times New Roman"/>
          <w:b/>
        </w:rPr>
        <w:t xml:space="preserve"> the current context, as reviewed above.  </w:t>
      </w:r>
    </w:p>
    <w:p w:rsidR="00E169C1" w:rsidRDefault="00E169C1" w:rsidP="0065243D">
      <w:pPr>
        <w:shd w:val="clear" w:color="auto" w:fill="BFBFBF" w:themeFill="background1" w:themeFillShade="BF"/>
        <w:tabs>
          <w:tab w:val="left" w:pos="1350"/>
        </w:tabs>
        <w:spacing w:after="0" w:line="240" w:lineRule="auto"/>
        <w:jc w:val="both"/>
        <w:rPr>
          <w:rFonts w:ascii="Times New Roman" w:hAnsi="Times New Roman"/>
        </w:rPr>
      </w:pPr>
    </w:p>
    <w:p w:rsidR="00366B7D" w:rsidRDefault="00C03FEE"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Whil</w:t>
      </w:r>
      <w:r w:rsidR="006939D0">
        <w:rPr>
          <w:rFonts w:ascii="Times New Roman" w:hAnsi="Times New Roman"/>
        </w:rPr>
        <w:t>st</w:t>
      </w:r>
      <w:r>
        <w:rPr>
          <w:rFonts w:ascii="Times New Roman" w:hAnsi="Times New Roman"/>
        </w:rPr>
        <w:t xml:space="preserve"> </w:t>
      </w:r>
      <w:r w:rsidR="006939D0">
        <w:rPr>
          <w:rFonts w:ascii="Times New Roman" w:hAnsi="Times New Roman"/>
        </w:rPr>
        <w:t xml:space="preserve">based on PPG project design the </w:t>
      </w:r>
      <w:r>
        <w:rPr>
          <w:rFonts w:ascii="Times New Roman" w:hAnsi="Times New Roman"/>
        </w:rPr>
        <w:t xml:space="preserve">descriptions in the </w:t>
      </w:r>
      <w:r w:rsidR="00E72740">
        <w:rPr>
          <w:rFonts w:ascii="Times New Roman" w:hAnsi="Times New Roman"/>
        </w:rPr>
        <w:t xml:space="preserve">Project Document </w:t>
      </w:r>
      <w:r>
        <w:rPr>
          <w:rFonts w:ascii="Times New Roman" w:hAnsi="Times New Roman"/>
        </w:rPr>
        <w:t xml:space="preserve">have changed </w:t>
      </w:r>
      <w:r w:rsidR="00E72740">
        <w:rPr>
          <w:rFonts w:ascii="Times New Roman" w:hAnsi="Times New Roman"/>
        </w:rPr>
        <w:t>several of the Outputs, activities and deliverables</w:t>
      </w:r>
      <w:r w:rsidR="006939D0">
        <w:rPr>
          <w:rFonts w:ascii="Times New Roman" w:hAnsi="Times New Roman"/>
        </w:rPr>
        <w:t>, as well as the formulation of Outcomes</w:t>
      </w:r>
      <w:r w:rsidR="00E72740">
        <w:rPr>
          <w:rFonts w:ascii="Times New Roman" w:hAnsi="Times New Roman"/>
        </w:rPr>
        <w:t xml:space="preserve">, the </w:t>
      </w:r>
      <w:r w:rsidR="006939D0">
        <w:rPr>
          <w:rFonts w:ascii="Times New Roman" w:hAnsi="Times New Roman"/>
        </w:rPr>
        <w:t xml:space="preserve">targeted Objective, and specific </w:t>
      </w:r>
      <w:r w:rsidR="00E72740">
        <w:rPr>
          <w:rFonts w:ascii="Times New Roman" w:hAnsi="Times New Roman"/>
        </w:rPr>
        <w:t xml:space="preserve">approach and </w:t>
      </w:r>
      <w:r>
        <w:rPr>
          <w:rFonts w:ascii="Times New Roman" w:hAnsi="Times New Roman"/>
        </w:rPr>
        <w:t xml:space="preserve">substance of </w:t>
      </w:r>
      <w:r w:rsidR="00F83D07">
        <w:rPr>
          <w:rFonts w:ascii="Times New Roman" w:hAnsi="Times New Roman"/>
        </w:rPr>
        <w:t xml:space="preserve">the </w:t>
      </w:r>
      <w:r>
        <w:rPr>
          <w:rFonts w:ascii="Times New Roman" w:hAnsi="Times New Roman"/>
        </w:rPr>
        <w:t xml:space="preserve">project </w:t>
      </w:r>
      <w:r w:rsidR="005874E9">
        <w:rPr>
          <w:rFonts w:ascii="Times New Roman" w:hAnsi="Times New Roman"/>
        </w:rPr>
        <w:t>has not</w:t>
      </w:r>
      <w:r w:rsidR="00DB0A2D">
        <w:rPr>
          <w:rFonts w:ascii="Times New Roman" w:hAnsi="Times New Roman"/>
        </w:rPr>
        <w:t xml:space="preserve"> changed</w:t>
      </w:r>
      <w:r w:rsidR="005874E9" w:rsidRPr="0044110E">
        <w:rPr>
          <w:rFonts w:ascii="Times New Roman" w:hAnsi="Times New Roman"/>
        </w:rPr>
        <w:t xml:space="preserve">.  </w:t>
      </w:r>
      <w:r w:rsidR="006939D0" w:rsidRPr="0044110E">
        <w:rPr>
          <w:rFonts w:ascii="Times New Roman" w:hAnsi="Times New Roman"/>
        </w:rPr>
        <w:t xml:space="preserve">A summary of changes in Outcomes and Outputs is given in </w:t>
      </w:r>
      <w:r w:rsidR="0044110E" w:rsidRPr="0044110E">
        <w:rPr>
          <w:rFonts w:ascii="Times New Roman" w:hAnsi="Times New Roman"/>
        </w:rPr>
        <w:t xml:space="preserve">the </w:t>
      </w:r>
      <w:r w:rsidR="00086CD5" w:rsidRPr="0044110E">
        <w:rPr>
          <w:rFonts w:ascii="Times New Roman" w:hAnsi="Times New Roman"/>
        </w:rPr>
        <w:t xml:space="preserve">table of </w:t>
      </w:r>
      <w:r w:rsidR="006939D0" w:rsidRPr="0044110E">
        <w:rPr>
          <w:rFonts w:ascii="Times New Roman" w:hAnsi="Times New Roman"/>
        </w:rPr>
        <w:t xml:space="preserve">Annex </w:t>
      </w:r>
      <w:r w:rsidR="0044110E" w:rsidRPr="0044110E">
        <w:rPr>
          <w:rFonts w:ascii="Times New Roman" w:hAnsi="Times New Roman"/>
        </w:rPr>
        <w:t>E</w:t>
      </w:r>
      <w:r w:rsidR="0044110E">
        <w:rPr>
          <w:rFonts w:ascii="Times New Roman" w:hAnsi="Times New Roman"/>
        </w:rPr>
        <w:t xml:space="preserve"> t</w:t>
      </w:r>
      <w:r w:rsidR="006939D0">
        <w:rPr>
          <w:rFonts w:ascii="Times New Roman" w:hAnsi="Times New Roman"/>
        </w:rPr>
        <w:t xml:space="preserve">o this document. </w:t>
      </w:r>
    </w:p>
    <w:p w:rsidR="005874E9" w:rsidRDefault="005874E9" w:rsidP="0065243D">
      <w:pPr>
        <w:shd w:val="clear" w:color="auto" w:fill="BFBFBF" w:themeFill="background1" w:themeFillShade="BF"/>
        <w:tabs>
          <w:tab w:val="left" w:pos="1350"/>
        </w:tabs>
        <w:spacing w:after="0" w:line="240" w:lineRule="auto"/>
        <w:jc w:val="both"/>
        <w:rPr>
          <w:rFonts w:ascii="Times New Roman" w:hAnsi="Times New Roman"/>
        </w:rPr>
      </w:pPr>
    </w:p>
    <w:p w:rsidR="00B34830" w:rsidRDefault="00E72740"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 xml:space="preserve">As mentioned above many </w:t>
      </w:r>
      <w:r w:rsidR="005874E9">
        <w:rPr>
          <w:rFonts w:ascii="Times New Roman" w:hAnsi="Times New Roman"/>
        </w:rPr>
        <w:t>activities and resulting Outputs have undergone adaptation</w:t>
      </w:r>
      <w:r w:rsidR="006939D0">
        <w:rPr>
          <w:rFonts w:ascii="Times New Roman" w:hAnsi="Times New Roman"/>
        </w:rPr>
        <w:t>, been merged or cancelled</w:t>
      </w:r>
      <w:r w:rsidR="005874E9">
        <w:rPr>
          <w:rFonts w:ascii="Times New Roman" w:hAnsi="Times New Roman"/>
        </w:rPr>
        <w:t xml:space="preserve">.  This is due to the organizational changes and policy </w:t>
      </w:r>
      <w:r w:rsidR="00DB0A2D">
        <w:rPr>
          <w:rFonts w:ascii="Times New Roman" w:hAnsi="Times New Roman"/>
        </w:rPr>
        <w:t>shifts</w:t>
      </w:r>
      <w:r w:rsidR="005874E9">
        <w:rPr>
          <w:rFonts w:ascii="Times New Roman" w:hAnsi="Times New Roman"/>
        </w:rPr>
        <w:t xml:space="preserve"> mentioned in Section A.1, above</w:t>
      </w:r>
      <w:r>
        <w:rPr>
          <w:rFonts w:ascii="Times New Roman" w:hAnsi="Times New Roman"/>
        </w:rPr>
        <w:t xml:space="preserve">, but also to </w:t>
      </w:r>
      <w:r w:rsidR="00F83D07">
        <w:rPr>
          <w:rFonts w:ascii="Times New Roman" w:hAnsi="Times New Roman"/>
        </w:rPr>
        <w:t>strengthen</w:t>
      </w:r>
      <w:r w:rsidR="00146EC8">
        <w:rPr>
          <w:rFonts w:ascii="Times New Roman" w:hAnsi="Times New Roman"/>
        </w:rPr>
        <w:t xml:space="preserve"> the </w:t>
      </w:r>
      <w:r w:rsidR="00B34830">
        <w:rPr>
          <w:rFonts w:ascii="Times New Roman" w:hAnsi="Times New Roman"/>
        </w:rPr>
        <w:t xml:space="preserve">project </w:t>
      </w:r>
      <w:r w:rsidR="00F83D07">
        <w:rPr>
          <w:rFonts w:ascii="Times New Roman" w:hAnsi="Times New Roman"/>
        </w:rPr>
        <w:t xml:space="preserve">technical </w:t>
      </w:r>
      <w:r w:rsidR="00B34830">
        <w:rPr>
          <w:rFonts w:ascii="Times New Roman" w:hAnsi="Times New Roman"/>
        </w:rPr>
        <w:t>design</w:t>
      </w:r>
      <w:r w:rsidR="00146EC8">
        <w:rPr>
          <w:rFonts w:ascii="Times New Roman" w:hAnsi="Times New Roman"/>
        </w:rPr>
        <w:t xml:space="preserve"> as well as </w:t>
      </w:r>
      <w:r>
        <w:rPr>
          <w:rFonts w:ascii="Times New Roman" w:hAnsi="Times New Roman"/>
        </w:rPr>
        <w:t>logf</w:t>
      </w:r>
      <w:r w:rsidR="00DC16C7">
        <w:rPr>
          <w:rFonts w:ascii="Times New Roman" w:hAnsi="Times New Roman"/>
        </w:rPr>
        <w:t>rame</w:t>
      </w:r>
      <w:r>
        <w:rPr>
          <w:rFonts w:ascii="Times New Roman" w:hAnsi="Times New Roman"/>
        </w:rPr>
        <w:t xml:space="preserve">, </w:t>
      </w:r>
      <w:r w:rsidR="00146EC8">
        <w:rPr>
          <w:rFonts w:ascii="Times New Roman" w:hAnsi="Times New Roman"/>
        </w:rPr>
        <w:t xml:space="preserve">or </w:t>
      </w:r>
      <w:r>
        <w:rPr>
          <w:rFonts w:ascii="Times New Roman" w:hAnsi="Times New Roman"/>
        </w:rPr>
        <w:t xml:space="preserve">to simplify the </w:t>
      </w:r>
      <w:r w:rsidR="00146EC8">
        <w:rPr>
          <w:rFonts w:ascii="Times New Roman" w:hAnsi="Times New Roman"/>
        </w:rPr>
        <w:t xml:space="preserve">project </w:t>
      </w:r>
      <w:r>
        <w:rPr>
          <w:rFonts w:ascii="Times New Roman" w:hAnsi="Times New Roman"/>
        </w:rPr>
        <w:t>approach (e.g. PWS under 1.2 has been merged with work under 2.3; and LULUCF/REDD work of 1.2 has been merged with 2.2 peat restoration</w:t>
      </w:r>
      <w:r w:rsidR="006939D0">
        <w:rPr>
          <w:rFonts w:ascii="Times New Roman" w:hAnsi="Times New Roman"/>
        </w:rPr>
        <w:t>)</w:t>
      </w:r>
      <w:r>
        <w:rPr>
          <w:rFonts w:ascii="Times New Roman" w:hAnsi="Times New Roman"/>
        </w:rPr>
        <w:t xml:space="preserve">. </w:t>
      </w:r>
      <w:r w:rsidR="00B34830">
        <w:rPr>
          <w:rFonts w:ascii="Times New Roman" w:hAnsi="Times New Roman"/>
        </w:rPr>
        <w:t>More specific cases are:</w:t>
      </w:r>
    </w:p>
    <w:p w:rsidR="005874E9" w:rsidRDefault="00B34830" w:rsidP="00B34830">
      <w:pPr>
        <w:pStyle w:val="ListParagraph"/>
      </w:pPr>
      <w:r>
        <w:rPr>
          <w:lang w:val="en-US"/>
        </w:rPr>
        <w:t>T</w:t>
      </w:r>
      <w:r w:rsidR="00E72740">
        <w:t xml:space="preserve">he further elaboration </w:t>
      </w:r>
      <w:r w:rsidR="005A2699">
        <w:t xml:space="preserve">in </w:t>
      </w:r>
      <w:r w:rsidR="00E72740">
        <w:t xml:space="preserve">2.4 towards </w:t>
      </w:r>
      <w:r w:rsidR="005A2699">
        <w:t xml:space="preserve">sector and </w:t>
      </w:r>
      <w:r w:rsidR="00E72740">
        <w:t>program</w:t>
      </w:r>
      <w:r w:rsidR="005A2699">
        <w:t>ming</w:t>
      </w:r>
      <w:r w:rsidR="00E72740">
        <w:t xml:space="preserve"> alignment, mainstreaming a</w:t>
      </w:r>
      <w:r w:rsidR="00DC16C7">
        <w:t xml:space="preserve">nd replication through </w:t>
      </w:r>
      <w:r w:rsidR="005A2699">
        <w:t xml:space="preserve">annual </w:t>
      </w:r>
      <w:r w:rsidR="00DC16C7">
        <w:t xml:space="preserve">programs, policies and budgets </w:t>
      </w:r>
      <w:r w:rsidR="00E72740">
        <w:t xml:space="preserve">of public, private and CSO sectors has </w:t>
      </w:r>
      <w:r w:rsidR="005A2699">
        <w:t>significantly strengthened the project approach</w:t>
      </w:r>
      <w:r w:rsidR="00A1136E">
        <w:t xml:space="preserve"> and evolving partnership</w:t>
      </w:r>
      <w:r w:rsidR="005A2699">
        <w:t xml:space="preserve">; as well as </w:t>
      </w:r>
      <w:r w:rsidR="00E72740">
        <w:t xml:space="preserve">made the equivalent </w:t>
      </w:r>
      <w:r w:rsidR="00A1136E">
        <w:t xml:space="preserve">PIF </w:t>
      </w:r>
      <w:r w:rsidR="00E72740">
        <w:t>output 1.2</w:t>
      </w:r>
      <w:r w:rsidR="00A1136E">
        <w:t>.1</w:t>
      </w:r>
      <w:r w:rsidR="00E72740">
        <w:t xml:space="preserve"> redundant. </w:t>
      </w:r>
      <w:r w:rsidR="005874E9">
        <w:t xml:space="preserve">  </w:t>
      </w:r>
    </w:p>
    <w:p w:rsidR="007B42BB" w:rsidRDefault="007B42BB" w:rsidP="00AD6B97">
      <w:pPr>
        <w:pStyle w:val="ListParagraph"/>
      </w:pPr>
      <w:r>
        <w:t xml:space="preserve">Participatory Land Use Planning (PLUP) approaches under the evolving programs of the FMU forest units, including gender-sensitive and community welfare support programs have been better defined </w:t>
      </w:r>
      <w:r w:rsidR="00B34830">
        <w:t>under revised</w:t>
      </w:r>
      <w:r>
        <w:t xml:space="preserve"> Outputs of 2.1, 2.2, and 2.3.</w:t>
      </w:r>
    </w:p>
    <w:p w:rsidR="005874E9" w:rsidRDefault="005874E9" w:rsidP="00AD6B97">
      <w:pPr>
        <w:pStyle w:val="ListParagraph"/>
      </w:pPr>
      <w:r w:rsidRPr="00761180">
        <w:t xml:space="preserve">The reactivated Sumatra Trust Fund (activity 1.2.4 of PIF) has been changed to a small grants program established </w:t>
      </w:r>
      <w:r w:rsidR="00160569">
        <w:t xml:space="preserve">through co-funding </w:t>
      </w:r>
      <w:r w:rsidRPr="00761180">
        <w:t xml:space="preserve">with other partners (activity 1.2.4 of PPG).  </w:t>
      </w:r>
      <w:r w:rsidR="00761180" w:rsidRPr="00761180">
        <w:t xml:space="preserve">The trust fund was originally conceived as </w:t>
      </w:r>
      <w:r w:rsidR="00160569">
        <w:t xml:space="preserve">an important element of the </w:t>
      </w:r>
      <w:r w:rsidR="00761180" w:rsidRPr="00761180">
        <w:t>project</w:t>
      </w:r>
      <w:r w:rsidR="00DB0A2D">
        <w:t>’</w:t>
      </w:r>
      <w:r w:rsidR="00761180" w:rsidRPr="00761180">
        <w:t>s “exit strategy.”  Through discussion with partners, t</w:t>
      </w:r>
      <w:r w:rsidRPr="00761180">
        <w:t xml:space="preserve">he grants program is </w:t>
      </w:r>
      <w:r w:rsidR="00761180" w:rsidRPr="00761180">
        <w:t xml:space="preserve">now </w:t>
      </w:r>
      <w:r w:rsidR="005A2699">
        <w:t xml:space="preserve">meant </w:t>
      </w:r>
      <w:r w:rsidRPr="00761180">
        <w:t xml:space="preserve">as </w:t>
      </w:r>
      <w:r w:rsidR="00160569">
        <w:t xml:space="preserve">a financing medium to enable CSO to get involved as well as build capacity and ideas with regards </w:t>
      </w:r>
      <w:r w:rsidRPr="00761180">
        <w:t>green economy practices</w:t>
      </w:r>
      <w:r w:rsidR="00761180" w:rsidRPr="00761180">
        <w:t xml:space="preserve"> that </w:t>
      </w:r>
      <w:r w:rsidR="00160569">
        <w:t xml:space="preserve">would </w:t>
      </w:r>
      <w:r w:rsidR="005A2699">
        <w:t xml:space="preserve">also </w:t>
      </w:r>
      <w:r w:rsidR="00761180" w:rsidRPr="00761180">
        <w:t>continue after funds are depleted</w:t>
      </w:r>
      <w:r w:rsidR="00772BA4" w:rsidRPr="00761180">
        <w:t>.  Further, the grant program allows the project to leverage funds from the Green Prosperity Program of MCA-I.</w:t>
      </w:r>
    </w:p>
    <w:p w:rsidR="00933982" w:rsidRPr="00761180" w:rsidRDefault="00933982" w:rsidP="00AD6B97">
      <w:pPr>
        <w:pStyle w:val="ListParagraph"/>
      </w:pPr>
      <w:r>
        <w:t>Roundtables with private sectors on SPC (PIF 1.1.4) was moved and merged with the new Outcomes 2.4.</w:t>
      </w:r>
    </w:p>
    <w:p w:rsidR="00B4158C" w:rsidRDefault="00B4158C" w:rsidP="00AD6B97">
      <w:pPr>
        <w:pStyle w:val="ListParagraph"/>
      </w:pPr>
      <w:r>
        <w:t xml:space="preserve">Specific and new outcomes where set for each of the three Cluster </w:t>
      </w:r>
      <w:r w:rsidR="002E3EEC">
        <w:t xml:space="preserve">GE </w:t>
      </w:r>
      <w:r>
        <w:t>themes and</w:t>
      </w:r>
      <w:r w:rsidR="002E3EEC">
        <w:t xml:space="preserve"> </w:t>
      </w:r>
      <w:r>
        <w:t xml:space="preserve"> investment program</w:t>
      </w:r>
      <w:r w:rsidR="00B34830">
        <w:t>s</w:t>
      </w:r>
      <w:r>
        <w:t xml:space="preserve"> </w:t>
      </w:r>
      <w:r w:rsidR="002E3EEC">
        <w:t xml:space="preserve">to allow better and more specific monitoring of the results </w:t>
      </w:r>
      <w:r>
        <w:t xml:space="preserve">(in PIF this had just one Outcomes). </w:t>
      </w:r>
    </w:p>
    <w:p w:rsidR="006939D0" w:rsidRDefault="00086AC7" w:rsidP="00AD6B97">
      <w:pPr>
        <w:pStyle w:val="ListParagraph"/>
      </w:pPr>
      <w:r>
        <w:t>A better geographic focus has been achieved and the</w:t>
      </w:r>
      <w:r w:rsidR="00772BA4" w:rsidRPr="00761180">
        <w:t xml:space="preserve"> number of </w:t>
      </w:r>
      <w:r>
        <w:t xml:space="preserve">target </w:t>
      </w:r>
      <w:r w:rsidR="00772BA4" w:rsidRPr="00761180">
        <w:t xml:space="preserve">districts </w:t>
      </w:r>
      <w:r>
        <w:t xml:space="preserve">reduced from 9 in the PIF to </w:t>
      </w:r>
      <w:r w:rsidR="00412C26">
        <w:t>6 in</w:t>
      </w:r>
      <w:r w:rsidR="00B4158C">
        <w:t xml:space="preserve"> the FSP; based on improved delineation of the </w:t>
      </w:r>
      <w:r>
        <w:t xml:space="preserve">investment Clusters </w:t>
      </w:r>
      <w:r w:rsidR="00B4158C">
        <w:t xml:space="preserve">and their associated </w:t>
      </w:r>
      <w:r>
        <w:t>GE programs – mainly based on the boundaries of the Forest Management Units being established by the government, as well as watershed</w:t>
      </w:r>
      <w:r w:rsidR="00B34830">
        <w:t xml:space="preserve"> boundaries</w:t>
      </w:r>
      <w:r>
        <w:t xml:space="preserve"> involved. Collaboration with </w:t>
      </w:r>
      <w:r w:rsidR="00772BA4" w:rsidRPr="00761180">
        <w:t xml:space="preserve">MCA-I’s </w:t>
      </w:r>
      <w:r>
        <w:t xml:space="preserve">funded </w:t>
      </w:r>
      <w:r w:rsidR="00772BA4" w:rsidRPr="00761180">
        <w:t>program</w:t>
      </w:r>
      <w:r w:rsidR="00B4158C">
        <w:t>s</w:t>
      </w:r>
      <w:r w:rsidR="00772BA4" w:rsidRPr="00761180">
        <w:t xml:space="preserve"> in the RIMBA landscape</w:t>
      </w:r>
      <w:r>
        <w:t xml:space="preserve"> may involve additional partnership beyond these districts yet GEF </w:t>
      </w:r>
      <w:r w:rsidR="00B4158C">
        <w:t xml:space="preserve">funds </w:t>
      </w:r>
      <w:r>
        <w:t xml:space="preserve">are solely directed at the 6 priority </w:t>
      </w:r>
      <w:r w:rsidR="00B4158C">
        <w:t>districts</w:t>
      </w:r>
      <w:r>
        <w:t>.</w:t>
      </w:r>
    </w:p>
    <w:p w:rsidR="00772BA4" w:rsidRPr="00761180" w:rsidRDefault="006939D0" w:rsidP="00AD6B97">
      <w:pPr>
        <w:pStyle w:val="ListParagraph"/>
      </w:pPr>
      <w:r>
        <w:t xml:space="preserve">Outcome 3.2 was added to the results framework, and will provide an explicit learning and lesson-sharing element to the monitoring and evaluation conducted in Component 3. </w:t>
      </w:r>
      <w:r w:rsidR="00772BA4" w:rsidRPr="00761180">
        <w:t xml:space="preserve">  </w:t>
      </w:r>
    </w:p>
    <w:p w:rsidR="00772BA4" w:rsidRDefault="00772BA4" w:rsidP="0065243D">
      <w:pPr>
        <w:shd w:val="clear" w:color="auto" w:fill="BFBFBF" w:themeFill="background1" w:themeFillShade="BF"/>
        <w:tabs>
          <w:tab w:val="left" w:pos="1350"/>
        </w:tabs>
        <w:spacing w:after="0" w:line="240" w:lineRule="auto"/>
        <w:jc w:val="both"/>
        <w:rPr>
          <w:rFonts w:ascii="Times New Roman" w:hAnsi="Times New Roman"/>
        </w:rPr>
      </w:pPr>
    </w:p>
    <w:p w:rsidR="00E169C1" w:rsidRPr="00E169C1" w:rsidRDefault="008C31A5" w:rsidP="0065243D">
      <w:pPr>
        <w:shd w:val="clear" w:color="auto" w:fill="BFBFBF" w:themeFill="background1" w:themeFillShade="BF"/>
        <w:tabs>
          <w:tab w:val="left" w:pos="1350"/>
        </w:tabs>
        <w:spacing w:after="0" w:line="240" w:lineRule="auto"/>
        <w:jc w:val="both"/>
        <w:rPr>
          <w:rFonts w:ascii="Times New Roman" w:hAnsi="Times New Roman"/>
          <w:b/>
        </w:rPr>
      </w:pPr>
      <w:r>
        <w:rPr>
          <w:rFonts w:ascii="Times New Roman" w:hAnsi="Times New Roman"/>
          <w:b/>
        </w:rPr>
        <w:t>3</w:t>
      </w:r>
      <w:r w:rsidR="00E169C1" w:rsidRPr="00E169C1">
        <w:rPr>
          <w:rFonts w:ascii="Times New Roman" w:hAnsi="Times New Roman"/>
          <w:b/>
        </w:rPr>
        <w:t xml:space="preserve">.  There has been a reduction in hectares </w:t>
      </w:r>
      <w:r w:rsidR="00B34830">
        <w:rPr>
          <w:rFonts w:ascii="Times New Roman" w:hAnsi="Times New Roman"/>
          <w:b/>
        </w:rPr>
        <w:t xml:space="preserve">and other targeted </w:t>
      </w:r>
      <w:r w:rsidR="00E169C1" w:rsidRPr="00E169C1">
        <w:rPr>
          <w:rFonts w:ascii="Times New Roman" w:hAnsi="Times New Roman"/>
          <w:b/>
        </w:rPr>
        <w:t>incremental benefit.</w:t>
      </w:r>
    </w:p>
    <w:p w:rsidR="00E169C1" w:rsidRDefault="00E169C1" w:rsidP="0065243D">
      <w:pPr>
        <w:shd w:val="clear" w:color="auto" w:fill="BFBFBF" w:themeFill="background1" w:themeFillShade="BF"/>
        <w:tabs>
          <w:tab w:val="left" w:pos="1350"/>
        </w:tabs>
        <w:spacing w:after="0" w:line="240" w:lineRule="auto"/>
        <w:jc w:val="both"/>
        <w:rPr>
          <w:rFonts w:ascii="Times New Roman" w:hAnsi="Times New Roman"/>
        </w:rPr>
      </w:pPr>
    </w:p>
    <w:p w:rsidR="002B7749" w:rsidRDefault="00001416"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Through</w:t>
      </w:r>
      <w:r w:rsidR="002B7749">
        <w:rPr>
          <w:rFonts w:ascii="Times New Roman" w:hAnsi="Times New Roman"/>
        </w:rPr>
        <w:t xml:space="preserve"> discussion with partners, </w:t>
      </w:r>
      <w:r>
        <w:rPr>
          <w:rFonts w:ascii="Times New Roman" w:hAnsi="Times New Roman"/>
        </w:rPr>
        <w:t xml:space="preserve">and through the comments on the PIF by STAP (Scientific and Technical Advisory Panel), </w:t>
      </w:r>
      <w:r w:rsidR="002B7749">
        <w:rPr>
          <w:rFonts w:ascii="Times New Roman" w:hAnsi="Times New Roman"/>
        </w:rPr>
        <w:t xml:space="preserve">it became clear that the original estimates for incremental gains from GEF support were overly </w:t>
      </w:r>
      <w:r w:rsidR="00412C26">
        <w:rPr>
          <w:rFonts w:ascii="Times New Roman" w:hAnsi="Times New Roman"/>
        </w:rPr>
        <w:t>ambitious (</w:t>
      </w:r>
      <w:r w:rsidR="002E43BF">
        <w:rPr>
          <w:rFonts w:ascii="Times New Roman" w:hAnsi="Times New Roman"/>
        </w:rPr>
        <w:t>e</w:t>
      </w:r>
      <w:r>
        <w:rPr>
          <w:rFonts w:ascii="Times New Roman" w:hAnsi="Times New Roman"/>
        </w:rPr>
        <w:t xml:space="preserve">.g., see Annex B, </w:t>
      </w:r>
      <w:r w:rsidR="00B34830">
        <w:rPr>
          <w:rFonts w:ascii="Times New Roman" w:hAnsi="Times New Roman"/>
        </w:rPr>
        <w:t>below, STAP comments #11 and 13</w:t>
      </w:r>
      <w:r>
        <w:rPr>
          <w:rFonts w:ascii="Times New Roman" w:hAnsi="Times New Roman"/>
        </w:rPr>
        <w:t>)</w:t>
      </w:r>
      <w:r w:rsidR="00B34830">
        <w:rPr>
          <w:rFonts w:ascii="Times New Roman" w:hAnsi="Times New Roman"/>
        </w:rPr>
        <w:t>.</w:t>
      </w:r>
      <w:r>
        <w:rPr>
          <w:rFonts w:ascii="Times New Roman" w:hAnsi="Times New Roman"/>
        </w:rPr>
        <w:t xml:space="preserve">  </w:t>
      </w:r>
      <w:r w:rsidR="002B7749">
        <w:rPr>
          <w:rFonts w:ascii="Times New Roman" w:hAnsi="Times New Roman"/>
        </w:rPr>
        <w:t xml:space="preserve">While the PIF anticipated </w:t>
      </w:r>
      <w:r>
        <w:rPr>
          <w:rFonts w:ascii="Times New Roman" w:hAnsi="Times New Roman"/>
        </w:rPr>
        <w:t xml:space="preserve">direct and indirect </w:t>
      </w:r>
      <w:r w:rsidR="002B7749">
        <w:rPr>
          <w:rFonts w:ascii="Times New Roman" w:hAnsi="Times New Roman"/>
        </w:rPr>
        <w:t>incremental gains of 215,000 ha</w:t>
      </w:r>
      <w:r w:rsidR="002E43BF">
        <w:rPr>
          <w:rFonts w:ascii="Times New Roman" w:hAnsi="Times New Roman"/>
        </w:rPr>
        <w:t xml:space="preserve"> forests protection, SFM, reforestation and PWS</w:t>
      </w:r>
      <w:r w:rsidR="002B7749">
        <w:rPr>
          <w:rFonts w:ascii="Times New Roman" w:hAnsi="Times New Roman"/>
        </w:rPr>
        <w:t xml:space="preserve">, the current project </w:t>
      </w:r>
      <w:r w:rsidR="002A6C5B">
        <w:rPr>
          <w:rFonts w:ascii="Times New Roman" w:hAnsi="Times New Roman"/>
        </w:rPr>
        <w:t>has a more realistic total target for</w:t>
      </w:r>
      <w:r>
        <w:rPr>
          <w:rFonts w:ascii="Times New Roman" w:hAnsi="Times New Roman"/>
        </w:rPr>
        <w:t xml:space="preserve"> direct </w:t>
      </w:r>
      <w:r w:rsidR="0079240C">
        <w:rPr>
          <w:rFonts w:ascii="Times New Roman" w:hAnsi="Times New Roman"/>
        </w:rPr>
        <w:t xml:space="preserve"> incremental gains </w:t>
      </w:r>
      <w:r w:rsidR="002A6C5B">
        <w:rPr>
          <w:rFonts w:ascii="Times New Roman" w:hAnsi="Times New Roman"/>
        </w:rPr>
        <w:t>at</w:t>
      </w:r>
      <w:r w:rsidR="0079240C">
        <w:rPr>
          <w:rFonts w:ascii="Times New Roman" w:hAnsi="Times New Roman"/>
        </w:rPr>
        <w:t xml:space="preserve"> </w:t>
      </w:r>
      <w:r w:rsidR="00086550">
        <w:rPr>
          <w:rFonts w:ascii="Times New Roman" w:hAnsi="Times New Roman"/>
          <w:lang w:val="id-ID"/>
        </w:rPr>
        <w:t>67,700</w:t>
      </w:r>
      <w:r w:rsidR="0079240C">
        <w:rPr>
          <w:rFonts w:ascii="Times New Roman" w:hAnsi="Times New Roman"/>
        </w:rPr>
        <w:t xml:space="preserve"> ha</w:t>
      </w:r>
      <w:r w:rsidR="00B34830">
        <w:rPr>
          <w:rFonts w:ascii="Times New Roman" w:hAnsi="Times New Roman"/>
        </w:rPr>
        <w:t xml:space="preserve"> of forest land</w:t>
      </w:r>
      <w:r w:rsidR="0079240C">
        <w:rPr>
          <w:rFonts w:ascii="Times New Roman" w:hAnsi="Times New Roman"/>
        </w:rPr>
        <w:t xml:space="preserve">. </w:t>
      </w:r>
      <w:r w:rsidR="00986F49">
        <w:rPr>
          <w:rFonts w:ascii="Times New Roman" w:hAnsi="Times New Roman"/>
        </w:rPr>
        <w:t xml:space="preserve">This also involved reducing the number of PWS schemes to just one (was 2-3 in PIF), as well as reducing the targeted </w:t>
      </w:r>
      <w:r w:rsidR="00412C26">
        <w:rPr>
          <w:rFonts w:ascii="Times New Roman" w:hAnsi="Times New Roman"/>
        </w:rPr>
        <w:t>instalment</w:t>
      </w:r>
      <w:r w:rsidR="00986F49">
        <w:rPr>
          <w:rFonts w:ascii="Times New Roman" w:hAnsi="Times New Roman"/>
        </w:rPr>
        <w:t xml:space="preserve"> of micro-hydro weirs to a total capacity of 1</w:t>
      </w:r>
      <w:r w:rsidR="002B0529">
        <w:rPr>
          <w:rFonts w:ascii="Times New Roman" w:hAnsi="Times New Roman"/>
        </w:rPr>
        <w:t>.5</w:t>
      </w:r>
      <w:r w:rsidR="00986F49">
        <w:rPr>
          <w:rFonts w:ascii="Times New Roman" w:hAnsi="Times New Roman"/>
        </w:rPr>
        <w:t xml:space="preserve"> MWatt</w:t>
      </w:r>
      <w:r w:rsidR="002B0529">
        <w:rPr>
          <w:rFonts w:ascii="Times New Roman" w:hAnsi="Times New Roman"/>
        </w:rPr>
        <w:t>.</w:t>
      </w:r>
      <w:r w:rsidR="0079240C">
        <w:rPr>
          <w:rFonts w:ascii="Times New Roman" w:hAnsi="Times New Roman"/>
        </w:rPr>
        <w:t xml:space="preserve"> </w:t>
      </w:r>
    </w:p>
    <w:p w:rsidR="002C30AC" w:rsidRDefault="002C30AC" w:rsidP="0065243D">
      <w:pPr>
        <w:shd w:val="clear" w:color="auto" w:fill="BFBFBF" w:themeFill="background1" w:themeFillShade="BF"/>
        <w:tabs>
          <w:tab w:val="left" w:pos="1350"/>
        </w:tabs>
        <w:spacing w:after="0" w:line="240" w:lineRule="auto"/>
        <w:jc w:val="both"/>
        <w:rPr>
          <w:rFonts w:ascii="Times New Roman" w:hAnsi="Times New Roman"/>
        </w:rPr>
      </w:pPr>
    </w:p>
    <w:p w:rsidR="002C30AC" w:rsidRPr="00E034C6" w:rsidRDefault="002C30AC" w:rsidP="0065243D">
      <w:pPr>
        <w:shd w:val="clear" w:color="auto" w:fill="BFBFBF" w:themeFill="background1" w:themeFillShade="BF"/>
        <w:tabs>
          <w:tab w:val="left" w:pos="1350"/>
        </w:tabs>
        <w:spacing w:after="0" w:line="240" w:lineRule="auto"/>
        <w:jc w:val="both"/>
        <w:rPr>
          <w:rFonts w:ascii="Times New Roman" w:hAnsi="Times New Roman"/>
        </w:rPr>
      </w:pPr>
      <w:r>
        <w:rPr>
          <w:rFonts w:ascii="Times New Roman" w:hAnsi="Times New Roman"/>
        </w:rPr>
        <w:t xml:space="preserve">4. </w:t>
      </w:r>
      <w:r w:rsidR="0015230E" w:rsidRPr="0015230E">
        <w:rPr>
          <w:rFonts w:ascii="Times New Roman" w:hAnsi="Times New Roman"/>
          <w:b/>
          <w:bCs/>
        </w:rPr>
        <w:t>The GEF allocation to Comp</w:t>
      </w:r>
      <w:r w:rsidR="001D28D9">
        <w:rPr>
          <w:rFonts w:ascii="Times New Roman" w:hAnsi="Times New Roman"/>
          <w:b/>
          <w:bCs/>
        </w:rPr>
        <w:t>onent</w:t>
      </w:r>
      <w:r w:rsidR="0015230E" w:rsidRPr="0015230E">
        <w:rPr>
          <w:rFonts w:ascii="Times New Roman" w:hAnsi="Times New Roman"/>
          <w:b/>
          <w:bCs/>
        </w:rPr>
        <w:t xml:space="preserve"> 2 has been increased</w:t>
      </w:r>
      <w:r>
        <w:rPr>
          <w:rFonts w:ascii="Times New Roman" w:hAnsi="Times New Roman"/>
        </w:rPr>
        <w:t xml:space="preserve"> to strengthen the </w:t>
      </w:r>
      <w:r w:rsidR="001D28D9">
        <w:rPr>
          <w:rFonts w:ascii="Times New Roman" w:hAnsi="Times New Roman"/>
        </w:rPr>
        <w:t xml:space="preserve">various and expanded Outputs for true </w:t>
      </w:r>
      <w:r>
        <w:rPr>
          <w:rFonts w:ascii="Times New Roman" w:hAnsi="Times New Roman"/>
        </w:rPr>
        <w:t>on-the-ground impact and change</w:t>
      </w:r>
      <w:r w:rsidR="001D28D9">
        <w:rPr>
          <w:rFonts w:ascii="Times New Roman" w:hAnsi="Times New Roman"/>
        </w:rPr>
        <w:t xml:space="preserve">; whilst Component 3 has been expanded with additional outputs and a modest increase in GEF budget. GEF budget on Component </w:t>
      </w:r>
      <w:r w:rsidR="003512E4">
        <w:rPr>
          <w:rFonts w:ascii="Times New Roman" w:hAnsi="Times New Roman"/>
        </w:rPr>
        <w:t xml:space="preserve">1 </w:t>
      </w:r>
      <w:r w:rsidR="001D28D9">
        <w:rPr>
          <w:rFonts w:ascii="Times New Roman" w:hAnsi="Times New Roman"/>
        </w:rPr>
        <w:t>has been reduced accordingly.</w:t>
      </w:r>
    </w:p>
    <w:p w:rsidR="00591870" w:rsidRDefault="00591870" w:rsidP="00661138">
      <w:pPr>
        <w:spacing w:after="120" w:line="240" w:lineRule="auto"/>
        <w:ind w:left="432" w:firstLine="18"/>
        <w:rPr>
          <w:rFonts w:ascii="Times New Roman" w:eastAsia="Times New Roman" w:hAnsi="Times New Roman"/>
        </w:rPr>
      </w:pPr>
    </w:p>
    <w:p w:rsidR="00F346B2" w:rsidRPr="00E034C6" w:rsidRDefault="00591870" w:rsidP="001511BF">
      <w:pPr>
        <w:spacing w:after="120" w:line="240" w:lineRule="auto"/>
        <w:ind w:left="432" w:hanging="432"/>
        <w:rPr>
          <w:rFonts w:ascii="Times New Roman" w:eastAsia="Times New Roman" w:hAnsi="Times New Roman"/>
        </w:rPr>
      </w:pPr>
      <w:r w:rsidRPr="00E034C6">
        <w:rPr>
          <w:rFonts w:ascii="Times New Roman" w:eastAsia="Times New Roman" w:hAnsi="Times New Roman"/>
        </w:rPr>
        <w:t>A. 5.</w:t>
      </w:r>
      <w:hyperlink r:id="rId12" w:history="1">
        <w:r w:rsidRPr="00E034C6">
          <w:rPr>
            <w:rFonts w:ascii="Times New Roman" w:eastAsia="Times New Roman" w:hAnsi="Times New Roman"/>
            <w:color w:val="0000FF"/>
            <w:u w:val="single"/>
          </w:rPr>
          <w:t xml:space="preserve"> Incremental</w:t>
        </w:r>
      </w:hyperlink>
      <w:r w:rsidRPr="00E034C6">
        <w:rPr>
          <w:rFonts w:ascii="Times New Roman" w:eastAsia="Times New Roman" w:hAnsi="Times New Roman"/>
        </w:rPr>
        <w:t xml:space="preserve"> /</w:t>
      </w:r>
      <w:hyperlink r:id="rId13" w:history="1">
        <w:r w:rsidRPr="00E034C6">
          <w:rPr>
            <w:rFonts w:ascii="Times New Roman" w:eastAsia="Times New Roman" w:hAnsi="Times New Roman"/>
            <w:color w:val="0000FF"/>
            <w:u w:val="single"/>
          </w:rPr>
          <w:t>Additional cost reasoning</w:t>
        </w:r>
      </w:hyperlink>
      <w:r w:rsidRPr="00E034C6">
        <w:rPr>
          <w:rFonts w:ascii="Times New Roman" w:eastAsia="Times New Roman" w:hAnsi="Times New Roman"/>
        </w:rPr>
        <w:t xml:space="preserve">:  describe the incremental (GEF Trust Fund/NPIF) or additional (LDCF/SCCF) activities  requested for GEF/LDCF/SCCF/NPIF  financing and the associated </w:t>
      </w:r>
      <w:hyperlink r:id="rId14" w:history="1">
        <w:r w:rsidRPr="00E034C6">
          <w:rPr>
            <w:rFonts w:ascii="Times New Roman" w:eastAsia="Times New Roman" w:hAnsi="Times New Roman"/>
            <w:color w:val="0000FF"/>
            <w:u w:val="single"/>
          </w:rPr>
          <w:t>global environmental benefits</w:t>
        </w:r>
      </w:hyperlink>
      <w:r w:rsidRPr="00E034C6">
        <w:rPr>
          <w:rFonts w:ascii="Times New Roman" w:eastAsia="Times New Roman" w:hAnsi="Times New Roman"/>
          <w:color w:val="000000"/>
        </w:rPr>
        <w:t xml:space="preserve">  (GEF Trust Fund) or associated adaptation benefits (LDCF/SCCF) to be delivered by the project: </w:t>
      </w:r>
      <w:r w:rsidRPr="00E034C6">
        <w:rPr>
          <w:rFonts w:ascii="Times New Roman" w:eastAsia="Times New Roman" w:hAnsi="Times New Roman"/>
        </w:rPr>
        <w:t xml:space="preserve"> </w:t>
      </w:r>
    </w:p>
    <w:p w:rsidR="00136BB9" w:rsidRDefault="00136BB9" w:rsidP="00B93262">
      <w:pPr>
        <w:tabs>
          <w:tab w:val="left" w:pos="270"/>
        </w:tabs>
        <w:spacing w:after="0" w:line="240" w:lineRule="auto"/>
        <w:contextualSpacing/>
        <w:jc w:val="both"/>
        <w:rPr>
          <w:rFonts w:ascii="Times New Roman" w:eastAsia="MS Mincho" w:hAnsi="Times New Roman"/>
          <w:lang w:eastAsia="ja-JP" w:bidi="th-TH"/>
        </w:rPr>
      </w:pPr>
    </w:p>
    <w:p w:rsidR="002B7749" w:rsidRDefault="00136BB9" w:rsidP="00B93262">
      <w:pPr>
        <w:tabs>
          <w:tab w:val="left" w:pos="270"/>
        </w:tabs>
        <w:spacing w:after="0" w:line="240" w:lineRule="auto"/>
        <w:ind w:left="270"/>
        <w:contextualSpacing/>
        <w:jc w:val="both"/>
        <w:rPr>
          <w:rFonts w:ascii="Times New Roman" w:eastAsia="MS Mincho" w:hAnsi="Times New Roman"/>
          <w:lang w:eastAsia="ja-JP" w:bidi="th-TH"/>
        </w:rPr>
      </w:pPr>
      <w:r>
        <w:rPr>
          <w:rFonts w:ascii="Times New Roman" w:eastAsia="MS Mincho" w:hAnsi="Times New Roman"/>
          <w:lang w:eastAsia="ja-JP" w:bidi="th-TH"/>
        </w:rPr>
        <w:t xml:space="preserve">This project brings </w:t>
      </w:r>
      <w:r w:rsidR="002B7749" w:rsidRPr="00570FE5">
        <w:rPr>
          <w:rFonts w:ascii="Times New Roman" w:eastAsia="MS Mincho" w:hAnsi="Times New Roman"/>
          <w:lang w:eastAsia="ja-JP" w:bidi="th-TH"/>
        </w:rPr>
        <w:t xml:space="preserve">untied new funds to the RIMBA Corridor that will allow existing and projected high levels of investment by national and local governments </w:t>
      </w:r>
      <w:r w:rsidR="002B7749">
        <w:rPr>
          <w:rFonts w:ascii="Times New Roman" w:eastAsia="MS Mincho" w:hAnsi="Times New Roman"/>
          <w:lang w:eastAsia="ja-JP" w:bidi="th-TH"/>
        </w:rPr>
        <w:t xml:space="preserve">and private industry </w:t>
      </w:r>
      <w:r w:rsidR="002B7749" w:rsidRPr="00570FE5">
        <w:rPr>
          <w:rFonts w:ascii="Times New Roman" w:eastAsia="MS Mincho" w:hAnsi="Times New Roman"/>
          <w:lang w:eastAsia="ja-JP" w:bidi="th-TH"/>
        </w:rPr>
        <w:t>to be effectively used to sustain and enhance natural capital and to ensure the forests and biodiversity of this critical region are conserved.</w:t>
      </w:r>
      <w:r w:rsidR="002B7749">
        <w:rPr>
          <w:rFonts w:ascii="Times New Roman" w:eastAsia="MS Mincho" w:hAnsi="Times New Roman"/>
          <w:lang w:eastAsia="ja-JP" w:bidi="th-TH"/>
        </w:rPr>
        <w:t xml:space="preserve"> Appendix 3 </w:t>
      </w:r>
      <w:r w:rsidR="004B0894">
        <w:rPr>
          <w:rFonts w:ascii="Times New Roman" w:eastAsia="MS Mincho" w:hAnsi="Times New Roman"/>
          <w:lang w:eastAsia="ja-JP" w:bidi="th-TH"/>
        </w:rPr>
        <w:t>the P</w:t>
      </w:r>
      <w:r w:rsidR="00412C26">
        <w:rPr>
          <w:rFonts w:ascii="Times New Roman" w:eastAsia="MS Mincho" w:hAnsi="Times New Roman"/>
          <w:lang w:val="id-ID" w:eastAsia="ja-JP" w:bidi="th-TH"/>
        </w:rPr>
        <w:t>r</w:t>
      </w:r>
      <w:r w:rsidR="004B0894">
        <w:rPr>
          <w:rFonts w:ascii="Times New Roman" w:eastAsia="MS Mincho" w:hAnsi="Times New Roman"/>
          <w:lang w:eastAsia="ja-JP" w:bidi="th-TH"/>
        </w:rPr>
        <w:t xml:space="preserve">oDoc </w:t>
      </w:r>
      <w:r w:rsidR="002B7749">
        <w:rPr>
          <w:rFonts w:ascii="Times New Roman" w:eastAsia="MS Mincho" w:hAnsi="Times New Roman"/>
          <w:lang w:eastAsia="ja-JP" w:bidi="th-TH"/>
        </w:rPr>
        <w:t>provides a summary of the incremental costs analysis.</w:t>
      </w:r>
    </w:p>
    <w:p w:rsidR="002B7749" w:rsidRDefault="002B7749" w:rsidP="00B93262">
      <w:pPr>
        <w:tabs>
          <w:tab w:val="left" w:pos="270"/>
        </w:tabs>
        <w:spacing w:after="0" w:line="240" w:lineRule="auto"/>
        <w:ind w:left="270"/>
        <w:contextualSpacing/>
        <w:jc w:val="both"/>
        <w:rPr>
          <w:rFonts w:ascii="Times New Roman" w:eastAsia="MS Mincho" w:hAnsi="Times New Roman"/>
          <w:lang w:eastAsia="ja-JP" w:bidi="th-TH"/>
        </w:rPr>
      </w:pPr>
    </w:p>
    <w:p w:rsidR="002B7749" w:rsidRPr="001E1CF0" w:rsidRDefault="002B7749" w:rsidP="00B93262">
      <w:pPr>
        <w:tabs>
          <w:tab w:val="left" w:pos="270"/>
        </w:tabs>
        <w:spacing w:after="0" w:line="240" w:lineRule="auto"/>
        <w:ind w:left="270"/>
        <w:contextualSpacing/>
        <w:jc w:val="both"/>
        <w:rPr>
          <w:rFonts w:ascii="Times New Roman" w:eastAsia="MS Mincho" w:hAnsi="Times New Roman"/>
          <w:lang w:eastAsia="ja-JP" w:bidi="th-TH"/>
        </w:rPr>
      </w:pPr>
      <w:r w:rsidRPr="001E1CF0">
        <w:rPr>
          <w:rFonts w:ascii="Times New Roman" w:eastAsia="MS Mincho" w:hAnsi="Times New Roman"/>
          <w:lang w:eastAsia="ja-JP" w:bidi="th-TH"/>
        </w:rPr>
        <w:t xml:space="preserve">GEF support is focused into three complimentary Components, where Component 1 creates the institutional foundation, human capacity, agreement on alternative development scenarios for RIMBA, as well </w:t>
      </w:r>
      <w:r w:rsidR="004B6F35">
        <w:rPr>
          <w:rFonts w:ascii="Times New Roman" w:eastAsia="MS Mincho" w:hAnsi="Times New Roman"/>
          <w:lang w:eastAsia="ja-JP" w:bidi="th-TH"/>
        </w:rPr>
        <w:t xml:space="preserve">as </w:t>
      </w:r>
      <w:r w:rsidR="004B0894">
        <w:rPr>
          <w:rFonts w:ascii="Times New Roman" w:eastAsia="MS Mincho" w:hAnsi="Times New Roman"/>
          <w:lang w:eastAsia="ja-JP" w:bidi="th-TH"/>
        </w:rPr>
        <w:t>establish</w:t>
      </w:r>
      <w:r w:rsidRPr="001E1CF0">
        <w:rPr>
          <w:rFonts w:ascii="Times New Roman" w:eastAsia="MS Mincho" w:hAnsi="Times New Roman"/>
          <w:lang w:eastAsia="ja-JP" w:bidi="th-TH"/>
        </w:rPr>
        <w:t xml:space="preserve"> the </w:t>
      </w:r>
      <w:r w:rsidR="004B0894">
        <w:rPr>
          <w:rFonts w:ascii="Times New Roman" w:eastAsia="MS Mincho" w:hAnsi="Times New Roman"/>
          <w:lang w:eastAsia="ja-JP" w:bidi="th-TH"/>
        </w:rPr>
        <w:t xml:space="preserve">formal governance framework for the RIMBA project and beyond via the planned </w:t>
      </w:r>
      <w:r w:rsidR="004B0894" w:rsidRPr="004B0894">
        <w:rPr>
          <w:rFonts w:ascii="Times New Roman" w:eastAsia="MS Mincho" w:hAnsi="Times New Roman"/>
          <w:lang w:eastAsia="ja-JP" w:bidi="th-TH"/>
        </w:rPr>
        <w:t xml:space="preserve">supra-jurisdictional and multi-institutional </w:t>
      </w:r>
      <w:r w:rsidR="004B0894">
        <w:rPr>
          <w:rFonts w:ascii="Times New Roman" w:eastAsia="MS Mincho" w:hAnsi="Times New Roman"/>
          <w:lang w:eastAsia="ja-JP" w:bidi="th-TH"/>
        </w:rPr>
        <w:t>RIMBA S</w:t>
      </w:r>
      <w:r w:rsidR="004B0894" w:rsidRPr="004B0894">
        <w:rPr>
          <w:rFonts w:ascii="Times New Roman" w:eastAsia="MS Mincho" w:hAnsi="Times New Roman"/>
          <w:lang w:eastAsia="ja-JP" w:bidi="th-TH"/>
        </w:rPr>
        <w:t>ecretariat</w:t>
      </w:r>
      <w:r w:rsidRPr="001E1CF0">
        <w:rPr>
          <w:rFonts w:ascii="Times New Roman" w:eastAsia="MS Mincho" w:hAnsi="Times New Roman"/>
          <w:lang w:eastAsia="ja-JP" w:bidi="th-TH"/>
        </w:rPr>
        <w:t>; where Component 2 invests in and tests three different GE development scenarios in RIMBA landscape - all targeting forest protection, land rehabilitation and biodiversity</w:t>
      </w:r>
      <w:r>
        <w:rPr>
          <w:rFonts w:ascii="Times New Roman" w:eastAsia="MS Mincho" w:hAnsi="Times New Roman"/>
          <w:lang w:eastAsia="ja-JP" w:bidi="th-TH"/>
        </w:rPr>
        <w:t>/water/carbon</w:t>
      </w:r>
      <w:r w:rsidR="001F13B9">
        <w:rPr>
          <w:rFonts w:ascii="Times New Roman" w:eastAsia="MS Mincho" w:hAnsi="Times New Roman"/>
          <w:lang w:eastAsia="ja-JP" w:bidi="th-TH"/>
        </w:rPr>
        <w:t xml:space="preserve"> conservation</w:t>
      </w:r>
      <w:r w:rsidR="004B0894">
        <w:rPr>
          <w:rFonts w:ascii="Times New Roman" w:eastAsia="MS Mincho" w:hAnsi="Times New Roman"/>
          <w:lang w:eastAsia="ja-JP" w:bidi="th-TH"/>
        </w:rPr>
        <w:t xml:space="preserve">, as well as </w:t>
      </w:r>
      <w:r w:rsidR="001F13B9">
        <w:rPr>
          <w:rFonts w:ascii="Times New Roman" w:eastAsia="MS Mincho" w:hAnsi="Times New Roman"/>
          <w:lang w:eastAsia="ja-JP" w:bidi="th-TH"/>
        </w:rPr>
        <w:t xml:space="preserve">enabling </w:t>
      </w:r>
      <w:r w:rsidR="004B0894" w:rsidRPr="001E1CF0">
        <w:rPr>
          <w:rFonts w:ascii="Times New Roman" w:eastAsia="MS Mincho" w:hAnsi="Times New Roman"/>
          <w:lang w:eastAsia="ja-JP" w:bidi="th-TH"/>
        </w:rPr>
        <w:t xml:space="preserve">programmatic sustainability of a Green Economy applied </w:t>
      </w:r>
      <w:r w:rsidR="001F13B9">
        <w:rPr>
          <w:rFonts w:ascii="Times New Roman" w:eastAsia="MS Mincho" w:hAnsi="Times New Roman"/>
          <w:lang w:eastAsia="ja-JP" w:bidi="th-TH"/>
        </w:rPr>
        <w:t xml:space="preserve">to </w:t>
      </w:r>
      <w:r w:rsidR="001F13B9" w:rsidRPr="001E1CF0">
        <w:rPr>
          <w:rFonts w:ascii="Times New Roman" w:eastAsia="MS Mincho" w:hAnsi="Times New Roman"/>
          <w:lang w:eastAsia="ja-JP" w:bidi="th-TH"/>
        </w:rPr>
        <w:t>forest-based sectors</w:t>
      </w:r>
      <w:r w:rsidR="001F13B9">
        <w:rPr>
          <w:rFonts w:ascii="Times New Roman" w:eastAsia="MS Mincho" w:hAnsi="Times New Roman"/>
          <w:lang w:eastAsia="ja-JP" w:bidi="th-TH"/>
        </w:rPr>
        <w:t xml:space="preserve">, </w:t>
      </w:r>
      <w:r w:rsidR="004B6F35">
        <w:rPr>
          <w:rFonts w:ascii="Times New Roman" w:eastAsia="MS Mincho" w:hAnsi="Times New Roman"/>
          <w:lang w:eastAsia="ja-JP" w:bidi="th-TH"/>
        </w:rPr>
        <w:t xml:space="preserve">and </w:t>
      </w:r>
      <w:r w:rsidR="001F13B9">
        <w:rPr>
          <w:rFonts w:ascii="Times New Roman" w:eastAsia="MS Mincho" w:hAnsi="Times New Roman"/>
          <w:lang w:eastAsia="ja-JP" w:bidi="th-TH"/>
        </w:rPr>
        <w:t xml:space="preserve">land-resources community-interests </w:t>
      </w:r>
      <w:r w:rsidR="004B0894">
        <w:rPr>
          <w:rFonts w:ascii="Times New Roman" w:eastAsia="MS Mincho" w:hAnsi="Times New Roman"/>
          <w:lang w:eastAsia="ja-JP" w:bidi="th-TH"/>
        </w:rPr>
        <w:t>by public, private and CSO</w:t>
      </w:r>
      <w:r w:rsidRPr="001E1CF0">
        <w:rPr>
          <w:rFonts w:ascii="Times New Roman" w:eastAsia="MS Mincho" w:hAnsi="Times New Roman"/>
          <w:lang w:eastAsia="ja-JP" w:bidi="th-TH"/>
        </w:rPr>
        <w:t xml:space="preserve">; and where Component 3 establishes the evidence base for measuring project impacts, the degree of adoption and upscaling of GE approaches by private and public sectors, as well as dissemination and uptake of best practices for national policy consideration.  </w:t>
      </w:r>
    </w:p>
    <w:p w:rsidR="002B7749" w:rsidRDefault="002B7749" w:rsidP="00B93262">
      <w:pPr>
        <w:tabs>
          <w:tab w:val="left" w:pos="270"/>
        </w:tabs>
        <w:spacing w:before="100" w:beforeAutospacing="1" w:after="100" w:afterAutospacing="1"/>
        <w:ind w:left="270"/>
        <w:contextualSpacing/>
        <w:jc w:val="both"/>
        <w:rPr>
          <w:rFonts w:eastAsia="MS Mincho"/>
          <w:iCs/>
          <w:sz w:val="20"/>
          <w:szCs w:val="20"/>
          <w:lang w:eastAsia="ja-JP" w:bidi="th-TH"/>
        </w:rPr>
      </w:pPr>
    </w:p>
    <w:p w:rsidR="002B7749" w:rsidRPr="00D2436F" w:rsidRDefault="002B7749" w:rsidP="00B93262">
      <w:pPr>
        <w:tabs>
          <w:tab w:val="left" w:pos="270"/>
        </w:tabs>
        <w:spacing w:after="0" w:line="240" w:lineRule="auto"/>
        <w:ind w:left="270"/>
        <w:contextualSpacing/>
        <w:jc w:val="both"/>
        <w:rPr>
          <w:rFonts w:ascii="Times New Roman" w:eastAsia="MS Mincho" w:hAnsi="Times New Roman"/>
          <w:lang w:eastAsia="ja-JP" w:bidi="th-TH"/>
        </w:rPr>
      </w:pPr>
      <w:r w:rsidRPr="00D2436F">
        <w:rPr>
          <w:rFonts w:ascii="Times New Roman" w:eastAsia="MS Mincho" w:hAnsi="Times New Roman"/>
          <w:lang w:eastAsia="ja-JP" w:bidi="th-TH"/>
        </w:rPr>
        <w:t xml:space="preserve">GEF incremental support will </w:t>
      </w:r>
      <w:r w:rsidR="00412C26" w:rsidRPr="00D2436F">
        <w:rPr>
          <w:rFonts w:ascii="Times New Roman" w:eastAsia="MS Mincho" w:hAnsi="Times New Roman"/>
          <w:lang w:eastAsia="ja-JP" w:bidi="th-TH"/>
        </w:rPr>
        <w:t>catalyse</w:t>
      </w:r>
      <w:r w:rsidRPr="00D2436F">
        <w:rPr>
          <w:rFonts w:ascii="Times New Roman" w:eastAsia="MS Mincho" w:hAnsi="Times New Roman"/>
          <w:lang w:eastAsia="ja-JP" w:bidi="th-TH"/>
        </w:rPr>
        <w:t xml:space="preserve"> baseline </w:t>
      </w:r>
      <w:r>
        <w:rPr>
          <w:rFonts w:ascii="Times New Roman" w:eastAsia="MS Mincho" w:hAnsi="Times New Roman"/>
          <w:lang w:eastAsia="ja-JP" w:bidi="th-TH"/>
        </w:rPr>
        <w:t xml:space="preserve">funding </w:t>
      </w:r>
      <w:r w:rsidR="00CF10E5">
        <w:rPr>
          <w:rFonts w:ascii="Times New Roman" w:eastAsia="MS Mincho" w:hAnsi="Times New Roman"/>
          <w:lang w:eastAsia="ja-JP" w:bidi="th-TH"/>
        </w:rPr>
        <w:t xml:space="preserve">through alignment of annual government budgets and programs with those of GEF, </w:t>
      </w:r>
      <w:r w:rsidRPr="00D2436F">
        <w:rPr>
          <w:rFonts w:ascii="Times New Roman" w:eastAsia="MS Mincho" w:hAnsi="Times New Roman"/>
          <w:lang w:eastAsia="ja-JP" w:bidi="th-TH"/>
        </w:rPr>
        <w:t xml:space="preserve">and mobilize additional funding to ensure policies, plans, programmes and investments in RIMBA </w:t>
      </w:r>
      <w:r>
        <w:rPr>
          <w:rFonts w:ascii="Times New Roman" w:eastAsia="MS Mincho" w:hAnsi="Times New Roman"/>
          <w:lang w:eastAsia="ja-JP" w:bidi="th-TH"/>
        </w:rPr>
        <w:t xml:space="preserve">respond to </w:t>
      </w:r>
      <w:r w:rsidRPr="00D2436F">
        <w:rPr>
          <w:rFonts w:ascii="Times New Roman" w:eastAsia="MS Mincho" w:hAnsi="Times New Roman"/>
          <w:lang w:eastAsia="ja-JP" w:bidi="th-TH"/>
        </w:rPr>
        <w:t>the economics of forest</w:t>
      </w:r>
      <w:r>
        <w:rPr>
          <w:rFonts w:ascii="Times New Roman" w:eastAsia="MS Mincho" w:hAnsi="Times New Roman"/>
          <w:lang w:eastAsia="ja-JP" w:bidi="th-TH"/>
        </w:rPr>
        <w:t xml:space="preserve"> </w:t>
      </w:r>
      <w:r w:rsidRPr="00D2436F">
        <w:rPr>
          <w:rFonts w:ascii="Times New Roman" w:eastAsia="MS Mincho" w:hAnsi="Times New Roman"/>
          <w:lang w:eastAsia="ja-JP" w:bidi="th-TH"/>
        </w:rPr>
        <w:t xml:space="preserve">ecosystem services, </w:t>
      </w:r>
      <w:r>
        <w:rPr>
          <w:rFonts w:ascii="Times New Roman" w:eastAsia="MS Mincho" w:hAnsi="Times New Roman"/>
          <w:lang w:eastAsia="ja-JP" w:bidi="th-TH"/>
        </w:rPr>
        <w:t xml:space="preserve">resource efficiency, equitable rights and access of stakeholders, as well as </w:t>
      </w:r>
      <w:r w:rsidRPr="00D2436F">
        <w:rPr>
          <w:rFonts w:ascii="Times New Roman" w:eastAsia="MS Mincho" w:hAnsi="Times New Roman"/>
          <w:lang w:eastAsia="ja-JP" w:bidi="th-TH"/>
        </w:rPr>
        <w:t xml:space="preserve">invest in </w:t>
      </w:r>
      <w:r>
        <w:rPr>
          <w:rFonts w:ascii="Times New Roman" w:eastAsia="MS Mincho" w:hAnsi="Times New Roman"/>
          <w:lang w:eastAsia="ja-JP" w:bidi="th-TH"/>
        </w:rPr>
        <w:t xml:space="preserve">natural </w:t>
      </w:r>
      <w:r w:rsidR="00E4475F">
        <w:rPr>
          <w:rFonts w:ascii="Times New Roman" w:eastAsia="MS Mincho" w:hAnsi="Times New Roman"/>
          <w:lang w:eastAsia="ja-JP" w:bidi="th-TH"/>
        </w:rPr>
        <w:t>capital</w:t>
      </w:r>
      <w:r>
        <w:rPr>
          <w:rFonts w:ascii="Times New Roman" w:eastAsia="MS Mincho" w:hAnsi="Times New Roman"/>
          <w:lang w:eastAsia="ja-JP" w:bidi="th-TH"/>
        </w:rPr>
        <w:t xml:space="preserve"> such as </w:t>
      </w:r>
      <w:r w:rsidRPr="00D2436F">
        <w:rPr>
          <w:rFonts w:ascii="Times New Roman" w:eastAsia="MS Mincho" w:hAnsi="Times New Roman"/>
          <w:lang w:eastAsia="ja-JP" w:bidi="th-TH"/>
        </w:rPr>
        <w:t>forests outside the PA network, are much better coordinated and contribute to:</w:t>
      </w:r>
    </w:p>
    <w:p w:rsidR="002B7749" w:rsidRDefault="002B7749" w:rsidP="00DF4453">
      <w:pPr>
        <w:numPr>
          <w:ilvl w:val="0"/>
          <w:numId w:val="11"/>
        </w:numPr>
        <w:tabs>
          <w:tab w:val="clear" w:pos="216"/>
          <w:tab w:val="left" w:pos="450"/>
        </w:tabs>
        <w:suppressAutoHyphens/>
        <w:autoSpaceDN w:val="0"/>
        <w:spacing w:after="0" w:line="240" w:lineRule="auto"/>
        <w:ind w:left="450" w:hanging="180"/>
        <w:contextualSpacing/>
        <w:jc w:val="both"/>
        <w:textAlignment w:val="baseline"/>
        <w:rPr>
          <w:rFonts w:ascii="Times New Roman" w:eastAsia="MS Mincho" w:hAnsi="Times New Roman"/>
          <w:lang w:eastAsia="ja-JP" w:bidi="th-TH"/>
        </w:rPr>
      </w:pPr>
      <w:r w:rsidRPr="00D2436F">
        <w:rPr>
          <w:rFonts w:ascii="Times New Roman" w:eastAsia="MS Mincho" w:hAnsi="Times New Roman"/>
          <w:lang w:eastAsia="ja-JP" w:bidi="th-TH"/>
        </w:rPr>
        <w:t>Increasing ecosystem connectivity and habitats for flagship species;</w:t>
      </w:r>
    </w:p>
    <w:p w:rsidR="002B7749" w:rsidRDefault="002B7749" w:rsidP="00DF4453">
      <w:pPr>
        <w:numPr>
          <w:ilvl w:val="0"/>
          <w:numId w:val="11"/>
        </w:numPr>
        <w:tabs>
          <w:tab w:val="clear" w:pos="216"/>
          <w:tab w:val="left" w:pos="450"/>
        </w:tabs>
        <w:suppressAutoHyphens/>
        <w:autoSpaceDN w:val="0"/>
        <w:spacing w:after="0" w:line="240" w:lineRule="auto"/>
        <w:ind w:left="450" w:hanging="180"/>
        <w:contextualSpacing/>
        <w:jc w:val="both"/>
        <w:textAlignment w:val="baseline"/>
        <w:rPr>
          <w:rFonts w:ascii="Times New Roman" w:eastAsia="MS Mincho" w:hAnsi="Times New Roman"/>
          <w:lang w:eastAsia="ja-JP" w:bidi="th-TH"/>
        </w:rPr>
      </w:pPr>
      <w:r w:rsidRPr="00D2436F">
        <w:rPr>
          <w:rFonts w:ascii="Times New Roman" w:eastAsia="MS Mincho" w:hAnsi="Times New Roman"/>
          <w:lang w:eastAsia="ja-JP" w:bidi="th-TH"/>
        </w:rPr>
        <w:t xml:space="preserve">Maintaining the levels of peat forest and other forest types; </w:t>
      </w:r>
    </w:p>
    <w:p w:rsidR="002B7749" w:rsidRDefault="002B7749" w:rsidP="00DF4453">
      <w:pPr>
        <w:numPr>
          <w:ilvl w:val="0"/>
          <w:numId w:val="11"/>
        </w:numPr>
        <w:tabs>
          <w:tab w:val="clear" w:pos="216"/>
          <w:tab w:val="left" w:pos="450"/>
        </w:tabs>
        <w:suppressAutoHyphens/>
        <w:autoSpaceDN w:val="0"/>
        <w:spacing w:after="0" w:line="240" w:lineRule="auto"/>
        <w:ind w:left="450" w:hanging="180"/>
        <w:contextualSpacing/>
        <w:jc w:val="both"/>
        <w:textAlignment w:val="baseline"/>
        <w:rPr>
          <w:rFonts w:ascii="Times New Roman" w:eastAsia="MS Mincho" w:hAnsi="Times New Roman"/>
          <w:lang w:eastAsia="ja-JP" w:bidi="th-TH"/>
        </w:rPr>
      </w:pPr>
      <w:r w:rsidRPr="00D2436F">
        <w:rPr>
          <w:rFonts w:ascii="Times New Roman" w:eastAsia="MS Mincho" w:hAnsi="Times New Roman"/>
          <w:lang w:eastAsia="ja-JP" w:bidi="th-TH"/>
        </w:rPr>
        <w:t>Increasing forest cover and carbon storage on degraded land and abandoned forests; and</w:t>
      </w:r>
    </w:p>
    <w:p w:rsidR="002B7749" w:rsidRDefault="002B7749" w:rsidP="00DF4453">
      <w:pPr>
        <w:numPr>
          <w:ilvl w:val="0"/>
          <w:numId w:val="11"/>
        </w:numPr>
        <w:tabs>
          <w:tab w:val="clear" w:pos="216"/>
          <w:tab w:val="left" w:pos="450"/>
        </w:tabs>
        <w:suppressAutoHyphens/>
        <w:autoSpaceDN w:val="0"/>
        <w:spacing w:after="0" w:line="240" w:lineRule="auto"/>
        <w:ind w:left="450" w:hanging="180"/>
        <w:contextualSpacing/>
        <w:jc w:val="both"/>
        <w:textAlignment w:val="baseline"/>
        <w:rPr>
          <w:rFonts w:ascii="Times New Roman" w:eastAsia="MS Mincho" w:hAnsi="Times New Roman"/>
          <w:lang w:eastAsia="ja-JP" w:bidi="th-TH"/>
        </w:rPr>
      </w:pPr>
      <w:r w:rsidRPr="00D2436F">
        <w:rPr>
          <w:rFonts w:ascii="Times New Roman" w:eastAsia="MS Mincho" w:hAnsi="Times New Roman"/>
          <w:lang w:eastAsia="ja-JP" w:bidi="th-TH"/>
        </w:rPr>
        <w:t>Ensure that the protection of forest and their ecosystem services contribute to an inclusive and sustainable development for communities in RIMBA. This will include supporting development of renewable energy in RIMBA.</w:t>
      </w:r>
    </w:p>
    <w:p w:rsidR="002B7749" w:rsidRPr="00D2436F" w:rsidRDefault="002B7749" w:rsidP="00B93262">
      <w:pPr>
        <w:tabs>
          <w:tab w:val="left" w:pos="270"/>
        </w:tabs>
        <w:spacing w:after="0" w:line="240" w:lineRule="auto"/>
        <w:ind w:left="270"/>
        <w:contextualSpacing/>
        <w:jc w:val="both"/>
        <w:rPr>
          <w:rFonts w:ascii="Times New Roman" w:eastAsia="MS Mincho" w:hAnsi="Times New Roman"/>
          <w:lang w:eastAsia="ja-JP" w:bidi="th-TH"/>
        </w:rPr>
      </w:pPr>
    </w:p>
    <w:p w:rsidR="002B7749" w:rsidRPr="00570FE5" w:rsidRDefault="002B7749" w:rsidP="00B93262">
      <w:pPr>
        <w:tabs>
          <w:tab w:val="left" w:pos="270"/>
        </w:tabs>
        <w:spacing w:after="0" w:line="240" w:lineRule="auto"/>
        <w:ind w:left="270"/>
        <w:contextualSpacing/>
        <w:jc w:val="both"/>
        <w:rPr>
          <w:rFonts w:ascii="Times New Roman" w:eastAsia="MS Mincho" w:hAnsi="Times New Roman"/>
          <w:lang w:eastAsia="ja-JP" w:bidi="th-TH"/>
        </w:rPr>
      </w:pPr>
      <w:r w:rsidRPr="00570FE5">
        <w:rPr>
          <w:rFonts w:ascii="Times New Roman" w:eastAsia="MS Mincho" w:hAnsi="Times New Roman"/>
          <w:lang w:eastAsia="ja-JP" w:bidi="th-TH"/>
        </w:rPr>
        <w:t>Baseline analysis has confirmed the strong overall vision and high level commitment in national government policies and plans and that these objectives for sustainable development, reduced deforestation and the resolution of crises related to water, energy and food are priorities in both long term (RPJPN) and medium term (RPJMN) strategic plans</w:t>
      </w:r>
      <w:r>
        <w:rPr>
          <w:rFonts w:ascii="Times New Roman" w:eastAsia="MS Mincho" w:hAnsi="Times New Roman"/>
          <w:lang w:eastAsia="ja-JP" w:bidi="th-TH"/>
        </w:rPr>
        <w:t xml:space="preserve"> </w:t>
      </w:r>
      <w:r w:rsidR="00A65051">
        <w:rPr>
          <w:rFonts w:ascii="Times New Roman" w:eastAsia="MS Mincho" w:hAnsi="Times New Roman"/>
          <w:lang w:eastAsia="ja-JP" w:bidi="th-TH"/>
        </w:rPr>
        <w:t xml:space="preserve">of Indonesia </w:t>
      </w:r>
      <w:r>
        <w:rPr>
          <w:rFonts w:ascii="Times New Roman" w:eastAsia="MS Mincho" w:hAnsi="Times New Roman"/>
          <w:lang w:eastAsia="ja-JP" w:bidi="th-TH"/>
        </w:rPr>
        <w:t xml:space="preserve">and in the commitments, targets and strategies for climate change mitigation and adaptation. While these plans carry with them significant investment for all three levels of government, there is no mechanism in place for coordinated action that would yield benefits to the global environment. Activities among governments, and within governments, show little harmonization and there is, from the baseline studies, limited understanding among officials of the practical applications of the concepts that sit behind these innovative, sustainable development strategies. In terms of the GEB’s of biodiversity, carbon and water it is clear that HCVF and peatlands outside the protected area system are not targeted; there is a lack of understanding of the economics of forest ecosystem services, and there are conceptual and structural problems in implementing landscape level management approaches. </w:t>
      </w:r>
    </w:p>
    <w:p w:rsidR="002B7749" w:rsidRDefault="002B7749" w:rsidP="00B93262">
      <w:pPr>
        <w:tabs>
          <w:tab w:val="left" w:pos="270"/>
        </w:tabs>
        <w:spacing w:before="100" w:beforeAutospacing="1" w:after="100" w:afterAutospacing="1"/>
        <w:ind w:left="270"/>
        <w:contextualSpacing/>
        <w:jc w:val="both"/>
        <w:rPr>
          <w:rFonts w:eastAsia="MS Mincho"/>
          <w:sz w:val="20"/>
          <w:szCs w:val="20"/>
          <w:lang w:eastAsia="ja-JP" w:bidi="th-TH"/>
        </w:rPr>
      </w:pPr>
    </w:p>
    <w:p w:rsidR="00136BB9" w:rsidRDefault="002B7749" w:rsidP="00B93262">
      <w:pPr>
        <w:tabs>
          <w:tab w:val="left" w:pos="270"/>
        </w:tabs>
        <w:spacing w:after="0" w:line="240" w:lineRule="auto"/>
        <w:ind w:left="270"/>
        <w:contextualSpacing/>
        <w:jc w:val="both"/>
        <w:rPr>
          <w:rFonts w:ascii="Times New Roman" w:hAnsi="Times New Roman"/>
        </w:rPr>
      </w:pPr>
      <w:r w:rsidRPr="0002228D">
        <w:rPr>
          <w:rFonts w:ascii="Times New Roman" w:eastAsia="MS Mincho" w:hAnsi="Times New Roman"/>
          <w:lang w:eastAsia="ja-JP" w:bidi="th-TH"/>
        </w:rPr>
        <w:t>Working with other partners and projects (</w:t>
      </w:r>
      <w:r w:rsidR="00A65051">
        <w:rPr>
          <w:rFonts w:ascii="Times New Roman" w:eastAsia="MS Mincho" w:hAnsi="Times New Roman"/>
          <w:lang w:eastAsia="ja-JP" w:bidi="th-TH"/>
        </w:rPr>
        <w:t xml:space="preserve">see e.g. </w:t>
      </w:r>
      <w:r w:rsidRPr="0002228D">
        <w:rPr>
          <w:rFonts w:ascii="Times New Roman" w:eastAsia="MS Mincho" w:hAnsi="Times New Roman"/>
          <w:lang w:eastAsia="ja-JP" w:bidi="th-TH"/>
        </w:rPr>
        <w:t>Section 2.7</w:t>
      </w:r>
      <w:r>
        <w:rPr>
          <w:rFonts w:ascii="Times New Roman" w:eastAsia="MS Mincho" w:hAnsi="Times New Roman"/>
          <w:lang w:eastAsia="ja-JP" w:bidi="th-TH"/>
        </w:rPr>
        <w:t>;</w:t>
      </w:r>
      <w:r w:rsidRPr="0002228D">
        <w:rPr>
          <w:rFonts w:ascii="Times New Roman" w:eastAsia="MS Mincho" w:hAnsi="Times New Roman"/>
          <w:lang w:eastAsia="ja-JP" w:bidi="th-TH"/>
        </w:rPr>
        <w:t xml:space="preserve"> Section 5)</w:t>
      </w:r>
      <w:r>
        <w:rPr>
          <w:rFonts w:ascii="Times New Roman" w:eastAsia="MS Mincho" w:hAnsi="Times New Roman"/>
          <w:lang w:eastAsia="ja-JP" w:bidi="th-TH"/>
        </w:rPr>
        <w:t>,</w:t>
      </w:r>
      <w:r w:rsidRPr="0002228D">
        <w:rPr>
          <w:rFonts w:ascii="Times New Roman" w:eastAsia="MS Mincho" w:hAnsi="Times New Roman"/>
          <w:lang w:eastAsia="ja-JP" w:bidi="th-TH"/>
        </w:rPr>
        <w:t xml:space="preserve"> GEF support will </w:t>
      </w:r>
      <w:r w:rsidR="00412C26" w:rsidRPr="0002228D">
        <w:rPr>
          <w:rFonts w:ascii="Times New Roman" w:eastAsia="MS Mincho" w:hAnsi="Times New Roman"/>
          <w:lang w:eastAsia="ja-JP" w:bidi="th-TH"/>
        </w:rPr>
        <w:t>catalyse</w:t>
      </w:r>
      <w:r w:rsidRPr="0002228D">
        <w:rPr>
          <w:rFonts w:ascii="Times New Roman" w:eastAsia="MS Mincho" w:hAnsi="Times New Roman"/>
          <w:lang w:eastAsia="ja-JP" w:bidi="th-TH"/>
        </w:rPr>
        <w:t xml:space="preserve"> and operationalize a coordinated, coherent approach to a green economy across the RIMBA landscape and beyond. GEF incremental support of BD, CCM5 and SFM will be used to </w:t>
      </w:r>
      <w:r w:rsidRPr="0002228D">
        <w:rPr>
          <w:rFonts w:ascii="Times New Roman" w:hAnsi="Times New Roman"/>
        </w:rPr>
        <w:t>improve and mainstream forest conservation in economic development processes (</w:t>
      </w:r>
      <w:r w:rsidRPr="00160021">
        <w:rPr>
          <w:rFonts w:ascii="Times New Roman" w:hAnsi="Times New Roman"/>
          <w:i/>
          <w:iCs/>
        </w:rPr>
        <w:t>decoupling</w:t>
      </w:r>
      <w:r w:rsidRPr="0002228D">
        <w:rPr>
          <w:rFonts w:ascii="Times New Roman" w:hAnsi="Times New Roman"/>
        </w:rPr>
        <w:t>), to provide the economic as well as the LULUCF/Carbon case for significantly expanding forest restoration and protection, bringing focus and agreement between districts and multiple players to strengthen the landscape corridor, and demonstrate best forestry practices in tree-crop plantations, including significant impact on peatlands and peat</w:t>
      </w:r>
      <w:r w:rsidR="00E4475F">
        <w:rPr>
          <w:rFonts w:ascii="Times New Roman" w:hAnsi="Times New Roman"/>
        </w:rPr>
        <w:t xml:space="preserve"> </w:t>
      </w:r>
      <w:r w:rsidRPr="0002228D">
        <w:rPr>
          <w:rFonts w:ascii="Times New Roman" w:hAnsi="Times New Roman"/>
        </w:rPr>
        <w:t xml:space="preserve">forests. </w:t>
      </w:r>
    </w:p>
    <w:p w:rsidR="00136BB9" w:rsidRDefault="00136BB9" w:rsidP="00B93262">
      <w:pPr>
        <w:tabs>
          <w:tab w:val="left" w:pos="270"/>
        </w:tabs>
        <w:spacing w:after="0" w:line="240" w:lineRule="auto"/>
        <w:ind w:left="270"/>
        <w:contextualSpacing/>
        <w:jc w:val="both"/>
        <w:rPr>
          <w:rFonts w:ascii="Times New Roman" w:hAnsi="Times New Roman"/>
        </w:rPr>
      </w:pPr>
    </w:p>
    <w:p w:rsidR="00136BB9" w:rsidRPr="0002228D" w:rsidRDefault="00136BB9" w:rsidP="00B93262">
      <w:pPr>
        <w:tabs>
          <w:tab w:val="left" w:pos="270"/>
        </w:tabs>
        <w:spacing w:after="0" w:line="240" w:lineRule="auto"/>
        <w:ind w:left="270"/>
        <w:contextualSpacing/>
        <w:jc w:val="both"/>
        <w:rPr>
          <w:rFonts w:ascii="Times New Roman" w:hAnsi="Times New Roman"/>
        </w:rPr>
      </w:pPr>
      <w:r>
        <w:rPr>
          <w:rFonts w:ascii="Times New Roman" w:hAnsi="Times New Roman"/>
        </w:rPr>
        <w:t xml:space="preserve">For more detail, see Section 3.7, Incremental Cost Reasoning.  </w:t>
      </w:r>
    </w:p>
    <w:p w:rsidR="002B7749" w:rsidRPr="0002228D" w:rsidRDefault="002B7749" w:rsidP="002B7749">
      <w:pPr>
        <w:spacing w:after="0" w:line="240" w:lineRule="auto"/>
        <w:contextualSpacing/>
        <w:jc w:val="both"/>
        <w:rPr>
          <w:rFonts w:ascii="Times New Roman" w:eastAsia="MS Mincho" w:hAnsi="Times New Roman"/>
          <w:b/>
          <w:bCs/>
          <w:u w:val="single"/>
          <w:lang w:eastAsia="ja-JP" w:bidi="th-TH"/>
        </w:rPr>
      </w:pPr>
    </w:p>
    <w:p w:rsidR="00F346B2" w:rsidRPr="00E034C6" w:rsidRDefault="0035107A" w:rsidP="00C0015E">
      <w:pPr>
        <w:spacing w:after="120" w:line="240" w:lineRule="auto"/>
        <w:ind w:left="432" w:hanging="432"/>
        <w:rPr>
          <w:rFonts w:ascii="Times New Roman" w:eastAsia="Times New Roman" w:hAnsi="Times New Roman"/>
          <w:bCs/>
        </w:rPr>
      </w:pPr>
      <w:r w:rsidRPr="00E034C6">
        <w:rPr>
          <w:rFonts w:ascii="Times New Roman" w:eastAsia="Times New Roman" w:hAnsi="Times New Roman"/>
          <w:color w:val="000000"/>
        </w:rPr>
        <w:t>A.6  Risks, including climate change</w:t>
      </w:r>
      <w:r w:rsidR="00CF0301" w:rsidRPr="00E034C6">
        <w:rPr>
          <w:rFonts w:ascii="Times New Roman" w:eastAsia="Times New Roman" w:hAnsi="Times New Roman"/>
          <w:color w:val="000000"/>
        </w:rPr>
        <w:t xml:space="preserve">, potential social and environmental </w:t>
      </w:r>
      <w:r w:rsidRPr="00E034C6">
        <w:rPr>
          <w:rFonts w:ascii="Times New Roman" w:eastAsia="Times New Roman" w:hAnsi="Times New Roman"/>
          <w:color w:val="000000"/>
        </w:rPr>
        <w:t>risks that might prevent the project objectives from being achieved, and measures that address these risks</w:t>
      </w:r>
      <w:r w:rsidRPr="00E034C6">
        <w:rPr>
          <w:rFonts w:ascii="Times New Roman" w:eastAsia="Times New Roman" w:hAnsi="Times New Roman"/>
          <w:bCs/>
        </w:rPr>
        <w:t xml:space="preserve">: </w:t>
      </w:r>
    </w:p>
    <w:p w:rsidR="001E054A" w:rsidRDefault="00AC6F7F" w:rsidP="00B93262">
      <w:pPr>
        <w:spacing w:after="0" w:line="240" w:lineRule="auto"/>
        <w:ind w:left="270"/>
        <w:jc w:val="both"/>
        <w:rPr>
          <w:rFonts w:ascii="Times New Roman" w:hAnsi="Times New Roman"/>
          <w:bCs/>
        </w:rPr>
      </w:pPr>
      <w:r>
        <w:rPr>
          <w:rFonts w:ascii="Times New Roman" w:hAnsi="Times New Roman"/>
          <w:bCs/>
        </w:rPr>
        <w:t>A more elaborate assessment of project risk has been conducted during th</w:t>
      </w:r>
      <w:r w:rsidR="00160021">
        <w:rPr>
          <w:rFonts w:ascii="Times New Roman" w:hAnsi="Times New Roman"/>
          <w:bCs/>
        </w:rPr>
        <w:t>e</w:t>
      </w:r>
      <w:r>
        <w:rPr>
          <w:rFonts w:ascii="Times New Roman" w:hAnsi="Times New Roman"/>
          <w:bCs/>
        </w:rPr>
        <w:t xml:space="preserve"> PPG. </w:t>
      </w:r>
      <w:r w:rsidR="0004620F" w:rsidRPr="00C401C6">
        <w:rPr>
          <w:rFonts w:ascii="Times New Roman" w:hAnsi="Times New Roman"/>
          <w:bCs/>
        </w:rPr>
        <w:t>The RIMBA Project will be a success if it achieves substantial change in the way forest landscapes are assessed in terms of their resources</w:t>
      </w:r>
      <w:r>
        <w:rPr>
          <w:rFonts w:ascii="Times New Roman" w:hAnsi="Times New Roman"/>
          <w:bCs/>
        </w:rPr>
        <w:t xml:space="preserve">, </w:t>
      </w:r>
      <w:r w:rsidR="0004620F" w:rsidRPr="00C401C6">
        <w:rPr>
          <w:rFonts w:ascii="Times New Roman" w:hAnsi="Times New Roman"/>
          <w:bCs/>
        </w:rPr>
        <w:t xml:space="preserve">and their other </w:t>
      </w:r>
      <w:r w:rsidR="0004620F">
        <w:rPr>
          <w:rFonts w:ascii="Times New Roman" w:hAnsi="Times New Roman"/>
          <w:bCs/>
        </w:rPr>
        <w:t xml:space="preserve">ecosystem services-based </w:t>
      </w:r>
      <w:r>
        <w:rPr>
          <w:rFonts w:ascii="Times New Roman" w:hAnsi="Times New Roman"/>
          <w:bCs/>
        </w:rPr>
        <w:t xml:space="preserve">economic </w:t>
      </w:r>
      <w:r w:rsidR="0004620F" w:rsidRPr="00C401C6">
        <w:rPr>
          <w:rFonts w:ascii="Times New Roman" w:hAnsi="Times New Roman"/>
          <w:bCs/>
        </w:rPr>
        <w:t>values</w:t>
      </w:r>
      <w:r>
        <w:rPr>
          <w:rFonts w:ascii="Times New Roman" w:hAnsi="Times New Roman"/>
          <w:bCs/>
        </w:rPr>
        <w:t xml:space="preserve"> and benefits to society</w:t>
      </w:r>
      <w:r w:rsidR="00483F58">
        <w:rPr>
          <w:rFonts w:ascii="Times New Roman" w:hAnsi="Times New Roman"/>
          <w:bCs/>
        </w:rPr>
        <w:t xml:space="preserve"> under a GE approach</w:t>
      </w:r>
      <w:r w:rsidR="0004620F" w:rsidRPr="00C401C6">
        <w:rPr>
          <w:rFonts w:ascii="Times New Roman" w:hAnsi="Times New Roman"/>
          <w:bCs/>
        </w:rPr>
        <w:t>. The Project sets out to demonstrate how a Green Economy can be practiced in this critical Corridor in Sumatra and to assist government, community and partners to understand options for sustainability and what they can do about it in a practical way. The Project is in many ways unique and a pioneer in both what it is se</w:t>
      </w:r>
      <w:r w:rsidR="0004620F">
        <w:rPr>
          <w:rFonts w:ascii="Times New Roman" w:hAnsi="Times New Roman"/>
          <w:bCs/>
        </w:rPr>
        <w:t>t</w:t>
      </w:r>
      <w:r w:rsidR="0004620F" w:rsidRPr="00C401C6">
        <w:rPr>
          <w:rFonts w:ascii="Times New Roman" w:hAnsi="Times New Roman"/>
          <w:bCs/>
        </w:rPr>
        <w:t xml:space="preserve">ting out to achieve and in the way it is proposing to do so. It is an ambitious </w:t>
      </w:r>
      <w:r w:rsidR="00412C26" w:rsidRPr="00C401C6">
        <w:rPr>
          <w:rFonts w:ascii="Times New Roman" w:hAnsi="Times New Roman"/>
          <w:bCs/>
        </w:rPr>
        <w:t>endeavour</w:t>
      </w:r>
      <w:r w:rsidR="0004620F" w:rsidRPr="00C401C6">
        <w:rPr>
          <w:rFonts w:ascii="Times New Roman" w:hAnsi="Times New Roman"/>
          <w:bCs/>
        </w:rPr>
        <w:t xml:space="preserve"> and one which intrinsically carries risk. However, in terms of the risk to the level of donor investment there is much room for optimism and a real expectation that the Project will be able to reach its objectives under GEF 5, because of the history behind it and the wide-ranging commitments </w:t>
      </w:r>
      <w:r w:rsidR="00B22899">
        <w:rPr>
          <w:rFonts w:ascii="Times New Roman" w:hAnsi="Times New Roman"/>
          <w:bCs/>
        </w:rPr>
        <w:t>from</w:t>
      </w:r>
      <w:r w:rsidR="0004620F" w:rsidRPr="00C401C6">
        <w:rPr>
          <w:rFonts w:ascii="Times New Roman" w:hAnsi="Times New Roman"/>
          <w:bCs/>
        </w:rPr>
        <w:t xml:space="preserve"> all stakeholders. Importantly, the RIMBA Project is being proposed at a time when Indonesia is, as a nation, itself seeking to implement the objectives of the RIMBA Project and where it is clear that the aspirations of the donor are not what is driving this desire; but rather providing the opportunity for support through access to technical assistance and capacity development, not readily available in the experience of the country. </w:t>
      </w:r>
      <w:r w:rsidR="00125D50">
        <w:rPr>
          <w:rFonts w:ascii="Times New Roman" w:hAnsi="Times New Roman"/>
          <w:bCs/>
        </w:rPr>
        <w:t xml:space="preserve">The accompanying table </w:t>
      </w:r>
      <w:r w:rsidR="0004620F" w:rsidRPr="00C401C6">
        <w:rPr>
          <w:rFonts w:ascii="Times New Roman" w:hAnsi="Times New Roman"/>
          <w:bCs/>
        </w:rPr>
        <w:t xml:space="preserve">presents an assessment of the political, governance and administration, resourcing and technical </w:t>
      </w:r>
      <w:r w:rsidR="00B22899" w:rsidRPr="00C401C6">
        <w:rPr>
          <w:rFonts w:ascii="Times New Roman" w:hAnsi="Times New Roman"/>
          <w:bCs/>
        </w:rPr>
        <w:t>risks</w:t>
      </w:r>
      <w:r w:rsidR="0004620F" w:rsidRPr="00C401C6">
        <w:rPr>
          <w:rFonts w:ascii="Times New Roman" w:hAnsi="Times New Roman"/>
          <w:bCs/>
        </w:rPr>
        <w:t xml:space="preserve"> facing the Project.</w:t>
      </w:r>
    </w:p>
    <w:p w:rsidR="0004620F" w:rsidRPr="00E034C6" w:rsidRDefault="0004620F" w:rsidP="00B93262">
      <w:pPr>
        <w:spacing w:after="0" w:line="240" w:lineRule="auto"/>
        <w:ind w:left="270"/>
        <w:jc w:val="both"/>
        <w:rPr>
          <w:rFonts w:ascii="Times New Roman" w:hAnsi="Times New Roman"/>
          <w:bCs/>
        </w:rPr>
      </w:pPr>
    </w:p>
    <w:p w:rsidR="001E054A" w:rsidRPr="00B22899" w:rsidRDefault="00B22899" w:rsidP="00B93262">
      <w:pPr>
        <w:spacing w:after="0" w:line="240" w:lineRule="auto"/>
        <w:ind w:left="270"/>
        <w:jc w:val="both"/>
        <w:rPr>
          <w:rFonts w:ascii="Times New Roman" w:hAnsi="Times New Roman"/>
          <w:b/>
          <w:bCs/>
        </w:rPr>
      </w:pPr>
      <w:r w:rsidRPr="00B22899">
        <w:rPr>
          <w:rFonts w:ascii="Times New Roman" w:hAnsi="Times New Roman"/>
          <w:b/>
          <w:bCs/>
        </w:rPr>
        <w:t xml:space="preserve">Table: </w:t>
      </w:r>
      <w:r w:rsidR="001E054A" w:rsidRPr="00B22899">
        <w:rPr>
          <w:rFonts w:ascii="Times New Roman" w:hAnsi="Times New Roman"/>
          <w:b/>
          <w:bCs/>
        </w:rPr>
        <w:t xml:space="preserve">Assessment of risk and proposed mitigation approaches </w:t>
      </w:r>
    </w:p>
    <w:p w:rsidR="00DD5E43" w:rsidRDefault="00DD5E43" w:rsidP="001E054A">
      <w:pPr>
        <w:spacing w:after="0" w:line="240" w:lineRule="auto"/>
        <w:jc w:val="both"/>
        <w:rPr>
          <w:rFonts w:ascii="Times New Roman" w:hAnsi="Times New Roman"/>
          <w:bCs/>
        </w:rPr>
      </w:pPr>
    </w:p>
    <w:tbl>
      <w:tblPr>
        <w:tblStyle w:val="TableGrid"/>
        <w:tblW w:w="0" w:type="auto"/>
        <w:tblInd w:w="378" w:type="dxa"/>
        <w:tblLook w:val="04A0" w:firstRow="1" w:lastRow="0" w:firstColumn="1" w:lastColumn="0" w:noHBand="0" w:noVBand="1"/>
      </w:tblPr>
      <w:tblGrid>
        <w:gridCol w:w="3780"/>
        <w:gridCol w:w="1530"/>
        <w:gridCol w:w="5040"/>
      </w:tblGrid>
      <w:tr w:rsidR="00DD5E43" w:rsidRPr="00643515" w:rsidTr="00D629D4">
        <w:trPr>
          <w:trHeight w:val="260"/>
        </w:trPr>
        <w:tc>
          <w:tcPr>
            <w:tcW w:w="3780" w:type="dxa"/>
          </w:tcPr>
          <w:p w:rsidR="00DD5E43" w:rsidRPr="00643515" w:rsidRDefault="00DD5E43" w:rsidP="00D629D4">
            <w:pPr>
              <w:keepNext/>
              <w:keepLines/>
              <w:autoSpaceDE w:val="0"/>
              <w:autoSpaceDN w:val="0"/>
              <w:adjustRightInd w:val="0"/>
              <w:spacing w:before="480" w:after="120"/>
              <w:outlineLvl w:val="0"/>
              <w:rPr>
                <w:b/>
                <w:bCs/>
                <w:sz w:val="20"/>
                <w:szCs w:val="20"/>
              </w:rPr>
            </w:pPr>
            <w:r w:rsidRPr="00643515">
              <w:rPr>
                <w:b/>
                <w:bCs/>
                <w:sz w:val="20"/>
                <w:szCs w:val="20"/>
              </w:rPr>
              <w:t>Risk</w:t>
            </w:r>
          </w:p>
        </w:tc>
        <w:tc>
          <w:tcPr>
            <w:tcW w:w="1530" w:type="dxa"/>
          </w:tcPr>
          <w:p w:rsidR="00DD5E43" w:rsidRPr="00643515" w:rsidRDefault="00DD5E43" w:rsidP="00D629D4">
            <w:pPr>
              <w:keepNext/>
              <w:keepLines/>
              <w:autoSpaceDE w:val="0"/>
              <w:autoSpaceDN w:val="0"/>
              <w:adjustRightInd w:val="0"/>
              <w:spacing w:before="480" w:after="120"/>
              <w:outlineLvl w:val="0"/>
              <w:rPr>
                <w:b/>
                <w:bCs/>
                <w:sz w:val="20"/>
                <w:szCs w:val="20"/>
              </w:rPr>
            </w:pPr>
            <w:r w:rsidRPr="00643515">
              <w:rPr>
                <w:b/>
                <w:bCs/>
                <w:sz w:val="20"/>
                <w:szCs w:val="20"/>
              </w:rPr>
              <w:t>Assessment</w:t>
            </w:r>
          </w:p>
        </w:tc>
        <w:tc>
          <w:tcPr>
            <w:tcW w:w="5040" w:type="dxa"/>
          </w:tcPr>
          <w:p w:rsidR="00DD5E43" w:rsidRPr="00643515" w:rsidRDefault="00DD5E43" w:rsidP="00D629D4">
            <w:pPr>
              <w:keepNext/>
              <w:keepLines/>
              <w:autoSpaceDE w:val="0"/>
              <w:autoSpaceDN w:val="0"/>
              <w:adjustRightInd w:val="0"/>
              <w:spacing w:before="480" w:after="120"/>
              <w:outlineLvl w:val="0"/>
              <w:rPr>
                <w:b/>
                <w:bCs/>
                <w:sz w:val="20"/>
                <w:szCs w:val="20"/>
              </w:rPr>
            </w:pPr>
            <w:r w:rsidRPr="00643515">
              <w:rPr>
                <w:b/>
                <w:bCs/>
                <w:sz w:val="20"/>
                <w:szCs w:val="20"/>
              </w:rPr>
              <w:t>Mitigation</w:t>
            </w:r>
          </w:p>
        </w:tc>
      </w:tr>
      <w:tr w:rsidR="00DD5E43" w:rsidRPr="00643515" w:rsidTr="00125D50">
        <w:tc>
          <w:tcPr>
            <w:tcW w:w="3780" w:type="dxa"/>
          </w:tcPr>
          <w:p w:rsidR="00DD5E43" w:rsidRPr="00643515" w:rsidRDefault="00DD5E43" w:rsidP="00366B7D">
            <w:pPr>
              <w:keepNext/>
              <w:keepLines/>
              <w:autoSpaceDE w:val="0"/>
              <w:autoSpaceDN w:val="0"/>
              <w:adjustRightInd w:val="0"/>
              <w:spacing w:before="480" w:after="120"/>
              <w:outlineLvl w:val="0"/>
              <w:rPr>
                <w:b/>
                <w:bCs/>
                <w:sz w:val="20"/>
                <w:szCs w:val="20"/>
              </w:rPr>
            </w:pPr>
            <w:r w:rsidRPr="00643515">
              <w:rPr>
                <w:b/>
                <w:bCs/>
                <w:sz w:val="20"/>
                <w:szCs w:val="20"/>
              </w:rPr>
              <w:t>Political Risks</w:t>
            </w:r>
          </w:p>
          <w:p w:rsidR="00DD5E43" w:rsidRPr="00643515" w:rsidRDefault="00D629D4" w:rsidP="00366B7D">
            <w:pPr>
              <w:autoSpaceDE w:val="0"/>
              <w:autoSpaceDN w:val="0"/>
              <w:adjustRightInd w:val="0"/>
              <w:rPr>
                <w:bCs/>
                <w:sz w:val="20"/>
                <w:szCs w:val="20"/>
                <w:u w:val="single"/>
              </w:rPr>
            </w:pPr>
            <w:r w:rsidRPr="00643515">
              <w:rPr>
                <w:bCs/>
                <w:sz w:val="20"/>
                <w:szCs w:val="20"/>
                <w:u w:val="single"/>
              </w:rPr>
              <w:t>L</w:t>
            </w:r>
            <w:r w:rsidR="00DD5E43" w:rsidRPr="00643515">
              <w:rPr>
                <w:bCs/>
                <w:sz w:val="20"/>
                <w:szCs w:val="20"/>
                <w:u w:val="single"/>
              </w:rPr>
              <w:t>oss of high level national political support</w:t>
            </w:r>
          </w:p>
          <w:p w:rsidR="00DD5E43" w:rsidRPr="00643515" w:rsidRDefault="00DD5E43" w:rsidP="00366B7D">
            <w:pPr>
              <w:autoSpaceDE w:val="0"/>
              <w:autoSpaceDN w:val="0"/>
              <w:adjustRightInd w:val="0"/>
              <w:jc w:val="both"/>
              <w:rPr>
                <w:bCs/>
                <w:i/>
                <w:sz w:val="20"/>
                <w:szCs w:val="20"/>
              </w:rPr>
            </w:pPr>
            <w:r w:rsidRPr="00643515">
              <w:rPr>
                <w:bCs/>
                <w:i/>
                <w:sz w:val="20"/>
                <w:szCs w:val="20"/>
              </w:rPr>
              <w:t>Change ultimately depends on maintaining political will. Indonesia has been moving in its current direction in support of reduced GHG emissions, sustainability and a green economy since the first SBY Government in 2004. The progress that Indonesia has made through the first and second terms of the SBY Government have been described in Section 2.4. The current RPJMN and recent spatial planning laws support the continuation of this direction under the new President and these laws provide a degree of legislative certainty. However, the need for Indonesia to maintain and increase economic growth may cause a re-evaluation of the circumstances and a decision to return to BAU economic options so it is critical for the project to demonstrate practical progress.</w:t>
            </w:r>
          </w:p>
          <w:p w:rsidR="00DD5E43" w:rsidRPr="00643515" w:rsidRDefault="00DD5E43" w:rsidP="00366B7D">
            <w:pPr>
              <w:autoSpaceDE w:val="0"/>
              <w:autoSpaceDN w:val="0"/>
              <w:adjustRightInd w:val="0"/>
              <w:jc w:val="both"/>
              <w:rPr>
                <w:bCs/>
                <w:sz w:val="20"/>
                <w:szCs w:val="20"/>
                <w:u w:val="single"/>
              </w:rPr>
            </w:pPr>
            <w:r w:rsidRPr="00643515">
              <w:rPr>
                <w:bCs/>
                <w:sz w:val="20"/>
                <w:szCs w:val="20"/>
                <w:u w:val="single"/>
              </w:rPr>
              <w:t>Loss of local political support</w:t>
            </w:r>
          </w:p>
          <w:p w:rsidR="00DD5E43" w:rsidRPr="00643515" w:rsidRDefault="00DD5E43" w:rsidP="00412C26">
            <w:pPr>
              <w:autoSpaceDE w:val="0"/>
              <w:autoSpaceDN w:val="0"/>
              <w:adjustRightInd w:val="0"/>
              <w:jc w:val="both"/>
              <w:rPr>
                <w:bCs/>
                <w:i/>
                <w:sz w:val="20"/>
                <w:szCs w:val="20"/>
              </w:rPr>
            </w:pPr>
            <w:r w:rsidRPr="00643515">
              <w:rPr>
                <w:bCs/>
                <w:i/>
                <w:sz w:val="20"/>
                <w:szCs w:val="20"/>
              </w:rPr>
              <w:t>The strength of the RIMBA Project is the long period of development that it has gone through since 2008. In this time commitments by Sumatra Provincial Governors have been embodied in the Sumatra Roadmap and in the Spatial Plan. While these pieces of legislation have been instrumental in driving cooperation between the three Governors of the RIMBA Corridor the continuing support depends on the political will of these individuals and also the Bupati of the District Governments. Recent experience of change of Province Government in Aceh on forestry and climate change issues demonstrates the importance of this risk, especially as it involves so many local and provincial political entities</w:t>
            </w:r>
          </w:p>
        </w:tc>
        <w:tc>
          <w:tcPr>
            <w:tcW w:w="1530" w:type="dxa"/>
          </w:tcPr>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r w:rsidRPr="00643515">
              <w:rPr>
                <w:b/>
                <w:bCs/>
                <w:sz w:val="20"/>
                <w:szCs w:val="20"/>
              </w:rPr>
              <w:t>Low</w:t>
            </w:r>
          </w:p>
          <w:p w:rsidR="00D629D4" w:rsidRPr="00643515" w:rsidRDefault="00D629D4"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629D4" w:rsidRPr="00643515" w:rsidRDefault="00D629D4"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r w:rsidRPr="00643515">
              <w:rPr>
                <w:b/>
                <w:bCs/>
                <w:sz w:val="20"/>
                <w:szCs w:val="20"/>
              </w:rPr>
              <w:t>Moderate</w:t>
            </w:r>
          </w:p>
        </w:tc>
        <w:tc>
          <w:tcPr>
            <w:tcW w:w="5040" w:type="dxa"/>
          </w:tcPr>
          <w:p w:rsidR="00DD5E43" w:rsidRPr="00643515" w:rsidRDefault="00DD5E43" w:rsidP="00366B7D">
            <w:pPr>
              <w:autoSpaceDE w:val="0"/>
              <w:autoSpaceDN w:val="0"/>
              <w:adjustRightInd w:val="0"/>
              <w:rPr>
                <w:b/>
                <w:bCs/>
                <w:sz w:val="20"/>
                <w:szCs w:val="20"/>
              </w:rPr>
            </w:pPr>
          </w:p>
          <w:p w:rsidR="00D629D4" w:rsidRPr="00643515" w:rsidRDefault="00D629D4"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r w:rsidRPr="00643515">
              <w:rPr>
                <w:bCs/>
                <w:sz w:val="20"/>
                <w:szCs w:val="20"/>
              </w:rPr>
              <w:t>The development of a strong communication and outreach network operating with all stakeholders but including local provincial and district parliaments and their Commissions. The project is coordinated and managed by the Coordinating Ministry of Economic Affairs which besides coordinating a number of key line agencies, is also mandated to support new policies in economic se</w:t>
            </w:r>
            <w:r w:rsidR="00B22899" w:rsidRPr="00643515">
              <w:rPr>
                <w:bCs/>
                <w:sz w:val="20"/>
                <w:szCs w:val="20"/>
              </w:rPr>
              <w:t>ctors, forestry, agri</w:t>
            </w:r>
            <w:r w:rsidRPr="00643515">
              <w:rPr>
                <w:bCs/>
                <w:sz w:val="20"/>
                <w:szCs w:val="20"/>
              </w:rPr>
              <w:t>culture and GE. This will enable the project to have good ties and influence national programming with other government bodies such as the BAPPENAS and the Ministry of Finance. Regular reporting structures through partners to ensure political understanding and ownership of progress so that abstract ideas become practical realities maintaining confidence.</w:t>
            </w: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rPr>
                <w:bCs/>
                <w:sz w:val="20"/>
                <w:szCs w:val="20"/>
              </w:rPr>
            </w:pPr>
          </w:p>
          <w:p w:rsidR="00DD5E43" w:rsidRPr="00643515" w:rsidRDefault="00DD5E43" w:rsidP="00366B7D">
            <w:pPr>
              <w:autoSpaceDE w:val="0"/>
              <w:autoSpaceDN w:val="0"/>
              <w:adjustRightInd w:val="0"/>
              <w:rPr>
                <w:bCs/>
                <w:sz w:val="20"/>
                <w:szCs w:val="20"/>
              </w:rPr>
            </w:pPr>
          </w:p>
          <w:p w:rsidR="00DD5E43" w:rsidRPr="00643515" w:rsidRDefault="00DD5E43" w:rsidP="00366B7D">
            <w:pPr>
              <w:autoSpaceDE w:val="0"/>
              <w:autoSpaceDN w:val="0"/>
              <w:adjustRightInd w:val="0"/>
              <w:rPr>
                <w:bCs/>
                <w:sz w:val="20"/>
                <w:szCs w:val="20"/>
              </w:rPr>
            </w:pPr>
          </w:p>
          <w:p w:rsidR="00DD5E43" w:rsidRPr="00643515" w:rsidRDefault="00DD5E43" w:rsidP="00366B7D">
            <w:pPr>
              <w:autoSpaceDE w:val="0"/>
              <w:autoSpaceDN w:val="0"/>
              <w:adjustRightInd w:val="0"/>
              <w:jc w:val="both"/>
              <w:rPr>
                <w:bCs/>
                <w:sz w:val="20"/>
                <w:szCs w:val="20"/>
              </w:rPr>
            </w:pPr>
            <w:r w:rsidRPr="00643515">
              <w:rPr>
                <w:bCs/>
                <w:sz w:val="20"/>
                <w:szCs w:val="20"/>
              </w:rPr>
              <w:t xml:space="preserve">Presently the Project has strong support especially from the Governor of Jambi and also from the Governor of West Sumatra and also acceptance in Riau. It also has fostered strong interest among the </w:t>
            </w:r>
            <w:r w:rsidR="0015230E" w:rsidRPr="0015230E">
              <w:rPr>
                <w:bCs/>
                <w:i/>
                <w:sz w:val="20"/>
                <w:szCs w:val="20"/>
              </w:rPr>
              <w:t>Bupati’s</w:t>
            </w:r>
            <w:r w:rsidRPr="00643515">
              <w:rPr>
                <w:bCs/>
                <w:sz w:val="20"/>
                <w:szCs w:val="20"/>
              </w:rPr>
              <w:t xml:space="preserve">. Both these groups of stakeholders will require strong support from the Project to ensure that they are able to stay confident with the course of action and continue to allocate financial and human resources to the Project. The RPJMD, especially that of the JAMBI Province where the present Governor is a champion for change provides a great deal of hope for the Project; however there is little connection between the aspirations of the plans and the understanding of its implications in terms of actions on the ground. This will need to be addressed routinely by the PMU leadership and that of the PIU, especially that based in Jambi. </w:t>
            </w:r>
            <w:r w:rsidR="00125D50" w:rsidRPr="00643515">
              <w:rPr>
                <w:bCs/>
                <w:sz w:val="20"/>
                <w:szCs w:val="20"/>
              </w:rPr>
              <w:t>Additionally</w:t>
            </w:r>
            <w:r w:rsidRPr="00643515">
              <w:rPr>
                <w:bCs/>
                <w:sz w:val="20"/>
                <w:szCs w:val="20"/>
              </w:rPr>
              <w:t xml:space="preserve"> the project’s approach to invest a lot in </w:t>
            </w:r>
            <w:r w:rsidR="00125D50" w:rsidRPr="00643515">
              <w:rPr>
                <w:bCs/>
                <w:sz w:val="20"/>
                <w:szCs w:val="20"/>
              </w:rPr>
              <w:t>communications</w:t>
            </w:r>
            <w:r w:rsidRPr="00643515">
              <w:rPr>
                <w:bCs/>
                <w:sz w:val="20"/>
                <w:szCs w:val="20"/>
              </w:rPr>
              <w:t xml:space="preserve"> for change as well as capacity building with local stakeholder groups, will be a sound basis for local trust and support.</w:t>
            </w:r>
          </w:p>
        </w:tc>
      </w:tr>
      <w:tr w:rsidR="00DD5E43" w:rsidRPr="00643515" w:rsidTr="00125D50">
        <w:tc>
          <w:tcPr>
            <w:tcW w:w="3780" w:type="dxa"/>
          </w:tcPr>
          <w:p w:rsidR="00DD5E43" w:rsidRPr="00643515" w:rsidRDefault="00DD5E43" w:rsidP="00366B7D">
            <w:pPr>
              <w:autoSpaceDE w:val="0"/>
              <w:autoSpaceDN w:val="0"/>
              <w:adjustRightInd w:val="0"/>
              <w:rPr>
                <w:b/>
                <w:bCs/>
                <w:sz w:val="20"/>
                <w:szCs w:val="20"/>
              </w:rPr>
            </w:pPr>
            <w:r w:rsidRPr="00643515">
              <w:rPr>
                <w:b/>
                <w:bCs/>
                <w:sz w:val="20"/>
                <w:szCs w:val="20"/>
              </w:rPr>
              <w:t>Governance Risks</w:t>
            </w:r>
          </w:p>
          <w:p w:rsidR="00DD5E43" w:rsidRPr="00643515" w:rsidRDefault="00DD5E43" w:rsidP="00366B7D">
            <w:pPr>
              <w:autoSpaceDE w:val="0"/>
              <w:autoSpaceDN w:val="0"/>
              <w:adjustRightInd w:val="0"/>
              <w:rPr>
                <w:bCs/>
                <w:sz w:val="20"/>
                <w:szCs w:val="20"/>
                <w:u w:val="single"/>
              </w:rPr>
            </w:pPr>
            <w:r w:rsidRPr="00643515">
              <w:rPr>
                <w:bCs/>
                <w:sz w:val="20"/>
                <w:szCs w:val="20"/>
                <w:u w:val="single"/>
              </w:rPr>
              <w:t>Multistakeholder engagement in Project Management</w:t>
            </w:r>
          </w:p>
          <w:p w:rsidR="00DD5E43" w:rsidRPr="00643515" w:rsidRDefault="00DD5E43" w:rsidP="00366B7D">
            <w:pPr>
              <w:autoSpaceDE w:val="0"/>
              <w:autoSpaceDN w:val="0"/>
              <w:adjustRightInd w:val="0"/>
              <w:jc w:val="both"/>
              <w:rPr>
                <w:bCs/>
                <w:i/>
                <w:sz w:val="20"/>
                <w:szCs w:val="20"/>
              </w:rPr>
            </w:pPr>
            <w:r w:rsidRPr="00643515">
              <w:rPr>
                <w:bCs/>
                <w:i/>
                <w:sz w:val="20"/>
                <w:szCs w:val="20"/>
              </w:rPr>
              <w:t>The RIMBA Project involves the collaboration and the harmonization of the objectives and work plans of 3 Provinces, 11 Districts and 5 national Ministries. This is not the first time Indonesia has sought to implement a supra-jurisdictional management approach; but previous attempts have rarely been sustained. The Project proposal specifically addresses the issue of supra-jurisdictional governance in Component 1 and proposes a management structure engaging many stakeholders. It also proposes to work to institutionalize the structure using national and international models but moving to these models will challenge well established administrative functions and public sector power relationships. These will require careful management to ensure success</w:t>
            </w:r>
          </w:p>
          <w:p w:rsidR="00DD5E43" w:rsidRPr="00643515" w:rsidRDefault="00DD5E43" w:rsidP="00366B7D">
            <w:pPr>
              <w:autoSpaceDE w:val="0"/>
              <w:autoSpaceDN w:val="0"/>
              <w:adjustRightInd w:val="0"/>
              <w:rPr>
                <w:bCs/>
                <w:sz w:val="20"/>
                <w:szCs w:val="20"/>
                <w:u w:val="single"/>
              </w:rPr>
            </w:pPr>
          </w:p>
          <w:p w:rsidR="00D629D4" w:rsidRPr="00643515" w:rsidRDefault="00D629D4" w:rsidP="00366B7D">
            <w:pPr>
              <w:autoSpaceDE w:val="0"/>
              <w:autoSpaceDN w:val="0"/>
              <w:adjustRightInd w:val="0"/>
              <w:rPr>
                <w:bCs/>
                <w:sz w:val="20"/>
                <w:szCs w:val="20"/>
                <w:u w:val="single"/>
              </w:rPr>
            </w:pPr>
          </w:p>
          <w:p w:rsidR="00DD5E43" w:rsidRPr="00643515" w:rsidRDefault="00DD5E43" w:rsidP="00366B7D">
            <w:pPr>
              <w:autoSpaceDE w:val="0"/>
              <w:autoSpaceDN w:val="0"/>
              <w:adjustRightInd w:val="0"/>
              <w:rPr>
                <w:bCs/>
                <w:sz w:val="20"/>
                <w:szCs w:val="20"/>
                <w:u w:val="single"/>
              </w:rPr>
            </w:pPr>
            <w:r w:rsidRPr="00643515">
              <w:rPr>
                <w:bCs/>
                <w:sz w:val="20"/>
                <w:szCs w:val="20"/>
                <w:u w:val="single"/>
              </w:rPr>
              <w:t>Maintaining mutually supportive transitionary processes</w:t>
            </w:r>
          </w:p>
          <w:p w:rsidR="00DD5E43" w:rsidRDefault="00DD5E43" w:rsidP="00366B7D">
            <w:pPr>
              <w:autoSpaceDE w:val="0"/>
              <w:autoSpaceDN w:val="0"/>
              <w:adjustRightInd w:val="0"/>
              <w:jc w:val="both"/>
              <w:rPr>
                <w:bCs/>
                <w:i/>
                <w:sz w:val="20"/>
                <w:szCs w:val="20"/>
              </w:rPr>
            </w:pPr>
            <w:r w:rsidRPr="00643515">
              <w:rPr>
                <w:bCs/>
                <w:i/>
                <w:sz w:val="20"/>
                <w:szCs w:val="20"/>
              </w:rPr>
              <w:t xml:space="preserve">The RPJMN requires priorities to be expended on several national objectives simultaneously. In addition to the demands of food and energy security, the current 5-year plan will involve the most revolutionary change in forest land management since 1978, with the introduction of local Forest Management Units. The development of these FMU’s will be supported by the Project which will work with them to implement many of the on-ground activities. These activities will favour local community involvement in forest land and forest restoration. In addition to the FMU transformation, the current RPJMN expects activities that will allow the nation to achieve a reduction in GHG emission of 41% by 2020. This commitment will require a major transition of economic activities towards a green economy with low carbon emissions. This will require major changes in the way land is allocated and managed. It therefore fits well into a local area management model which involves the FMU and also calls for a different approach to land valuation based on multiple values, including those of environment. This is to happen at a time when high levels of economic growth are also planned from the exploitation, transport and export of commodities in industries which have historically had high carbon demands. </w:t>
            </w:r>
          </w:p>
          <w:p w:rsidR="00DD5E43" w:rsidRPr="00643515" w:rsidRDefault="00DD5E43" w:rsidP="00366B7D">
            <w:pPr>
              <w:autoSpaceDE w:val="0"/>
              <w:autoSpaceDN w:val="0"/>
              <w:adjustRightInd w:val="0"/>
              <w:jc w:val="both"/>
              <w:rPr>
                <w:bCs/>
                <w:sz w:val="20"/>
                <w:szCs w:val="20"/>
                <w:u w:val="single"/>
              </w:rPr>
            </w:pPr>
            <w:r w:rsidRPr="00643515">
              <w:rPr>
                <w:bCs/>
                <w:sz w:val="20"/>
                <w:szCs w:val="20"/>
                <w:u w:val="single"/>
              </w:rPr>
              <w:t>Engaging the Public and Private Sector in a Positive Partnership</w:t>
            </w:r>
          </w:p>
          <w:p w:rsidR="00DD5E43" w:rsidRPr="00643515" w:rsidRDefault="00DD5E43" w:rsidP="00D629D4">
            <w:pPr>
              <w:autoSpaceDE w:val="0"/>
              <w:autoSpaceDN w:val="0"/>
              <w:adjustRightInd w:val="0"/>
              <w:jc w:val="both"/>
              <w:rPr>
                <w:b/>
                <w:bCs/>
                <w:i/>
                <w:sz w:val="20"/>
                <w:szCs w:val="20"/>
              </w:rPr>
            </w:pPr>
            <w:r w:rsidRPr="00643515">
              <w:rPr>
                <w:bCs/>
                <w:i/>
                <w:sz w:val="20"/>
                <w:szCs w:val="20"/>
              </w:rPr>
              <w:t>Although there appears to be a willingness to collaborate, there has been a long history of distrust between government and industry. One reason for this lack of mutual understanding and suspicion has been the perception by industry that the role of government, especially at the province and local level is concerned with administration: issuing permits and checking on compliance. Governments generally, and especially local governments, have not had a history of pro-actively managing land use. This situation fuels the perceptions of industry and communities that governments are ignorant of the real issues and are generally obstructive. The situation today, and in the RIMBA Corridor, requires public-private partnership not only to adequately resource the changes proposed but also to ensure that all stakeholders play their most important roles. It is timely and important that governance is to be progressively devolved to the villages and that they will be progressively directly resourced. It is also essential if industry is to play its role in responsible land management that it is seen by government and communities as a legitimate sector</w:t>
            </w:r>
          </w:p>
        </w:tc>
        <w:tc>
          <w:tcPr>
            <w:tcW w:w="1530" w:type="dxa"/>
          </w:tcPr>
          <w:p w:rsidR="00DD5E43" w:rsidRPr="00643515" w:rsidRDefault="00DD5E43" w:rsidP="00366B7D">
            <w:pPr>
              <w:autoSpaceDE w:val="0"/>
              <w:autoSpaceDN w:val="0"/>
              <w:adjustRightInd w:val="0"/>
              <w:rPr>
                <w:b/>
                <w:bCs/>
                <w:sz w:val="20"/>
                <w:szCs w:val="20"/>
              </w:rPr>
            </w:pPr>
            <w:r w:rsidRPr="00643515">
              <w:rPr>
                <w:b/>
                <w:bCs/>
                <w:sz w:val="20"/>
                <w:szCs w:val="20"/>
              </w:rPr>
              <w:t>Moderate</w:t>
            </w: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643515" w:rsidP="00366B7D">
            <w:pPr>
              <w:autoSpaceDE w:val="0"/>
              <w:autoSpaceDN w:val="0"/>
              <w:adjustRightInd w:val="0"/>
              <w:rPr>
                <w:b/>
                <w:bCs/>
                <w:sz w:val="20"/>
                <w:szCs w:val="20"/>
              </w:rPr>
            </w:pPr>
            <w:r>
              <w:rPr>
                <w:b/>
                <w:bCs/>
                <w:sz w:val="20"/>
                <w:szCs w:val="20"/>
              </w:rPr>
              <w:t>High</w:t>
            </w: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Default="00DD5E43" w:rsidP="00366B7D">
            <w:pPr>
              <w:autoSpaceDE w:val="0"/>
              <w:autoSpaceDN w:val="0"/>
              <w:adjustRightInd w:val="0"/>
              <w:rPr>
                <w:b/>
                <w:bCs/>
                <w:sz w:val="20"/>
                <w:szCs w:val="20"/>
              </w:rPr>
            </w:pPr>
          </w:p>
          <w:p w:rsidR="00643515" w:rsidRPr="00643515" w:rsidRDefault="00643515"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r w:rsidRPr="00643515">
              <w:rPr>
                <w:b/>
                <w:bCs/>
                <w:sz w:val="20"/>
                <w:szCs w:val="20"/>
              </w:rPr>
              <w:t>Low/Moderate</w:t>
            </w:r>
          </w:p>
        </w:tc>
        <w:tc>
          <w:tcPr>
            <w:tcW w:w="5040" w:type="dxa"/>
          </w:tcPr>
          <w:p w:rsidR="00DD5E43" w:rsidRPr="00643515" w:rsidRDefault="00DD5E43" w:rsidP="00366B7D">
            <w:pPr>
              <w:autoSpaceDE w:val="0"/>
              <w:autoSpaceDN w:val="0"/>
              <w:adjustRightInd w:val="0"/>
              <w:jc w:val="both"/>
              <w:rPr>
                <w:bCs/>
                <w:sz w:val="20"/>
                <w:szCs w:val="20"/>
              </w:rPr>
            </w:pPr>
            <w:r w:rsidRPr="00643515">
              <w:rPr>
                <w:bCs/>
                <w:sz w:val="20"/>
                <w:szCs w:val="20"/>
              </w:rPr>
              <w:t>One way in which the RIMBA Project differs from others, and historically, is that it is designed to support the major funding partners, and not be the leader in itself. While GEF is expected to contribute around $10 million, an initial contribution in kind and in cash from partners will take this Project over $50million. The Project design team is confident that this figure will have become significantly greater by the end of the project. A major role for the GEF element will be providing the incremental resources that will bring partners together, build a joint commitment and ensure harmonization. The proposed Steering Committee with the NEA and the PMU will provide the basis for an integrating management secretariat that allows senior office holders in government, community and industry to develop the understanding necessary to sustain the activities which have been designed for the RIMBA Corridor, to institutionalize it  and provide a model for future up-scaling of the approach. The success of this governance reform wi</w:t>
            </w:r>
            <w:r w:rsidR="00822781">
              <w:rPr>
                <w:bCs/>
                <w:sz w:val="20"/>
                <w:szCs w:val="20"/>
              </w:rPr>
              <w:t>ll</w:t>
            </w:r>
            <w:r w:rsidRPr="00643515">
              <w:rPr>
                <w:bCs/>
                <w:sz w:val="20"/>
                <w:szCs w:val="20"/>
              </w:rPr>
              <w:t xml:space="preserve"> require all stakeholders to continue to accept that this approach is of benefit to them individually and this will require major effort by the PMU and the NEA to detect concern and mange it before it gains its own momentum. The level of thinking and the momentum in Indonesia for this change is very positive but as for the political risks it will require the RIMBA project and PMU specifically to place much emphasis on communication.</w:t>
            </w:r>
          </w:p>
          <w:p w:rsidR="00D629D4" w:rsidRPr="00643515" w:rsidRDefault="00D629D4"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r w:rsidRPr="00643515">
              <w:rPr>
                <w:bCs/>
                <w:sz w:val="20"/>
                <w:szCs w:val="20"/>
              </w:rPr>
              <w:t>It is appropriate that the risk rati</w:t>
            </w:r>
            <w:r w:rsidR="00822781">
              <w:rPr>
                <w:bCs/>
                <w:sz w:val="20"/>
                <w:szCs w:val="20"/>
              </w:rPr>
              <w:t xml:space="preserve">ng in relation to this issue is </w:t>
            </w:r>
            <w:r w:rsidRPr="00643515">
              <w:rPr>
                <w:bCs/>
                <w:sz w:val="20"/>
                <w:szCs w:val="20"/>
              </w:rPr>
              <w:t xml:space="preserve">high, as it is here that the real challenge of change is expressed. Mitigating this risk is the reason behind the design approach for the Project, which sees an emphasis on governance and </w:t>
            </w:r>
            <w:r w:rsidR="00125D50" w:rsidRPr="00643515">
              <w:rPr>
                <w:bCs/>
                <w:sz w:val="20"/>
                <w:szCs w:val="20"/>
              </w:rPr>
              <w:t>institutional</w:t>
            </w:r>
            <w:r w:rsidRPr="00643515">
              <w:rPr>
                <w:bCs/>
                <w:sz w:val="20"/>
                <w:szCs w:val="20"/>
              </w:rPr>
              <w:t xml:space="preserve"> r</w:t>
            </w:r>
            <w:r w:rsidR="00822781">
              <w:rPr>
                <w:bCs/>
                <w:sz w:val="20"/>
                <w:szCs w:val="20"/>
              </w:rPr>
              <w:t>eform supported by acceptance i</w:t>
            </w:r>
            <w:r w:rsidRPr="00643515">
              <w:rPr>
                <w:bCs/>
                <w:sz w:val="20"/>
                <w:szCs w:val="20"/>
              </w:rPr>
              <w:t>n GE principles as essential in Component 1; the practical experience of a green economy approach determining resource management decisions in three Clusters in Component 2 as the way to demonstrate viability of an alternative and the focus in Component 3 of ensuring that the experiences are carefully monitored and disseminated. It underpins the commitment to work with the FMU system recognizing that other major forest sector projects are also providing support in this area; and it also recognizes the importance of working with the pri</w:t>
            </w:r>
            <w:r w:rsidR="00822781">
              <w:rPr>
                <w:bCs/>
                <w:sz w:val="20"/>
                <w:szCs w:val="20"/>
              </w:rPr>
              <w:t>vate sector to ensure that the</w:t>
            </w:r>
            <w:r w:rsidRPr="00643515">
              <w:rPr>
                <w:bCs/>
                <w:sz w:val="20"/>
                <w:szCs w:val="20"/>
              </w:rPr>
              <w:t xml:space="preserve"> aspirations are not merely responses to national and international pressure but are put in a context where they are likely to benefit economically by addressing the </w:t>
            </w:r>
            <w:r w:rsidRPr="00643515">
              <w:rPr>
                <w:bCs/>
                <w:i/>
                <w:sz w:val="20"/>
                <w:szCs w:val="20"/>
              </w:rPr>
              <w:t>triple bottom line</w:t>
            </w:r>
          </w:p>
          <w:p w:rsidR="00DD5E43" w:rsidRPr="00643515" w:rsidRDefault="00DD5E43" w:rsidP="00366B7D">
            <w:pPr>
              <w:autoSpaceDE w:val="0"/>
              <w:autoSpaceDN w:val="0"/>
              <w:adjustRightInd w:val="0"/>
              <w:jc w:val="both"/>
              <w:rPr>
                <w:bCs/>
                <w:sz w:val="20"/>
                <w:szCs w:val="20"/>
              </w:rPr>
            </w:pPr>
            <w:r w:rsidRPr="00643515">
              <w:rPr>
                <w:bCs/>
                <w:sz w:val="20"/>
                <w:szCs w:val="20"/>
              </w:rPr>
              <w:t xml:space="preserve">Apart from Project design the other big factor which potentially mitigates this risk is the timing of this Project which coincides with an historical trend and addresses the problems as one of supporting rather than leading change. The Project provides a rare opportunity to enable international best practice technical assistance to be used in informing and lending confidence to a process of change which is in play already. </w:t>
            </w: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r w:rsidRPr="00643515">
              <w:rPr>
                <w:bCs/>
                <w:sz w:val="20"/>
                <w:szCs w:val="20"/>
              </w:rPr>
              <w:t>This risk is assessed as low to moderate. The Project through its Component 1 and through Component 2 will work actively to address this urgent need for closer working relationships, building trust in the Secretariat and Steering Committee and also through multistakeholder forums, social marketing and capacity building workshops. Cooperation with other Projects, especially the FIP and MFP3 will allow the progress they are making on increasing public access to forest land to be translated into assistance in the RIMBA Project and also to resolving issues of conflict.</w:t>
            </w:r>
          </w:p>
          <w:p w:rsidR="00DD5E43" w:rsidRPr="00643515" w:rsidRDefault="00DD5E43" w:rsidP="00366B7D">
            <w:pPr>
              <w:autoSpaceDE w:val="0"/>
              <w:autoSpaceDN w:val="0"/>
              <w:adjustRightInd w:val="0"/>
              <w:rPr>
                <w:b/>
                <w:bCs/>
                <w:sz w:val="20"/>
                <w:szCs w:val="20"/>
              </w:rPr>
            </w:pPr>
          </w:p>
        </w:tc>
      </w:tr>
      <w:tr w:rsidR="00DD5E43" w:rsidRPr="00643515" w:rsidTr="00125D50">
        <w:tc>
          <w:tcPr>
            <w:tcW w:w="3780" w:type="dxa"/>
          </w:tcPr>
          <w:p w:rsidR="00DD5E43" w:rsidRPr="00643515" w:rsidRDefault="00DD5E43" w:rsidP="00366B7D">
            <w:pPr>
              <w:autoSpaceDE w:val="0"/>
              <w:autoSpaceDN w:val="0"/>
              <w:adjustRightInd w:val="0"/>
              <w:rPr>
                <w:b/>
                <w:bCs/>
                <w:sz w:val="20"/>
                <w:szCs w:val="20"/>
              </w:rPr>
            </w:pPr>
            <w:r w:rsidRPr="00643515">
              <w:rPr>
                <w:b/>
                <w:bCs/>
                <w:sz w:val="20"/>
                <w:szCs w:val="20"/>
              </w:rPr>
              <w:t>Resourcing Risks</w:t>
            </w:r>
          </w:p>
          <w:p w:rsidR="00DD5E43" w:rsidRPr="00643515" w:rsidRDefault="00DD5E43" w:rsidP="00366B7D">
            <w:pPr>
              <w:autoSpaceDE w:val="0"/>
              <w:autoSpaceDN w:val="0"/>
              <w:adjustRightInd w:val="0"/>
              <w:rPr>
                <w:bCs/>
                <w:sz w:val="20"/>
                <w:szCs w:val="20"/>
                <w:u w:val="single"/>
              </w:rPr>
            </w:pPr>
            <w:r w:rsidRPr="00643515">
              <w:rPr>
                <w:bCs/>
                <w:sz w:val="20"/>
                <w:szCs w:val="20"/>
                <w:u w:val="single"/>
              </w:rPr>
              <w:t>Maintaining and building combined and focused partner contributions.</w:t>
            </w:r>
          </w:p>
          <w:p w:rsidR="00DD5E43" w:rsidRPr="00643515" w:rsidRDefault="00DD5E43" w:rsidP="00366B7D">
            <w:pPr>
              <w:autoSpaceDE w:val="0"/>
              <w:autoSpaceDN w:val="0"/>
              <w:adjustRightInd w:val="0"/>
              <w:jc w:val="both"/>
              <w:rPr>
                <w:bCs/>
                <w:i/>
                <w:sz w:val="20"/>
                <w:szCs w:val="20"/>
              </w:rPr>
            </w:pPr>
            <w:r w:rsidRPr="00643515">
              <w:rPr>
                <w:bCs/>
                <w:i/>
                <w:sz w:val="20"/>
                <w:szCs w:val="20"/>
              </w:rPr>
              <w:t>Funds provided by the GEF Trust are not sufficient in themselves to resource a Project of the size and complexity of RIMBA. Therefore the Project is based on building sustainability through supporting institutional and personnel capacity, and the development of a resourcing formula whereby the major costs of transformation to a Green Economy are borne by the beneficiaries – i.e. government, industry and community stakeholders and partners. Preparation of the Project has involved the determination not only of financial and in-kind contributions from partners but also a novel form of procurement and funds disbursement which maintains source independence with the harmonization of partner work planning. This approach makes it much easier for the Project to realistically engage with partners, especially governments, because it does not require them to commit actual funds to for the use of the Project but rather accepts that the common objectives of the Project and the partner will ensure the funds are used according to agreed objectives. This concept is new and planning, monitoring and accounting systems will need to be developed through the Project period to ensure that the practice is understood, works effectively and can be replicated. At this stage there is no legislative enforcement of this arrangement among the partners so that the risk derives from the novelty of the scheme and the fact that on-going participation in a funding commitment is subject to partner control.</w:t>
            </w:r>
          </w:p>
          <w:p w:rsidR="004A3C2F" w:rsidRPr="00643515" w:rsidRDefault="004A3C2F" w:rsidP="00366B7D">
            <w:pPr>
              <w:autoSpaceDE w:val="0"/>
              <w:autoSpaceDN w:val="0"/>
              <w:adjustRightInd w:val="0"/>
              <w:jc w:val="both"/>
              <w:rPr>
                <w:bCs/>
                <w:sz w:val="20"/>
                <w:szCs w:val="20"/>
                <w:u w:val="single"/>
              </w:rPr>
            </w:pPr>
          </w:p>
          <w:p w:rsidR="00DD5E43" w:rsidRPr="00643515" w:rsidRDefault="00DD5E43" w:rsidP="00366B7D">
            <w:pPr>
              <w:autoSpaceDE w:val="0"/>
              <w:autoSpaceDN w:val="0"/>
              <w:adjustRightInd w:val="0"/>
              <w:jc w:val="both"/>
              <w:rPr>
                <w:bCs/>
                <w:sz w:val="20"/>
                <w:szCs w:val="20"/>
                <w:u w:val="single"/>
              </w:rPr>
            </w:pPr>
            <w:r w:rsidRPr="00643515">
              <w:rPr>
                <w:bCs/>
                <w:sz w:val="20"/>
                <w:szCs w:val="20"/>
                <w:u w:val="single"/>
              </w:rPr>
              <w:t>Access to skilled and experienced staff inside the Project and among the Partners</w:t>
            </w:r>
          </w:p>
          <w:p w:rsidR="00DD5E43" w:rsidRPr="00643515" w:rsidRDefault="00DD5E43" w:rsidP="00366B7D">
            <w:pPr>
              <w:autoSpaceDE w:val="0"/>
              <w:autoSpaceDN w:val="0"/>
              <w:adjustRightInd w:val="0"/>
              <w:jc w:val="both"/>
              <w:rPr>
                <w:bCs/>
                <w:i/>
                <w:sz w:val="20"/>
                <w:szCs w:val="20"/>
              </w:rPr>
            </w:pPr>
            <w:r w:rsidRPr="00643515">
              <w:rPr>
                <w:bCs/>
                <w:i/>
                <w:sz w:val="20"/>
                <w:szCs w:val="20"/>
              </w:rPr>
              <w:t xml:space="preserve">The RIMBA Project is concerned with executing a process of change in economic and resource uses approaches which have long been BAU. It is happening at a time when regional and local governments are still evolving capacity in past practices, let alone in the new areas of </w:t>
            </w:r>
            <w:r w:rsidR="00822781" w:rsidRPr="00643515">
              <w:rPr>
                <w:bCs/>
                <w:i/>
                <w:sz w:val="20"/>
                <w:szCs w:val="20"/>
              </w:rPr>
              <w:t>sustainable</w:t>
            </w:r>
            <w:r w:rsidRPr="00643515">
              <w:rPr>
                <w:bCs/>
                <w:i/>
                <w:sz w:val="20"/>
                <w:szCs w:val="20"/>
              </w:rPr>
              <w:t xml:space="preserve"> development, low carbon economic opportunities, and in the face of diminishing real revenues and rising populations. Although the policy developments related to climate change have been occurring in Indonesia since at least 2006, the renewed focus on sustainability through the Green Economy has only had currency since the 2012 Rio+20 WCSD. The result of this development has been that the understanding of the concept, let alone the practical steps associated with their implementation are still not well understood and where they are they tend to be in national agencies and think tanks. The aspirations are in strategic plans at both national and province level but work undertaken as part of the baseline suggests that local managers follow national direction with little understanding and much </w:t>
            </w:r>
            <w:r w:rsidR="00412C26" w:rsidRPr="00643515">
              <w:rPr>
                <w:bCs/>
                <w:i/>
                <w:sz w:val="20"/>
                <w:szCs w:val="20"/>
              </w:rPr>
              <w:t>scepticism</w:t>
            </w:r>
            <w:r w:rsidRPr="00643515">
              <w:rPr>
                <w:bCs/>
                <w:i/>
                <w:sz w:val="20"/>
                <w:szCs w:val="20"/>
              </w:rPr>
              <w:t xml:space="preserve">. This problem is not confined to Indonesia and the Project will need to be able to bring together a rare group of national and local partner agencies, and international and national long and short term consultants if it is to be able to address the capacity building challenges that will be required. </w:t>
            </w:r>
          </w:p>
        </w:tc>
        <w:tc>
          <w:tcPr>
            <w:tcW w:w="1530" w:type="dxa"/>
          </w:tcPr>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r w:rsidRPr="00643515">
              <w:rPr>
                <w:b/>
                <w:bCs/>
                <w:sz w:val="20"/>
                <w:szCs w:val="20"/>
              </w:rPr>
              <w:t>Low/moderate</w:t>
            </w: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4A3C2F" w:rsidRDefault="004A3C2F" w:rsidP="00366B7D">
            <w:pPr>
              <w:autoSpaceDE w:val="0"/>
              <w:autoSpaceDN w:val="0"/>
              <w:adjustRightInd w:val="0"/>
              <w:rPr>
                <w:b/>
                <w:bCs/>
                <w:sz w:val="20"/>
                <w:szCs w:val="20"/>
              </w:rPr>
            </w:pPr>
          </w:p>
          <w:p w:rsidR="00160021" w:rsidRDefault="00160021" w:rsidP="00366B7D">
            <w:pPr>
              <w:autoSpaceDE w:val="0"/>
              <w:autoSpaceDN w:val="0"/>
              <w:adjustRightInd w:val="0"/>
              <w:rPr>
                <w:b/>
                <w:bCs/>
                <w:sz w:val="20"/>
                <w:szCs w:val="20"/>
              </w:rPr>
            </w:pPr>
          </w:p>
          <w:p w:rsidR="00160021" w:rsidRDefault="00160021" w:rsidP="00366B7D">
            <w:pPr>
              <w:autoSpaceDE w:val="0"/>
              <w:autoSpaceDN w:val="0"/>
              <w:adjustRightInd w:val="0"/>
              <w:rPr>
                <w:b/>
                <w:bCs/>
                <w:sz w:val="20"/>
                <w:szCs w:val="20"/>
              </w:rPr>
            </w:pPr>
          </w:p>
          <w:p w:rsidR="00160021" w:rsidRDefault="00160021" w:rsidP="00366B7D">
            <w:pPr>
              <w:autoSpaceDE w:val="0"/>
              <w:autoSpaceDN w:val="0"/>
              <w:adjustRightInd w:val="0"/>
              <w:rPr>
                <w:b/>
                <w:bCs/>
                <w:sz w:val="20"/>
                <w:szCs w:val="20"/>
              </w:rPr>
            </w:pPr>
          </w:p>
          <w:p w:rsidR="00160021" w:rsidRPr="00643515" w:rsidRDefault="00160021"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r w:rsidRPr="00643515">
              <w:rPr>
                <w:b/>
                <w:bCs/>
                <w:sz w:val="20"/>
                <w:szCs w:val="20"/>
              </w:rPr>
              <w:t>Moderate/High</w:t>
            </w:r>
          </w:p>
          <w:p w:rsidR="00DD5E43" w:rsidRPr="00643515" w:rsidRDefault="00DD5E43" w:rsidP="00366B7D">
            <w:pPr>
              <w:autoSpaceDE w:val="0"/>
              <w:autoSpaceDN w:val="0"/>
              <w:adjustRightInd w:val="0"/>
              <w:rPr>
                <w:b/>
                <w:bCs/>
                <w:sz w:val="20"/>
                <w:szCs w:val="20"/>
              </w:rPr>
            </w:pPr>
          </w:p>
        </w:tc>
        <w:tc>
          <w:tcPr>
            <w:tcW w:w="5040" w:type="dxa"/>
          </w:tcPr>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jc w:val="both"/>
              <w:rPr>
                <w:bCs/>
                <w:sz w:val="20"/>
                <w:szCs w:val="20"/>
              </w:rPr>
            </w:pPr>
            <w:r w:rsidRPr="00643515">
              <w:rPr>
                <w:bCs/>
                <w:sz w:val="20"/>
                <w:szCs w:val="20"/>
              </w:rPr>
              <w:t>This risk is addressed in several ways. There has been a long period of engagement with stakeholders through the development of the proposal and this has resulted in an evident well of support for it among governments, donors and the private sector. The management structure for the project will create the opportunity for continuous feedback to the partners on progress towards mutually agreed objectives. This will reinforce the value of harmonizing efforts and related (co-funding) budgets. As the Project proceeds there will be momentum for the institutionalizing of these regional management arrangements which will regularize joint planning and budgeting. The agreement by the Coordinating Ministry for Economic Affairs to take on the role of NEA provides further access to the hig</w:t>
            </w:r>
            <w:r w:rsidR="00822781">
              <w:rPr>
                <w:bCs/>
                <w:sz w:val="20"/>
                <w:szCs w:val="20"/>
              </w:rPr>
              <w:t>h</w:t>
            </w:r>
            <w:r w:rsidRPr="00643515">
              <w:rPr>
                <w:bCs/>
                <w:sz w:val="20"/>
                <w:szCs w:val="20"/>
              </w:rPr>
              <w:t xml:space="preserve">est levels of national priorities and this will ensure the work of RIMBA is seen as a </w:t>
            </w:r>
            <w:r w:rsidRPr="00643515">
              <w:rPr>
                <w:bCs/>
                <w:i/>
                <w:sz w:val="20"/>
                <w:szCs w:val="20"/>
              </w:rPr>
              <w:t xml:space="preserve">whole of government </w:t>
            </w:r>
            <w:r w:rsidRPr="00643515">
              <w:rPr>
                <w:bCs/>
                <w:sz w:val="20"/>
                <w:szCs w:val="20"/>
              </w:rPr>
              <w:t xml:space="preserve">priority and resourcing. </w:t>
            </w: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4A3C2F" w:rsidRPr="00643515" w:rsidRDefault="004A3C2F"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r w:rsidRPr="00643515">
              <w:rPr>
                <w:bCs/>
                <w:sz w:val="20"/>
                <w:szCs w:val="20"/>
              </w:rPr>
              <w:t xml:space="preserve">As a multi-level, multi-sector project RIMBA has the potential to tap into expertise in government and civil society from across Indonesia, and this it must do. </w:t>
            </w:r>
          </w:p>
          <w:p w:rsidR="00DD5E43" w:rsidRPr="00643515" w:rsidRDefault="00DD5E43" w:rsidP="00366B7D">
            <w:pPr>
              <w:autoSpaceDE w:val="0"/>
              <w:autoSpaceDN w:val="0"/>
              <w:adjustRightInd w:val="0"/>
              <w:jc w:val="both"/>
              <w:rPr>
                <w:bCs/>
                <w:sz w:val="20"/>
                <w:szCs w:val="20"/>
              </w:rPr>
            </w:pPr>
            <w:r w:rsidRPr="00643515">
              <w:rPr>
                <w:bCs/>
                <w:sz w:val="20"/>
                <w:szCs w:val="20"/>
              </w:rPr>
              <w:t xml:space="preserve">Opportunities exist in each Component to support research and development and to encourage professional dialogue. Nevertheless, international interest in the Project must be facilitated in order to encourage as many organisations as possible to locate </w:t>
            </w:r>
            <w:r w:rsidR="00822781" w:rsidRPr="00643515">
              <w:rPr>
                <w:bCs/>
                <w:sz w:val="20"/>
                <w:szCs w:val="20"/>
              </w:rPr>
              <w:t>activities</w:t>
            </w:r>
            <w:r w:rsidRPr="00643515">
              <w:rPr>
                <w:bCs/>
                <w:sz w:val="20"/>
                <w:szCs w:val="20"/>
              </w:rPr>
              <w:t xml:space="preserve"> in the RIMBA Corridor so as to accumulate the inputs of international experts as well. The example of the ACIAR-funded engagement of Australian universities is useful as it shows how the arrangements and infrastructure of the Project will assist this sort of synergy to build. Within the Project structure the conventional approach of creating a Project Management Committee has been replaced by the proposal to form a </w:t>
            </w:r>
            <w:r w:rsidRPr="00643515">
              <w:rPr>
                <w:bCs/>
                <w:i/>
                <w:sz w:val="20"/>
                <w:szCs w:val="20"/>
              </w:rPr>
              <w:t>Landscapes Expert Management Committee</w:t>
            </w:r>
            <w:r w:rsidRPr="00643515">
              <w:rPr>
                <w:bCs/>
                <w:sz w:val="20"/>
                <w:szCs w:val="20"/>
              </w:rPr>
              <w:t>, which would allow senior experts across government and in civil society to provide technical support and encour</w:t>
            </w:r>
            <w:r w:rsidR="00822781">
              <w:rPr>
                <w:bCs/>
                <w:sz w:val="20"/>
                <w:szCs w:val="20"/>
              </w:rPr>
              <w:t>age the growth of knowledge out</w:t>
            </w:r>
            <w:r w:rsidRPr="00643515">
              <w:rPr>
                <w:bCs/>
                <w:sz w:val="20"/>
                <w:szCs w:val="20"/>
              </w:rPr>
              <w:t>side the Project. Other initiatives will need to be developed through the life of the Project that will allow for learning by doing and for comparative and exchange studies to assist in introducing ideas from across the world benefiting from both north-south and south-south exchange as the Sustainable Development Goals are further evolved as practical objectives.</w:t>
            </w:r>
          </w:p>
        </w:tc>
      </w:tr>
      <w:tr w:rsidR="00DD5E43" w:rsidRPr="00643515" w:rsidTr="00125D50">
        <w:tc>
          <w:tcPr>
            <w:tcW w:w="3780" w:type="dxa"/>
          </w:tcPr>
          <w:p w:rsidR="00DD5E43" w:rsidRPr="00643515" w:rsidRDefault="00DD5E43" w:rsidP="00366B7D">
            <w:pPr>
              <w:autoSpaceDE w:val="0"/>
              <w:autoSpaceDN w:val="0"/>
              <w:adjustRightInd w:val="0"/>
              <w:rPr>
                <w:b/>
                <w:bCs/>
                <w:sz w:val="20"/>
                <w:szCs w:val="20"/>
              </w:rPr>
            </w:pPr>
            <w:r w:rsidRPr="00643515">
              <w:rPr>
                <w:b/>
                <w:bCs/>
                <w:sz w:val="20"/>
                <w:szCs w:val="20"/>
              </w:rPr>
              <w:t>Technical Risks</w:t>
            </w:r>
          </w:p>
          <w:p w:rsidR="00DD5E43" w:rsidRPr="00643515" w:rsidRDefault="00DD5E43" w:rsidP="00366B7D">
            <w:pPr>
              <w:autoSpaceDE w:val="0"/>
              <w:autoSpaceDN w:val="0"/>
              <w:adjustRightInd w:val="0"/>
              <w:rPr>
                <w:bCs/>
                <w:sz w:val="20"/>
                <w:szCs w:val="20"/>
              </w:rPr>
            </w:pPr>
            <w:r w:rsidRPr="00643515">
              <w:rPr>
                <w:bCs/>
                <w:sz w:val="20"/>
                <w:szCs w:val="20"/>
                <w:u w:val="single"/>
              </w:rPr>
              <w:t>Inadequacy of the knowledge base.</w:t>
            </w:r>
          </w:p>
          <w:p w:rsidR="00DD5E43" w:rsidRPr="00643515" w:rsidRDefault="00DD5E43" w:rsidP="00366B7D">
            <w:pPr>
              <w:autoSpaceDE w:val="0"/>
              <w:autoSpaceDN w:val="0"/>
              <w:adjustRightInd w:val="0"/>
              <w:jc w:val="both"/>
              <w:rPr>
                <w:bCs/>
                <w:i/>
                <w:sz w:val="20"/>
                <w:szCs w:val="20"/>
              </w:rPr>
            </w:pPr>
            <w:r w:rsidRPr="00643515">
              <w:rPr>
                <w:bCs/>
                <w:i/>
                <w:sz w:val="20"/>
                <w:szCs w:val="20"/>
              </w:rPr>
              <w:t xml:space="preserve">The size and complexity of the RIMBA Corridor, the </w:t>
            </w:r>
            <w:r w:rsidR="00822781" w:rsidRPr="00643515">
              <w:rPr>
                <w:bCs/>
                <w:i/>
                <w:sz w:val="20"/>
                <w:szCs w:val="20"/>
              </w:rPr>
              <w:t>regency</w:t>
            </w:r>
            <w:r w:rsidRPr="00643515">
              <w:rPr>
                <w:bCs/>
                <w:i/>
                <w:sz w:val="20"/>
                <w:szCs w:val="20"/>
              </w:rPr>
              <w:t xml:space="preserve"> of local governme</w:t>
            </w:r>
            <w:r w:rsidR="00822781">
              <w:rPr>
                <w:bCs/>
                <w:i/>
                <w:sz w:val="20"/>
                <w:szCs w:val="20"/>
              </w:rPr>
              <w:t>nt and the absence of a concer</w:t>
            </w:r>
            <w:r w:rsidRPr="00643515">
              <w:rPr>
                <w:bCs/>
                <w:i/>
                <w:sz w:val="20"/>
                <w:szCs w:val="20"/>
              </w:rPr>
              <w:t>ted effort to document the region does mean that the Project will always be operating with limited information. When it comes to the formulation of detailed spatial plans RTRWD in the PA buffers or to assist in the management of ES in vulnerable areas, this lack of information will be an issue. The absence of good data at small scales has been a factor in the inadequacy of Environmental Plans (RKLHS). During the Project scheduled activities by the project staff and by partners will progressiv</w:t>
            </w:r>
            <w:r w:rsidR="00822781">
              <w:rPr>
                <w:bCs/>
                <w:i/>
                <w:sz w:val="20"/>
                <w:szCs w:val="20"/>
              </w:rPr>
              <w:t>e</w:t>
            </w:r>
            <w:r w:rsidRPr="00643515">
              <w:rPr>
                <w:bCs/>
                <w:i/>
                <w:sz w:val="20"/>
                <w:szCs w:val="20"/>
              </w:rPr>
              <w:t xml:space="preserve">ly assist this situation but it is always going to be a problem. It is expected that the RIMBA Project will provide a focus and purpose for increasing levels of effort to be given to knowledge, which will lead to a faster growth than has been in the past. </w:t>
            </w:r>
          </w:p>
          <w:p w:rsidR="00DD5E43" w:rsidRPr="00643515" w:rsidRDefault="00125D50" w:rsidP="00366B7D">
            <w:pPr>
              <w:autoSpaceDE w:val="0"/>
              <w:autoSpaceDN w:val="0"/>
              <w:adjustRightInd w:val="0"/>
              <w:rPr>
                <w:bCs/>
                <w:sz w:val="20"/>
                <w:szCs w:val="20"/>
                <w:u w:val="single"/>
              </w:rPr>
            </w:pPr>
            <w:r w:rsidRPr="00643515">
              <w:rPr>
                <w:bCs/>
                <w:sz w:val="20"/>
                <w:szCs w:val="20"/>
                <w:u w:val="single"/>
              </w:rPr>
              <w:t>Legitimizing</w:t>
            </w:r>
            <w:r w:rsidR="00DD5E43" w:rsidRPr="00643515">
              <w:rPr>
                <w:bCs/>
                <w:sz w:val="20"/>
                <w:szCs w:val="20"/>
                <w:u w:val="single"/>
              </w:rPr>
              <w:t xml:space="preserve"> achievements in GHG emissions reductions</w:t>
            </w:r>
          </w:p>
          <w:p w:rsidR="00DD5E43" w:rsidRDefault="00DD5E43" w:rsidP="00366B7D">
            <w:pPr>
              <w:autoSpaceDE w:val="0"/>
              <w:autoSpaceDN w:val="0"/>
              <w:adjustRightInd w:val="0"/>
              <w:jc w:val="both"/>
              <w:rPr>
                <w:bCs/>
                <w:i/>
                <w:sz w:val="20"/>
                <w:szCs w:val="20"/>
              </w:rPr>
            </w:pPr>
            <w:r w:rsidRPr="00643515">
              <w:rPr>
                <w:bCs/>
                <w:i/>
                <w:sz w:val="20"/>
                <w:szCs w:val="20"/>
              </w:rPr>
              <w:t xml:space="preserve">A key objective of the Project will be the successful reduction of GHG emissions as identified in the Results Framework. While the technical aspects of establishing a RIL and implementing monitoring are well known and the issue of </w:t>
            </w:r>
            <w:r w:rsidRPr="00643515">
              <w:rPr>
                <w:bCs/>
                <w:sz w:val="20"/>
                <w:szCs w:val="20"/>
              </w:rPr>
              <w:t>Additionality</w:t>
            </w:r>
            <w:r w:rsidRPr="00643515">
              <w:rPr>
                <w:rStyle w:val="FootnoteReference"/>
                <w:bCs/>
                <w:sz w:val="20"/>
                <w:szCs w:val="20"/>
              </w:rPr>
              <w:footnoteReference w:id="5"/>
            </w:r>
            <w:r w:rsidRPr="00643515">
              <w:rPr>
                <w:bCs/>
                <w:i/>
                <w:sz w:val="20"/>
                <w:szCs w:val="20"/>
              </w:rPr>
              <w:t xml:space="preserve"> can also be handled within the context of the Project, the problem of </w:t>
            </w:r>
            <w:r w:rsidRPr="00643515">
              <w:rPr>
                <w:bCs/>
                <w:sz w:val="20"/>
                <w:szCs w:val="20"/>
              </w:rPr>
              <w:t>Leakage</w:t>
            </w:r>
            <w:r w:rsidRPr="00643515">
              <w:rPr>
                <w:rStyle w:val="FootnoteReference"/>
                <w:bCs/>
                <w:sz w:val="20"/>
                <w:szCs w:val="20"/>
              </w:rPr>
              <w:footnoteReference w:id="6"/>
            </w:r>
            <w:r w:rsidRPr="00643515">
              <w:rPr>
                <w:bCs/>
                <w:sz w:val="20"/>
                <w:szCs w:val="20"/>
              </w:rPr>
              <w:t xml:space="preserve"> </w:t>
            </w:r>
            <w:r w:rsidRPr="00643515">
              <w:rPr>
                <w:bCs/>
                <w:i/>
                <w:sz w:val="20"/>
                <w:szCs w:val="20"/>
              </w:rPr>
              <w:t xml:space="preserve">remains significant because of the need to establish the boundaries within which measurements will be undertaken. Typically leakage is referred to national or sub-national jurisdictional boundaries. The Problem for RIMBA lies in the fact that it comprises landscapes which encompass several sub-national jurisdictional boundaries.  </w:t>
            </w:r>
          </w:p>
          <w:p w:rsidR="00716384" w:rsidRDefault="00716384" w:rsidP="00366B7D">
            <w:pPr>
              <w:autoSpaceDE w:val="0"/>
              <w:autoSpaceDN w:val="0"/>
              <w:adjustRightInd w:val="0"/>
              <w:jc w:val="both"/>
              <w:rPr>
                <w:bCs/>
                <w:i/>
                <w:sz w:val="20"/>
                <w:szCs w:val="20"/>
              </w:rPr>
            </w:pPr>
          </w:p>
          <w:p w:rsidR="00716384" w:rsidRDefault="00716384" w:rsidP="00366B7D">
            <w:pPr>
              <w:autoSpaceDE w:val="0"/>
              <w:autoSpaceDN w:val="0"/>
              <w:adjustRightInd w:val="0"/>
              <w:jc w:val="both"/>
              <w:rPr>
                <w:bCs/>
                <w:i/>
                <w:sz w:val="20"/>
                <w:szCs w:val="20"/>
              </w:rPr>
            </w:pPr>
          </w:p>
          <w:p w:rsidR="00716384" w:rsidRDefault="00716384" w:rsidP="00366B7D">
            <w:pPr>
              <w:autoSpaceDE w:val="0"/>
              <w:autoSpaceDN w:val="0"/>
              <w:adjustRightInd w:val="0"/>
              <w:jc w:val="both"/>
              <w:rPr>
                <w:bCs/>
                <w:i/>
                <w:sz w:val="20"/>
                <w:szCs w:val="20"/>
              </w:rPr>
            </w:pPr>
          </w:p>
          <w:p w:rsidR="00716384" w:rsidRDefault="00716384" w:rsidP="00366B7D">
            <w:pPr>
              <w:autoSpaceDE w:val="0"/>
              <w:autoSpaceDN w:val="0"/>
              <w:adjustRightInd w:val="0"/>
              <w:jc w:val="both"/>
              <w:rPr>
                <w:bCs/>
                <w:i/>
                <w:sz w:val="20"/>
                <w:szCs w:val="20"/>
              </w:rPr>
            </w:pPr>
          </w:p>
          <w:p w:rsidR="00716384" w:rsidRDefault="00716384" w:rsidP="00366B7D">
            <w:pPr>
              <w:autoSpaceDE w:val="0"/>
              <w:autoSpaceDN w:val="0"/>
              <w:adjustRightInd w:val="0"/>
              <w:jc w:val="both"/>
              <w:rPr>
                <w:bCs/>
                <w:i/>
                <w:sz w:val="20"/>
                <w:szCs w:val="20"/>
              </w:rPr>
            </w:pPr>
          </w:p>
          <w:p w:rsidR="00716384" w:rsidRDefault="00716384" w:rsidP="00366B7D">
            <w:pPr>
              <w:autoSpaceDE w:val="0"/>
              <w:autoSpaceDN w:val="0"/>
              <w:adjustRightInd w:val="0"/>
              <w:jc w:val="both"/>
              <w:rPr>
                <w:bCs/>
                <w:i/>
                <w:sz w:val="20"/>
                <w:szCs w:val="20"/>
              </w:rPr>
            </w:pPr>
          </w:p>
          <w:p w:rsidR="00716384" w:rsidRDefault="00716384" w:rsidP="00366B7D">
            <w:pPr>
              <w:autoSpaceDE w:val="0"/>
              <w:autoSpaceDN w:val="0"/>
              <w:adjustRightInd w:val="0"/>
              <w:jc w:val="both"/>
              <w:rPr>
                <w:bCs/>
                <w:i/>
                <w:sz w:val="20"/>
                <w:szCs w:val="20"/>
              </w:rPr>
            </w:pPr>
          </w:p>
          <w:p w:rsidR="00716384" w:rsidRDefault="00716384" w:rsidP="00366B7D">
            <w:pPr>
              <w:autoSpaceDE w:val="0"/>
              <w:autoSpaceDN w:val="0"/>
              <w:adjustRightInd w:val="0"/>
              <w:jc w:val="both"/>
              <w:rPr>
                <w:bCs/>
                <w:i/>
                <w:sz w:val="20"/>
                <w:szCs w:val="20"/>
              </w:rPr>
            </w:pPr>
          </w:p>
          <w:p w:rsidR="00716384" w:rsidRPr="00716384" w:rsidRDefault="00716384" w:rsidP="00716384">
            <w:pPr>
              <w:autoSpaceDE w:val="0"/>
              <w:autoSpaceDN w:val="0"/>
              <w:adjustRightInd w:val="0"/>
              <w:jc w:val="both"/>
              <w:rPr>
                <w:rFonts w:eastAsiaTheme="minorEastAsia"/>
                <w:bCs/>
                <w:sz w:val="20"/>
                <w:szCs w:val="20"/>
                <w:u w:val="single"/>
                <w:lang w:eastAsia="en-GB" w:bidi="th-TH"/>
              </w:rPr>
            </w:pPr>
            <w:r w:rsidRPr="00716384">
              <w:rPr>
                <w:rFonts w:eastAsiaTheme="minorEastAsia"/>
                <w:bCs/>
                <w:sz w:val="20"/>
                <w:szCs w:val="20"/>
                <w:u w:val="single"/>
                <w:lang w:eastAsia="en-GB" w:bidi="th-TH"/>
              </w:rPr>
              <w:t>Impact of Climate Change on fire incidence in forests and peatlands</w:t>
            </w:r>
          </w:p>
          <w:p w:rsidR="00716384" w:rsidRDefault="00716384" w:rsidP="00366B7D">
            <w:pPr>
              <w:autoSpaceDE w:val="0"/>
              <w:autoSpaceDN w:val="0"/>
              <w:adjustRightInd w:val="0"/>
              <w:jc w:val="both"/>
              <w:rPr>
                <w:bCs/>
                <w:i/>
                <w:sz w:val="20"/>
                <w:szCs w:val="20"/>
              </w:rPr>
            </w:pPr>
            <w:r w:rsidRPr="00716384">
              <w:rPr>
                <w:rFonts w:eastAsiaTheme="minorEastAsia"/>
                <w:bCs/>
                <w:i/>
                <w:sz w:val="20"/>
                <w:szCs w:val="20"/>
                <w:lang w:eastAsia="en-GB" w:bidi="th-TH"/>
              </w:rPr>
              <w:t>In overall terms it is expected that climate change will lead to an average increase in rainfall and rainfall intensity in Jambi province. At the same time the frequency and severity of El Nino years appears to be increasing leading to periods of drought when fires risk is especially high – particularly in the extensive area of peatlands (e.g. in Clyuster 2). To the extent that these climate processes are linked there is a risk that GHG emissions may increase through increased anthropogenic incidence of fire.</w:t>
            </w:r>
          </w:p>
          <w:p w:rsidR="00716384" w:rsidRPr="00643515" w:rsidRDefault="00716384" w:rsidP="00366B7D">
            <w:pPr>
              <w:autoSpaceDE w:val="0"/>
              <w:autoSpaceDN w:val="0"/>
              <w:adjustRightInd w:val="0"/>
              <w:jc w:val="both"/>
              <w:rPr>
                <w:bCs/>
                <w:i/>
                <w:sz w:val="20"/>
                <w:szCs w:val="20"/>
              </w:rPr>
            </w:pPr>
          </w:p>
          <w:p w:rsidR="00DD5E43" w:rsidRPr="00643515" w:rsidRDefault="00DD5E43" w:rsidP="00366B7D">
            <w:pPr>
              <w:autoSpaceDE w:val="0"/>
              <w:autoSpaceDN w:val="0"/>
              <w:adjustRightInd w:val="0"/>
              <w:rPr>
                <w:b/>
                <w:bCs/>
                <w:sz w:val="20"/>
                <w:szCs w:val="20"/>
              </w:rPr>
            </w:pPr>
          </w:p>
        </w:tc>
        <w:tc>
          <w:tcPr>
            <w:tcW w:w="1530" w:type="dxa"/>
          </w:tcPr>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r w:rsidRPr="00643515">
              <w:rPr>
                <w:b/>
                <w:bCs/>
                <w:sz w:val="20"/>
                <w:szCs w:val="20"/>
              </w:rPr>
              <w:t>Low/moderate</w:t>
            </w: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AF165C" w:rsidRDefault="00AF165C" w:rsidP="00366B7D">
            <w:pPr>
              <w:autoSpaceDE w:val="0"/>
              <w:autoSpaceDN w:val="0"/>
              <w:adjustRightInd w:val="0"/>
              <w:rPr>
                <w:b/>
                <w:bCs/>
                <w:sz w:val="20"/>
                <w:szCs w:val="20"/>
              </w:rPr>
            </w:pPr>
          </w:p>
          <w:p w:rsidR="00DD5E43" w:rsidRDefault="00DD5E43" w:rsidP="00366B7D">
            <w:pPr>
              <w:autoSpaceDE w:val="0"/>
              <w:autoSpaceDN w:val="0"/>
              <w:adjustRightInd w:val="0"/>
              <w:rPr>
                <w:b/>
                <w:bCs/>
                <w:sz w:val="20"/>
                <w:szCs w:val="20"/>
              </w:rPr>
            </w:pPr>
            <w:r w:rsidRPr="00643515">
              <w:rPr>
                <w:b/>
                <w:bCs/>
                <w:sz w:val="20"/>
                <w:szCs w:val="20"/>
              </w:rPr>
              <w:t>Low/Moderate</w:t>
            </w: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p>
          <w:p w:rsidR="00716384" w:rsidRDefault="00716384" w:rsidP="00366B7D">
            <w:pPr>
              <w:autoSpaceDE w:val="0"/>
              <w:autoSpaceDN w:val="0"/>
              <w:adjustRightInd w:val="0"/>
              <w:rPr>
                <w:b/>
                <w:bCs/>
                <w:sz w:val="20"/>
                <w:szCs w:val="20"/>
              </w:rPr>
            </w:pPr>
            <w:r>
              <w:rPr>
                <w:b/>
                <w:bCs/>
                <w:sz w:val="20"/>
                <w:szCs w:val="20"/>
              </w:rPr>
              <w:t>Moderate</w:t>
            </w:r>
          </w:p>
          <w:p w:rsidR="00716384" w:rsidRDefault="00716384" w:rsidP="00366B7D">
            <w:pPr>
              <w:autoSpaceDE w:val="0"/>
              <w:autoSpaceDN w:val="0"/>
              <w:adjustRightInd w:val="0"/>
              <w:rPr>
                <w:b/>
                <w:bCs/>
                <w:sz w:val="20"/>
                <w:szCs w:val="20"/>
              </w:rPr>
            </w:pPr>
          </w:p>
          <w:p w:rsidR="00716384" w:rsidRPr="00643515" w:rsidRDefault="00716384"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tc>
        <w:tc>
          <w:tcPr>
            <w:tcW w:w="5040" w:type="dxa"/>
          </w:tcPr>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rPr>
                <w:b/>
                <w:bCs/>
                <w:sz w:val="20"/>
                <w:szCs w:val="20"/>
              </w:rPr>
            </w:pPr>
          </w:p>
          <w:p w:rsidR="00DD5E43" w:rsidRPr="00643515" w:rsidRDefault="00DD5E43" w:rsidP="00366B7D">
            <w:pPr>
              <w:autoSpaceDE w:val="0"/>
              <w:autoSpaceDN w:val="0"/>
              <w:adjustRightInd w:val="0"/>
              <w:jc w:val="both"/>
              <w:rPr>
                <w:bCs/>
                <w:sz w:val="20"/>
                <w:szCs w:val="20"/>
              </w:rPr>
            </w:pPr>
            <w:r w:rsidRPr="00643515">
              <w:rPr>
                <w:bCs/>
                <w:sz w:val="20"/>
                <w:szCs w:val="20"/>
              </w:rPr>
              <w:t xml:space="preserve">Scientific knowledge is </w:t>
            </w:r>
            <w:r w:rsidR="00125D50" w:rsidRPr="00643515">
              <w:rPr>
                <w:bCs/>
                <w:sz w:val="20"/>
                <w:szCs w:val="20"/>
              </w:rPr>
              <w:t>always</w:t>
            </w:r>
            <w:r w:rsidRPr="00643515">
              <w:rPr>
                <w:bCs/>
                <w:sz w:val="20"/>
                <w:szCs w:val="20"/>
              </w:rPr>
              <w:t xml:space="preserve"> limiting to a Project and RIMBA will also continue to suffer from it. Remote sensing has reached a level where it is possible to capture useful data sets at the landscape level and it is in this area that the WWF data bases excel as a GIS resource for the Project. On the ground activities under Component 2 will allow much new data to be collected directly and incidentally and is proposed that this will be captured on the KMIS proposed for Component 3 and thus made widely available. It is also expected that the increased field activities associated with the implementation of the Project and especially in conjunction with the evolving FMU will raise further important questions stimulating additional information and scientific projects.   </w:t>
            </w: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Pr="00643515" w:rsidRDefault="00DD5E43" w:rsidP="00366B7D">
            <w:pPr>
              <w:autoSpaceDE w:val="0"/>
              <w:autoSpaceDN w:val="0"/>
              <w:adjustRightInd w:val="0"/>
              <w:jc w:val="both"/>
              <w:rPr>
                <w:bCs/>
                <w:sz w:val="20"/>
                <w:szCs w:val="20"/>
              </w:rPr>
            </w:pPr>
          </w:p>
          <w:p w:rsidR="00DD5E43" w:rsidRDefault="00DD5E43" w:rsidP="00366B7D">
            <w:pPr>
              <w:autoSpaceDE w:val="0"/>
              <w:autoSpaceDN w:val="0"/>
              <w:adjustRightInd w:val="0"/>
              <w:jc w:val="both"/>
              <w:rPr>
                <w:bCs/>
                <w:sz w:val="20"/>
                <w:szCs w:val="20"/>
              </w:rPr>
            </w:pPr>
            <w:r w:rsidRPr="00643515">
              <w:rPr>
                <w:bCs/>
                <w:sz w:val="20"/>
                <w:szCs w:val="20"/>
              </w:rPr>
              <w:t xml:space="preserve">REDD+ is an evolving concept in the absence of a compliance market structure. Most recently REDD+ has been widely seen in the context of a </w:t>
            </w:r>
            <w:r w:rsidRPr="00643515">
              <w:rPr>
                <w:bCs/>
                <w:i/>
                <w:sz w:val="20"/>
                <w:szCs w:val="20"/>
              </w:rPr>
              <w:t>jurisdiction</w:t>
            </w:r>
            <w:r w:rsidRPr="00643515">
              <w:rPr>
                <w:bCs/>
                <w:sz w:val="20"/>
                <w:szCs w:val="20"/>
              </w:rPr>
              <w:t xml:space="preserve"> where the boundaries not only identify the area within which emission reduction is measured, but also contribute to new approaches to the distribution of incentives among stakeholders. In a number of cases internationally emission reduction has been rewarded by performance payments which are then translated by the responsible jurisdictions into the delivery of services to the community. The delivery of Performance Based payments underpins the </w:t>
            </w:r>
            <w:r w:rsidRPr="00643515">
              <w:rPr>
                <w:bCs/>
                <w:i/>
                <w:sz w:val="20"/>
                <w:szCs w:val="20"/>
              </w:rPr>
              <w:t>BioCarbon Fund</w:t>
            </w:r>
            <w:r w:rsidRPr="00643515">
              <w:rPr>
                <w:bCs/>
                <w:sz w:val="20"/>
                <w:szCs w:val="20"/>
              </w:rPr>
              <w:t>, with which the RIMBA Project is expecting to work.</w:t>
            </w:r>
            <w:r w:rsidR="00822781">
              <w:rPr>
                <w:bCs/>
                <w:sz w:val="20"/>
                <w:szCs w:val="20"/>
              </w:rPr>
              <w:t xml:space="preserve"> </w:t>
            </w:r>
            <w:r w:rsidRPr="00643515">
              <w:rPr>
                <w:bCs/>
                <w:sz w:val="20"/>
                <w:szCs w:val="20"/>
              </w:rPr>
              <w:t xml:space="preserve">The challenge for the RIMBA Project is to determine, and have accepted, the concept of the RIMBA Corridor as a </w:t>
            </w:r>
            <w:r w:rsidRPr="00643515">
              <w:rPr>
                <w:bCs/>
                <w:i/>
                <w:sz w:val="20"/>
                <w:szCs w:val="20"/>
              </w:rPr>
              <w:t>jurisdiction.</w:t>
            </w:r>
            <w:r w:rsidRPr="00643515">
              <w:rPr>
                <w:bCs/>
                <w:sz w:val="20"/>
                <w:szCs w:val="20"/>
              </w:rPr>
              <w:t xml:space="preserve"> At the time of the formulation of Indonesia’s assessment of its </w:t>
            </w:r>
            <w:r w:rsidRPr="00643515">
              <w:rPr>
                <w:bCs/>
                <w:i/>
                <w:sz w:val="20"/>
                <w:szCs w:val="20"/>
              </w:rPr>
              <w:t xml:space="preserve">readiness </w:t>
            </w:r>
            <w:r w:rsidRPr="00643515">
              <w:rPr>
                <w:bCs/>
                <w:sz w:val="20"/>
                <w:szCs w:val="20"/>
              </w:rPr>
              <w:t>for REDD+</w:t>
            </w:r>
            <w:r w:rsidRPr="00643515">
              <w:rPr>
                <w:rStyle w:val="FootnoteReference"/>
                <w:bCs/>
                <w:sz w:val="20"/>
                <w:szCs w:val="20"/>
              </w:rPr>
              <w:footnoteReference w:id="7"/>
            </w:r>
            <w:r w:rsidRPr="00643515">
              <w:rPr>
                <w:bCs/>
                <w:sz w:val="20"/>
                <w:szCs w:val="20"/>
              </w:rPr>
              <w:t xml:space="preserve"> the District was judged as the most suitable sub-national jurisdiction for REDD activities, however, at that time there was also considerable interest in the role of the FMU as the smallest integrated landscape jurisdiction planned. In the case of RIMBA it is proposed that jurisdictional REDD can be achieved in a nested format, implemented within the boundaries of FMU which must by law be surveyed, and within the landscape of the Corridor which has been identified in the Spatial Plan for Sumatra. The implementation of the jurisdiction of the RIMBA Corridor would be based on the formal establishment of a </w:t>
            </w:r>
            <w:r w:rsidR="00AF165C">
              <w:rPr>
                <w:bCs/>
                <w:i/>
                <w:sz w:val="20"/>
                <w:szCs w:val="20"/>
              </w:rPr>
              <w:t xml:space="preserve">RIMBA </w:t>
            </w:r>
            <w:r w:rsidRPr="00643515">
              <w:rPr>
                <w:bCs/>
                <w:i/>
                <w:sz w:val="20"/>
                <w:szCs w:val="20"/>
              </w:rPr>
              <w:t>Management Authority</w:t>
            </w:r>
            <w:r w:rsidRPr="00643515">
              <w:rPr>
                <w:bCs/>
                <w:sz w:val="20"/>
                <w:szCs w:val="20"/>
              </w:rPr>
              <w:t xml:space="preserve"> which would take over from the Project Secretariat at some point in the Project and would be the sustained vehicle for managing this forest region. There would need to be a formula established among the administrative jurisdictions (partner provinces and districts) to equitably deal with the disbursement of incentives among stakeholders. </w:t>
            </w:r>
          </w:p>
          <w:p w:rsidR="00716384" w:rsidRDefault="00716384" w:rsidP="00366B7D">
            <w:pPr>
              <w:autoSpaceDE w:val="0"/>
              <w:autoSpaceDN w:val="0"/>
              <w:adjustRightInd w:val="0"/>
              <w:jc w:val="both"/>
              <w:rPr>
                <w:bCs/>
                <w:sz w:val="20"/>
                <w:szCs w:val="20"/>
              </w:rPr>
            </w:pPr>
          </w:p>
          <w:p w:rsidR="00716384" w:rsidRDefault="00716384" w:rsidP="00366B7D">
            <w:pPr>
              <w:autoSpaceDE w:val="0"/>
              <w:autoSpaceDN w:val="0"/>
              <w:adjustRightInd w:val="0"/>
              <w:jc w:val="both"/>
              <w:rPr>
                <w:bCs/>
                <w:sz w:val="20"/>
                <w:szCs w:val="20"/>
              </w:rPr>
            </w:pPr>
            <w:r w:rsidRPr="007E2A94">
              <w:rPr>
                <w:bCs/>
                <w:sz w:val="20"/>
                <w:szCs w:val="20"/>
              </w:rPr>
              <w:t xml:space="preserve">However, the risk of fire is now being dealt with strategically through projects under </w:t>
            </w:r>
            <w:r>
              <w:rPr>
                <w:bCs/>
                <w:sz w:val="20"/>
                <w:szCs w:val="20"/>
              </w:rPr>
              <w:t xml:space="preserve">the </w:t>
            </w:r>
            <w:r w:rsidRPr="007E2A94">
              <w:rPr>
                <w:bCs/>
                <w:sz w:val="20"/>
                <w:szCs w:val="20"/>
              </w:rPr>
              <w:t>GOI</w:t>
            </w:r>
            <w:r>
              <w:rPr>
                <w:bCs/>
                <w:sz w:val="20"/>
                <w:szCs w:val="20"/>
              </w:rPr>
              <w:t xml:space="preserve">, the early warning system being supported by the UNEP-led GAMBUT project, as well as the fire emergency unit at the Ministry of Environment and Forestry. This is done </w:t>
            </w:r>
            <w:r w:rsidRPr="007E2A94">
              <w:rPr>
                <w:bCs/>
                <w:sz w:val="20"/>
                <w:szCs w:val="20"/>
              </w:rPr>
              <w:t xml:space="preserve">especially through actions being taken by the newly established Peatlands Restoration Agency which is giving priority to </w:t>
            </w:r>
            <w:r>
              <w:rPr>
                <w:bCs/>
                <w:sz w:val="20"/>
                <w:szCs w:val="20"/>
              </w:rPr>
              <w:t xml:space="preserve">peat restoration through rewetting as well as </w:t>
            </w:r>
            <w:r w:rsidRPr="007E2A94">
              <w:rPr>
                <w:bCs/>
                <w:sz w:val="20"/>
                <w:szCs w:val="20"/>
              </w:rPr>
              <w:t>fire prevention. At the same time private plantation companies, notably the APRIL-RAPP is working closely with villages to promote mechanical approaches to annual (pre-planting) land clearing and providing incentives to villages to become “fire free”. As these initiatives are further mainstreamed into government the risk of climate impacts will fall.</w:t>
            </w:r>
          </w:p>
          <w:p w:rsidR="00716384" w:rsidRPr="00643515" w:rsidRDefault="00716384" w:rsidP="003F1F16">
            <w:pPr>
              <w:autoSpaceDE w:val="0"/>
              <w:autoSpaceDN w:val="0"/>
              <w:adjustRightInd w:val="0"/>
              <w:jc w:val="both"/>
              <w:rPr>
                <w:bCs/>
                <w:sz w:val="20"/>
                <w:szCs w:val="20"/>
              </w:rPr>
            </w:pPr>
            <w:r>
              <w:rPr>
                <w:bCs/>
                <w:sz w:val="20"/>
                <w:szCs w:val="20"/>
              </w:rPr>
              <w:t>Reduction of fire as well as peatland restoration through canal blocking and rewetting is also the key approach under RIMBA Cluster 2 program</w:t>
            </w:r>
          </w:p>
        </w:tc>
      </w:tr>
    </w:tbl>
    <w:p w:rsidR="00DD5E43" w:rsidRPr="00E034C6" w:rsidRDefault="00DD5E43" w:rsidP="001E054A">
      <w:pPr>
        <w:spacing w:after="0" w:line="240" w:lineRule="auto"/>
        <w:jc w:val="both"/>
        <w:rPr>
          <w:rFonts w:ascii="Times New Roman" w:hAnsi="Times New Roman"/>
          <w:bCs/>
        </w:rPr>
      </w:pPr>
    </w:p>
    <w:p w:rsidR="001E054A" w:rsidRDefault="006105A5" w:rsidP="00EE05D2">
      <w:pPr>
        <w:autoSpaceDE w:val="0"/>
        <w:autoSpaceDN w:val="0"/>
        <w:adjustRightInd w:val="0"/>
        <w:spacing w:after="0" w:line="240" w:lineRule="auto"/>
        <w:rPr>
          <w:rFonts w:ascii="Times New Roman" w:hAnsi="Times New Roman"/>
          <w:bCs/>
        </w:rPr>
      </w:pPr>
      <w:r w:rsidRPr="00C401C6">
        <w:rPr>
          <w:rFonts w:ascii="Times New Roman" w:hAnsi="Times New Roman"/>
          <w:bCs/>
        </w:rPr>
        <w:t>Overall, the risk to the Project is rated at Moderate but manageable</w:t>
      </w:r>
      <w:r w:rsidR="00CA3355">
        <w:rPr>
          <w:rFonts w:ascii="Times New Roman" w:hAnsi="Times New Roman"/>
          <w:bCs/>
        </w:rPr>
        <w:t>.</w:t>
      </w:r>
    </w:p>
    <w:p w:rsidR="00047193" w:rsidRDefault="00047193" w:rsidP="00EA2BE2">
      <w:pPr>
        <w:autoSpaceDE w:val="0"/>
        <w:autoSpaceDN w:val="0"/>
        <w:adjustRightInd w:val="0"/>
        <w:spacing w:after="0" w:line="240" w:lineRule="auto"/>
        <w:ind w:left="360"/>
        <w:rPr>
          <w:rFonts w:ascii="Times New Roman" w:hAnsi="Times New Roman"/>
          <w:bCs/>
        </w:rPr>
      </w:pPr>
    </w:p>
    <w:p w:rsidR="00047193" w:rsidRPr="00E034C6" w:rsidRDefault="00822781" w:rsidP="00EE05D2">
      <w:pPr>
        <w:autoSpaceDE w:val="0"/>
        <w:autoSpaceDN w:val="0"/>
        <w:adjustRightInd w:val="0"/>
        <w:spacing w:after="0" w:line="240" w:lineRule="auto"/>
        <w:rPr>
          <w:rFonts w:ascii="Times New Roman" w:hAnsi="Times New Roman"/>
          <w:bCs/>
        </w:rPr>
      </w:pPr>
      <w:r>
        <w:rPr>
          <w:rFonts w:ascii="Times New Roman" w:hAnsi="Times New Roman"/>
          <w:bCs/>
        </w:rPr>
        <w:t xml:space="preserve">Additionally, </w:t>
      </w:r>
      <w:r w:rsidR="00047193">
        <w:rPr>
          <w:rFonts w:ascii="Times New Roman" w:hAnsi="Times New Roman"/>
          <w:bCs/>
        </w:rPr>
        <w:t xml:space="preserve">the social and environmental risks and the mitigation measures by the project are discussed in more detail </w:t>
      </w:r>
      <w:r w:rsidR="00047193" w:rsidRPr="001D28D9">
        <w:rPr>
          <w:rFonts w:ascii="Times New Roman" w:hAnsi="Times New Roman"/>
          <w:bCs/>
        </w:rPr>
        <w:t xml:space="preserve">in </w:t>
      </w:r>
      <w:r w:rsidR="0015230E" w:rsidRPr="0015230E">
        <w:rPr>
          <w:rFonts w:ascii="Times New Roman" w:hAnsi="Times New Roman"/>
          <w:bCs/>
        </w:rPr>
        <w:t xml:space="preserve">Appendix </w:t>
      </w:r>
      <w:r w:rsidR="00086550">
        <w:rPr>
          <w:rFonts w:ascii="Times New Roman" w:hAnsi="Times New Roman"/>
          <w:bCs/>
          <w:lang w:val="id-ID"/>
        </w:rPr>
        <w:t>15</w:t>
      </w:r>
      <w:r w:rsidR="00086550">
        <w:rPr>
          <w:rFonts w:ascii="Times New Roman" w:hAnsi="Times New Roman"/>
          <w:bCs/>
        </w:rPr>
        <w:t xml:space="preserve"> </w:t>
      </w:r>
      <w:r w:rsidR="00047193">
        <w:rPr>
          <w:rFonts w:ascii="Times New Roman" w:hAnsi="Times New Roman"/>
          <w:bCs/>
        </w:rPr>
        <w:t>of the Project Document.</w:t>
      </w:r>
    </w:p>
    <w:p w:rsidR="001E054A" w:rsidRPr="00E034C6" w:rsidRDefault="001E054A" w:rsidP="001E054A">
      <w:pPr>
        <w:spacing w:after="0"/>
        <w:rPr>
          <w:rFonts w:ascii="Californian FB" w:hAnsi="Californian FB"/>
          <w:color w:val="FF0000"/>
          <w:sz w:val="24"/>
        </w:rPr>
      </w:pPr>
    </w:p>
    <w:p w:rsidR="00AB5B9A" w:rsidRPr="00E034C6" w:rsidRDefault="0035107A" w:rsidP="00C0015E">
      <w:pPr>
        <w:spacing w:after="120" w:line="240" w:lineRule="auto"/>
        <w:ind w:left="432" w:hanging="432"/>
        <w:rPr>
          <w:rFonts w:ascii="Times New Roman" w:eastAsia="Times New Roman" w:hAnsi="Times New Roman"/>
          <w:color w:val="000000"/>
        </w:rPr>
      </w:pPr>
      <w:r w:rsidRPr="00E034C6">
        <w:rPr>
          <w:rFonts w:ascii="Times New Roman" w:eastAsia="Times New Roman" w:hAnsi="Times New Roman"/>
        </w:rPr>
        <w:t>A.7. Coordination with other relevant GEF financed initiatives</w:t>
      </w:r>
      <w:r w:rsidRPr="00E034C6">
        <w:rPr>
          <w:rFonts w:ascii="Times New Roman" w:eastAsia="Times New Roman" w:hAnsi="Times New Roman"/>
          <w:color w:val="000000"/>
        </w:rPr>
        <w:t xml:space="preserve">  </w:t>
      </w:r>
    </w:p>
    <w:p w:rsidR="005A3EE8" w:rsidRPr="00B424B9" w:rsidRDefault="00FB2B09" w:rsidP="00B424B9">
      <w:pPr>
        <w:autoSpaceDE w:val="0"/>
        <w:autoSpaceDN w:val="0"/>
        <w:adjustRightInd w:val="0"/>
        <w:spacing w:after="0" w:line="240" w:lineRule="auto"/>
        <w:jc w:val="both"/>
        <w:rPr>
          <w:rFonts w:ascii="Times New Roman" w:hAnsi="Times New Roman"/>
          <w:bCs/>
        </w:rPr>
      </w:pPr>
      <w:r>
        <w:rPr>
          <w:rFonts w:ascii="Times New Roman" w:hAnsi="Times New Roman"/>
          <w:bCs/>
        </w:rPr>
        <w:t>Please s</w:t>
      </w:r>
      <w:r w:rsidR="00B424B9" w:rsidRPr="00B424B9">
        <w:rPr>
          <w:rFonts w:ascii="Times New Roman" w:hAnsi="Times New Roman"/>
          <w:bCs/>
        </w:rPr>
        <w:t>ee Section 2.7 in the ProDoc which covers links and proposed collaboration with projects and programs of government, donor/NGO community, as well as private sector initiatives.</w:t>
      </w:r>
    </w:p>
    <w:p w:rsidR="00B424B9" w:rsidRDefault="00B424B9" w:rsidP="0035107A">
      <w:pPr>
        <w:tabs>
          <w:tab w:val="center" w:pos="4320"/>
          <w:tab w:val="right" w:pos="8640"/>
        </w:tabs>
        <w:spacing w:after="120" w:line="240" w:lineRule="auto"/>
        <w:rPr>
          <w:rFonts w:ascii="Times New Roman" w:eastAsia="Times New Roman" w:hAnsi="Times New Roman"/>
          <w:b/>
          <w:caps/>
          <w:u w:val="single"/>
        </w:rPr>
      </w:pPr>
    </w:p>
    <w:p w:rsidR="00FB2B09" w:rsidRDefault="00FB2B09" w:rsidP="0035107A">
      <w:pPr>
        <w:tabs>
          <w:tab w:val="center" w:pos="4320"/>
          <w:tab w:val="right" w:pos="8640"/>
        </w:tabs>
        <w:spacing w:after="120" w:line="240" w:lineRule="auto"/>
        <w:rPr>
          <w:rFonts w:ascii="Times New Roman" w:eastAsia="Times New Roman" w:hAnsi="Times New Roman"/>
          <w:b/>
          <w:caps/>
          <w:u w:val="single"/>
        </w:rPr>
      </w:pPr>
    </w:p>
    <w:p w:rsidR="00FB2B09" w:rsidRDefault="00FB2B09" w:rsidP="0035107A">
      <w:pPr>
        <w:tabs>
          <w:tab w:val="center" w:pos="4320"/>
          <w:tab w:val="right" w:pos="8640"/>
        </w:tabs>
        <w:spacing w:after="120" w:line="240" w:lineRule="auto"/>
        <w:rPr>
          <w:rFonts w:ascii="Times New Roman" w:eastAsia="Times New Roman" w:hAnsi="Times New Roman"/>
          <w:b/>
          <w:caps/>
          <w:u w:val="single"/>
        </w:rPr>
      </w:pPr>
    </w:p>
    <w:p w:rsidR="0035107A" w:rsidRPr="00E034C6" w:rsidRDefault="0035107A" w:rsidP="0035107A">
      <w:pPr>
        <w:tabs>
          <w:tab w:val="center" w:pos="4320"/>
          <w:tab w:val="right" w:pos="8640"/>
        </w:tabs>
        <w:spacing w:after="120" w:line="240" w:lineRule="auto"/>
        <w:rPr>
          <w:rFonts w:ascii="Times New Roman" w:eastAsia="Times New Roman" w:hAnsi="Times New Roman"/>
          <w:b/>
          <w:caps/>
          <w:u w:val="single"/>
        </w:rPr>
      </w:pPr>
      <w:r w:rsidRPr="00E034C6">
        <w:rPr>
          <w:rFonts w:ascii="Times New Roman" w:eastAsia="Times New Roman" w:hAnsi="Times New Roman"/>
          <w:b/>
          <w:caps/>
          <w:u w:val="single"/>
        </w:rPr>
        <w:t xml:space="preserve">B. </w:t>
      </w:r>
      <w:r w:rsidRPr="00E034C6">
        <w:rPr>
          <w:rFonts w:ascii="Times New Roman Bold" w:eastAsia="Times New Roman" w:hAnsi="Times New Roman Bold"/>
          <w:b/>
          <w:caps/>
          <w:u w:val="single"/>
        </w:rPr>
        <w:t>additional information</w:t>
      </w:r>
      <w:r w:rsidRPr="00E034C6">
        <w:rPr>
          <w:rFonts w:ascii="Times New Roman" w:eastAsia="Times New Roman" w:hAnsi="Times New Roman"/>
          <w:b/>
          <w:caps/>
          <w:u w:val="single"/>
        </w:rPr>
        <w:t xml:space="preserve"> not addressed at Pif stage:</w:t>
      </w:r>
    </w:p>
    <w:tbl>
      <w:tblPr>
        <w:tblW w:w="0" w:type="auto"/>
        <w:tblInd w:w="18" w:type="dxa"/>
        <w:tblLook w:val="04A0" w:firstRow="1" w:lastRow="0" w:firstColumn="1" w:lastColumn="0" w:noHBand="0" w:noVBand="1"/>
      </w:tblPr>
      <w:tblGrid>
        <w:gridCol w:w="10260"/>
      </w:tblGrid>
      <w:tr w:rsidR="0035107A" w:rsidRPr="00E034C6" w:rsidTr="00AF2FE3">
        <w:tc>
          <w:tcPr>
            <w:tcW w:w="10260" w:type="dxa"/>
          </w:tcPr>
          <w:p w:rsidR="006D3D7C" w:rsidRDefault="0035107A" w:rsidP="006D3D7C">
            <w:pPr>
              <w:spacing w:after="80" w:line="240" w:lineRule="auto"/>
              <w:ind w:right="-1530"/>
              <w:rPr>
                <w:rFonts w:ascii="Times New Roman" w:eastAsia="Times New Roman" w:hAnsi="Times New Roman"/>
              </w:rPr>
            </w:pPr>
            <w:r w:rsidRPr="00E034C6">
              <w:rPr>
                <w:rFonts w:ascii="Times New Roman" w:eastAsia="Times New Roman" w:hAnsi="Times New Roman"/>
              </w:rPr>
              <w:t xml:space="preserve">B.1 Describe how the stakeholders will be engaged in project implementation.  </w:t>
            </w:r>
          </w:p>
          <w:p w:rsidR="00125D50" w:rsidRPr="00E034C6" w:rsidRDefault="009D0631" w:rsidP="009D0631">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Please see Section 5 of the Project Document</w:t>
            </w:r>
            <w:r w:rsidR="00FB2B09">
              <w:rPr>
                <w:rFonts w:ascii="Times New Roman" w:eastAsia="Times New Roman" w:hAnsi="Times New Roman"/>
                <w:color w:val="000000"/>
              </w:rPr>
              <w:t>, including on gender</w:t>
            </w:r>
            <w:r>
              <w:rPr>
                <w:rFonts w:ascii="Times New Roman" w:eastAsia="Times New Roman" w:hAnsi="Times New Roman"/>
                <w:color w:val="000000"/>
              </w:rPr>
              <w:t>.</w:t>
            </w:r>
          </w:p>
        </w:tc>
      </w:tr>
    </w:tbl>
    <w:p w:rsidR="00FB2B09" w:rsidRDefault="00FB2B09" w:rsidP="0035107A">
      <w:pPr>
        <w:tabs>
          <w:tab w:val="num" w:pos="360"/>
          <w:tab w:val="center" w:pos="4320"/>
          <w:tab w:val="right" w:pos="8640"/>
        </w:tabs>
        <w:spacing w:after="120" w:line="240" w:lineRule="auto"/>
        <w:ind w:left="450" w:hanging="450"/>
        <w:rPr>
          <w:rFonts w:ascii="Times New Roman" w:eastAsia="Times New Roman" w:hAnsi="Times New Roman"/>
          <w:caps/>
        </w:rPr>
      </w:pPr>
    </w:p>
    <w:p w:rsidR="004D14FE" w:rsidRPr="00E034C6" w:rsidRDefault="0035107A" w:rsidP="0035107A">
      <w:pPr>
        <w:tabs>
          <w:tab w:val="num" w:pos="360"/>
          <w:tab w:val="center" w:pos="4320"/>
          <w:tab w:val="right" w:pos="8640"/>
        </w:tabs>
        <w:spacing w:after="120" w:line="240" w:lineRule="auto"/>
        <w:ind w:left="450" w:hanging="450"/>
        <w:rPr>
          <w:rFonts w:ascii="Times New Roman" w:eastAsia="Times New Roman" w:hAnsi="Times New Roman"/>
        </w:rPr>
      </w:pPr>
      <w:r w:rsidRPr="00E034C6">
        <w:rPr>
          <w:rFonts w:ascii="Times New Roman" w:eastAsia="Times New Roman" w:hAnsi="Times New Roman"/>
          <w:caps/>
        </w:rPr>
        <w:t xml:space="preserve">B.2 </w:t>
      </w:r>
      <w:r w:rsidRPr="00E034C6">
        <w:rPr>
          <w:rFonts w:ascii="Times New Roman" w:eastAsia="Times New Roman" w:hAnsi="Times New Roman"/>
          <w:bCs/>
        </w:rPr>
        <w:t>Describe the socioeconomic benefits to be delivered by the Project at the national and local levels, including consideration of gender dimensions, and how these will support the achievement of global environment benefits (GEF Trust Fund/NPIF) or adaptation benefits (LDCF/SCCF)</w:t>
      </w:r>
      <w:r w:rsidRPr="00E034C6">
        <w:rPr>
          <w:rFonts w:ascii="Times New Roman" w:eastAsia="Times New Roman" w:hAnsi="Times New Roman"/>
          <w:iCs/>
          <w:color w:val="000000"/>
        </w:rPr>
        <w:t xml:space="preserve">: </w:t>
      </w:r>
      <w:r w:rsidRPr="00E034C6">
        <w:rPr>
          <w:rFonts w:ascii="Times New Roman" w:eastAsia="Times New Roman" w:hAnsi="Times New Roman"/>
        </w:rPr>
        <w:t xml:space="preserve"> </w:t>
      </w:r>
    </w:p>
    <w:p w:rsidR="00E054C5" w:rsidRDefault="00E054C5" w:rsidP="00D7359E">
      <w:pPr>
        <w:tabs>
          <w:tab w:val="num" w:pos="360"/>
          <w:tab w:val="center" w:pos="4320"/>
          <w:tab w:val="right" w:pos="8640"/>
        </w:tabs>
        <w:spacing w:after="120" w:line="240" w:lineRule="auto"/>
        <w:jc w:val="both"/>
        <w:rPr>
          <w:rFonts w:ascii="Times New Roman" w:eastAsia="Times New Roman" w:hAnsi="Times New Roman"/>
        </w:rPr>
      </w:pPr>
      <w:r w:rsidRPr="00E054C5">
        <w:rPr>
          <w:rFonts w:ascii="Times New Roman" w:eastAsia="Times New Roman" w:hAnsi="Times New Roman"/>
        </w:rPr>
        <w:t>In summary, at the local level, the Project aims to deliver over 2,000 green jobs, with distribution of those jobs taking into account gender and economic class (50% to benefit women).  Many of these jobs will be in the field of reforestation, SFM, agroforestry, sustainable agriculture &amp; fair trade, and some 200 households targeted towards sustainable production of palm oil.  These green jobs will contribute to the SFM practices including reforestation of over 100,000 hectares of forest land though the project facilitated conditionalities build into programs such as land swaps, PWS and renewable energy investments. The Project will deliver 1 KW of electric power from micro-hydro to 600 families, with half the capacity for family use and the other half for SME benefitting NC and/or applying GE principles. One Payment for Watershed Services scheme will be developed, with financial benefits (not yet quantified) accruing to 400 families of forest stewards. The income of a total 1,500 families is targeted to improve through the combination of PWS, supply of power to houses &amp; SME, as well as enhanced market access and better commodity prices (Cluster 3 – Sub catchment 2).  A Small Grants Mechanism will distribute $1.2 million in grants to local entrepreneurs for low-carbon Green Economy initiatives benefitting NC such as forests, water and biodiversity; with more grants to be released through the MCA-I partner facility.  At the provincial, regional, as well as national level, socioeconomic benefits will come as the lessons of Green Economy from the RIMBA Corridor are adopted beyond RIMBA; this replicability is one of the main outcomes of the Project (Outcomes 2.4 and  3.2). This ultimate Result of the Project is further described in the Theory of Change in Section 3.4 ‘intervention logic’ of the ProDoc.</w:t>
      </w:r>
    </w:p>
    <w:p w:rsidR="00180CFF" w:rsidRPr="00CC54B8" w:rsidRDefault="00180CFF" w:rsidP="00D7359E">
      <w:pPr>
        <w:tabs>
          <w:tab w:val="num" w:pos="360"/>
          <w:tab w:val="center" w:pos="4320"/>
          <w:tab w:val="right" w:pos="8640"/>
        </w:tabs>
        <w:spacing w:after="120" w:line="240" w:lineRule="auto"/>
        <w:jc w:val="both"/>
        <w:rPr>
          <w:rFonts w:ascii="Times New Roman" w:eastAsia="Times New Roman" w:hAnsi="Times New Roman"/>
        </w:rPr>
      </w:pPr>
      <w:r>
        <w:rPr>
          <w:rFonts w:ascii="Times New Roman" w:eastAsia="Times New Roman" w:hAnsi="Times New Roman"/>
        </w:rPr>
        <w:t xml:space="preserve">Gender has specific relevance to the RIMBA </w:t>
      </w:r>
      <w:r w:rsidR="00FB2B09">
        <w:rPr>
          <w:rFonts w:ascii="Times New Roman" w:eastAsia="Times New Roman" w:hAnsi="Times New Roman"/>
        </w:rPr>
        <w:t>project,</w:t>
      </w:r>
      <w:r>
        <w:rPr>
          <w:rFonts w:ascii="Times New Roman" w:eastAsia="Times New Roman" w:hAnsi="Times New Roman"/>
        </w:rPr>
        <w:t xml:space="preserve"> given much of the interventions are </w:t>
      </w:r>
      <w:r w:rsidR="00822781">
        <w:rPr>
          <w:rFonts w:ascii="Times New Roman" w:eastAsia="Times New Roman" w:hAnsi="Times New Roman"/>
        </w:rPr>
        <w:t>communications/network</w:t>
      </w:r>
      <w:r w:rsidR="0088634D">
        <w:rPr>
          <w:rFonts w:ascii="Times New Roman" w:eastAsia="Times New Roman" w:hAnsi="Times New Roman"/>
        </w:rPr>
        <w:t xml:space="preserve">ing, </w:t>
      </w:r>
      <w:r w:rsidR="007224AD">
        <w:rPr>
          <w:rFonts w:ascii="Times New Roman" w:eastAsia="Times New Roman" w:hAnsi="Times New Roman"/>
        </w:rPr>
        <w:t xml:space="preserve">field and </w:t>
      </w:r>
      <w:r>
        <w:rPr>
          <w:rFonts w:ascii="Times New Roman" w:eastAsia="Times New Roman" w:hAnsi="Times New Roman"/>
        </w:rPr>
        <w:t>‘peoples-based’. A summary of gender approach, activities and targets is given in Section 5.1 of ProDoc.</w:t>
      </w:r>
    </w:p>
    <w:p w:rsidR="004D14FE" w:rsidRPr="00E034C6" w:rsidRDefault="004D14FE" w:rsidP="004D14FE">
      <w:pPr>
        <w:tabs>
          <w:tab w:val="num" w:pos="360"/>
          <w:tab w:val="center" w:pos="4320"/>
          <w:tab w:val="right" w:pos="8640"/>
        </w:tabs>
        <w:spacing w:after="120" w:line="240" w:lineRule="auto"/>
        <w:rPr>
          <w:rFonts w:ascii="Times New Roman" w:eastAsia="Times New Roman" w:hAnsi="Times New Roman"/>
          <w:caps/>
        </w:rPr>
      </w:pPr>
    </w:p>
    <w:tbl>
      <w:tblPr>
        <w:tblW w:w="10458" w:type="dxa"/>
        <w:tblInd w:w="108" w:type="dxa"/>
        <w:tblLook w:val="04A0" w:firstRow="1" w:lastRow="0" w:firstColumn="1" w:lastColumn="0" w:noHBand="0" w:noVBand="1"/>
      </w:tblPr>
      <w:tblGrid>
        <w:gridCol w:w="10458"/>
      </w:tblGrid>
      <w:tr w:rsidR="0035107A" w:rsidRPr="00E034C6" w:rsidTr="00AF2FE3">
        <w:tc>
          <w:tcPr>
            <w:tcW w:w="10458" w:type="dxa"/>
          </w:tcPr>
          <w:p w:rsidR="004D14FE" w:rsidRPr="00E034C6" w:rsidRDefault="0035107A" w:rsidP="0035107A">
            <w:pPr>
              <w:spacing w:after="0" w:line="240" w:lineRule="auto"/>
              <w:ind w:left="342" w:hanging="450"/>
              <w:rPr>
                <w:rFonts w:ascii="Times New Roman" w:eastAsia="Times New Roman" w:hAnsi="Times New Roman"/>
                <w:caps/>
              </w:rPr>
            </w:pPr>
            <w:r w:rsidRPr="00E034C6">
              <w:rPr>
                <w:rFonts w:ascii="Times New Roman" w:eastAsia="Times New Roman" w:hAnsi="Times New Roman"/>
              </w:rPr>
              <w:t>B.3.</w:t>
            </w:r>
            <w:r w:rsidRPr="00E034C6">
              <w:rPr>
                <w:rFonts w:ascii="Times New Roman Bold" w:eastAsia="Times New Roman" w:hAnsi="Times New Roman Bold"/>
                <w:b/>
                <w:smallCaps/>
              </w:rPr>
              <w:t xml:space="preserve"> </w:t>
            </w:r>
            <w:r w:rsidRPr="00E034C6">
              <w:rPr>
                <w:rFonts w:ascii="Times New Roman" w:eastAsia="Times New Roman" w:hAnsi="Times New Roman Bold"/>
              </w:rPr>
              <w:t>Explain how cost-effectiveness is reflected in the project design</w:t>
            </w:r>
            <w:r w:rsidRPr="00E034C6">
              <w:rPr>
                <w:rFonts w:ascii="Times New Roman" w:eastAsia="Times New Roman" w:hAnsi="Times New Roman"/>
              </w:rPr>
              <w:t xml:space="preserve">: </w:t>
            </w:r>
            <w:r w:rsidRPr="00E034C6">
              <w:rPr>
                <w:rFonts w:ascii="Times New Roman" w:eastAsia="Times New Roman" w:hAnsi="Times New Roman"/>
                <w:caps/>
              </w:rPr>
              <w:t xml:space="preserve"> </w:t>
            </w: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The critical and cost-effective nature of the Project design is that it intentionally seeks to support, through coordination, capacity building and technical assistance, annual work activities by national and regional governments that are dominantly funded from APBN and APBD sources according to priorities in the respective national and regional five-year development plans.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Its innovation and cost effectiveness comes through being an integral part of the work planning of the institutions of government and not a separate project added on and running in parallel with them as has often been the case in the past.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One of the basic questions which has underpinned the RIMBA Project design has been how to maximize the effectiveness and sustainability of donor assistance in Indonesia where substantial national budgets are now able to be mobilized to address key contemporary global issues related to biodiversity and sustainable development. Following the Paris Declaration of 2006, the Indonesian Government released in 2008 its own Jakarta Commitment to Donors which emphasized cooperation and co-resourcing for donor funded projects which were designed to assist Indonesian national development priorities. In connection with the requirement for full host country ownership of donor supported Projects co-resourcing would be guaranteed by linking grant funding to national budget allocations and auditing: a process often referred to as </w:t>
            </w:r>
            <w:r>
              <w:rPr>
                <w:rFonts w:ascii="Times New Roman" w:hAnsi="Times New Roman"/>
                <w:bCs/>
                <w:i/>
              </w:rPr>
              <w:t xml:space="preserve">on budget-on </w:t>
            </w:r>
            <w:r w:rsidRPr="00817157">
              <w:rPr>
                <w:rFonts w:ascii="Times New Roman" w:hAnsi="Times New Roman"/>
                <w:bCs/>
                <w:i/>
              </w:rPr>
              <w:t>treasury.</w:t>
            </w:r>
            <w:r>
              <w:rPr>
                <w:rFonts w:ascii="Times New Roman" w:hAnsi="Times New Roman"/>
                <w:bCs/>
              </w:rPr>
              <w:t xml:space="preserve">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Reference to </w:t>
            </w:r>
            <w:r>
              <w:rPr>
                <w:rFonts w:ascii="Times New Roman" w:hAnsi="Times New Roman"/>
                <w:bCs/>
                <w:i/>
              </w:rPr>
              <w:t>on budget</w:t>
            </w:r>
            <w:r>
              <w:rPr>
                <w:rFonts w:ascii="Times New Roman" w:hAnsi="Times New Roman"/>
                <w:bCs/>
              </w:rPr>
              <w:t xml:space="preserve"> implies that the Project will be aligned with core agency activities which will allow allocated internal budgets to be spent on it. This arrangement overcomes previous practice where donor projects often ran in parallel to government work planning with little opportunity for connection. In these situations there was usually little room for government partner support apart from </w:t>
            </w:r>
            <w:r>
              <w:rPr>
                <w:rFonts w:ascii="Times New Roman" w:hAnsi="Times New Roman"/>
                <w:bCs/>
                <w:i/>
              </w:rPr>
              <w:t>in kind</w:t>
            </w:r>
            <w:r>
              <w:rPr>
                <w:rFonts w:ascii="Times New Roman" w:hAnsi="Times New Roman"/>
                <w:bCs/>
              </w:rPr>
              <w:t xml:space="preserve"> assistance. With the move to </w:t>
            </w:r>
            <w:r>
              <w:rPr>
                <w:rFonts w:ascii="Times New Roman" w:hAnsi="Times New Roman"/>
                <w:bCs/>
                <w:i/>
              </w:rPr>
              <w:t>on budget</w:t>
            </w:r>
            <w:r>
              <w:rPr>
                <w:rFonts w:ascii="Times New Roman" w:hAnsi="Times New Roman"/>
                <w:bCs/>
              </w:rPr>
              <w:t xml:space="preserve"> it is now possible to identify how real </w:t>
            </w:r>
            <w:r>
              <w:rPr>
                <w:rFonts w:ascii="Times New Roman" w:hAnsi="Times New Roman"/>
                <w:bCs/>
                <w:i/>
              </w:rPr>
              <w:t xml:space="preserve">cash </w:t>
            </w:r>
            <w:r>
              <w:rPr>
                <w:rFonts w:ascii="Times New Roman" w:hAnsi="Times New Roman"/>
                <w:bCs/>
              </w:rPr>
              <w:t xml:space="preserve">co-resourcing can be applied. This consideration has been incorporated in the procurement model shown in Figure 30.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The reference to </w:t>
            </w:r>
            <w:r>
              <w:rPr>
                <w:rFonts w:ascii="Times New Roman" w:hAnsi="Times New Roman"/>
                <w:bCs/>
                <w:i/>
              </w:rPr>
              <w:t>on treasury</w:t>
            </w:r>
            <w:r>
              <w:rPr>
                <w:rFonts w:ascii="Times New Roman" w:hAnsi="Times New Roman"/>
                <w:bCs/>
              </w:rPr>
              <w:t xml:space="preserve"> implies that project funding will be integrated into the national budget framework administered through the Ministry of Finance and then spent and audited according to the national budget structures, regulations and guidelines. This extra step to integrate donor funding into national budget must be used by international development banks such as</w:t>
            </w:r>
            <w:r w:rsidR="000C4DDA">
              <w:rPr>
                <w:rFonts w:ascii="Times New Roman" w:hAnsi="Times New Roman"/>
                <w:bCs/>
              </w:rPr>
              <w:t xml:space="preserve"> The World Bank, IFC and THE ADB</w:t>
            </w:r>
            <w:r>
              <w:rPr>
                <w:rFonts w:ascii="Times New Roman" w:hAnsi="Times New Roman"/>
                <w:bCs/>
              </w:rPr>
              <w:t>. However, it is often found that the extra discipline involved in this step removes opportunity for flexibility w</w:t>
            </w:r>
            <w:r w:rsidR="000C4DDA">
              <w:rPr>
                <w:rFonts w:ascii="Times New Roman" w:hAnsi="Times New Roman"/>
                <w:bCs/>
              </w:rPr>
              <w:t>i</w:t>
            </w:r>
            <w:r>
              <w:rPr>
                <w:rFonts w:ascii="Times New Roman" w:hAnsi="Times New Roman"/>
                <w:bCs/>
              </w:rPr>
              <w:t xml:space="preserve">thin the Project which can be a problem where research and development requires the </w:t>
            </w:r>
            <w:r w:rsidR="00412C26">
              <w:rPr>
                <w:rFonts w:ascii="Times New Roman" w:hAnsi="Times New Roman"/>
                <w:bCs/>
              </w:rPr>
              <w:t>trialling</w:t>
            </w:r>
            <w:r>
              <w:rPr>
                <w:rFonts w:ascii="Times New Roman" w:hAnsi="Times New Roman"/>
                <w:bCs/>
              </w:rPr>
              <w:t xml:space="preserve"> of different approaches. For this reason the procurement channels shown in Figure 30 follow an </w:t>
            </w:r>
            <w:r>
              <w:rPr>
                <w:rFonts w:ascii="Times New Roman" w:hAnsi="Times New Roman"/>
                <w:bCs/>
                <w:i/>
              </w:rPr>
              <w:t xml:space="preserve">on-budget </w:t>
            </w:r>
            <w:r>
              <w:rPr>
                <w:rFonts w:ascii="Times New Roman" w:hAnsi="Times New Roman"/>
                <w:b/>
                <w:bCs/>
                <w:i/>
              </w:rPr>
              <w:t>off</w:t>
            </w:r>
            <w:r>
              <w:rPr>
                <w:rFonts w:ascii="Times New Roman" w:hAnsi="Times New Roman"/>
                <w:b/>
                <w:bCs/>
              </w:rPr>
              <w:t xml:space="preserve"> </w:t>
            </w:r>
            <w:r>
              <w:rPr>
                <w:rFonts w:ascii="Times New Roman" w:hAnsi="Times New Roman"/>
                <w:bCs/>
                <w:i/>
              </w:rPr>
              <w:t xml:space="preserve">treasury </w:t>
            </w:r>
            <w:r>
              <w:rPr>
                <w:rFonts w:ascii="Times New Roman" w:hAnsi="Times New Roman"/>
                <w:bCs/>
              </w:rPr>
              <w:t xml:space="preserve">approach for the grant funding under the GEF, while the spending by government partners is restrained by the </w:t>
            </w:r>
            <w:r>
              <w:rPr>
                <w:rFonts w:ascii="Times New Roman" w:hAnsi="Times New Roman"/>
                <w:bCs/>
                <w:i/>
              </w:rPr>
              <w:t xml:space="preserve">on treasury requirement.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Pr="000E3A99"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The affect of the model shown in Figure 30 is to ensure that the Project remains intimately connected to the core government partner funding – the Project procurement innovation – and will achieve maximum</w:t>
            </w:r>
            <w:r w:rsidR="000C4DDA">
              <w:rPr>
                <w:rFonts w:ascii="Times New Roman" w:hAnsi="Times New Roman"/>
                <w:bCs/>
              </w:rPr>
              <w:t xml:space="preserve"> impact because it provides targeted</w:t>
            </w:r>
            <w:r>
              <w:rPr>
                <w:rFonts w:ascii="Times New Roman" w:hAnsi="Times New Roman"/>
                <w:bCs/>
              </w:rPr>
              <w:t xml:space="preserve"> development assistance where it is required to support successful implementation of all government objectives shared by the GEF Proposal.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0C4DDA" w:rsidP="00D46C78">
            <w:pPr>
              <w:autoSpaceDE w:val="0"/>
              <w:autoSpaceDN w:val="0"/>
              <w:adjustRightInd w:val="0"/>
              <w:spacing w:after="0" w:line="240" w:lineRule="auto"/>
              <w:jc w:val="both"/>
              <w:rPr>
                <w:rFonts w:ascii="Times New Roman" w:hAnsi="Times New Roman"/>
                <w:bCs/>
              </w:rPr>
            </w:pPr>
            <w:r>
              <w:rPr>
                <w:rFonts w:ascii="Times New Roman" w:hAnsi="Times New Roman"/>
                <w:bCs/>
              </w:rPr>
              <w:t>Thus, in term</w:t>
            </w:r>
            <w:r w:rsidR="00D46C78">
              <w:rPr>
                <w:rFonts w:ascii="Times New Roman" w:hAnsi="Times New Roman"/>
                <w:bCs/>
              </w:rPr>
              <w:t xml:space="preserve">s of the actual investment, the Project design demonstrates an approach that will effectively and sustainably leverage in excess of $50 million dollars from a GEF Trust Fund investment of less than $10 million. Especially through Outcome 2.4 and Outcome 3.2, a model process which demonstrates how the practice of Green Economy can be achieved and up-scaled to the rest of the country, will be embedded into the core practices of government, in the expectation that this will be further reinforced in the next 5 year </w:t>
            </w:r>
            <w:r w:rsidR="00E054C5">
              <w:rPr>
                <w:rFonts w:ascii="Times New Roman" w:hAnsi="Times New Roman"/>
                <w:bCs/>
              </w:rPr>
              <w:t>M</w:t>
            </w:r>
            <w:r w:rsidR="00412C26">
              <w:rPr>
                <w:rFonts w:ascii="Times New Roman" w:hAnsi="Times New Roman"/>
                <w:bCs/>
              </w:rPr>
              <w:t>id-term</w:t>
            </w:r>
            <w:r w:rsidR="00D46C78">
              <w:rPr>
                <w:rFonts w:ascii="Times New Roman" w:hAnsi="Times New Roman"/>
                <w:bCs/>
              </w:rPr>
              <w:t xml:space="preserve"> </w:t>
            </w:r>
            <w:r w:rsidR="00E054C5">
              <w:rPr>
                <w:rFonts w:ascii="Times New Roman" w:hAnsi="Times New Roman"/>
                <w:bCs/>
              </w:rPr>
              <w:t>S</w:t>
            </w:r>
            <w:r w:rsidR="00D46C78">
              <w:rPr>
                <w:rFonts w:ascii="Times New Roman" w:hAnsi="Times New Roman"/>
                <w:bCs/>
              </w:rPr>
              <w:t xml:space="preserve">trategic Plan (RPJMN 2020-2025), and will thus continue to leverage substantial further government investment..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The value of this GEF Proposal to the Indonesian Government is demonstrated by agreement that the Coordinating Ministry for Economic Affairs will be the NEA. This agency is in the key position to direct the coordination among those ministries mandated to sustainably manage the natural resources of the country.  For this to happen effectively, a new model of supra-jurisdictional governance will be required as ultimately, for there to be effective governance over integrated natural landscapes encompassing nearly 4 million hectares, it will be essential to enforce the coordination of many local District administrations. This body is referred to in the Project Proposal as the RIMBA Management Agency. As has argued previously the timing for the Project is good as this governance requirement is </w:t>
            </w:r>
            <w:r w:rsidR="000C4DDA">
              <w:rPr>
                <w:rFonts w:ascii="Times New Roman" w:hAnsi="Times New Roman"/>
                <w:bCs/>
              </w:rPr>
              <w:t>consistent</w:t>
            </w:r>
            <w:r>
              <w:rPr>
                <w:rFonts w:ascii="Times New Roman" w:hAnsi="Times New Roman"/>
                <w:bCs/>
              </w:rPr>
              <w:t xml:space="preserve"> with the reallocation of authorities under the new regional autonomy law. It also addresses the question posed by the multi-ministerial national planning coordination board, coordinated by the Ministry for Agraria and Spatial Planning and it will thus provide a practical lead for application elsewhere in Sumatra and elsewhere in Indonesia.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The Project is designed to implement activities, on the ground, required by the RPJMN, which will maintain and build the natural capital of the central Sumatra region, improving forest connectivity and the capacity of the environment to continue to contribute environmental goods and services and retain biodiversity in support of the transformation to a Green Economy. The strategy of the Project involves a combination of technical assistance and capacity building through practical demonstrations that can be subsequently incorporated, and expanded, by the activities of government and </w:t>
            </w:r>
            <w:r w:rsidR="00412C26">
              <w:rPr>
                <w:rFonts w:ascii="Times New Roman" w:hAnsi="Times New Roman"/>
                <w:bCs/>
              </w:rPr>
              <w:t>non-government</w:t>
            </w:r>
            <w:r>
              <w:rPr>
                <w:rFonts w:ascii="Times New Roman" w:hAnsi="Times New Roman"/>
                <w:bCs/>
              </w:rPr>
              <w:t xml:space="preserve"> partners. Experience has demonstrated throughout Indonesia that even where high levels of local budget funding are available, its effectiveness in terms of reforestation is severely limited. GEF funding will provide not only incentive; but also operational R&amp;D flexibility for the project to demonstrate how committed government funding can be more efficiently and effectively used to enhance natural capital and rebuild ecosystem functions.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Recognising natural capital, the Project through Component 2 and especially through Outcome 2.4, will assist local governments in their detailed land planning, rationalizing availability of land for non-forest purposes through whole environment accounting. Through this approach the Project will assist the partner local governments to achieve the objectives of their current 5 year plans (RPJMD). Again the cash co-resourcing offered by each of the partner Provinces acknowledges the importance of these objectives, and symbolizes through real cash investment an appreciation that the project will be able to bring to them, support in capacity building they urgently require. Each Province has made it clear that they are struggling on their own with managing fire, restoring peatlands, containing illegal immigrants and managing the quality of their degrading water catchments. </w:t>
            </w:r>
          </w:p>
          <w:p w:rsidR="00D46C78" w:rsidRDefault="00D46C78" w:rsidP="00D46C78">
            <w:pPr>
              <w:autoSpaceDE w:val="0"/>
              <w:autoSpaceDN w:val="0"/>
              <w:adjustRightInd w:val="0"/>
              <w:spacing w:after="0" w:line="240" w:lineRule="auto"/>
              <w:jc w:val="both"/>
              <w:rPr>
                <w:rFonts w:ascii="Times New Roman" w:hAnsi="Times New Roman"/>
                <w:bCs/>
              </w:rPr>
            </w:pPr>
          </w:p>
          <w:p w:rsidR="00D46C78" w:rsidRDefault="00D46C78" w:rsidP="00D46C78">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Through these and other strategies, the Project will assist in a significant reduction in GHG emissions that will be sustained through an institutionalization of </w:t>
            </w:r>
            <w:r w:rsidR="000C4DDA">
              <w:rPr>
                <w:rFonts w:ascii="Times New Roman" w:hAnsi="Times New Roman"/>
                <w:bCs/>
              </w:rPr>
              <w:t>a governance</w:t>
            </w:r>
            <w:r>
              <w:rPr>
                <w:rFonts w:ascii="Times New Roman" w:hAnsi="Times New Roman"/>
                <w:bCs/>
              </w:rPr>
              <w:t xml:space="preserve"> and a management model which will continue, after the Project is completed to maximize the effectiveness of APBN and APBD and private sector investments. It will assist in the preservation of biodiversity in the region by buffering large conservation reserves and building corridors between them and it will assist in rural poverty alleviation through support for improved access to power and to forest resources among local people. </w:t>
            </w:r>
          </w:p>
          <w:p w:rsidR="004D14FE" w:rsidRPr="00E034C6" w:rsidRDefault="004D14FE" w:rsidP="0035107A">
            <w:pPr>
              <w:spacing w:after="0" w:line="240" w:lineRule="auto"/>
              <w:rPr>
                <w:rFonts w:ascii="Times New Roman" w:eastAsia="Times New Roman" w:hAnsi="Times New Roman"/>
              </w:rPr>
            </w:pPr>
          </w:p>
        </w:tc>
      </w:tr>
    </w:tbl>
    <w:p w:rsidR="0035107A" w:rsidRPr="00E034C6" w:rsidRDefault="0035107A" w:rsidP="00591870">
      <w:pPr>
        <w:rPr>
          <w:rFonts w:ascii="Times New Roman" w:eastAsia="Times New Roman" w:hAnsi="Times New Roman"/>
        </w:rPr>
      </w:pPr>
      <w:r w:rsidRPr="00E034C6">
        <w:rPr>
          <w:rFonts w:ascii="Times New Roman" w:eastAsia="Times New Roman" w:hAnsi="Times New Roman"/>
          <w:b/>
          <w:caps/>
          <w:u w:val="single"/>
        </w:rPr>
        <w:t xml:space="preserve">C.  </w:t>
      </w:r>
      <w:r w:rsidRPr="00E034C6">
        <w:rPr>
          <w:rFonts w:ascii="Times New Roman Bold" w:eastAsia="Times New Roman" w:hAnsi="Times New Roman Bold"/>
          <w:b/>
          <w:caps/>
          <w:u w:val="single"/>
        </w:rPr>
        <w:t xml:space="preserve">describe the budgeted </w:t>
      </w:r>
      <w:r w:rsidRPr="00E034C6">
        <w:rPr>
          <w:rFonts w:ascii="Times New Roman" w:eastAsia="Times New Roman" w:hAnsi="Times New Roman"/>
          <w:b/>
          <w:caps/>
          <w:u w:val="single"/>
        </w:rPr>
        <w:t>m &amp;e plan</w:t>
      </w:r>
      <w:r w:rsidRPr="00E034C6">
        <w:rPr>
          <w:rFonts w:ascii="Times New Roman" w:eastAsia="Times New Roman" w:hAnsi="Times New Roman"/>
          <w:b/>
          <w:smallCaps/>
        </w:rPr>
        <w:t>:</w:t>
      </w:r>
      <w:r w:rsidRPr="00E034C6">
        <w:rPr>
          <w:rFonts w:ascii="Times New Roman" w:eastAsia="Times New Roman" w:hAnsi="Times New Roman"/>
          <w:b/>
          <w:caps/>
        </w:rPr>
        <w:t xml:space="preserve">  </w:t>
      </w:r>
    </w:p>
    <w:p w:rsidR="00661B52" w:rsidRPr="007147D0" w:rsidRDefault="00661B52" w:rsidP="00661B52">
      <w:pPr>
        <w:autoSpaceDE w:val="0"/>
        <w:autoSpaceDN w:val="0"/>
        <w:adjustRightInd w:val="0"/>
        <w:spacing w:after="0" w:line="240" w:lineRule="auto"/>
        <w:jc w:val="both"/>
        <w:rPr>
          <w:rFonts w:ascii="TimesNewRomanPSMT" w:hAnsi="TimesNewRomanPSMT" w:cs="TimesNewRomanPSMT"/>
        </w:rPr>
      </w:pPr>
      <w:r w:rsidRPr="007147D0">
        <w:rPr>
          <w:rFonts w:ascii="TimesNewRomanPSMT" w:hAnsi="TimesNewRomanPSMT" w:cs="TimesNewRomanPSMT"/>
        </w:rPr>
        <w:t>The project will follow UNEP standard monitoring, reporting and evaluation processes and</w:t>
      </w:r>
      <w:r>
        <w:rPr>
          <w:rFonts w:ascii="TimesNewRomanPSMT" w:hAnsi="TimesNewRomanPSMT" w:cs="TimesNewRomanPSMT"/>
        </w:rPr>
        <w:t xml:space="preserve"> p</w:t>
      </w:r>
      <w:r w:rsidRPr="007147D0">
        <w:rPr>
          <w:rFonts w:ascii="TimesNewRomanPSMT" w:hAnsi="TimesNewRomanPSMT" w:cs="TimesNewRomanPSMT"/>
        </w:rPr>
        <w:t>rocedures. Substantive and financial project reporting requirements are summarized</w:t>
      </w:r>
      <w:r>
        <w:rPr>
          <w:rFonts w:ascii="TimesNewRomanPSMT" w:hAnsi="TimesNewRomanPSMT" w:cs="TimesNewRomanPSMT"/>
        </w:rPr>
        <w:t xml:space="preserve"> in Appendix 8, and M&amp;E and related reporting are explained below</w:t>
      </w:r>
      <w:r w:rsidRPr="007147D0">
        <w:rPr>
          <w:rFonts w:ascii="TimesNewRomanPSMT" w:hAnsi="TimesNewRomanPSMT" w:cs="TimesNewRomanPSMT"/>
        </w:rPr>
        <w:t xml:space="preserve">. </w:t>
      </w:r>
      <w:r>
        <w:rPr>
          <w:rFonts w:ascii="TimesNewRomanPSMT" w:hAnsi="TimesNewRomanPSMT" w:cs="TimesNewRomanPSMT"/>
        </w:rPr>
        <w:t xml:space="preserve">These </w:t>
      </w:r>
      <w:r w:rsidRPr="007147D0">
        <w:rPr>
          <w:rFonts w:ascii="TimesNewRomanPSMT" w:hAnsi="TimesNewRomanPSMT" w:cs="TimesNewRomanPSMT"/>
        </w:rPr>
        <w:t xml:space="preserve">are an integral part of the UNEP </w:t>
      </w:r>
      <w:r>
        <w:rPr>
          <w:rFonts w:ascii="TimesNewRomanPSMT" w:hAnsi="TimesNewRomanPSMT" w:cs="TimesNewRomanPSMT"/>
        </w:rPr>
        <w:t>L</w:t>
      </w:r>
      <w:r w:rsidRPr="007147D0">
        <w:rPr>
          <w:rFonts w:ascii="TimesNewRomanPSMT" w:hAnsi="TimesNewRomanPSMT" w:cs="TimesNewRomanPSMT"/>
        </w:rPr>
        <w:t>egal</w:t>
      </w:r>
      <w:r>
        <w:rPr>
          <w:rFonts w:ascii="TimesNewRomanPSMT" w:hAnsi="TimesNewRomanPSMT" w:cs="TimesNewRomanPSMT"/>
        </w:rPr>
        <w:t xml:space="preserve"> </w:t>
      </w:r>
      <w:r w:rsidRPr="007147D0">
        <w:rPr>
          <w:rFonts w:ascii="TimesNewRomanPSMT" w:hAnsi="TimesNewRomanPSMT" w:cs="TimesNewRomanPSMT"/>
        </w:rPr>
        <w:t xml:space="preserve">Instrument to be signed by </w:t>
      </w:r>
      <w:r>
        <w:rPr>
          <w:rFonts w:ascii="TimesNewRomanPSMT" w:hAnsi="TimesNewRomanPSMT" w:cs="TimesNewRomanPSMT"/>
        </w:rPr>
        <w:t xml:space="preserve">Coordinating Ministry of Economic Affairs - </w:t>
      </w:r>
      <w:r w:rsidRPr="007147D0">
        <w:rPr>
          <w:rFonts w:ascii="TimesNewRomanPSMT" w:hAnsi="TimesNewRomanPSMT" w:cs="TimesNewRomanPSMT"/>
        </w:rPr>
        <w:t xml:space="preserve">the </w:t>
      </w:r>
      <w:r>
        <w:rPr>
          <w:rFonts w:ascii="TimesNewRomanPSMT" w:hAnsi="TimesNewRomanPSMT" w:cs="TimesNewRomanPSMT"/>
        </w:rPr>
        <w:t>National E</w:t>
      </w:r>
      <w:r w:rsidRPr="007147D0">
        <w:rPr>
          <w:rFonts w:ascii="TimesNewRomanPSMT" w:hAnsi="TimesNewRomanPSMT" w:cs="TimesNewRomanPSMT"/>
        </w:rPr>
        <w:t xml:space="preserve">xecuting </w:t>
      </w:r>
      <w:r>
        <w:rPr>
          <w:rFonts w:ascii="TimesNewRomanPSMT" w:hAnsi="TimesNewRomanPSMT" w:cs="TimesNewRomanPSMT"/>
        </w:rPr>
        <w:t>A</w:t>
      </w:r>
      <w:r w:rsidRPr="007147D0">
        <w:rPr>
          <w:rFonts w:ascii="TimesNewRomanPSMT" w:hAnsi="TimesNewRomanPSMT" w:cs="TimesNewRomanPSMT"/>
        </w:rPr>
        <w:t>gency and UNEP.</w:t>
      </w:r>
    </w:p>
    <w:p w:rsidR="00661B52" w:rsidRPr="007147D0" w:rsidRDefault="00661B52" w:rsidP="00661B52">
      <w:pPr>
        <w:autoSpaceDE w:val="0"/>
        <w:autoSpaceDN w:val="0"/>
        <w:adjustRightInd w:val="0"/>
        <w:spacing w:after="0" w:line="240" w:lineRule="auto"/>
        <w:ind w:left="450" w:right="206"/>
        <w:jc w:val="both"/>
        <w:rPr>
          <w:rFonts w:ascii="TimesNewRomanPSMT" w:hAnsi="TimesNewRomanPSMT" w:cs="TimesNewRomanPSMT"/>
        </w:rPr>
      </w:pPr>
    </w:p>
    <w:p w:rsidR="00661B52" w:rsidRPr="007147D0" w:rsidRDefault="00661B52" w:rsidP="00661B52">
      <w:pPr>
        <w:autoSpaceDE w:val="0"/>
        <w:autoSpaceDN w:val="0"/>
        <w:adjustRightInd w:val="0"/>
        <w:spacing w:after="0" w:line="240" w:lineRule="auto"/>
        <w:jc w:val="both"/>
        <w:rPr>
          <w:rFonts w:ascii="TimesNewRomanPSMT" w:hAnsi="TimesNewRomanPSMT" w:cs="TimesNewRomanPSMT"/>
        </w:rPr>
      </w:pPr>
      <w:r w:rsidRPr="007147D0">
        <w:rPr>
          <w:rFonts w:ascii="TimesNewRomanPSMT" w:hAnsi="TimesNewRomanPSMT" w:cs="TimesNewRomanPSMT"/>
        </w:rPr>
        <w:t>The project M&amp;E plan is consistent with the GEF Monitoring and Evaluation policy. The</w:t>
      </w:r>
      <w:r>
        <w:rPr>
          <w:rFonts w:ascii="TimesNewRomanPSMT" w:hAnsi="TimesNewRomanPSMT" w:cs="TimesNewRomanPSMT"/>
        </w:rPr>
        <w:t xml:space="preserve"> </w:t>
      </w:r>
      <w:r w:rsidRPr="007147D0">
        <w:rPr>
          <w:rFonts w:ascii="TimesNewRomanPSMT" w:hAnsi="TimesNewRomanPSMT" w:cs="TimesNewRomanPSMT"/>
        </w:rPr>
        <w:t xml:space="preserve">Project Results Framework presented in </w:t>
      </w:r>
      <w:r w:rsidRPr="004E5A9B">
        <w:rPr>
          <w:rFonts w:ascii="Times New Roman" w:hAnsi="Times New Roman"/>
          <w:bCs/>
        </w:rPr>
        <w:t>Appendix 4</w:t>
      </w:r>
      <w:r w:rsidRPr="007147D0">
        <w:rPr>
          <w:rFonts w:ascii="Times New Roman" w:hAnsi="Times New Roman"/>
          <w:b/>
          <w:bCs/>
        </w:rPr>
        <w:t xml:space="preserve"> </w:t>
      </w:r>
      <w:r w:rsidR="0071100E">
        <w:rPr>
          <w:rFonts w:ascii="Times New Roman" w:hAnsi="Times New Roman"/>
          <w:b/>
          <w:bCs/>
        </w:rPr>
        <w:t xml:space="preserve">of ProDoc </w:t>
      </w:r>
      <w:r w:rsidRPr="007147D0">
        <w:rPr>
          <w:rFonts w:ascii="TimesNewRomanPSMT" w:hAnsi="TimesNewRomanPSMT" w:cs="TimesNewRomanPSMT"/>
        </w:rPr>
        <w:t>includes SMART indicators for each</w:t>
      </w:r>
      <w:r>
        <w:rPr>
          <w:rFonts w:ascii="TimesNewRomanPSMT" w:hAnsi="TimesNewRomanPSMT" w:cs="TimesNewRomanPSMT"/>
        </w:rPr>
        <w:t xml:space="preserve"> </w:t>
      </w:r>
      <w:r w:rsidRPr="007147D0">
        <w:rPr>
          <w:rFonts w:ascii="TimesNewRomanPSMT" w:hAnsi="TimesNewRomanPSMT" w:cs="TimesNewRomanPSMT"/>
        </w:rPr>
        <w:t>expected outcome as well as mid-term and end-of-project targets. These indicators along with</w:t>
      </w:r>
      <w:r>
        <w:rPr>
          <w:rFonts w:ascii="TimesNewRomanPSMT" w:hAnsi="TimesNewRomanPSMT" w:cs="TimesNewRomanPSMT"/>
        </w:rPr>
        <w:t xml:space="preserve"> </w:t>
      </w:r>
      <w:r w:rsidRPr="007147D0">
        <w:rPr>
          <w:rFonts w:ascii="TimesNewRomanPSMT" w:hAnsi="TimesNewRomanPSMT" w:cs="TimesNewRomanPSMT"/>
        </w:rPr>
        <w:t xml:space="preserve">the key deliverables and benchmarks included in </w:t>
      </w:r>
      <w:r w:rsidRPr="004E5A9B">
        <w:rPr>
          <w:rFonts w:ascii="Times New Roman" w:hAnsi="Times New Roman"/>
          <w:bCs/>
        </w:rPr>
        <w:t>Appendix 6</w:t>
      </w:r>
      <w:r w:rsidRPr="007147D0">
        <w:rPr>
          <w:rFonts w:ascii="Times New Roman" w:hAnsi="Times New Roman"/>
          <w:b/>
          <w:bCs/>
        </w:rPr>
        <w:t xml:space="preserve"> </w:t>
      </w:r>
      <w:r w:rsidRPr="007147D0">
        <w:rPr>
          <w:rFonts w:ascii="TimesNewRomanPSMT" w:hAnsi="TimesNewRomanPSMT" w:cs="TimesNewRomanPSMT"/>
        </w:rPr>
        <w:t>will be the main tools for</w:t>
      </w:r>
      <w:r>
        <w:rPr>
          <w:rFonts w:ascii="TimesNewRomanPSMT" w:hAnsi="TimesNewRomanPSMT" w:cs="TimesNewRomanPSMT"/>
        </w:rPr>
        <w:t xml:space="preserve"> </w:t>
      </w:r>
      <w:r w:rsidRPr="007147D0">
        <w:rPr>
          <w:rFonts w:ascii="TimesNewRomanPSMT" w:hAnsi="TimesNewRomanPSMT" w:cs="TimesNewRomanPSMT"/>
        </w:rPr>
        <w:t>assessing project implementation progress and whether results are being achieved, as well the</w:t>
      </w:r>
      <w:r>
        <w:rPr>
          <w:rFonts w:ascii="TimesNewRomanPSMT" w:hAnsi="TimesNewRomanPSMT" w:cs="TimesNewRomanPSMT"/>
        </w:rPr>
        <w:t xml:space="preserve"> </w:t>
      </w:r>
      <w:r w:rsidRPr="007147D0">
        <w:rPr>
          <w:rFonts w:ascii="TimesNewRomanPSMT" w:hAnsi="TimesNewRomanPSMT" w:cs="TimesNewRomanPSMT"/>
        </w:rPr>
        <w:t>consolidated project impacts. The means of verification and the costs associated with obtaining</w:t>
      </w:r>
      <w:r>
        <w:rPr>
          <w:rFonts w:ascii="TimesNewRomanPSMT" w:hAnsi="TimesNewRomanPSMT" w:cs="TimesNewRomanPSMT"/>
        </w:rPr>
        <w:t xml:space="preserve"> </w:t>
      </w:r>
      <w:r w:rsidRPr="007147D0">
        <w:rPr>
          <w:rFonts w:ascii="TimesNewRomanPSMT" w:hAnsi="TimesNewRomanPSMT" w:cs="TimesNewRomanPSMT"/>
        </w:rPr>
        <w:t xml:space="preserve">information to track the indicators are summarized in </w:t>
      </w:r>
      <w:r w:rsidRPr="004E5A9B">
        <w:rPr>
          <w:rFonts w:ascii="Times New Roman" w:hAnsi="Times New Roman"/>
          <w:bCs/>
        </w:rPr>
        <w:t>Appendix 7</w:t>
      </w:r>
      <w:r w:rsidRPr="007147D0">
        <w:rPr>
          <w:rFonts w:ascii="Times New Roman" w:hAnsi="Times New Roman"/>
          <w:b/>
          <w:bCs/>
        </w:rPr>
        <w:t xml:space="preserve"> </w:t>
      </w:r>
      <w:r w:rsidRPr="007147D0">
        <w:rPr>
          <w:rFonts w:ascii="TimesNewRomanPSMT" w:hAnsi="TimesNewRomanPSMT" w:cs="TimesNewRomanPSMT"/>
        </w:rPr>
        <w:t>- Costed M&amp;E Plan and</w:t>
      </w:r>
      <w:r>
        <w:rPr>
          <w:rFonts w:ascii="TimesNewRomanPSMT" w:hAnsi="TimesNewRomanPSMT" w:cs="TimesNewRomanPSMT"/>
        </w:rPr>
        <w:t xml:space="preserve"> is</w:t>
      </w:r>
      <w:r w:rsidRPr="007147D0">
        <w:rPr>
          <w:rFonts w:ascii="TimesNewRomanPSMT" w:hAnsi="TimesNewRomanPSMT" w:cs="TimesNewRomanPSMT"/>
        </w:rPr>
        <w:t xml:space="preserve"> fully integrated in the overall project budget.</w:t>
      </w:r>
    </w:p>
    <w:p w:rsidR="00661B52" w:rsidRPr="007147D0" w:rsidRDefault="00661B52" w:rsidP="00661B52">
      <w:pPr>
        <w:autoSpaceDE w:val="0"/>
        <w:autoSpaceDN w:val="0"/>
        <w:adjustRightInd w:val="0"/>
        <w:spacing w:after="0" w:line="240" w:lineRule="auto"/>
        <w:jc w:val="both"/>
        <w:rPr>
          <w:rFonts w:ascii="TimesNewRomanPSMT" w:hAnsi="TimesNewRomanPSMT" w:cs="TimesNewRomanPSMT"/>
        </w:rPr>
      </w:pPr>
    </w:p>
    <w:p w:rsidR="00661B52" w:rsidRDefault="00661B52" w:rsidP="00661B52">
      <w:pPr>
        <w:pStyle w:val="NumberedParas"/>
        <w:numPr>
          <w:ilvl w:val="0"/>
          <w:numId w:val="0"/>
        </w:numPr>
        <w:rPr>
          <w:noProof/>
          <w:sz w:val="22"/>
        </w:rPr>
      </w:pPr>
      <w:r w:rsidRPr="007147D0">
        <w:rPr>
          <w:noProof/>
          <w:sz w:val="22"/>
        </w:rPr>
        <w:t>The M&amp;E plan includes</w:t>
      </w:r>
      <w:r>
        <w:rPr>
          <w:noProof/>
          <w:sz w:val="22"/>
        </w:rPr>
        <w:t>:</w:t>
      </w:r>
      <w:r w:rsidRPr="007147D0">
        <w:rPr>
          <w:noProof/>
          <w:sz w:val="22"/>
        </w:rPr>
        <w:t xml:space="preserve"> inception </w:t>
      </w:r>
      <w:r>
        <w:rPr>
          <w:noProof/>
          <w:sz w:val="22"/>
        </w:rPr>
        <w:t xml:space="preserve">workshop &amp; </w:t>
      </w:r>
      <w:r w:rsidRPr="007147D0">
        <w:rPr>
          <w:noProof/>
          <w:sz w:val="22"/>
        </w:rPr>
        <w:t xml:space="preserve">report, </w:t>
      </w:r>
      <w:r>
        <w:rPr>
          <w:noProof/>
          <w:sz w:val="22"/>
        </w:rPr>
        <w:t xml:space="preserve">project impact assessment and reporting (logframe), </w:t>
      </w:r>
      <w:r w:rsidRPr="007147D0">
        <w:rPr>
          <w:noProof/>
          <w:sz w:val="22"/>
        </w:rPr>
        <w:t xml:space="preserve">project implementation reviews, </w:t>
      </w:r>
      <w:r>
        <w:rPr>
          <w:noProof/>
          <w:sz w:val="22"/>
        </w:rPr>
        <w:t xml:space="preserve">semi-annual progress </w:t>
      </w:r>
      <w:r w:rsidRPr="007147D0">
        <w:rPr>
          <w:noProof/>
          <w:sz w:val="22"/>
        </w:rPr>
        <w:t xml:space="preserve">reports, </w:t>
      </w:r>
      <w:r>
        <w:rPr>
          <w:noProof/>
          <w:sz w:val="22"/>
        </w:rPr>
        <w:t xml:space="preserve">GEF tracking tools, </w:t>
      </w:r>
      <w:r w:rsidRPr="007147D0">
        <w:rPr>
          <w:noProof/>
          <w:sz w:val="22"/>
        </w:rPr>
        <w:t xml:space="preserve">a mid-term and </w:t>
      </w:r>
      <w:r>
        <w:rPr>
          <w:noProof/>
          <w:sz w:val="22"/>
        </w:rPr>
        <w:t xml:space="preserve">a </w:t>
      </w:r>
      <w:r w:rsidRPr="007147D0">
        <w:rPr>
          <w:noProof/>
          <w:sz w:val="22"/>
        </w:rPr>
        <w:t xml:space="preserve">final evaluation. The following sections outline the principal components of the Monitoring and Evaluation Plan and indicative cost estimates related to M&amp;E activities. The project's Monitoring and Evaluation Plan will be presented and finalized in the Project's Inception </w:t>
      </w:r>
      <w:r>
        <w:rPr>
          <w:noProof/>
          <w:sz w:val="22"/>
        </w:rPr>
        <w:t xml:space="preserve">Workshop (and Report) </w:t>
      </w:r>
      <w:r w:rsidRPr="007147D0">
        <w:rPr>
          <w:noProof/>
          <w:sz w:val="22"/>
        </w:rPr>
        <w:t xml:space="preserve"> following fine-tuning of indicators, means of verification, and the full definition of project staff M&amp;E responsibilities.</w:t>
      </w:r>
      <w:r>
        <w:rPr>
          <w:noProof/>
          <w:sz w:val="22"/>
        </w:rPr>
        <w:t xml:space="preserve"> </w:t>
      </w:r>
    </w:p>
    <w:p w:rsidR="00661B52" w:rsidRDefault="00661B52" w:rsidP="00661B52">
      <w:pPr>
        <w:pStyle w:val="NumberedParas"/>
        <w:numPr>
          <w:ilvl w:val="0"/>
          <w:numId w:val="0"/>
        </w:numPr>
        <w:rPr>
          <w:noProof/>
          <w:sz w:val="22"/>
        </w:rPr>
      </w:pPr>
    </w:p>
    <w:p w:rsidR="00661B52" w:rsidRDefault="00661B52" w:rsidP="00661B52">
      <w:pPr>
        <w:pStyle w:val="NumberedParas"/>
        <w:numPr>
          <w:ilvl w:val="0"/>
          <w:numId w:val="0"/>
        </w:numPr>
        <w:rPr>
          <w:noProof/>
          <w:sz w:val="22"/>
        </w:rPr>
      </w:pPr>
      <w:r>
        <w:rPr>
          <w:noProof/>
          <w:sz w:val="22"/>
        </w:rPr>
        <w:t xml:space="preserve">The following is a brief summary of the critical stages in the project supporting M&amp;E. </w:t>
      </w:r>
    </w:p>
    <w:p w:rsidR="00661B52" w:rsidRDefault="00661B52" w:rsidP="00661B52">
      <w:pPr>
        <w:pStyle w:val="NumberedParas"/>
        <w:numPr>
          <w:ilvl w:val="0"/>
          <w:numId w:val="0"/>
        </w:numPr>
        <w:rPr>
          <w:noProof/>
          <w:sz w:val="22"/>
        </w:rPr>
      </w:pPr>
    </w:p>
    <w:p w:rsidR="00661B52" w:rsidRDefault="00661B52" w:rsidP="00DF4453">
      <w:pPr>
        <w:pStyle w:val="NumberedParas"/>
        <w:numPr>
          <w:ilvl w:val="0"/>
          <w:numId w:val="8"/>
        </w:numPr>
        <w:ind w:left="360"/>
        <w:rPr>
          <w:noProof/>
          <w:sz w:val="22"/>
        </w:rPr>
      </w:pPr>
      <w:r w:rsidRPr="00254FE5">
        <w:rPr>
          <w:noProof/>
          <w:sz w:val="22"/>
        </w:rPr>
        <w:t xml:space="preserve">A </w:t>
      </w:r>
      <w:r w:rsidRPr="00254FE5">
        <w:rPr>
          <w:b/>
          <w:i/>
          <w:noProof/>
          <w:sz w:val="22"/>
        </w:rPr>
        <w:t>Project Inception Workshop</w:t>
      </w:r>
      <w:r w:rsidRPr="00254FE5">
        <w:rPr>
          <w:noProof/>
          <w:sz w:val="22"/>
        </w:rPr>
        <w:t xml:space="preserve"> will be held </w:t>
      </w:r>
      <w:r w:rsidRPr="00254FE5">
        <w:rPr>
          <w:noProof/>
          <w:sz w:val="22"/>
          <w:u w:val="single"/>
        </w:rPr>
        <w:t>within the first 3 months</w:t>
      </w:r>
      <w:r w:rsidRPr="00254FE5">
        <w:rPr>
          <w:noProof/>
          <w:sz w:val="22"/>
        </w:rPr>
        <w:t xml:space="preserve"> of project start with those with assigned roles in the project organization structure, UNEP Regional Office and where appropriate/feasible regional technical policy and programme advisors as well as other stakeholders.  The Inception Workshop is crucial to building ownership for the project results and to plan the first year annual work plan. </w:t>
      </w:r>
    </w:p>
    <w:p w:rsidR="00661B52" w:rsidRPr="00254FE5" w:rsidRDefault="00661B52" w:rsidP="00661B52">
      <w:pPr>
        <w:pStyle w:val="NumberedParas"/>
        <w:numPr>
          <w:ilvl w:val="0"/>
          <w:numId w:val="0"/>
        </w:numPr>
        <w:rPr>
          <w:noProof/>
          <w:sz w:val="22"/>
        </w:rPr>
      </w:pPr>
    </w:p>
    <w:p w:rsidR="00661B52" w:rsidRPr="00254FE5" w:rsidRDefault="00661B52" w:rsidP="00661B52">
      <w:pPr>
        <w:pStyle w:val="NumberedParas"/>
        <w:numPr>
          <w:ilvl w:val="0"/>
          <w:numId w:val="0"/>
        </w:numPr>
        <w:ind w:left="360"/>
        <w:rPr>
          <w:noProof/>
          <w:sz w:val="22"/>
        </w:rPr>
      </w:pPr>
      <w:r w:rsidRPr="00254FE5">
        <w:rPr>
          <w:noProof/>
          <w:sz w:val="22"/>
        </w:rPr>
        <w:t>The Inception Workshop should achieve the following key steps:</w:t>
      </w:r>
    </w:p>
    <w:p w:rsidR="00661B52" w:rsidRDefault="00661B52" w:rsidP="00DF445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noProof/>
        </w:rPr>
      </w:pPr>
      <w:r w:rsidRPr="00254FE5">
        <w:rPr>
          <w:rFonts w:ascii="Times New Roman" w:hAnsi="Times New Roman"/>
          <w:noProof/>
        </w:rPr>
        <w:t xml:space="preserve">Assist all partners to fully understand and </w:t>
      </w:r>
      <w:r w:rsidR="00524B1F">
        <w:rPr>
          <w:rFonts w:ascii="Times New Roman" w:hAnsi="Times New Roman"/>
          <w:noProof/>
        </w:rPr>
        <w:t>reconfirm</w:t>
      </w:r>
      <w:r w:rsidRPr="00254FE5">
        <w:rPr>
          <w:rFonts w:ascii="Times New Roman" w:hAnsi="Times New Roman"/>
          <w:noProof/>
        </w:rPr>
        <w:t xml:space="preserve"> ownership of the project. Detail the roles, support services and complementary responsibilities of UNEP Regional Office in Bangkok staff vis à vis the project team.  Discuss the roles, functions, and responsibilities within the project's decision-making structures, including reporting and communication lines, and conflict resolution mechanisms. The Terms of Reference for project staff will be discussed again as needed.</w:t>
      </w:r>
    </w:p>
    <w:p w:rsidR="00661B52" w:rsidRDefault="00661B52" w:rsidP="00DF445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noProof/>
        </w:rPr>
      </w:pPr>
      <w:r>
        <w:rPr>
          <w:rFonts w:ascii="Times New Roman" w:hAnsi="Times New Roman"/>
          <w:noProof/>
        </w:rPr>
        <w:t>Discuss sub-contracting, partnership and co-funding in more detail.</w:t>
      </w:r>
    </w:p>
    <w:p w:rsidR="00661B52" w:rsidRDefault="00661B52" w:rsidP="00DF445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noProof/>
        </w:rPr>
      </w:pPr>
      <w:r w:rsidRPr="00254FE5">
        <w:rPr>
          <w:rFonts w:ascii="Times New Roman" w:hAnsi="Times New Roman"/>
          <w:noProof/>
        </w:rPr>
        <w:t xml:space="preserve">Based on the project results framework and the relevant GEF Tracking Tool if appropriate, finalize the first </w:t>
      </w:r>
      <w:r>
        <w:rPr>
          <w:rFonts w:ascii="Times New Roman" w:hAnsi="Times New Roman"/>
          <w:noProof/>
        </w:rPr>
        <w:t xml:space="preserve">detailed </w:t>
      </w:r>
      <w:r w:rsidRPr="00254FE5">
        <w:rPr>
          <w:rFonts w:ascii="Times New Roman" w:hAnsi="Times New Roman"/>
          <w:noProof/>
        </w:rPr>
        <w:t xml:space="preserve">annual work plan.  Review and agree on the indicators, targets and their means of verification, and recheck assumptions and risks.  </w:t>
      </w:r>
    </w:p>
    <w:p w:rsidR="00661B52" w:rsidRDefault="00661B52" w:rsidP="00DF445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noProof/>
        </w:rPr>
      </w:pPr>
      <w:r w:rsidRPr="00254FE5">
        <w:rPr>
          <w:rFonts w:ascii="Times New Roman" w:hAnsi="Times New Roman"/>
          <w:noProof/>
        </w:rPr>
        <w:t xml:space="preserve">Provide a detailed overview of reporting, monitoring and evaluation (M&amp;E) requirements.  The Monitoring and Evaluation work plan and budget should be agreed and scheduled. </w:t>
      </w:r>
    </w:p>
    <w:p w:rsidR="00661B52" w:rsidRDefault="00661B52" w:rsidP="00DF445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noProof/>
        </w:rPr>
      </w:pPr>
      <w:r w:rsidRPr="00254FE5">
        <w:rPr>
          <w:rFonts w:ascii="Times New Roman" w:hAnsi="Times New Roman"/>
          <w:noProof/>
        </w:rPr>
        <w:t>Discuss financial reporting procedures and obligations, and arrangements for annual audit.</w:t>
      </w:r>
    </w:p>
    <w:p w:rsidR="00661B52" w:rsidRDefault="00661B52" w:rsidP="00DF445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noProof/>
        </w:rPr>
      </w:pPr>
      <w:r>
        <w:rPr>
          <w:rFonts w:ascii="Times New Roman" w:hAnsi="Times New Roman"/>
          <w:noProof/>
        </w:rPr>
        <w:t>Confirm its membership, and p</w:t>
      </w:r>
      <w:r w:rsidRPr="00254FE5">
        <w:rPr>
          <w:rFonts w:ascii="Times New Roman" w:hAnsi="Times New Roman"/>
          <w:noProof/>
        </w:rPr>
        <w:t xml:space="preserve">lan and schedule </w:t>
      </w:r>
      <w:r>
        <w:rPr>
          <w:rFonts w:ascii="Times New Roman" w:hAnsi="Times New Roman"/>
          <w:noProof/>
        </w:rPr>
        <w:t>the National Steering Committee</w:t>
      </w:r>
      <w:r w:rsidRPr="00254FE5">
        <w:rPr>
          <w:rFonts w:ascii="Times New Roman" w:hAnsi="Times New Roman"/>
          <w:noProof/>
        </w:rPr>
        <w:t xml:space="preserve"> meetings.  Roles and responsibilities of all project organisation structures should be clarified and meetings planned.  The first </w:t>
      </w:r>
      <w:r>
        <w:rPr>
          <w:rFonts w:ascii="Times New Roman" w:hAnsi="Times New Roman"/>
          <w:noProof/>
        </w:rPr>
        <w:t>NSC</w:t>
      </w:r>
      <w:r w:rsidRPr="00254FE5">
        <w:rPr>
          <w:rFonts w:ascii="Times New Roman" w:hAnsi="Times New Roman"/>
          <w:noProof/>
        </w:rPr>
        <w:t xml:space="preserve"> meeting should be held </w:t>
      </w:r>
      <w:r w:rsidRPr="00254FE5">
        <w:rPr>
          <w:rFonts w:ascii="Times New Roman" w:hAnsi="Times New Roman"/>
          <w:noProof/>
          <w:u w:val="single"/>
        </w:rPr>
        <w:t>within the first 12 months</w:t>
      </w:r>
      <w:r w:rsidRPr="00254FE5">
        <w:rPr>
          <w:rFonts w:ascii="Times New Roman" w:hAnsi="Times New Roman"/>
          <w:noProof/>
        </w:rPr>
        <w:t xml:space="preserve"> following the inception workshop.</w:t>
      </w:r>
    </w:p>
    <w:p w:rsidR="00661B52" w:rsidRPr="00254FE5" w:rsidRDefault="00661B52" w:rsidP="00661B52">
      <w:pPr>
        <w:pStyle w:val="NumberedParas"/>
        <w:numPr>
          <w:ilvl w:val="0"/>
          <w:numId w:val="0"/>
        </w:numPr>
        <w:ind w:left="720"/>
        <w:rPr>
          <w:rFonts w:eastAsiaTheme="minorEastAsia"/>
          <w:noProof/>
          <w:sz w:val="22"/>
          <w:lang w:val="en-US"/>
        </w:rPr>
      </w:pPr>
    </w:p>
    <w:p w:rsidR="00661B52" w:rsidRDefault="00661B52" w:rsidP="00E30EE0">
      <w:pPr>
        <w:pStyle w:val="NumberedParas"/>
        <w:numPr>
          <w:ilvl w:val="0"/>
          <w:numId w:val="8"/>
        </w:numPr>
        <w:spacing w:after="120"/>
        <w:ind w:left="357" w:hanging="357"/>
        <w:rPr>
          <w:noProof/>
          <w:sz w:val="22"/>
        </w:rPr>
      </w:pPr>
      <w:r w:rsidRPr="00254FE5">
        <w:rPr>
          <w:noProof/>
          <w:sz w:val="22"/>
        </w:rPr>
        <w:t xml:space="preserve">An </w:t>
      </w:r>
      <w:r w:rsidRPr="00254FE5">
        <w:rPr>
          <w:b/>
          <w:i/>
          <w:noProof/>
          <w:sz w:val="22"/>
        </w:rPr>
        <w:t>Inception Workshop report</w:t>
      </w:r>
      <w:r w:rsidRPr="00254FE5">
        <w:rPr>
          <w:noProof/>
          <w:sz w:val="22"/>
        </w:rPr>
        <w:t xml:space="preserve"> is a key reference document to be prepared and shared with participants to formalize various agreements and pla</w:t>
      </w:r>
      <w:r w:rsidR="00802016">
        <w:rPr>
          <w:noProof/>
          <w:sz w:val="22"/>
        </w:rPr>
        <w:t>ns decided during the meeting.</w:t>
      </w:r>
    </w:p>
    <w:p w:rsidR="00802016" w:rsidRPr="00802016" w:rsidRDefault="00802016" w:rsidP="00E30EE0">
      <w:pPr>
        <w:pStyle w:val="NumberedParas"/>
        <w:numPr>
          <w:ilvl w:val="0"/>
          <w:numId w:val="8"/>
        </w:numPr>
        <w:spacing w:after="120"/>
        <w:ind w:left="357" w:hanging="357"/>
        <w:rPr>
          <w:noProof/>
          <w:sz w:val="22"/>
        </w:rPr>
      </w:pPr>
      <w:r w:rsidRPr="00802016">
        <w:rPr>
          <w:noProof/>
          <w:sz w:val="22"/>
        </w:rPr>
        <w:t>Semi-Annual Progress Reports will be prepared by the PMU and formally submitted by the NEA to UNEP, and shared with the Project Steering Committee The SA Reports will follow standard templates of UNEP, but at a minimum should address:</w:t>
      </w:r>
    </w:p>
    <w:p w:rsidR="00661B52" w:rsidRDefault="00661B52" w:rsidP="00DF4453">
      <w:pPr>
        <w:pStyle w:val="NumberedParas"/>
        <w:numPr>
          <w:ilvl w:val="1"/>
          <w:numId w:val="10"/>
        </w:numPr>
        <w:ind w:left="720"/>
        <w:rPr>
          <w:noProof/>
          <w:sz w:val="22"/>
        </w:rPr>
      </w:pPr>
      <w:r w:rsidRPr="00254FE5">
        <w:rPr>
          <w:noProof/>
          <w:sz w:val="22"/>
        </w:rPr>
        <w:t>project progress against pre-defined indicators and targets</w:t>
      </w:r>
    </w:p>
    <w:p w:rsidR="00661B52" w:rsidRDefault="00661B52" w:rsidP="00DF4453">
      <w:pPr>
        <w:pStyle w:val="NumberedParas"/>
        <w:numPr>
          <w:ilvl w:val="1"/>
          <w:numId w:val="10"/>
        </w:numPr>
        <w:ind w:left="720"/>
        <w:rPr>
          <w:noProof/>
          <w:sz w:val="22"/>
        </w:rPr>
      </w:pPr>
      <w:r w:rsidRPr="00254FE5">
        <w:rPr>
          <w:noProof/>
          <w:sz w:val="22"/>
        </w:rPr>
        <w:t>outcome performance</w:t>
      </w:r>
    </w:p>
    <w:p w:rsidR="00661B52" w:rsidRDefault="00661B52" w:rsidP="00DF4453">
      <w:pPr>
        <w:pStyle w:val="NumberedParas"/>
        <w:numPr>
          <w:ilvl w:val="1"/>
          <w:numId w:val="10"/>
        </w:numPr>
        <w:ind w:left="720"/>
        <w:rPr>
          <w:noProof/>
          <w:sz w:val="22"/>
        </w:rPr>
      </w:pPr>
      <w:r w:rsidRPr="00254FE5">
        <w:rPr>
          <w:noProof/>
          <w:sz w:val="22"/>
        </w:rPr>
        <w:t>project risks and issues;</w:t>
      </w:r>
    </w:p>
    <w:p w:rsidR="00661B52" w:rsidRDefault="00661B52" w:rsidP="00DF4453">
      <w:pPr>
        <w:pStyle w:val="NumberedParas"/>
        <w:numPr>
          <w:ilvl w:val="1"/>
          <w:numId w:val="10"/>
        </w:numPr>
        <w:ind w:left="720"/>
        <w:rPr>
          <w:noProof/>
          <w:sz w:val="22"/>
        </w:rPr>
      </w:pPr>
      <w:r>
        <w:rPr>
          <w:noProof/>
          <w:sz w:val="22"/>
        </w:rPr>
        <w:t>lessons learned &amp; best practices</w:t>
      </w:r>
    </w:p>
    <w:p w:rsidR="00661B52" w:rsidRDefault="00661B52" w:rsidP="00DF4453">
      <w:pPr>
        <w:pStyle w:val="NumberedParas"/>
        <w:numPr>
          <w:ilvl w:val="1"/>
          <w:numId w:val="10"/>
        </w:numPr>
        <w:ind w:left="720"/>
        <w:rPr>
          <w:noProof/>
          <w:sz w:val="22"/>
        </w:rPr>
      </w:pPr>
      <w:r>
        <w:rPr>
          <w:noProof/>
          <w:sz w:val="22"/>
        </w:rPr>
        <w:t xml:space="preserve">project perfomance and progress issues, and suggested mitigation, </w:t>
      </w:r>
      <w:r w:rsidRPr="00EF79D9">
        <w:rPr>
          <w:noProof/>
          <w:sz w:val="22"/>
        </w:rPr>
        <w:t xml:space="preserve">and </w:t>
      </w:r>
    </w:p>
    <w:p w:rsidR="00661B52" w:rsidRDefault="00661B52" w:rsidP="00DF4453">
      <w:pPr>
        <w:pStyle w:val="NumberedParas"/>
        <w:numPr>
          <w:ilvl w:val="1"/>
          <w:numId w:val="10"/>
        </w:numPr>
        <w:ind w:left="720"/>
        <w:rPr>
          <w:noProof/>
          <w:sz w:val="22"/>
        </w:rPr>
      </w:pPr>
      <w:r>
        <w:rPr>
          <w:noProof/>
          <w:sz w:val="22"/>
        </w:rPr>
        <w:t>key activities and deliverables for the next reporting period</w:t>
      </w:r>
      <w:r w:rsidRPr="00254FE5">
        <w:rPr>
          <w:noProof/>
          <w:sz w:val="22"/>
        </w:rPr>
        <w:t>.</w:t>
      </w:r>
    </w:p>
    <w:p w:rsidR="00661B52" w:rsidRPr="00254FE5" w:rsidRDefault="00661B52" w:rsidP="00661B52">
      <w:pPr>
        <w:pStyle w:val="NumberedParas"/>
        <w:numPr>
          <w:ilvl w:val="0"/>
          <w:numId w:val="0"/>
        </w:numPr>
        <w:ind w:left="1440"/>
        <w:rPr>
          <w:noProof/>
          <w:sz w:val="22"/>
        </w:rPr>
      </w:pPr>
    </w:p>
    <w:p w:rsidR="00661B52" w:rsidRDefault="00661B52" w:rsidP="00DF4453">
      <w:pPr>
        <w:pStyle w:val="NumberedParas"/>
        <w:numPr>
          <w:ilvl w:val="0"/>
          <w:numId w:val="9"/>
        </w:numPr>
        <w:ind w:left="360"/>
        <w:rPr>
          <w:noProof/>
          <w:sz w:val="22"/>
        </w:rPr>
      </w:pPr>
      <w:r w:rsidRPr="00254FE5">
        <w:rPr>
          <w:noProof/>
          <w:sz w:val="22"/>
        </w:rPr>
        <w:t xml:space="preserve">The </w:t>
      </w:r>
      <w:r w:rsidRPr="004B5B24">
        <w:rPr>
          <w:b/>
          <w:i/>
          <w:iCs/>
          <w:noProof/>
          <w:sz w:val="22"/>
        </w:rPr>
        <w:t>Project Implementation Review (PIR</w:t>
      </w:r>
      <w:r>
        <w:rPr>
          <w:b/>
          <w:noProof/>
          <w:sz w:val="22"/>
        </w:rPr>
        <w:t>)</w:t>
      </w:r>
      <w:r w:rsidRPr="00254FE5">
        <w:rPr>
          <w:noProof/>
          <w:sz w:val="22"/>
        </w:rPr>
        <w:t xml:space="preserve"> is an annual monitoring process mandated by the GEF. Once the project has been under implementation for a year (from the CEO approval date), a Project Implementation Report must be completed by the UNEP-</w:t>
      </w:r>
      <w:r>
        <w:rPr>
          <w:noProof/>
          <w:sz w:val="22"/>
        </w:rPr>
        <w:t xml:space="preserve">TM </w:t>
      </w:r>
      <w:r w:rsidRPr="00254FE5">
        <w:rPr>
          <w:noProof/>
          <w:sz w:val="22"/>
        </w:rPr>
        <w:t xml:space="preserve">together with the </w:t>
      </w:r>
      <w:r>
        <w:rPr>
          <w:noProof/>
          <w:sz w:val="22"/>
        </w:rPr>
        <w:t>NEA (PMU)</w:t>
      </w:r>
      <w:r w:rsidRPr="00254FE5">
        <w:rPr>
          <w:noProof/>
          <w:sz w:val="22"/>
        </w:rPr>
        <w:t>.</w:t>
      </w:r>
    </w:p>
    <w:p w:rsidR="00661B52" w:rsidRDefault="00661B52" w:rsidP="00661B52">
      <w:pPr>
        <w:pStyle w:val="NumberedParas"/>
        <w:numPr>
          <w:ilvl w:val="0"/>
          <w:numId w:val="0"/>
        </w:numPr>
        <w:rPr>
          <w:noProof/>
          <w:sz w:val="22"/>
        </w:rPr>
      </w:pPr>
    </w:p>
    <w:p w:rsidR="00661B52" w:rsidRPr="00254FE5" w:rsidRDefault="00661B52" w:rsidP="00661B52">
      <w:pPr>
        <w:pStyle w:val="NumberedParas"/>
        <w:numPr>
          <w:ilvl w:val="0"/>
          <w:numId w:val="0"/>
        </w:numPr>
        <w:ind w:left="360"/>
        <w:rPr>
          <w:noProof/>
          <w:sz w:val="22"/>
        </w:rPr>
      </w:pPr>
      <w:r w:rsidRPr="00254FE5">
        <w:rPr>
          <w:noProof/>
          <w:sz w:val="22"/>
        </w:rPr>
        <w:t>PIR includes, but is not limited to, reporting on the following:</w:t>
      </w:r>
    </w:p>
    <w:p w:rsidR="00661B52" w:rsidRPr="00C960BE" w:rsidRDefault="00661B52" w:rsidP="00C960BE">
      <w:pPr>
        <w:pStyle w:val="NumberedParas"/>
        <w:numPr>
          <w:ilvl w:val="0"/>
          <w:numId w:val="9"/>
        </w:numPr>
        <w:rPr>
          <w:noProof/>
          <w:sz w:val="22"/>
        </w:rPr>
      </w:pPr>
      <w:r w:rsidRPr="00C960BE">
        <w:rPr>
          <w:noProof/>
          <w:sz w:val="22"/>
        </w:rPr>
        <w:t xml:space="preserve">Progress made toward project objective and project outcomes - each with indicators, baseline data and end-of-project targets (cumulative)  </w:t>
      </w:r>
    </w:p>
    <w:p w:rsidR="00661B52" w:rsidRPr="00C960BE" w:rsidRDefault="00661B52" w:rsidP="00C960BE">
      <w:pPr>
        <w:pStyle w:val="NumberedParas"/>
        <w:numPr>
          <w:ilvl w:val="0"/>
          <w:numId w:val="9"/>
        </w:numPr>
        <w:rPr>
          <w:noProof/>
          <w:sz w:val="22"/>
        </w:rPr>
      </w:pPr>
      <w:r w:rsidRPr="00C960BE">
        <w:rPr>
          <w:noProof/>
          <w:sz w:val="22"/>
        </w:rPr>
        <w:t xml:space="preserve">Project outputs delivered per project outcome (annual). </w:t>
      </w:r>
    </w:p>
    <w:p w:rsidR="00661B52" w:rsidRPr="00C960BE" w:rsidRDefault="00661B52" w:rsidP="00C960BE">
      <w:pPr>
        <w:pStyle w:val="NumberedParas"/>
        <w:numPr>
          <w:ilvl w:val="0"/>
          <w:numId w:val="9"/>
        </w:numPr>
        <w:rPr>
          <w:noProof/>
          <w:sz w:val="22"/>
        </w:rPr>
      </w:pPr>
      <w:r w:rsidRPr="00C960BE">
        <w:rPr>
          <w:noProof/>
          <w:sz w:val="22"/>
        </w:rPr>
        <w:t>Lesson learned/good practice.</w:t>
      </w:r>
    </w:p>
    <w:p w:rsidR="00661B52" w:rsidRPr="00C960BE" w:rsidRDefault="00661B52" w:rsidP="00C960BE">
      <w:pPr>
        <w:pStyle w:val="NumberedParas"/>
        <w:numPr>
          <w:ilvl w:val="0"/>
          <w:numId w:val="9"/>
        </w:numPr>
        <w:rPr>
          <w:noProof/>
          <w:sz w:val="22"/>
        </w:rPr>
      </w:pPr>
      <w:r w:rsidRPr="00C960BE">
        <w:rPr>
          <w:noProof/>
          <w:sz w:val="22"/>
        </w:rPr>
        <w:t>AWP and other expenditure reports</w:t>
      </w:r>
    </w:p>
    <w:p w:rsidR="00661B52" w:rsidRPr="00C960BE" w:rsidRDefault="00661B52" w:rsidP="00C960BE">
      <w:pPr>
        <w:pStyle w:val="NumberedParas"/>
        <w:numPr>
          <w:ilvl w:val="0"/>
          <w:numId w:val="9"/>
        </w:numPr>
        <w:rPr>
          <w:noProof/>
          <w:sz w:val="22"/>
        </w:rPr>
      </w:pPr>
      <w:r w:rsidRPr="00C960BE">
        <w:rPr>
          <w:noProof/>
          <w:sz w:val="22"/>
        </w:rPr>
        <w:t>Risks and adaptive management</w:t>
      </w:r>
    </w:p>
    <w:p w:rsidR="00661B52" w:rsidRPr="00C960BE" w:rsidRDefault="00661B52" w:rsidP="00C960BE">
      <w:pPr>
        <w:pStyle w:val="NumberedParas"/>
        <w:numPr>
          <w:ilvl w:val="0"/>
          <w:numId w:val="9"/>
        </w:numPr>
        <w:rPr>
          <w:noProof/>
          <w:sz w:val="22"/>
        </w:rPr>
      </w:pPr>
      <w:r w:rsidRPr="00C960BE">
        <w:rPr>
          <w:noProof/>
          <w:sz w:val="22"/>
        </w:rPr>
        <w:t>Portfolio level indicators (i.e. GEF focal area tracking tools) are used by most focal areas on an annual basis as well.</w:t>
      </w:r>
    </w:p>
    <w:p w:rsidR="00661B52" w:rsidRDefault="00661B52" w:rsidP="00C960BE">
      <w:pPr>
        <w:pStyle w:val="NumberedParas"/>
        <w:numPr>
          <w:ilvl w:val="0"/>
          <w:numId w:val="9"/>
        </w:numPr>
        <w:rPr>
          <w:noProof/>
          <w:sz w:val="22"/>
        </w:rPr>
      </w:pPr>
      <w:r w:rsidRPr="00C960BE">
        <w:rPr>
          <w:noProof/>
          <w:sz w:val="22"/>
        </w:rPr>
        <w:t>Co-funding delivery.</w:t>
      </w:r>
      <w:r w:rsidR="00C960BE">
        <w:rPr>
          <w:noProof/>
          <w:sz w:val="22"/>
        </w:rPr>
        <w:t xml:space="preserve"> </w:t>
      </w:r>
    </w:p>
    <w:p w:rsidR="00C960BE" w:rsidRPr="00C960BE" w:rsidRDefault="00C960BE" w:rsidP="00C960BE">
      <w:pPr>
        <w:pStyle w:val="NumberedParas"/>
        <w:numPr>
          <w:ilvl w:val="0"/>
          <w:numId w:val="0"/>
        </w:numPr>
        <w:ind w:left="360" w:hanging="360"/>
        <w:rPr>
          <w:noProof/>
          <w:sz w:val="22"/>
        </w:rPr>
      </w:pPr>
    </w:p>
    <w:p w:rsidR="00661B52" w:rsidRDefault="00661B52" w:rsidP="00C960BE">
      <w:pPr>
        <w:pStyle w:val="NumberedParas"/>
        <w:numPr>
          <w:ilvl w:val="0"/>
          <w:numId w:val="9"/>
        </w:numPr>
        <w:ind w:left="360"/>
        <w:rPr>
          <w:noProof/>
          <w:sz w:val="22"/>
        </w:rPr>
      </w:pPr>
      <w:r w:rsidRPr="004B5B24">
        <w:rPr>
          <w:b/>
          <w:bCs/>
          <w:i/>
          <w:iCs/>
          <w:noProof/>
          <w:sz w:val="22"/>
        </w:rPr>
        <w:t>Periodic Monitoring through site visits</w:t>
      </w:r>
      <w:r w:rsidRPr="00C960BE">
        <w:rPr>
          <w:noProof/>
          <w:sz w:val="22"/>
        </w:rPr>
        <w:t xml:space="preserve">. The NEA and PMU/Project </w:t>
      </w:r>
      <w:r w:rsidR="00524B1F">
        <w:rPr>
          <w:noProof/>
          <w:sz w:val="22"/>
        </w:rPr>
        <w:t>Team Leader (Project TL)</w:t>
      </w:r>
      <w:r w:rsidRPr="00C960BE">
        <w:rPr>
          <w:noProof/>
          <w:sz w:val="22"/>
        </w:rPr>
        <w:t xml:space="preserve"> will conduct visits to project sites based on an agreed schedule in the project's Inception Report/Annual Work Plan to assess first hand project progress. UNEP will join these field supervision missions at least once a year. Other members of the National Steering Committee may also join these visits.  A Field Visit Report will be prepared by the Project </w:t>
      </w:r>
      <w:r w:rsidR="00524B1F">
        <w:rPr>
          <w:noProof/>
          <w:sz w:val="22"/>
        </w:rPr>
        <w:t>TL</w:t>
      </w:r>
      <w:r w:rsidRPr="00C960BE">
        <w:rPr>
          <w:noProof/>
          <w:sz w:val="22"/>
        </w:rPr>
        <w:t xml:space="preserve"> (and UNEP) and will be circulated no less than 2-weeks after the visit to the project team and NSC.</w:t>
      </w:r>
    </w:p>
    <w:p w:rsidR="00C960BE" w:rsidRDefault="00C960BE" w:rsidP="00C960BE">
      <w:pPr>
        <w:pStyle w:val="NumberedParas"/>
        <w:numPr>
          <w:ilvl w:val="0"/>
          <w:numId w:val="0"/>
        </w:numPr>
        <w:rPr>
          <w:noProof/>
          <w:sz w:val="22"/>
        </w:rPr>
      </w:pPr>
    </w:p>
    <w:p w:rsidR="00661B52" w:rsidRDefault="00661B52" w:rsidP="00C960BE">
      <w:pPr>
        <w:pStyle w:val="NumberedParas"/>
        <w:numPr>
          <w:ilvl w:val="0"/>
          <w:numId w:val="9"/>
        </w:numPr>
        <w:ind w:left="360"/>
        <w:rPr>
          <w:noProof/>
          <w:sz w:val="22"/>
        </w:rPr>
      </w:pPr>
      <w:r w:rsidRPr="004B5B24">
        <w:rPr>
          <w:b/>
          <w:bCs/>
          <w:i/>
          <w:iCs/>
          <w:noProof/>
          <w:sz w:val="22"/>
        </w:rPr>
        <w:t>GEF Tracking Tools</w:t>
      </w:r>
      <w:r w:rsidR="004B5B24">
        <w:rPr>
          <w:noProof/>
          <w:sz w:val="22"/>
        </w:rPr>
        <w:t>.</w:t>
      </w:r>
      <w:r w:rsidRPr="00C960BE">
        <w:rPr>
          <w:noProof/>
          <w:sz w:val="22"/>
        </w:rPr>
        <w:t xml:space="preserve"> The GEF tracking tools (BD, CC and SFM) and GEF Capacity Score cards are attached as Appendix 14 . These will be updated at mid-term and at the end of the project and will be made available to the GEF Secretariat along with the project PIR report. The mid-term review and terminal evaluation will verify the information of the tracking tools</w:t>
      </w:r>
    </w:p>
    <w:p w:rsidR="00C960BE" w:rsidRPr="00C960BE" w:rsidRDefault="00C960BE" w:rsidP="00C960BE">
      <w:pPr>
        <w:pStyle w:val="NumberedParas"/>
        <w:numPr>
          <w:ilvl w:val="0"/>
          <w:numId w:val="0"/>
        </w:numPr>
        <w:ind w:left="360"/>
        <w:rPr>
          <w:noProof/>
          <w:sz w:val="22"/>
        </w:rPr>
      </w:pPr>
    </w:p>
    <w:p w:rsidR="00661B52" w:rsidRDefault="00661B52" w:rsidP="00C960BE">
      <w:pPr>
        <w:pStyle w:val="NumberedParas"/>
        <w:numPr>
          <w:ilvl w:val="0"/>
          <w:numId w:val="9"/>
        </w:numPr>
        <w:ind w:left="360"/>
        <w:rPr>
          <w:noProof/>
          <w:sz w:val="22"/>
        </w:rPr>
      </w:pPr>
      <w:r w:rsidRPr="00C960BE">
        <w:rPr>
          <w:noProof/>
          <w:sz w:val="22"/>
        </w:rPr>
        <w:t xml:space="preserve">The </w:t>
      </w:r>
      <w:r w:rsidRPr="004B5B24">
        <w:rPr>
          <w:b/>
          <w:bCs/>
          <w:i/>
          <w:iCs/>
          <w:noProof/>
          <w:sz w:val="22"/>
        </w:rPr>
        <w:t>Terminal Report</w:t>
      </w:r>
      <w:r w:rsidRPr="00C960BE">
        <w:rPr>
          <w:noProof/>
          <w:sz w:val="22"/>
        </w:rPr>
        <w:t xml:space="preserve"> will be prepared during the last three months. This comprehensive report will summarize the results achieved (objectives, outcomes, outputs), lessons learned, problems met and areas where results may not have been achieved.  It will also lay out recommendations for any further steps that may need to be taken to ensure sustainability and replicability of the project’s results. </w:t>
      </w:r>
    </w:p>
    <w:p w:rsidR="00C960BE" w:rsidRPr="00C960BE" w:rsidRDefault="00C960BE" w:rsidP="00C960BE">
      <w:pPr>
        <w:pStyle w:val="NumberedParas"/>
        <w:numPr>
          <w:ilvl w:val="0"/>
          <w:numId w:val="0"/>
        </w:numPr>
        <w:ind w:left="360"/>
        <w:rPr>
          <w:noProof/>
          <w:sz w:val="22"/>
        </w:rPr>
      </w:pPr>
    </w:p>
    <w:p w:rsidR="00661B52" w:rsidRDefault="00661B52" w:rsidP="00C960BE">
      <w:pPr>
        <w:pStyle w:val="NumberedParas"/>
        <w:numPr>
          <w:ilvl w:val="0"/>
          <w:numId w:val="9"/>
        </w:numPr>
        <w:ind w:left="360"/>
        <w:rPr>
          <w:noProof/>
          <w:sz w:val="22"/>
        </w:rPr>
      </w:pPr>
      <w:r w:rsidRPr="004B5B24">
        <w:rPr>
          <w:b/>
          <w:bCs/>
          <w:i/>
          <w:iCs/>
          <w:noProof/>
          <w:sz w:val="22"/>
        </w:rPr>
        <w:t>Learning and knowledge sharing</w:t>
      </w:r>
      <w:r w:rsidRPr="00C960BE">
        <w:rPr>
          <w:noProof/>
          <w:sz w:val="22"/>
        </w:rPr>
        <w:t>. It is expected that the Project will produce periodic technical papers and reports for partners and other formal and peer group stakeholders through the life of the Project to maximise knowledge transfer, public outreach and social marketing. The project will identify and participate, as relevant and appropriate, in scientific, policy-based and/or any other networks, which may be of benefit to project implementation though lessons learned. The project will identify, analyze, and share lessons learned that might be beneficial in the design and implementation of similar future projects.</w:t>
      </w:r>
    </w:p>
    <w:p w:rsidR="00C960BE" w:rsidRPr="00C960BE" w:rsidRDefault="00C960BE" w:rsidP="00C960BE">
      <w:pPr>
        <w:pStyle w:val="NumberedParas"/>
        <w:numPr>
          <w:ilvl w:val="0"/>
          <w:numId w:val="0"/>
        </w:numPr>
        <w:ind w:left="360"/>
        <w:rPr>
          <w:noProof/>
          <w:sz w:val="22"/>
        </w:rPr>
      </w:pPr>
    </w:p>
    <w:p w:rsidR="00C960BE" w:rsidRDefault="00661B52" w:rsidP="00C960BE">
      <w:pPr>
        <w:pStyle w:val="NumberedParas"/>
        <w:numPr>
          <w:ilvl w:val="0"/>
          <w:numId w:val="9"/>
        </w:numPr>
        <w:ind w:left="360"/>
        <w:rPr>
          <w:noProof/>
          <w:sz w:val="22"/>
        </w:rPr>
      </w:pPr>
      <w:r w:rsidRPr="004B5B24">
        <w:rPr>
          <w:b/>
          <w:bCs/>
          <w:i/>
          <w:iCs/>
          <w:noProof/>
          <w:sz w:val="22"/>
        </w:rPr>
        <w:t>Mid-term Project Evaluation</w:t>
      </w:r>
      <w:r w:rsidR="00C960BE">
        <w:rPr>
          <w:noProof/>
          <w:sz w:val="22"/>
        </w:rPr>
        <w:t>.</w:t>
      </w:r>
      <w:r w:rsidRPr="00C960BE">
        <w:rPr>
          <w:noProof/>
          <w:sz w:val="22"/>
        </w:rPr>
        <w:t xml:space="preserve"> UNEP will be responsible for managing the mid-term review/evaluation and the terminal evaluation. The Project PMU staff, NEA and partners will participate actively in the process. The project will be reviewed or evaluated at mid-term (tentatively in early 2019) as indicated in the project milestones). The purpose of the Mid-Term Review (MTR) or Mid-Term Evaluation (MTE) is to provide an independent assessment of project performance at mid-term, to analyze whether the project is on track, what problems and challenges the project is encountering, and which corrective actions are required so that the project can achieve its intended outcomes by project completion in the most efficient and sustainable way. In addition, it will verify information gathered </w:t>
      </w:r>
      <w:r w:rsidR="00C960BE" w:rsidRPr="00C960BE">
        <w:rPr>
          <w:noProof/>
          <w:sz w:val="22"/>
        </w:rPr>
        <w:t>through the GEF tracking tools.</w:t>
      </w:r>
    </w:p>
    <w:p w:rsidR="00C960BE" w:rsidRPr="00C960BE" w:rsidRDefault="00C960BE" w:rsidP="00C960BE">
      <w:pPr>
        <w:pStyle w:val="NumberedParas"/>
        <w:numPr>
          <w:ilvl w:val="0"/>
          <w:numId w:val="0"/>
        </w:numPr>
        <w:ind w:left="360"/>
        <w:rPr>
          <w:noProof/>
          <w:sz w:val="22"/>
        </w:rPr>
      </w:pPr>
    </w:p>
    <w:p w:rsidR="00661B52" w:rsidRPr="00C960BE" w:rsidRDefault="00661B52" w:rsidP="00C960BE">
      <w:pPr>
        <w:pStyle w:val="NumberedParas"/>
        <w:numPr>
          <w:ilvl w:val="0"/>
          <w:numId w:val="9"/>
        </w:numPr>
        <w:ind w:left="360"/>
        <w:rPr>
          <w:noProof/>
          <w:sz w:val="22"/>
        </w:rPr>
      </w:pPr>
      <w:r w:rsidRPr="00C960BE">
        <w:rPr>
          <w:noProof/>
          <w:sz w:val="22"/>
        </w:rPr>
        <w:t xml:space="preserve">The National Steering Committee will participate in the MTR or MTE and review/approve the management response prepared by the PMU/NEA to the review recommendations along with an implementation plan. It is the responsibility of the UNEP Task Manager to monitor whether the agreed recommendations are being implemented. An MTR is managed by the UNEP Task Manager. An MTE is managed by the Evaluation Office (EO) of UNEP. The EO in consultation with the UNEP TM will determine whether an MTE is required or an MTR </w:t>
      </w:r>
      <w:r w:rsidR="00C960BE" w:rsidRPr="00C960BE">
        <w:rPr>
          <w:noProof/>
          <w:sz w:val="22"/>
        </w:rPr>
        <w:t>is sufficient.</w:t>
      </w:r>
    </w:p>
    <w:p w:rsidR="00C960BE" w:rsidRPr="00C960BE" w:rsidRDefault="00C960BE" w:rsidP="00C960BE">
      <w:pPr>
        <w:pStyle w:val="NumberedParas"/>
        <w:numPr>
          <w:ilvl w:val="0"/>
          <w:numId w:val="0"/>
        </w:numPr>
        <w:ind w:left="360" w:hanging="360"/>
        <w:rPr>
          <w:b/>
          <w:bCs/>
          <w:noProof/>
          <w:sz w:val="22"/>
        </w:rPr>
      </w:pPr>
    </w:p>
    <w:p w:rsidR="00661B52" w:rsidRPr="00C960BE" w:rsidRDefault="00661B52" w:rsidP="00C960BE">
      <w:pPr>
        <w:pStyle w:val="NumberedParas"/>
        <w:numPr>
          <w:ilvl w:val="0"/>
          <w:numId w:val="9"/>
        </w:numPr>
        <w:ind w:left="360"/>
        <w:rPr>
          <w:noProof/>
          <w:sz w:val="22"/>
        </w:rPr>
      </w:pPr>
      <w:r w:rsidRPr="004B5B24">
        <w:rPr>
          <w:b/>
          <w:bCs/>
          <w:i/>
          <w:iCs/>
          <w:noProof/>
          <w:sz w:val="22"/>
        </w:rPr>
        <w:t>Terminal Evaluation</w:t>
      </w:r>
      <w:r w:rsidR="00C960BE">
        <w:rPr>
          <w:noProof/>
          <w:sz w:val="22"/>
        </w:rPr>
        <w:t>.</w:t>
      </w:r>
      <w:r w:rsidRPr="00C960BE">
        <w:rPr>
          <w:noProof/>
          <w:sz w:val="22"/>
        </w:rPr>
        <w:t xml:space="preserve"> An independent terminal evaluation (TE) will take place at the end of project implementation. The EO will be responsible for the TE and liaise with the UNEP Task Manager throughout the process. The TE will provide an independent assessment of project performance (in terms of relevance, effectiveness and efficiency), and determine the likelihood of impact and sustainability. It will have two primary purposes: </w:t>
      </w:r>
    </w:p>
    <w:p w:rsidR="00661B52" w:rsidRPr="00C960BE" w:rsidRDefault="00661B52" w:rsidP="00C960BE">
      <w:pPr>
        <w:pStyle w:val="NumberedParas"/>
        <w:numPr>
          <w:ilvl w:val="0"/>
          <w:numId w:val="9"/>
        </w:numPr>
        <w:rPr>
          <w:noProof/>
          <w:sz w:val="22"/>
        </w:rPr>
      </w:pPr>
      <w:r w:rsidRPr="00C960BE">
        <w:rPr>
          <w:noProof/>
          <w:sz w:val="22"/>
        </w:rPr>
        <w:t xml:space="preserve">to provide evidence of results to meet accountability requirements, and </w:t>
      </w:r>
    </w:p>
    <w:p w:rsidR="00661B52" w:rsidRDefault="00661B52" w:rsidP="00C960BE">
      <w:pPr>
        <w:pStyle w:val="NumberedParas"/>
        <w:numPr>
          <w:ilvl w:val="0"/>
          <w:numId w:val="9"/>
        </w:numPr>
        <w:rPr>
          <w:noProof/>
          <w:sz w:val="22"/>
        </w:rPr>
      </w:pPr>
      <w:r w:rsidRPr="00C960BE">
        <w:rPr>
          <w:noProof/>
          <w:sz w:val="22"/>
        </w:rPr>
        <w:t>to promote learning, feedback, and knowledge sharing through results and lessons learned among UNEP and executing partners.</w:t>
      </w:r>
    </w:p>
    <w:p w:rsidR="00C960BE" w:rsidRPr="00C960BE" w:rsidRDefault="00C960BE" w:rsidP="00C960BE">
      <w:pPr>
        <w:pStyle w:val="NumberedParas"/>
        <w:numPr>
          <w:ilvl w:val="0"/>
          <w:numId w:val="0"/>
        </w:numPr>
        <w:ind w:left="360" w:hanging="360"/>
        <w:rPr>
          <w:noProof/>
          <w:sz w:val="22"/>
        </w:rPr>
      </w:pPr>
    </w:p>
    <w:p w:rsidR="00661B52" w:rsidRDefault="00661B52" w:rsidP="00661B52">
      <w:pPr>
        <w:ind w:left="360"/>
        <w:jc w:val="both"/>
        <w:rPr>
          <w:rFonts w:ascii="Times New Roman" w:hAnsi="Times New Roman"/>
        </w:rPr>
      </w:pPr>
      <w:r w:rsidRPr="00770501">
        <w:rPr>
          <w:rFonts w:ascii="Times New Roman" w:hAnsi="Times New Roman"/>
        </w:rPr>
        <w:t>While a TE should review use of project funds against budget, it would be the role of a financial audit to assess probity (i.e. correctness, integrity etc.) of expenditure and transactions. The TE report will be sent to project stakeholders for comments. Formal comments on the report will be shared by the EO in an open and transparent manner.</w:t>
      </w:r>
      <w:r>
        <w:rPr>
          <w:rFonts w:ascii="Times New Roman" w:hAnsi="Times New Roman"/>
        </w:rPr>
        <w:t xml:space="preserve">  </w:t>
      </w:r>
    </w:p>
    <w:p w:rsidR="0035107A" w:rsidRPr="00E034C6" w:rsidRDefault="00F816E3" w:rsidP="00591870">
      <w:r>
        <w:rPr>
          <w:rFonts w:ascii="Times New Roman" w:hAnsi="Times New Roman"/>
        </w:rPr>
        <w:t xml:space="preserve">The </w:t>
      </w:r>
      <w:r w:rsidRPr="00770501">
        <w:rPr>
          <w:rFonts w:ascii="Times New Roman" w:hAnsi="Times New Roman"/>
        </w:rPr>
        <w:t xml:space="preserve">Table </w:t>
      </w:r>
      <w:r>
        <w:rPr>
          <w:rFonts w:ascii="Times New Roman" w:hAnsi="Times New Roman"/>
        </w:rPr>
        <w:t xml:space="preserve">below </w:t>
      </w:r>
      <w:r w:rsidRPr="00770501">
        <w:rPr>
          <w:rFonts w:ascii="Times New Roman" w:hAnsi="Times New Roman"/>
        </w:rPr>
        <w:t>summarizes the main M&amp;E costs showing the total budget (consolidated GEF and co-finance) for the 6 years of project implementation</w:t>
      </w:r>
    </w:p>
    <w:tbl>
      <w:tblPr>
        <w:tblStyle w:val="TableGrid"/>
        <w:tblW w:w="0" w:type="auto"/>
        <w:tblInd w:w="108" w:type="dxa"/>
        <w:tblLook w:val="04A0" w:firstRow="1" w:lastRow="0" w:firstColumn="1" w:lastColumn="0" w:noHBand="0" w:noVBand="1"/>
      </w:tblPr>
      <w:tblGrid>
        <w:gridCol w:w="1945"/>
        <w:gridCol w:w="2470"/>
        <w:gridCol w:w="1975"/>
        <w:gridCol w:w="2018"/>
        <w:gridCol w:w="2313"/>
      </w:tblGrid>
      <w:tr w:rsidR="000D13DB" w:rsidRPr="00250EF4" w:rsidTr="0071100E">
        <w:tc>
          <w:tcPr>
            <w:tcW w:w="1945" w:type="dxa"/>
            <w:tcBorders>
              <w:bottom w:val="single" w:sz="4" w:space="0" w:color="auto"/>
            </w:tcBorders>
            <w:shd w:val="clear" w:color="auto" w:fill="E6E6E6"/>
            <w:tcMar>
              <w:top w:w="28" w:type="dxa"/>
              <w:bottom w:w="28" w:type="dxa"/>
            </w:tcMar>
            <w:vAlign w:val="center"/>
          </w:tcPr>
          <w:p w:rsidR="00F816E3" w:rsidRPr="00250EF4" w:rsidRDefault="00F816E3" w:rsidP="000020A9">
            <w:pPr>
              <w:spacing w:before="60" w:after="60"/>
              <w:rPr>
                <w:b/>
                <w:sz w:val="20"/>
                <w:szCs w:val="20"/>
              </w:rPr>
            </w:pPr>
            <w:r w:rsidRPr="00250EF4">
              <w:rPr>
                <w:b/>
                <w:sz w:val="20"/>
                <w:szCs w:val="20"/>
              </w:rPr>
              <w:t>Activity type</w:t>
            </w:r>
          </w:p>
        </w:tc>
        <w:tc>
          <w:tcPr>
            <w:tcW w:w="2470" w:type="dxa"/>
            <w:tcBorders>
              <w:bottom w:val="single" w:sz="4" w:space="0" w:color="auto"/>
            </w:tcBorders>
            <w:shd w:val="clear" w:color="auto" w:fill="E6E6E6"/>
            <w:tcMar>
              <w:top w:w="28" w:type="dxa"/>
              <w:bottom w:w="28" w:type="dxa"/>
            </w:tcMar>
            <w:vAlign w:val="center"/>
          </w:tcPr>
          <w:p w:rsidR="00F816E3" w:rsidRPr="00250EF4" w:rsidRDefault="00F816E3" w:rsidP="000020A9">
            <w:pPr>
              <w:spacing w:before="60" w:after="60"/>
              <w:rPr>
                <w:b/>
                <w:sz w:val="20"/>
                <w:szCs w:val="20"/>
              </w:rPr>
            </w:pPr>
            <w:r w:rsidRPr="00250EF4">
              <w:rPr>
                <w:b/>
                <w:sz w:val="20"/>
                <w:szCs w:val="20"/>
              </w:rPr>
              <w:t>Responsibility</w:t>
            </w:r>
          </w:p>
        </w:tc>
        <w:tc>
          <w:tcPr>
            <w:tcW w:w="1975" w:type="dxa"/>
            <w:tcBorders>
              <w:bottom w:val="single" w:sz="4" w:space="0" w:color="auto"/>
            </w:tcBorders>
            <w:shd w:val="clear" w:color="auto" w:fill="E6E6E6"/>
            <w:vAlign w:val="center"/>
          </w:tcPr>
          <w:p w:rsidR="00F816E3" w:rsidRPr="00250EF4" w:rsidRDefault="00F816E3" w:rsidP="00250EF4">
            <w:pPr>
              <w:widowControl w:val="0"/>
              <w:autoSpaceDE w:val="0"/>
              <w:autoSpaceDN w:val="0"/>
              <w:adjustRightInd w:val="0"/>
              <w:rPr>
                <w:b/>
                <w:sz w:val="20"/>
                <w:szCs w:val="20"/>
              </w:rPr>
            </w:pPr>
            <w:r w:rsidRPr="00250EF4">
              <w:rPr>
                <w:b/>
                <w:sz w:val="20"/>
                <w:szCs w:val="20"/>
              </w:rPr>
              <w:t xml:space="preserve">GEF Budget </w:t>
            </w:r>
          </w:p>
        </w:tc>
        <w:tc>
          <w:tcPr>
            <w:tcW w:w="2018" w:type="dxa"/>
            <w:tcBorders>
              <w:bottom w:val="single" w:sz="4" w:space="0" w:color="auto"/>
            </w:tcBorders>
            <w:shd w:val="clear" w:color="auto" w:fill="E6E6E6"/>
          </w:tcPr>
          <w:p w:rsidR="00F816E3" w:rsidRPr="00250EF4" w:rsidRDefault="00F816E3" w:rsidP="000020A9">
            <w:pPr>
              <w:widowControl w:val="0"/>
              <w:autoSpaceDE w:val="0"/>
              <w:autoSpaceDN w:val="0"/>
              <w:adjustRightInd w:val="0"/>
              <w:rPr>
                <w:b/>
                <w:sz w:val="20"/>
                <w:szCs w:val="20"/>
              </w:rPr>
            </w:pPr>
            <w:r w:rsidRPr="00250EF4">
              <w:rPr>
                <w:b/>
                <w:sz w:val="20"/>
                <w:szCs w:val="20"/>
              </w:rPr>
              <w:t xml:space="preserve">Co-financed contributions </w:t>
            </w:r>
            <w:r w:rsidRPr="00250EF4">
              <w:rPr>
                <w:bCs/>
                <w:sz w:val="20"/>
                <w:szCs w:val="20"/>
              </w:rPr>
              <w:t>(Excluding project team staff time)</w:t>
            </w:r>
          </w:p>
        </w:tc>
        <w:tc>
          <w:tcPr>
            <w:tcW w:w="2313" w:type="dxa"/>
            <w:tcBorders>
              <w:bottom w:val="single" w:sz="4" w:space="0" w:color="auto"/>
            </w:tcBorders>
            <w:shd w:val="clear" w:color="auto" w:fill="E6E6E6"/>
            <w:tcMar>
              <w:top w:w="28" w:type="dxa"/>
              <w:bottom w:w="28" w:type="dxa"/>
            </w:tcMar>
            <w:vAlign w:val="center"/>
          </w:tcPr>
          <w:p w:rsidR="00F816E3" w:rsidRPr="00250EF4" w:rsidRDefault="00F816E3" w:rsidP="000020A9">
            <w:pPr>
              <w:spacing w:before="60" w:after="60"/>
              <w:ind w:left="80" w:hanging="80"/>
              <w:rPr>
                <w:b/>
                <w:sz w:val="20"/>
                <w:szCs w:val="20"/>
              </w:rPr>
            </w:pPr>
            <w:r w:rsidRPr="00250EF4">
              <w:rPr>
                <w:b/>
                <w:sz w:val="20"/>
                <w:szCs w:val="20"/>
              </w:rPr>
              <w:t xml:space="preserve"> Timeframe</w:t>
            </w:r>
          </w:p>
        </w:tc>
      </w:tr>
      <w:tr w:rsidR="000D13DB" w:rsidRPr="00250EF4" w:rsidTr="0071100E">
        <w:trPr>
          <w:trHeight w:val="2185"/>
        </w:trPr>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Project Inception Meeting &amp; Report</w:t>
            </w:r>
          </w:p>
        </w:tc>
        <w:tc>
          <w:tcPr>
            <w:tcW w:w="2470" w:type="dxa"/>
            <w:shd w:val="clear" w:color="auto" w:fill="auto"/>
            <w:tcMar>
              <w:top w:w="28" w:type="dxa"/>
              <w:bottom w:w="28" w:type="dxa"/>
            </w:tcMar>
          </w:tcPr>
          <w:p w:rsidR="00F816E3" w:rsidRPr="00250EF4" w:rsidRDefault="00F816E3" w:rsidP="00F816E3">
            <w:pPr>
              <w:widowControl w:val="0"/>
              <w:autoSpaceDE w:val="0"/>
              <w:autoSpaceDN w:val="0"/>
              <w:adjustRightInd w:val="0"/>
              <w:spacing w:before="40"/>
              <w:rPr>
                <w:w w:val="95"/>
                <w:sz w:val="20"/>
                <w:szCs w:val="20"/>
              </w:rPr>
            </w:pPr>
            <w:r w:rsidRPr="00250EF4">
              <w:rPr>
                <w:w w:val="95"/>
                <w:sz w:val="20"/>
                <w:szCs w:val="20"/>
                <w:u w:val="single"/>
              </w:rPr>
              <w:t xml:space="preserve">Oversight:  </w:t>
            </w:r>
            <w:r w:rsidRPr="00250EF4">
              <w:rPr>
                <w:w w:val="95"/>
                <w:sz w:val="20"/>
                <w:szCs w:val="20"/>
              </w:rPr>
              <w:t>NEA &amp; UNEP</w:t>
            </w:r>
          </w:p>
          <w:p w:rsidR="00F816E3" w:rsidRPr="00250EF4" w:rsidRDefault="00F816E3" w:rsidP="00F816E3">
            <w:pPr>
              <w:widowControl w:val="0"/>
              <w:autoSpaceDE w:val="0"/>
              <w:autoSpaceDN w:val="0"/>
              <w:adjustRightInd w:val="0"/>
              <w:spacing w:before="40"/>
              <w:ind w:left="26"/>
              <w:rPr>
                <w:w w:val="95"/>
                <w:sz w:val="20"/>
                <w:szCs w:val="20"/>
              </w:rPr>
            </w:pPr>
            <w:r w:rsidRPr="00250EF4">
              <w:rPr>
                <w:w w:val="95"/>
                <w:sz w:val="20"/>
                <w:szCs w:val="20"/>
                <w:u w:val="single"/>
              </w:rPr>
              <w:t xml:space="preserve">Implementation: </w:t>
            </w:r>
            <w:r w:rsidRPr="00250EF4">
              <w:rPr>
                <w:w w:val="95"/>
                <w:sz w:val="20"/>
                <w:szCs w:val="20"/>
              </w:rPr>
              <w:t xml:space="preserve">PMU; Project TL &amp; Co-TL </w:t>
            </w:r>
          </w:p>
        </w:tc>
        <w:tc>
          <w:tcPr>
            <w:tcW w:w="1975" w:type="dxa"/>
            <w:shd w:val="clear" w:color="auto" w:fill="auto"/>
          </w:tcPr>
          <w:p w:rsidR="00F816E3" w:rsidRPr="00250EF4" w:rsidRDefault="00F816E3" w:rsidP="00B255B1">
            <w:pPr>
              <w:jc w:val="right"/>
              <w:rPr>
                <w:color w:val="222222"/>
                <w:sz w:val="20"/>
                <w:szCs w:val="20"/>
              </w:rPr>
            </w:pPr>
            <w:r w:rsidRPr="00250EF4">
              <w:rPr>
                <w:w w:val="95"/>
                <w:sz w:val="20"/>
                <w:szCs w:val="20"/>
              </w:rPr>
              <w:t>USD 20,000</w:t>
            </w:r>
          </w:p>
        </w:tc>
        <w:tc>
          <w:tcPr>
            <w:tcW w:w="2018" w:type="dxa"/>
          </w:tcPr>
          <w:p w:rsidR="00F816E3" w:rsidRPr="00250EF4" w:rsidRDefault="00F816E3" w:rsidP="00B255B1">
            <w:pPr>
              <w:jc w:val="right"/>
              <w:rPr>
                <w:i/>
                <w:iCs/>
                <w:color w:val="222222"/>
                <w:sz w:val="20"/>
                <w:szCs w:val="20"/>
              </w:rPr>
            </w:pPr>
            <w:r w:rsidRPr="00250EF4">
              <w:rPr>
                <w:w w:val="95"/>
                <w:sz w:val="20"/>
                <w:szCs w:val="20"/>
              </w:rPr>
              <w:t>                      USD 7,500</w:t>
            </w:r>
          </w:p>
        </w:tc>
        <w:tc>
          <w:tcPr>
            <w:tcW w:w="2313"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 xml:space="preserve">Within first three months of project initiation </w:t>
            </w:r>
          </w:p>
        </w:tc>
      </w:tr>
      <w:tr w:rsidR="000D13DB" w:rsidRPr="00250EF4" w:rsidTr="0071100E">
        <w:trPr>
          <w:trHeight w:val="1852"/>
        </w:trPr>
        <w:tc>
          <w:tcPr>
            <w:tcW w:w="1945" w:type="dxa"/>
            <w:shd w:val="clear" w:color="auto" w:fill="auto"/>
            <w:tcMar>
              <w:top w:w="28" w:type="dxa"/>
              <w:bottom w:w="28" w:type="dxa"/>
            </w:tcMar>
          </w:tcPr>
          <w:p w:rsidR="00F816E3" w:rsidRPr="00250EF4" w:rsidRDefault="00000EAE" w:rsidP="00000EAE">
            <w:pPr>
              <w:widowControl w:val="0"/>
              <w:autoSpaceDE w:val="0"/>
              <w:autoSpaceDN w:val="0"/>
              <w:adjustRightInd w:val="0"/>
              <w:spacing w:before="40"/>
              <w:rPr>
                <w:w w:val="95"/>
                <w:sz w:val="20"/>
                <w:szCs w:val="20"/>
              </w:rPr>
            </w:pPr>
            <w:r w:rsidRPr="00250EF4">
              <w:rPr>
                <w:w w:val="95"/>
                <w:sz w:val="20"/>
                <w:szCs w:val="20"/>
              </w:rPr>
              <w:t xml:space="preserve">Bi-annual </w:t>
            </w:r>
            <w:r w:rsidR="00F816E3" w:rsidRPr="00250EF4">
              <w:rPr>
                <w:w w:val="95"/>
                <w:sz w:val="20"/>
                <w:szCs w:val="20"/>
              </w:rPr>
              <w:t>M&amp;E data collection</w:t>
            </w:r>
            <w:r w:rsidRPr="00250EF4">
              <w:rPr>
                <w:w w:val="95"/>
                <w:sz w:val="20"/>
                <w:szCs w:val="20"/>
              </w:rPr>
              <w:t xml:space="preserve">; re-confirming baseline, </w:t>
            </w:r>
            <w:r w:rsidR="00F816E3" w:rsidRPr="00250EF4">
              <w:rPr>
                <w:w w:val="95"/>
                <w:sz w:val="20"/>
                <w:szCs w:val="20"/>
              </w:rPr>
              <w:t xml:space="preserve"> and reporting </w:t>
            </w:r>
          </w:p>
        </w:tc>
        <w:tc>
          <w:tcPr>
            <w:tcW w:w="2470" w:type="dxa"/>
            <w:shd w:val="clear" w:color="auto" w:fill="auto"/>
            <w:tcMar>
              <w:top w:w="28" w:type="dxa"/>
              <w:bottom w:w="28" w:type="dxa"/>
            </w:tcMar>
          </w:tcPr>
          <w:p w:rsidR="00F816E3" w:rsidRPr="00250EF4" w:rsidRDefault="00F816E3" w:rsidP="00F816E3">
            <w:pPr>
              <w:widowControl w:val="0"/>
              <w:autoSpaceDE w:val="0"/>
              <w:autoSpaceDN w:val="0"/>
              <w:adjustRightInd w:val="0"/>
              <w:spacing w:before="40"/>
              <w:rPr>
                <w:w w:val="95"/>
                <w:sz w:val="20"/>
                <w:szCs w:val="20"/>
              </w:rPr>
            </w:pPr>
            <w:r w:rsidRPr="00250EF4">
              <w:rPr>
                <w:w w:val="95"/>
                <w:sz w:val="20"/>
                <w:szCs w:val="20"/>
                <w:u w:val="single"/>
              </w:rPr>
              <w:t xml:space="preserve">Oversight:  </w:t>
            </w:r>
            <w:r w:rsidRPr="00250EF4">
              <w:rPr>
                <w:w w:val="95"/>
                <w:sz w:val="20"/>
                <w:szCs w:val="20"/>
              </w:rPr>
              <w:t xml:space="preserve">NEA; Project </w:t>
            </w:r>
            <w:r w:rsidR="00000EAE" w:rsidRPr="00250EF4">
              <w:rPr>
                <w:w w:val="95"/>
                <w:sz w:val="20"/>
                <w:szCs w:val="20"/>
              </w:rPr>
              <w:t>TL</w:t>
            </w:r>
          </w:p>
          <w:p w:rsidR="00F816E3" w:rsidRPr="00250EF4" w:rsidRDefault="00F816E3" w:rsidP="00000EAE">
            <w:pPr>
              <w:widowControl w:val="0"/>
              <w:autoSpaceDE w:val="0"/>
              <w:autoSpaceDN w:val="0"/>
              <w:adjustRightInd w:val="0"/>
              <w:spacing w:before="40"/>
              <w:ind w:left="26"/>
              <w:rPr>
                <w:w w:val="95"/>
                <w:sz w:val="20"/>
                <w:szCs w:val="20"/>
              </w:rPr>
            </w:pPr>
            <w:r w:rsidRPr="00250EF4">
              <w:rPr>
                <w:w w:val="95"/>
                <w:sz w:val="20"/>
                <w:szCs w:val="20"/>
                <w:u w:val="single"/>
              </w:rPr>
              <w:t xml:space="preserve">Implementation: </w:t>
            </w:r>
            <w:r w:rsidRPr="00250EF4">
              <w:rPr>
                <w:w w:val="95"/>
                <w:sz w:val="20"/>
                <w:szCs w:val="20"/>
              </w:rPr>
              <w:t>PMU, PIU</w:t>
            </w:r>
            <w:r w:rsidR="00000EAE" w:rsidRPr="00250EF4">
              <w:rPr>
                <w:w w:val="95"/>
                <w:sz w:val="20"/>
                <w:szCs w:val="20"/>
              </w:rPr>
              <w:t>s</w:t>
            </w:r>
            <w:r w:rsidRPr="00250EF4">
              <w:rPr>
                <w:w w:val="95"/>
                <w:sz w:val="20"/>
                <w:szCs w:val="20"/>
              </w:rPr>
              <w:t>; M&amp;E</w:t>
            </w:r>
            <w:r w:rsidR="00000EAE" w:rsidRPr="00250EF4">
              <w:rPr>
                <w:w w:val="95"/>
                <w:sz w:val="20"/>
                <w:szCs w:val="20"/>
              </w:rPr>
              <w:t xml:space="preserve"> and Gender Spec.</w:t>
            </w:r>
            <w:r w:rsidRPr="00250EF4">
              <w:rPr>
                <w:w w:val="95"/>
                <w:sz w:val="20"/>
                <w:szCs w:val="20"/>
              </w:rPr>
              <w:t>; Sub-contractors</w:t>
            </w:r>
            <w:r w:rsidR="00000EAE" w:rsidRPr="00250EF4">
              <w:rPr>
                <w:w w:val="95"/>
                <w:sz w:val="20"/>
                <w:szCs w:val="20"/>
              </w:rPr>
              <w:t xml:space="preserve">’ </w:t>
            </w:r>
            <w:r w:rsidRPr="00250EF4">
              <w:rPr>
                <w:w w:val="95"/>
                <w:sz w:val="20"/>
                <w:szCs w:val="20"/>
              </w:rPr>
              <w:t>field programs</w:t>
            </w: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 xml:space="preserve">USD </w:t>
            </w:r>
            <w:r w:rsidR="009C00FD" w:rsidRPr="00250EF4">
              <w:rPr>
                <w:w w:val="95"/>
                <w:sz w:val="20"/>
                <w:szCs w:val="20"/>
              </w:rPr>
              <w:t>60</w:t>
            </w:r>
            <w:r w:rsidRPr="00250EF4">
              <w:rPr>
                <w:w w:val="95"/>
                <w:sz w:val="20"/>
                <w:szCs w:val="20"/>
              </w:rPr>
              <w:t>,000</w:t>
            </w:r>
          </w:p>
        </w:tc>
        <w:tc>
          <w:tcPr>
            <w:tcW w:w="2018" w:type="dxa"/>
          </w:tcPr>
          <w:p w:rsidR="00F816E3" w:rsidRPr="00250EF4" w:rsidRDefault="009C00FD" w:rsidP="00B255B1">
            <w:pPr>
              <w:widowControl w:val="0"/>
              <w:autoSpaceDE w:val="0"/>
              <w:autoSpaceDN w:val="0"/>
              <w:adjustRightInd w:val="0"/>
              <w:spacing w:before="40"/>
              <w:jc w:val="right"/>
              <w:rPr>
                <w:w w:val="95"/>
                <w:sz w:val="20"/>
                <w:szCs w:val="20"/>
              </w:rPr>
            </w:pPr>
            <w:r w:rsidRPr="00250EF4">
              <w:rPr>
                <w:w w:val="95"/>
                <w:sz w:val="20"/>
                <w:szCs w:val="20"/>
              </w:rPr>
              <w:t>USD 210,000</w:t>
            </w:r>
          </w:p>
        </w:tc>
        <w:tc>
          <w:tcPr>
            <w:tcW w:w="2313" w:type="dxa"/>
            <w:shd w:val="clear" w:color="auto" w:fill="auto"/>
            <w:tcMar>
              <w:top w:w="28" w:type="dxa"/>
              <w:bottom w:w="28" w:type="dxa"/>
            </w:tcMar>
          </w:tcPr>
          <w:p w:rsidR="00F816E3" w:rsidRPr="00250EF4" w:rsidRDefault="00F816E3" w:rsidP="000716CE">
            <w:pPr>
              <w:widowControl w:val="0"/>
              <w:autoSpaceDE w:val="0"/>
              <w:autoSpaceDN w:val="0"/>
              <w:adjustRightInd w:val="0"/>
              <w:spacing w:before="40"/>
              <w:rPr>
                <w:w w:val="95"/>
                <w:sz w:val="20"/>
                <w:szCs w:val="20"/>
              </w:rPr>
            </w:pPr>
            <w:r w:rsidRPr="00250EF4">
              <w:rPr>
                <w:color w:val="000000"/>
                <w:sz w:val="20"/>
                <w:szCs w:val="20"/>
              </w:rPr>
              <w:t xml:space="preserve">Impact M&amp;E </w:t>
            </w:r>
            <w:r w:rsidR="00000EAE" w:rsidRPr="00250EF4">
              <w:rPr>
                <w:color w:val="000000"/>
                <w:sz w:val="20"/>
                <w:szCs w:val="20"/>
              </w:rPr>
              <w:t>–</w:t>
            </w:r>
            <w:r w:rsidRPr="00250EF4">
              <w:rPr>
                <w:color w:val="000000"/>
                <w:sz w:val="20"/>
                <w:szCs w:val="20"/>
              </w:rPr>
              <w:t xml:space="preserve"> </w:t>
            </w:r>
            <w:r w:rsidR="00000EAE" w:rsidRPr="00250EF4">
              <w:rPr>
                <w:color w:val="000000"/>
                <w:sz w:val="20"/>
                <w:szCs w:val="20"/>
              </w:rPr>
              <w:t>bi-</w:t>
            </w:r>
            <w:r w:rsidRPr="00250EF4">
              <w:rPr>
                <w:color w:val="000000"/>
                <w:sz w:val="20"/>
                <w:szCs w:val="20"/>
              </w:rPr>
              <w:t>annually</w:t>
            </w:r>
            <w:r w:rsidR="00000EAE" w:rsidRPr="00250EF4">
              <w:rPr>
                <w:color w:val="000000"/>
                <w:sz w:val="20"/>
                <w:szCs w:val="20"/>
              </w:rPr>
              <w:t>; reported to</w:t>
            </w:r>
            <w:r w:rsidRPr="00250EF4">
              <w:rPr>
                <w:color w:val="000000"/>
                <w:sz w:val="20"/>
                <w:szCs w:val="20"/>
              </w:rPr>
              <w:t xml:space="preserve"> PSC meetings</w:t>
            </w:r>
            <w:r w:rsidR="00000EAE" w:rsidRPr="00250EF4">
              <w:rPr>
                <w:color w:val="000000"/>
                <w:sz w:val="20"/>
                <w:szCs w:val="20"/>
              </w:rPr>
              <w:t xml:space="preserve">; also </w:t>
            </w:r>
            <w:r w:rsidRPr="00250EF4">
              <w:rPr>
                <w:color w:val="000000"/>
                <w:sz w:val="20"/>
                <w:szCs w:val="20"/>
              </w:rPr>
              <w:t xml:space="preserve">part of PIR; </w:t>
            </w:r>
            <w:r w:rsidR="00000EAE" w:rsidRPr="00250EF4">
              <w:rPr>
                <w:color w:val="000000"/>
                <w:sz w:val="20"/>
                <w:szCs w:val="20"/>
              </w:rPr>
              <w:t xml:space="preserve">detailed </w:t>
            </w:r>
            <w:r w:rsidRPr="00250EF4">
              <w:rPr>
                <w:color w:val="000000"/>
                <w:sz w:val="20"/>
                <w:szCs w:val="20"/>
              </w:rPr>
              <w:t xml:space="preserve">Project M&amp;E Plan </w:t>
            </w:r>
            <w:r w:rsidR="00000EAE" w:rsidRPr="00250EF4">
              <w:rPr>
                <w:color w:val="000000"/>
                <w:sz w:val="20"/>
                <w:szCs w:val="20"/>
              </w:rPr>
              <w:t xml:space="preserve">to be confirmed </w:t>
            </w:r>
            <w:r w:rsidRPr="00250EF4">
              <w:rPr>
                <w:color w:val="000000"/>
                <w:sz w:val="20"/>
                <w:szCs w:val="20"/>
              </w:rPr>
              <w:t>at Inception</w:t>
            </w:r>
          </w:p>
        </w:tc>
      </w:tr>
      <w:tr w:rsidR="000D13DB" w:rsidRPr="00250EF4" w:rsidTr="0071100E">
        <w:tc>
          <w:tcPr>
            <w:tcW w:w="1945" w:type="dxa"/>
            <w:shd w:val="clear" w:color="auto" w:fill="auto"/>
            <w:tcMar>
              <w:top w:w="28" w:type="dxa"/>
              <w:bottom w:w="28" w:type="dxa"/>
            </w:tcMar>
          </w:tcPr>
          <w:p w:rsidR="00000EAE" w:rsidRPr="00250EF4" w:rsidRDefault="00000EAE" w:rsidP="000020A9">
            <w:pPr>
              <w:widowControl w:val="0"/>
              <w:autoSpaceDE w:val="0"/>
              <w:autoSpaceDN w:val="0"/>
              <w:adjustRightInd w:val="0"/>
              <w:spacing w:before="40"/>
              <w:rPr>
                <w:w w:val="95"/>
                <w:sz w:val="20"/>
                <w:szCs w:val="20"/>
              </w:rPr>
            </w:pPr>
            <w:r w:rsidRPr="00250EF4">
              <w:rPr>
                <w:w w:val="95"/>
                <w:sz w:val="20"/>
                <w:szCs w:val="20"/>
              </w:rPr>
              <w:t>Progress, gender and M&amp;E reporting</w:t>
            </w:r>
          </w:p>
        </w:tc>
        <w:tc>
          <w:tcPr>
            <w:tcW w:w="2470" w:type="dxa"/>
            <w:shd w:val="clear" w:color="auto" w:fill="auto"/>
            <w:tcMar>
              <w:top w:w="28" w:type="dxa"/>
              <w:bottom w:w="28" w:type="dxa"/>
            </w:tcMar>
          </w:tcPr>
          <w:p w:rsidR="004A1EE3" w:rsidRPr="00250EF4" w:rsidRDefault="00000EAE" w:rsidP="004A1EE3">
            <w:pPr>
              <w:widowControl w:val="0"/>
              <w:autoSpaceDE w:val="0"/>
              <w:autoSpaceDN w:val="0"/>
              <w:adjustRightInd w:val="0"/>
              <w:spacing w:before="40"/>
              <w:rPr>
                <w:w w:val="95"/>
                <w:sz w:val="20"/>
                <w:szCs w:val="20"/>
              </w:rPr>
            </w:pPr>
            <w:r w:rsidRPr="00250EF4">
              <w:rPr>
                <w:w w:val="95"/>
                <w:sz w:val="20"/>
                <w:szCs w:val="20"/>
                <w:u w:val="single"/>
              </w:rPr>
              <w:t xml:space="preserve">Oversight:  </w:t>
            </w:r>
            <w:r w:rsidRPr="00250EF4">
              <w:rPr>
                <w:w w:val="95"/>
                <w:sz w:val="20"/>
                <w:szCs w:val="20"/>
              </w:rPr>
              <w:t>NEA</w:t>
            </w:r>
            <w:r w:rsidR="004A1EE3" w:rsidRPr="00250EF4">
              <w:rPr>
                <w:w w:val="95"/>
                <w:sz w:val="20"/>
                <w:szCs w:val="20"/>
              </w:rPr>
              <w:t xml:space="preserve"> &amp; UNEP</w:t>
            </w:r>
          </w:p>
          <w:p w:rsidR="00000EAE" w:rsidRPr="00250EF4" w:rsidRDefault="00000EAE" w:rsidP="004A1EE3">
            <w:pPr>
              <w:widowControl w:val="0"/>
              <w:autoSpaceDE w:val="0"/>
              <w:autoSpaceDN w:val="0"/>
              <w:adjustRightInd w:val="0"/>
              <w:spacing w:before="40"/>
              <w:rPr>
                <w:w w:val="95"/>
                <w:sz w:val="20"/>
                <w:szCs w:val="20"/>
                <w:u w:val="single"/>
              </w:rPr>
            </w:pPr>
            <w:r w:rsidRPr="00250EF4">
              <w:rPr>
                <w:w w:val="95"/>
                <w:sz w:val="20"/>
                <w:szCs w:val="20"/>
                <w:u w:val="single"/>
              </w:rPr>
              <w:t xml:space="preserve">Implementation: </w:t>
            </w:r>
            <w:r w:rsidR="004A1EE3" w:rsidRPr="00250EF4">
              <w:rPr>
                <w:w w:val="95"/>
                <w:sz w:val="20"/>
                <w:szCs w:val="20"/>
                <w:u w:val="single"/>
              </w:rPr>
              <w:t>Project TL &amp; Co-TL,</w:t>
            </w:r>
            <w:r w:rsidRPr="00250EF4">
              <w:rPr>
                <w:w w:val="95"/>
                <w:sz w:val="20"/>
                <w:szCs w:val="20"/>
              </w:rPr>
              <w:t xml:space="preserve">PIUs; M&amp;E and Gender Spec.; </w:t>
            </w:r>
          </w:p>
        </w:tc>
        <w:tc>
          <w:tcPr>
            <w:tcW w:w="1975" w:type="dxa"/>
            <w:shd w:val="clear" w:color="auto" w:fill="auto"/>
          </w:tcPr>
          <w:p w:rsidR="00000EAE" w:rsidRPr="00250EF4" w:rsidRDefault="004A1EE3" w:rsidP="00B255B1">
            <w:pPr>
              <w:widowControl w:val="0"/>
              <w:autoSpaceDE w:val="0"/>
              <w:autoSpaceDN w:val="0"/>
              <w:adjustRightInd w:val="0"/>
              <w:spacing w:before="40"/>
              <w:jc w:val="right"/>
              <w:rPr>
                <w:w w:val="95"/>
                <w:sz w:val="20"/>
                <w:szCs w:val="20"/>
              </w:rPr>
            </w:pPr>
            <w:r w:rsidRPr="00250EF4">
              <w:rPr>
                <w:w w:val="95"/>
                <w:sz w:val="20"/>
                <w:szCs w:val="20"/>
              </w:rPr>
              <w:t>USD 70,000 (PMC)</w:t>
            </w:r>
          </w:p>
        </w:tc>
        <w:tc>
          <w:tcPr>
            <w:tcW w:w="2018" w:type="dxa"/>
          </w:tcPr>
          <w:p w:rsidR="00000EAE" w:rsidRPr="00250EF4" w:rsidRDefault="004A1EE3" w:rsidP="00B255B1">
            <w:pPr>
              <w:widowControl w:val="0"/>
              <w:autoSpaceDE w:val="0"/>
              <w:autoSpaceDN w:val="0"/>
              <w:adjustRightInd w:val="0"/>
              <w:spacing w:before="40"/>
              <w:jc w:val="right"/>
              <w:rPr>
                <w:w w:val="95"/>
                <w:sz w:val="20"/>
                <w:szCs w:val="20"/>
              </w:rPr>
            </w:pPr>
            <w:r w:rsidRPr="00250EF4">
              <w:rPr>
                <w:w w:val="95"/>
                <w:sz w:val="20"/>
                <w:szCs w:val="20"/>
              </w:rPr>
              <w:t>--</w:t>
            </w:r>
          </w:p>
        </w:tc>
        <w:tc>
          <w:tcPr>
            <w:tcW w:w="2313" w:type="dxa"/>
            <w:shd w:val="clear" w:color="auto" w:fill="auto"/>
            <w:tcMar>
              <w:top w:w="28" w:type="dxa"/>
              <w:bottom w:w="28" w:type="dxa"/>
            </w:tcMar>
          </w:tcPr>
          <w:p w:rsidR="0071100E" w:rsidRDefault="000716CE" w:rsidP="000020A9">
            <w:pPr>
              <w:widowControl w:val="0"/>
              <w:autoSpaceDE w:val="0"/>
              <w:autoSpaceDN w:val="0"/>
              <w:adjustRightInd w:val="0"/>
              <w:spacing w:before="40"/>
              <w:rPr>
                <w:w w:val="95"/>
                <w:sz w:val="20"/>
                <w:szCs w:val="20"/>
              </w:rPr>
            </w:pPr>
            <w:r w:rsidRPr="00250EF4">
              <w:rPr>
                <w:w w:val="95"/>
                <w:sz w:val="20"/>
                <w:szCs w:val="20"/>
              </w:rPr>
              <w:t>Semi-annual Progress reports</w:t>
            </w:r>
          </w:p>
          <w:p w:rsidR="000716CE" w:rsidRPr="00250EF4" w:rsidRDefault="00567EA3" w:rsidP="000020A9">
            <w:pPr>
              <w:widowControl w:val="0"/>
              <w:autoSpaceDE w:val="0"/>
              <w:autoSpaceDN w:val="0"/>
              <w:adjustRightInd w:val="0"/>
              <w:spacing w:before="40"/>
              <w:rPr>
                <w:w w:val="95"/>
                <w:sz w:val="20"/>
                <w:szCs w:val="20"/>
              </w:rPr>
            </w:pPr>
            <w:r w:rsidRPr="00250EF4">
              <w:rPr>
                <w:w w:val="95"/>
                <w:sz w:val="20"/>
                <w:szCs w:val="20"/>
              </w:rPr>
              <w:t xml:space="preserve">Annually prior to project SC meeting, implementation reviews (PIR) and preparation of annual work plans.  </w:t>
            </w:r>
          </w:p>
          <w:p w:rsidR="00000EAE" w:rsidRPr="00250EF4" w:rsidRDefault="000716CE" w:rsidP="000020A9">
            <w:pPr>
              <w:widowControl w:val="0"/>
              <w:autoSpaceDE w:val="0"/>
              <w:autoSpaceDN w:val="0"/>
              <w:adjustRightInd w:val="0"/>
              <w:spacing w:before="40"/>
              <w:rPr>
                <w:w w:val="95"/>
                <w:sz w:val="20"/>
                <w:szCs w:val="20"/>
              </w:rPr>
            </w:pPr>
            <w:r w:rsidRPr="00250EF4">
              <w:rPr>
                <w:w w:val="95"/>
                <w:sz w:val="20"/>
                <w:szCs w:val="20"/>
              </w:rPr>
              <w:t>Tracking tools -  start, mid and end of project, part of PIR</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Project implementation reviews (PIRs)</w:t>
            </w:r>
          </w:p>
        </w:tc>
        <w:tc>
          <w:tcPr>
            <w:tcW w:w="2470" w:type="dxa"/>
            <w:shd w:val="clear" w:color="auto" w:fill="auto"/>
            <w:tcMar>
              <w:top w:w="28" w:type="dxa"/>
              <w:bottom w:w="28" w:type="dxa"/>
            </w:tcMar>
          </w:tcPr>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NEA</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 xml:space="preserve"> Project </w:t>
            </w:r>
            <w:r w:rsidR="002E7E71" w:rsidRPr="00250EF4">
              <w:rPr>
                <w:w w:val="95"/>
                <w:sz w:val="20"/>
                <w:szCs w:val="20"/>
              </w:rPr>
              <w:t>TL &amp; PMU staff</w:t>
            </w:r>
            <w:r w:rsidRPr="00250EF4">
              <w:rPr>
                <w:w w:val="95"/>
                <w:sz w:val="20"/>
                <w:szCs w:val="20"/>
              </w:rPr>
              <w:t xml:space="preserve">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 xml:space="preserve">UNEP Task Manager </w:t>
            </w: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None foreseen (embedded in project team time &amp; GEF IA fee)</w:t>
            </w:r>
          </w:p>
        </w:tc>
        <w:tc>
          <w:tcPr>
            <w:tcW w:w="2018" w:type="dxa"/>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w:t>
            </w:r>
          </w:p>
        </w:tc>
        <w:tc>
          <w:tcPr>
            <w:tcW w:w="2313"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Annually</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Semi-annual  progress reports</w:t>
            </w:r>
          </w:p>
        </w:tc>
        <w:tc>
          <w:tcPr>
            <w:tcW w:w="2470"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u w:val="single"/>
              </w:rPr>
            </w:pPr>
            <w:r w:rsidRPr="00250EF4">
              <w:rPr>
                <w:w w:val="95"/>
                <w:sz w:val="20"/>
                <w:szCs w:val="20"/>
                <w:u w:val="single"/>
              </w:rPr>
              <w:t xml:space="preserve">Oversight: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NEA</w:t>
            </w:r>
            <w:r w:rsidR="002E7E71" w:rsidRPr="00250EF4">
              <w:rPr>
                <w:w w:val="95"/>
                <w:sz w:val="20"/>
                <w:szCs w:val="20"/>
              </w:rPr>
              <w:t xml:space="preserve"> &amp; UNEP</w:t>
            </w:r>
          </w:p>
          <w:p w:rsidR="00F816E3" w:rsidRPr="00250EF4" w:rsidRDefault="00F816E3" w:rsidP="000020A9">
            <w:pPr>
              <w:widowControl w:val="0"/>
              <w:autoSpaceDE w:val="0"/>
              <w:autoSpaceDN w:val="0"/>
              <w:adjustRightInd w:val="0"/>
              <w:spacing w:before="40"/>
              <w:ind w:left="26"/>
              <w:rPr>
                <w:w w:val="95"/>
                <w:sz w:val="20"/>
                <w:szCs w:val="20"/>
                <w:u w:val="single"/>
              </w:rPr>
            </w:pPr>
            <w:r w:rsidRPr="00250EF4">
              <w:rPr>
                <w:w w:val="95"/>
                <w:sz w:val="20"/>
                <w:szCs w:val="20"/>
                <w:u w:val="single"/>
              </w:rPr>
              <w:t>Implementation:</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PMU</w:t>
            </w:r>
          </w:p>
          <w:p w:rsidR="00F816E3" w:rsidRPr="00250EF4" w:rsidRDefault="00F816E3" w:rsidP="002E7E71">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 xml:space="preserve">Project </w:t>
            </w:r>
            <w:r w:rsidR="002E7E71" w:rsidRPr="00250EF4">
              <w:rPr>
                <w:w w:val="95"/>
                <w:sz w:val="20"/>
                <w:szCs w:val="20"/>
              </w:rPr>
              <w:t>TL</w:t>
            </w:r>
            <w:r w:rsidRPr="00250EF4">
              <w:rPr>
                <w:w w:val="95"/>
                <w:sz w:val="20"/>
                <w:szCs w:val="20"/>
              </w:rPr>
              <w:t xml:space="preserve"> </w:t>
            </w: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None foreseen (embedded in project team time)</w:t>
            </w:r>
          </w:p>
        </w:tc>
        <w:tc>
          <w:tcPr>
            <w:tcW w:w="2018" w:type="dxa"/>
          </w:tcPr>
          <w:p w:rsidR="00F816E3" w:rsidRPr="00250EF4" w:rsidRDefault="00F816E3" w:rsidP="00B255B1">
            <w:pPr>
              <w:widowControl w:val="0"/>
              <w:autoSpaceDE w:val="0"/>
              <w:autoSpaceDN w:val="0"/>
              <w:adjustRightInd w:val="0"/>
              <w:spacing w:before="40"/>
              <w:jc w:val="right"/>
              <w:rPr>
                <w:w w:val="95"/>
                <w:sz w:val="20"/>
                <w:szCs w:val="20"/>
              </w:rPr>
            </w:pPr>
          </w:p>
        </w:tc>
        <w:tc>
          <w:tcPr>
            <w:tcW w:w="2313" w:type="dxa"/>
            <w:shd w:val="clear" w:color="auto" w:fill="auto"/>
            <w:tcMar>
              <w:top w:w="28" w:type="dxa"/>
              <w:bottom w:w="28" w:type="dxa"/>
            </w:tcMar>
          </w:tcPr>
          <w:p w:rsidR="00F816E3" w:rsidRPr="00250EF4" w:rsidRDefault="00F816E3" w:rsidP="002E7E71">
            <w:pPr>
              <w:widowControl w:val="0"/>
              <w:autoSpaceDE w:val="0"/>
              <w:autoSpaceDN w:val="0"/>
              <w:adjustRightInd w:val="0"/>
              <w:spacing w:before="40"/>
              <w:rPr>
                <w:w w:val="95"/>
                <w:sz w:val="20"/>
                <w:szCs w:val="20"/>
              </w:rPr>
            </w:pPr>
            <w:r w:rsidRPr="00250EF4">
              <w:rPr>
                <w:w w:val="95"/>
                <w:sz w:val="20"/>
                <w:szCs w:val="20"/>
              </w:rPr>
              <w:t xml:space="preserve"> </w:t>
            </w:r>
            <w:r w:rsidR="002E7E71" w:rsidRPr="00250EF4">
              <w:rPr>
                <w:w w:val="95"/>
                <w:sz w:val="20"/>
                <w:szCs w:val="20"/>
              </w:rPr>
              <w:t>Semi-annual</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Project Steering Committee meetings &amp; NEA oversight meetings (</w:t>
            </w:r>
            <w:r w:rsidRPr="00250EF4">
              <w:rPr>
                <w:i/>
                <w:iCs/>
                <w:w w:val="95"/>
                <w:sz w:val="20"/>
                <w:szCs w:val="20"/>
              </w:rPr>
              <w:t>national &amp; provincial</w:t>
            </w:r>
            <w:r w:rsidRPr="00250EF4">
              <w:rPr>
                <w:w w:val="95"/>
                <w:sz w:val="20"/>
                <w:szCs w:val="20"/>
              </w:rPr>
              <w:t>)</w:t>
            </w:r>
          </w:p>
        </w:tc>
        <w:tc>
          <w:tcPr>
            <w:tcW w:w="2470"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u w:val="single"/>
              </w:rPr>
            </w:pPr>
            <w:r w:rsidRPr="00250EF4">
              <w:rPr>
                <w:w w:val="95"/>
                <w:sz w:val="20"/>
                <w:szCs w:val="20"/>
                <w:u w:val="single"/>
              </w:rPr>
              <w:t xml:space="preserve">Oversight: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NEA; UNEP</w:t>
            </w:r>
          </w:p>
          <w:p w:rsidR="00F816E3" w:rsidRPr="00250EF4" w:rsidRDefault="00F816E3" w:rsidP="000020A9">
            <w:pPr>
              <w:widowControl w:val="0"/>
              <w:autoSpaceDE w:val="0"/>
              <w:autoSpaceDN w:val="0"/>
              <w:adjustRightInd w:val="0"/>
              <w:spacing w:before="40"/>
              <w:ind w:left="26"/>
              <w:rPr>
                <w:w w:val="95"/>
                <w:sz w:val="20"/>
                <w:szCs w:val="20"/>
                <w:u w:val="single"/>
              </w:rPr>
            </w:pPr>
            <w:r w:rsidRPr="00250EF4">
              <w:rPr>
                <w:w w:val="95"/>
                <w:sz w:val="20"/>
                <w:szCs w:val="20"/>
                <w:u w:val="single"/>
              </w:rPr>
              <w:t>Implementation:</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Secretariat PMU</w:t>
            </w:r>
          </w:p>
          <w:p w:rsidR="00F816E3" w:rsidRPr="00250EF4" w:rsidRDefault="000D13DB" w:rsidP="00524B1F">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Project TL</w:t>
            </w: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 xml:space="preserve">USD </w:t>
            </w:r>
            <w:r w:rsidR="000D13DB" w:rsidRPr="00250EF4">
              <w:rPr>
                <w:w w:val="95"/>
                <w:sz w:val="20"/>
                <w:szCs w:val="20"/>
              </w:rPr>
              <w:t>95</w:t>
            </w:r>
            <w:r w:rsidRPr="00250EF4">
              <w:rPr>
                <w:w w:val="95"/>
                <w:sz w:val="20"/>
                <w:szCs w:val="20"/>
              </w:rPr>
              <w:t>,000</w:t>
            </w:r>
            <w:r w:rsidR="000D13DB" w:rsidRPr="00250EF4">
              <w:rPr>
                <w:w w:val="95"/>
                <w:sz w:val="20"/>
                <w:szCs w:val="20"/>
              </w:rPr>
              <w:t>(PMC cost)</w:t>
            </w:r>
          </w:p>
          <w:p w:rsidR="00F816E3" w:rsidRPr="00250EF4" w:rsidRDefault="00F816E3" w:rsidP="00B255B1">
            <w:pPr>
              <w:widowControl w:val="0"/>
              <w:autoSpaceDE w:val="0"/>
              <w:autoSpaceDN w:val="0"/>
              <w:adjustRightInd w:val="0"/>
              <w:spacing w:before="40"/>
              <w:jc w:val="right"/>
              <w:rPr>
                <w:w w:val="95"/>
                <w:sz w:val="20"/>
                <w:szCs w:val="20"/>
              </w:rPr>
            </w:pPr>
          </w:p>
          <w:p w:rsidR="00F816E3" w:rsidRPr="00250EF4" w:rsidRDefault="00F816E3" w:rsidP="00B255B1">
            <w:pPr>
              <w:widowControl w:val="0"/>
              <w:autoSpaceDE w:val="0"/>
              <w:autoSpaceDN w:val="0"/>
              <w:adjustRightInd w:val="0"/>
              <w:spacing w:before="40"/>
              <w:jc w:val="right"/>
              <w:rPr>
                <w:w w:val="95"/>
                <w:sz w:val="20"/>
                <w:szCs w:val="20"/>
              </w:rPr>
            </w:pPr>
          </w:p>
        </w:tc>
        <w:tc>
          <w:tcPr>
            <w:tcW w:w="2018" w:type="dxa"/>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 xml:space="preserve">USD </w:t>
            </w:r>
            <w:r w:rsidR="000D13DB" w:rsidRPr="00250EF4">
              <w:rPr>
                <w:w w:val="95"/>
                <w:sz w:val="20"/>
                <w:szCs w:val="20"/>
              </w:rPr>
              <w:t>95</w:t>
            </w:r>
            <w:r w:rsidRPr="00250EF4">
              <w:rPr>
                <w:w w:val="95"/>
                <w:sz w:val="20"/>
                <w:szCs w:val="20"/>
              </w:rPr>
              <w:t>,000</w:t>
            </w:r>
          </w:p>
        </w:tc>
        <w:tc>
          <w:tcPr>
            <w:tcW w:w="2313"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Bi-annually or more frequent (e.g. by Skype); with once annually ‘in person’ for formal functions such as approval budgets and workplans</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MTR/MTE</w:t>
            </w:r>
          </w:p>
        </w:tc>
        <w:tc>
          <w:tcPr>
            <w:tcW w:w="2470"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u w:val="single"/>
              </w:rPr>
            </w:pPr>
            <w:r w:rsidRPr="00250EF4">
              <w:rPr>
                <w:w w:val="95"/>
                <w:sz w:val="20"/>
                <w:szCs w:val="20"/>
                <w:u w:val="single"/>
              </w:rPr>
              <w:t xml:space="preserve">Oversight: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 xml:space="preserve">UNEP </w:t>
            </w:r>
            <w:r w:rsidR="000D13DB" w:rsidRPr="00250EF4">
              <w:rPr>
                <w:w w:val="95"/>
                <w:sz w:val="20"/>
                <w:szCs w:val="20"/>
              </w:rPr>
              <w:t xml:space="preserve">EO &amp; </w:t>
            </w:r>
            <w:r w:rsidRPr="00250EF4">
              <w:rPr>
                <w:w w:val="95"/>
                <w:sz w:val="20"/>
                <w:szCs w:val="20"/>
              </w:rPr>
              <w:t>TM</w:t>
            </w:r>
          </w:p>
          <w:p w:rsidR="00F816E3" w:rsidRPr="00250EF4" w:rsidRDefault="00F816E3" w:rsidP="000020A9">
            <w:pPr>
              <w:widowControl w:val="0"/>
              <w:autoSpaceDE w:val="0"/>
              <w:autoSpaceDN w:val="0"/>
              <w:adjustRightInd w:val="0"/>
              <w:spacing w:before="40"/>
              <w:ind w:left="26"/>
              <w:rPr>
                <w:w w:val="95"/>
                <w:sz w:val="20"/>
                <w:szCs w:val="20"/>
                <w:u w:val="single"/>
              </w:rPr>
            </w:pPr>
            <w:r w:rsidRPr="00250EF4">
              <w:rPr>
                <w:w w:val="95"/>
                <w:sz w:val="20"/>
                <w:szCs w:val="20"/>
                <w:u w:val="single"/>
              </w:rPr>
              <w:t>Implementation:</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NEA, PMU, PIU</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 xml:space="preserve">External Consultants (Natl. plus Intl.) </w:t>
            </w: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 xml:space="preserve">USD </w:t>
            </w:r>
            <w:r w:rsidR="000D13DB" w:rsidRPr="00250EF4">
              <w:rPr>
                <w:w w:val="95"/>
                <w:sz w:val="20"/>
                <w:szCs w:val="20"/>
              </w:rPr>
              <w:t>3</w:t>
            </w:r>
            <w:r w:rsidRPr="00250EF4">
              <w:rPr>
                <w:w w:val="95"/>
                <w:sz w:val="20"/>
                <w:szCs w:val="20"/>
              </w:rPr>
              <w:t>0,000</w:t>
            </w:r>
          </w:p>
        </w:tc>
        <w:tc>
          <w:tcPr>
            <w:tcW w:w="2018" w:type="dxa"/>
          </w:tcPr>
          <w:p w:rsidR="00F816E3" w:rsidRPr="00250EF4" w:rsidRDefault="000D13DB" w:rsidP="00B255B1">
            <w:pPr>
              <w:widowControl w:val="0"/>
              <w:autoSpaceDE w:val="0"/>
              <w:autoSpaceDN w:val="0"/>
              <w:adjustRightInd w:val="0"/>
              <w:spacing w:before="40"/>
              <w:jc w:val="right"/>
              <w:rPr>
                <w:w w:val="95"/>
                <w:sz w:val="20"/>
                <w:szCs w:val="20"/>
              </w:rPr>
            </w:pPr>
            <w:r w:rsidRPr="00250EF4">
              <w:rPr>
                <w:w w:val="95"/>
                <w:sz w:val="20"/>
                <w:szCs w:val="20"/>
              </w:rPr>
              <w:t>-</w:t>
            </w:r>
          </w:p>
        </w:tc>
        <w:tc>
          <w:tcPr>
            <w:tcW w:w="2313" w:type="dxa"/>
            <w:shd w:val="clear" w:color="auto" w:fill="auto"/>
            <w:tcMar>
              <w:top w:w="28" w:type="dxa"/>
              <w:bottom w:w="28" w:type="dxa"/>
            </w:tcMar>
          </w:tcPr>
          <w:p w:rsidR="00F816E3" w:rsidRPr="00250EF4" w:rsidRDefault="000D13DB" w:rsidP="000D13DB">
            <w:pPr>
              <w:widowControl w:val="0"/>
              <w:autoSpaceDE w:val="0"/>
              <w:autoSpaceDN w:val="0"/>
              <w:adjustRightInd w:val="0"/>
              <w:spacing w:before="40"/>
              <w:rPr>
                <w:w w:val="95"/>
                <w:sz w:val="20"/>
                <w:szCs w:val="20"/>
              </w:rPr>
            </w:pPr>
            <w:r w:rsidRPr="00250EF4">
              <w:rPr>
                <w:w w:val="95"/>
                <w:sz w:val="20"/>
                <w:szCs w:val="20"/>
              </w:rPr>
              <w:t xml:space="preserve">MTR at </w:t>
            </w:r>
            <w:r w:rsidR="00F816E3" w:rsidRPr="00250EF4">
              <w:rPr>
                <w:w w:val="95"/>
                <w:sz w:val="20"/>
                <w:szCs w:val="20"/>
              </w:rPr>
              <w:t>mid-point of project</w:t>
            </w:r>
            <w:r w:rsidRPr="00250EF4">
              <w:rPr>
                <w:w w:val="95"/>
                <w:sz w:val="20"/>
                <w:szCs w:val="20"/>
              </w:rPr>
              <w:t xml:space="preserve"> </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Terminal Evaluation</w:t>
            </w:r>
          </w:p>
        </w:tc>
        <w:tc>
          <w:tcPr>
            <w:tcW w:w="2470"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u w:val="single"/>
              </w:rPr>
            </w:pPr>
            <w:r w:rsidRPr="00250EF4">
              <w:rPr>
                <w:w w:val="95"/>
                <w:sz w:val="20"/>
                <w:szCs w:val="20"/>
                <w:u w:val="single"/>
              </w:rPr>
              <w:t xml:space="preserve">Oversight/ Implementation: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 xml:space="preserve">UNEP EO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 xml:space="preserve">External Consultants (Natl. Intl.) </w:t>
            </w: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USD 3</w:t>
            </w:r>
            <w:r w:rsidR="000D13DB" w:rsidRPr="00250EF4">
              <w:rPr>
                <w:w w:val="95"/>
                <w:sz w:val="20"/>
                <w:szCs w:val="20"/>
              </w:rPr>
              <w:t>0</w:t>
            </w:r>
            <w:r w:rsidRPr="00250EF4">
              <w:rPr>
                <w:w w:val="95"/>
                <w:sz w:val="20"/>
                <w:szCs w:val="20"/>
              </w:rPr>
              <w:t>,000</w:t>
            </w:r>
          </w:p>
        </w:tc>
        <w:tc>
          <w:tcPr>
            <w:tcW w:w="2018" w:type="dxa"/>
          </w:tcPr>
          <w:p w:rsidR="00F816E3" w:rsidRPr="00250EF4" w:rsidRDefault="000D13DB" w:rsidP="00B255B1">
            <w:pPr>
              <w:widowControl w:val="0"/>
              <w:autoSpaceDE w:val="0"/>
              <w:autoSpaceDN w:val="0"/>
              <w:adjustRightInd w:val="0"/>
              <w:spacing w:before="40"/>
              <w:jc w:val="right"/>
              <w:rPr>
                <w:w w:val="95"/>
                <w:sz w:val="20"/>
                <w:szCs w:val="20"/>
              </w:rPr>
            </w:pPr>
            <w:r w:rsidRPr="00250EF4">
              <w:rPr>
                <w:w w:val="95"/>
                <w:sz w:val="20"/>
                <w:szCs w:val="20"/>
              </w:rPr>
              <w:t>-</w:t>
            </w:r>
          </w:p>
        </w:tc>
        <w:tc>
          <w:tcPr>
            <w:tcW w:w="2313"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Two months prior to end of project implementation</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Terminal Report</w:t>
            </w:r>
          </w:p>
        </w:tc>
        <w:tc>
          <w:tcPr>
            <w:tcW w:w="2470"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u w:val="single"/>
              </w:rPr>
            </w:pPr>
            <w:r w:rsidRPr="00250EF4">
              <w:rPr>
                <w:w w:val="95"/>
                <w:sz w:val="20"/>
                <w:szCs w:val="20"/>
                <w:u w:val="single"/>
              </w:rPr>
              <w:t xml:space="preserve">Oversight: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NEA</w:t>
            </w:r>
            <w:r w:rsidR="000D13DB" w:rsidRPr="00250EF4">
              <w:rPr>
                <w:w w:val="95"/>
                <w:sz w:val="20"/>
                <w:szCs w:val="20"/>
              </w:rPr>
              <w:t xml:space="preserve"> &amp; UNEP</w:t>
            </w:r>
          </w:p>
          <w:p w:rsidR="00F816E3" w:rsidRPr="00250EF4" w:rsidRDefault="00F816E3" w:rsidP="000020A9">
            <w:pPr>
              <w:widowControl w:val="0"/>
              <w:autoSpaceDE w:val="0"/>
              <w:autoSpaceDN w:val="0"/>
              <w:adjustRightInd w:val="0"/>
              <w:spacing w:before="40"/>
              <w:ind w:left="26"/>
              <w:rPr>
                <w:w w:val="95"/>
                <w:sz w:val="20"/>
                <w:szCs w:val="20"/>
                <w:u w:val="single"/>
              </w:rPr>
            </w:pPr>
            <w:r w:rsidRPr="00250EF4">
              <w:rPr>
                <w:w w:val="95"/>
                <w:sz w:val="20"/>
                <w:szCs w:val="20"/>
                <w:u w:val="single"/>
              </w:rPr>
              <w:t>Implementation:</w:t>
            </w:r>
          </w:p>
          <w:p w:rsidR="00F816E3" w:rsidRPr="00250EF4" w:rsidRDefault="00F816E3" w:rsidP="000D13DB">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PMU</w:t>
            </w:r>
            <w:r w:rsidR="000D13DB" w:rsidRPr="00250EF4">
              <w:rPr>
                <w:w w:val="95"/>
                <w:sz w:val="20"/>
                <w:szCs w:val="20"/>
              </w:rPr>
              <w:t xml:space="preserve"> and Project TL &amp; Co-TL</w:t>
            </w: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None foreseen (embedded in project team time)</w:t>
            </w:r>
          </w:p>
        </w:tc>
        <w:tc>
          <w:tcPr>
            <w:tcW w:w="2018" w:type="dxa"/>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w:t>
            </w:r>
          </w:p>
        </w:tc>
        <w:tc>
          <w:tcPr>
            <w:tcW w:w="2313"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Three months prior to end of project implementation and before project terminal Evaluation</w:t>
            </w:r>
          </w:p>
        </w:tc>
      </w:tr>
      <w:tr w:rsidR="0071100E" w:rsidRPr="00250EF4" w:rsidTr="0071100E">
        <w:tc>
          <w:tcPr>
            <w:tcW w:w="1945" w:type="dxa"/>
            <w:shd w:val="clear" w:color="auto" w:fill="auto"/>
            <w:tcMar>
              <w:top w:w="28" w:type="dxa"/>
              <w:bottom w:w="28" w:type="dxa"/>
            </w:tcMar>
          </w:tcPr>
          <w:p w:rsidR="0071100E" w:rsidRPr="00250EF4" w:rsidRDefault="0071100E" w:rsidP="000020A9">
            <w:pPr>
              <w:widowControl w:val="0"/>
              <w:autoSpaceDE w:val="0"/>
              <w:autoSpaceDN w:val="0"/>
              <w:adjustRightInd w:val="0"/>
              <w:spacing w:before="40"/>
              <w:rPr>
                <w:w w:val="95"/>
                <w:sz w:val="20"/>
                <w:szCs w:val="20"/>
              </w:rPr>
            </w:pPr>
            <w:r>
              <w:rPr>
                <w:w w:val="95"/>
                <w:sz w:val="20"/>
                <w:szCs w:val="20"/>
              </w:rPr>
              <w:t>Quarterly Expenditure reporting</w:t>
            </w:r>
          </w:p>
        </w:tc>
        <w:tc>
          <w:tcPr>
            <w:tcW w:w="2470" w:type="dxa"/>
            <w:shd w:val="clear" w:color="auto" w:fill="auto"/>
            <w:tcMar>
              <w:top w:w="28" w:type="dxa"/>
              <w:bottom w:w="28" w:type="dxa"/>
            </w:tcMar>
          </w:tcPr>
          <w:p w:rsidR="0071100E" w:rsidRPr="00250EF4" w:rsidRDefault="0071100E" w:rsidP="0071100E">
            <w:pPr>
              <w:widowControl w:val="0"/>
              <w:autoSpaceDE w:val="0"/>
              <w:autoSpaceDN w:val="0"/>
              <w:adjustRightInd w:val="0"/>
              <w:spacing w:before="40"/>
              <w:rPr>
                <w:w w:val="95"/>
                <w:sz w:val="20"/>
                <w:szCs w:val="20"/>
                <w:u w:val="single"/>
              </w:rPr>
            </w:pPr>
            <w:r w:rsidRPr="00250EF4">
              <w:rPr>
                <w:w w:val="95"/>
                <w:sz w:val="20"/>
                <w:szCs w:val="20"/>
                <w:u w:val="single"/>
              </w:rPr>
              <w:t xml:space="preserve">Oversight:  </w:t>
            </w:r>
          </w:p>
          <w:p w:rsidR="0071100E" w:rsidRPr="00250EF4" w:rsidRDefault="0071100E" w:rsidP="0071100E">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NEA &amp; UNEP</w:t>
            </w:r>
          </w:p>
          <w:p w:rsidR="0071100E" w:rsidRPr="00250EF4" w:rsidRDefault="0071100E" w:rsidP="0071100E">
            <w:pPr>
              <w:widowControl w:val="0"/>
              <w:autoSpaceDE w:val="0"/>
              <w:autoSpaceDN w:val="0"/>
              <w:adjustRightInd w:val="0"/>
              <w:spacing w:before="40"/>
              <w:ind w:left="26"/>
              <w:rPr>
                <w:w w:val="95"/>
                <w:sz w:val="20"/>
                <w:szCs w:val="20"/>
                <w:u w:val="single"/>
              </w:rPr>
            </w:pPr>
            <w:r w:rsidRPr="00250EF4">
              <w:rPr>
                <w:w w:val="95"/>
                <w:sz w:val="20"/>
                <w:szCs w:val="20"/>
                <w:u w:val="single"/>
              </w:rPr>
              <w:t>Implementation:</w:t>
            </w:r>
          </w:p>
          <w:p w:rsidR="0071100E" w:rsidRPr="00250EF4" w:rsidRDefault="0071100E" w:rsidP="0071100E">
            <w:pPr>
              <w:widowControl w:val="0"/>
              <w:autoSpaceDE w:val="0"/>
              <w:autoSpaceDN w:val="0"/>
              <w:adjustRightInd w:val="0"/>
              <w:spacing w:before="40"/>
              <w:rPr>
                <w:w w:val="95"/>
                <w:sz w:val="20"/>
                <w:szCs w:val="20"/>
                <w:u w:val="single"/>
              </w:rPr>
            </w:pPr>
            <w:r w:rsidRPr="00250EF4">
              <w:rPr>
                <w:w w:val="95"/>
                <w:sz w:val="20"/>
                <w:szCs w:val="20"/>
              </w:rPr>
              <w:t>PMU</w:t>
            </w:r>
            <w:r>
              <w:rPr>
                <w:w w:val="95"/>
                <w:sz w:val="20"/>
                <w:szCs w:val="20"/>
              </w:rPr>
              <w:t>,</w:t>
            </w:r>
            <w:r w:rsidRPr="00250EF4">
              <w:rPr>
                <w:w w:val="95"/>
                <w:sz w:val="20"/>
                <w:szCs w:val="20"/>
              </w:rPr>
              <w:t xml:space="preserve">Project TL &amp; </w:t>
            </w:r>
            <w:r>
              <w:rPr>
                <w:w w:val="95"/>
                <w:sz w:val="20"/>
                <w:szCs w:val="20"/>
              </w:rPr>
              <w:t>Project Finance Manager</w:t>
            </w:r>
          </w:p>
        </w:tc>
        <w:tc>
          <w:tcPr>
            <w:tcW w:w="1975" w:type="dxa"/>
            <w:shd w:val="clear" w:color="auto" w:fill="auto"/>
          </w:tcPr>
          <w:p w:rsidR="0071100E" w:rsidRPr="00250EF4" w:rsidRDefault="0071100E" w:rsidP="00B255B1">
            <w:pPr>
              <w:jc w:val="right"/>
              <w:rPr>
                <w:w w:val="95"/>
                <w:sz w:val="20"/>
                <w:szCs w:val="20"/>
              </w:rPr>
            </w:pPr>
            <w:r w:rsidRPr="00250EF4">
              <w:rPr>
                <w:w w:val="95"/>
                <w:sz w:val="20"/>
                <w:szCs w:val="20"/>
              </w:rPr>
              <w:t>None foreseen (embedded in project team time)</w:t>
            </w:r>
          </w:p>
        </w:tc>
        <w:tc>
          <w:tcPr>
            <w:tcW w:w="2018" w:type="dxa"/>
          </w:tcPr>
          <w:p w:rsidR="0071100E" w:rsidRPr="00250EF4" w:rsidRDefault="0071100E" w:rsidP="00B255B1">
            <w:pPr>
              <w:jc w:val="right"/>
              <w:rPr>
                <w:w w:val="95"/>
                <w:sz w:val="20"/>
                <w:szCs w:val="20"/>
              </w:rPr>
            </w:pPr>
            <w:r>
              <w:rPr>
                <w:w w:val="95"/>
                <w:sz w:val="20"/>
                <w:szCs w:val="20"/>
              </w:rPr>
              <w:t>USD 74,413</w:t>
            </w:r>
          </w:p>
        </w:tc>
        <w:tc>
          <w:tcPr>
            <w:tcW w:w="2313" w:type="dxa"/>
            <w:shd w:val="clear" w:color="auto" w:fill="auto"/>
            <w:tcMar>
              <w:top w:w="28" w:type="dxa"/>
              <w:bottom w:w="28" w:type="dxa"/>
            </w:tcMar>
          </w:tcPr>
          <w:p w:rsidR="0071100E" w:rsidRPr="00250EF4" w:rsidRDefault="0071100E" w:rsidP="000020A9">
            <w:pPr>
              <w:widowControl w:val="0"/>
              <w:autoSpaceDE w:val="0"/>
              <w:autoSpaceDN w:val="0"/>
              <w:adjustRightInd w:val="0"/>
              <w:spacing w:before="40"/>
              <w:rPr>
                <w:w w:val="95"/>
                <w:sz w:val="20"/>
                <w:szCs w:val="20"/>
              </w:rPr>
            </w:pPr>
            <w:r>
              <w:rPr>
                <w:w w:val="95"/>
                <w:sz w:val="20"/>
                <w:szCs w:val="20"/>
              </w:rPr>
              <w:t>Quarterly, by end of following month</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Financial audits</w:t>
            </w:r>
          </w:p>
        </w:tc>
        <w:tc>
          <w:tcPr>
            <w:tcW w:w="2470"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u w:val="single"/>
              </w:rPr>
            </w:pPr>
            <w:r w:rsidRPr="00250EF4">
              <w:rPr>
                <w:w w:val="95"/>
                <w:sz w:val="20"/>
                <w:szCs w:val="20"/>
                <w:u w:val="single"/>
              </w:rPr>
              <w:t xml:space="preserve">Oversight:  </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NEA</w:t>
            </w:r>
          </w:p>
          <w:p w:rsidR="00F816E3" w:rsidRPr="00250EF4" w:rsidRDefault="00F816E3" w:rsidP="000020A9">
            <w:pPr>
              <w:widowControl w:val="0"/>
              <w:autoSpaceDE w:val="0"/>
              <w:autoSpaceDN w:val="0"/>
              <w:adjustRightInd w:val="0"/>
              <w:spacing w:before="40"/>
              <w:ind w:left="26"/>
              <w:rPr>
                <w:w w:val="95"/>
                <w:sz w:val="20"/>
                <w:szCs w:val="20"/>
                <w:u w:val="single"/>
              </w:rPr>
            </w:pPr>
            <w:r w:rsidRPr="00250EF4">
              <w:rPr>
                <w:w w:val="95"/>
                <w:sz w:val="20"/>
                <w:szCs w:val="20"/>
                <w:u w:val="single"/>
              </w:rPr>
              <w:t>Implementation:</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PMU</w:t>
            </w:r>
          </w:p>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after="200" w:line="276" w:lineRule="auto"/>
              <w:ind w:left="243" w:hanging="215"/>
              <w:jc w:val="left"/>
              <w:rPr>
                <w:w w:val="95"/>
                <w:sz w:val="20"/>
                <w:szCs w:val="20"/>
              </w:rPr>
            </w:pPr>
            <w:r w:rsidRPr="00250EF4">
              <w:rPr>
                <w:w w:val="95"/>
                <w:sz w:val="20"/>
                <w:szCs w:val="20"/>
              </w:rPr>
              <w:t>Finance Manager</w:t>
            </w:r>
          </w:p>
        </w:tc>
        <w:tc>
          <w:tcPr>
            <w:tcW w:w="1975" w:type="dxa"/>
            <w:shd w:val="clear" w:color="auto" w:fill="auto"/>
          </w:tcPr>
          <w:p w:rsidR="00F816E3" w:rsidRPr="00250EF4" w:rsidRDefault="00F816E3" w:rsidP="00B255B1">
            <w:pPr>
              <w:jc w:val="right"/>
              <w:rPr>
                <w:w w:val="95"/>
                <w:sz w:val="20"/>
                <w:szCs w:val="20"/>
              </w:rPr>
            </w:pPr>
            <w:r w:rsidRPr="00250EF4">
              <w:rPr>
                <w:w w:val="95"/>
                <w:sz w:val="20"/>
                <w:szCs w:val="20"/>
              </w:rPr>
              <w:t xml:space="preserve">USD </w:t>
            </w:r>
            <w:r w:rsidR="000D13DB" w:rsidRPr="00250EF4">
              <w:rPr>
                <w:w w:val="95"/>
                <w:sz w:val="20"/>
                <w:szCs w:val="20"/>
              </w:rPr>
              <w:t>36</w:t>
            </w:r>
            <w:r w:rsidRPr="00250EF4">
              <w:rPr>
                <w:w w:val="95"/>
                <w:sz w:val="20"/>
                <w:szCs w:val="20"/>
              </w:rPr>
              <w:t>,000.00</w:t>
            </w:r>
          </w:p>
        </w:tc>
        <w:tc>
          <w:tcPr>
            <w:tcW w:w="2018" w:type="dxa"/>
          </w:tcPr>
          <w:p w:rsidR="00F816E3" w:rsidRPr="00250EF4" w:rsidRDefault="00F816E3" w:rsidP="00B255B1">
            <w:pPr>
              <w:jc w:val="right"/>
              <w:rPr>
                <w:w w:val="95"/>
                <w:sz w:val="20"/>
                <w:szCs w:val="20"/>
              </w:rPr>
            </w:pPr>
            <w:r w:rsidRPr="00250EF4">
              <w:rPr>
                <w:w w:val="95"/>
                <w:sz w:val="20"/>
                <w:szCs w:val="20"/>
              </w:rPr>
              <w:t>USD 27,500</w:t>
            </w:r>
          </w:p>
        </w:tc>
        <w:tc>
          <w:tcPr>
            <w:tcW w:w="2313"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Annually before June each year</w:t>
            </w:r>
          </w:p>
        </w:tc>
      </w:tr>
      <w:tr w:rsidR="000D13DB" w:rsidRPr="00250EF4" w:rsidTr="0071100E">
        <w:tc>
          <w:tcPr>
            <w:tcW w:w="1945"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Annual project oversight and review missions (incl. possibly field visits)</w:t>
            </w:r>
          </w:p>
        </w:tc>
        <w:tc>
          <w:tcPr>
            <w:tcW w:w="2470" w:type="dxa"/>
            <w:shd w:val="clear" w:color="auto" w:fill="auto"/>
            <w:tcMar>
              <w:top w:w="28" w:type="dxa"/>
              <w:bottom w:w="28" w:type="dxa"/>
            </w:tcMar>
          </w:tcPr>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UNEP</w:t>
            </w:r>
          </w:p>
          <w:p w:rsidR="00F816E3" w:rsidRPr="00250EF4" w:rsidRDefault="00F816E3" w:rsidP="000020A9">
            <w:pPr>
              <w:widowControl w:val="0"/>
              <w:autoSpaceDE w:val="0"/>
              <w:autoSpaceDN w:val="0"/>
              <w:adjustRightInd w:val="0"/>
              <w:spacing w:before="40"/>
              <w:ind w:left="26"/>
              <w:rPr>
                <w:w w:val="95"/>
                <w:sz w:val="20"/>
                <w:szCs w:val="20"/>
              </w:rPr>
            </w:pPr>
          </w:p>
        </w:tc>
        <w:tc>
          <w:tcPr>
            <w:tcW w:w="1975" w:type="dxa"/>
            <w:shd w:val="clear" w:color="auto" w:fill="auto"/>
          </w:tcPr>
          <w:p w:rsidR="00F816E3" w:rsidRPr="00250EF4" w:rsidRDefault="00F816E3" w:rsidP="00B255B1">
            <w:pPr>
              <w:widowControl w:val="0"/>
              <w:autoSpaceDE w:val="0"/>
              <w:autoSpaceDN w:val="0"/>
              <w:adjustRightInd w:val="0"/>
              <w:spacing w:before="40"/>
              <w:jc w:val="right"/>
              <w:rPr>
                <w:w w:val="95"/>
                <w:sz w:val="20"/>
                <w:szCs w:val="20"/>
              </w:rPr>
            </w:pPr>
            <w:r w:rsidRPr="00250EF4">
              <w:rPr>
                <w:w w:val="95"/>
                <w:sz w:val="20"/>
                <w:szCs w:val="20"/>
              </w:rPr>
              <w:t>Covered by IA fee</w:t>
            </w:r>
          </w:p>
        </w:tc>
        <w:tc>
          <w:tcPr>
            <w:tcW w:w="2018" w:type="dxa"/>
          </w:tcPr>
          <w:p w:rsidR="00F816E3" w:rsidRPr="00250EF4" w:rsidRDefault="000D13DB" w:rsidP="00B255B1">
            <w:pPr>
              <w:widowControl w:val="0"/>
              <w:autoSpaceDE w:val="0"/>
              <w:autoSpaceDN w:val="0"/>
              <w:adjustRightInd w:val="0"/>
              <w:spacing w:before="40"/>
              <w:jc w:val="right"/>
              <w:rPr>
                <w:color w:val="FF0000"/>
                <w:w w:val="95"/>
                <w:sz w:val="20"/>
                <w:szCs w:val="20"/>
              </w:rPr>
            </w:pPr>
            <w:r w:rsidRPr="00250EF4">
              <w:rPr>
                <w:color w:val="FF0000"/>
                <w:w w:val="95"/>
                <w:sz w:val="20"/>
                <w:szCs w:val="20"/>
              </w:rPr>
              <w:t>-</w:t>
            </w:r>
          </w:p>
        </w:tc>
        <w:tc>
          <w:tcPr>
            <w:tcW w:w="2313" w:type="dxa"/>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Yearly</w:t>
            </w:r>
          </w:p>
        </w:tc>
      </w:tr>
      <w:tr w:rsidR="000D13DB" w:rsidRPr="00250EF4" w:rsidTr="0071100E">
        <w:tc>
          <w:tcPr>
            <w:tcW w:w="1945" w:type="dxa"/>
            <w:tcBorders>
              <w:bottom w:val="single" w:sz="4" w:space="0" w:color="auto"/>
            </w:tcBorders>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Field monitoring &amp; oversight  missions by PMU/NEA</w:t>
            </w:r>
          </w:p>
        </w:tc>
        <w:tc>
          <w:tcPr>
            <w:tcW w:w="2470" w:type="dxa"/>
            <w:tcBorders>
              <w:bottom w:val="single" w:sz="4" w:space="0" w:color="auto"/>
            </w:tcBorders>
            <w:shd w:val="clear" w:color="auto" w:fill="auto"/>
            <w:tcMar>
              <w:top w:w="28" w:type="dxa"/>
              <w:bottom w:w="28" w:type="dxa"/>
            </w:tcMar>
          </w:tcPr>
          <w:p w:rsidR="00F816E3" w:rsidRPr="00250EF4" w:rsidRDefault="00F816E3"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PMU staff</w:t>
            </w:r>
          </w:p>
          <w:p w:rsidR="00F816E3" w:rsidRPr="00250EF4" w:rsidRDefault="00F816E3" w:rsidP="00934E16">
            <w:pPr>
              <w:pStyle w:val="ListParagraph"/>
              <w:widowControl w:val="0"/>
              <w:numPr>
                <w:ilvl w:val="0"/>
                <w:numId w:val="33"/>
              </w:numPr>
              <w:shd w:val="clear" w:color="auto" w:fill="auto"/>
              <w:tabs>
                <w:tab w:val="clear" w:pos="1350"/>
              </w:tabs>
              <w:autoSpaceDE w:val="0"/>
              <w:autoSpaceDN w:val="0"/>
              <w:adjustRightInd w:val="0"/>
              <w:spacing w:before="40"/>
              <w:ind w:left="244" w:hanging="218"/>
              <w:jc w:val="left"/>
              <w:rPr>
                <w:w w:val="95"/>
                <w:sz w:val="20"/>
                <w:szCs w:val="20"/>
              </w:rPr>
            </w:pPr>
            <w:r w:rsidRPr="00250EF4">
              <w:rPr>
                <w:w w:val="95"/>
                <w:sz w:val="20"/>
                <w:szCs w:val="20"/>
              </w:rPr>
              <w:t>NEA</w:t>
            </w:r>
            <w:r w:rsidR="00934E16" w:rsidRPr="00250EF4">
              <w:rPr>
                <w:w w:val="95"/>
                <w:sz w:val="20"/>
                <w:szCs w:val="20"/>
              </w:rPr>
              <w:t xml:space="preserve"> Project Director &amp; Liaison officer</w:t>
            </w:r>
          </w:p>
        </w:tc>
        <w:tc>
          <w:tcPr>
            <w:tcW w:w="1975" w:type="dxa"/>
            <w:tcBorders>
              <w:bottom w:val="single" w:sz="4" w:space="0" w:color="auto"/>
            </w:tcBorders>
            <w:shd w:val="clear" w:color="auto" w:fill="auto"/>
          </w:tcPr>
          <w:p w:rsidR="00F816E3" w:rsidRPr="00250EF4" w:rsidRDefault="000D13DB" w:rsidP="00B255B1">
            <w:pPr>
              <w:jc w:val="right"/>
              <w:rPr>
                <w:w w:val="95"/>
                <w:sz w:val="20"/>
                <w:szCs w:val="20"/>
              </w:rPr>
            </w:pPr>
            <w:r w:rsidRPr="00250EF4">
              <w:rPr>
                <w:w w:val="95"/>
                <w:sz w:val="20"/>
                <w:szCs w:val="20"/>
              </w:rPr>
              <w:t>None; Integrated in the project implementation travel budget (</w:t>
            </w:r>
            <w:r w:rsidR="00F816E3" w:rsidRPr="00250EF4">
              <w:rPr>
                <w:w w:val="95"/>
                <w:sz w:val="20"/>
                <w:szCs w:val="20"/>
              </w:rPr>
              <w:t xml:space="preserve">USD </w:t>
            </w:r>
            <w:r w:rsidRPr="00250EF4">
              <w:rPr>
                <w:w w:val="95"/>
                <w:sz w:val="20"/>
                <w:szCs w:val="20"/>
              </w:rPr>
              <w:t>210,000)</w:t>
            </w:r>
          </w:p>
        </w:tc>
        <w:tc>
          <w:tcPr>
            <w:tcW w:w="2018" w:type="dxa"/>
            <w:tcBorders>
              <w:bottom w:val="single" w:sz="4" w:space="0" w:color="auto"/>
            </w:tcBorders>
          </w:tcPr>
          <w:p w:rsidR="00F816E3" w:rsidRPr="00250EF4" w:rsidRDefault="00F816E3" w:rsidP="00B255B1">
            <w:pPr>
              <w:jc w:val="right"/>
              <w:rPr>
                <w:w w:val="95"/>
                <w:sz w:val="20"/>
                <w:szCs w:val="20"/>
              </w:rPr>
            </w:pPr>
            <w:r w:rsidRPr="00250EF4">
              <w:rPr>
                <w:w w:val="95"/>
                <w:sz w:val="20"/>
                <w:szCs w:val="20"/>
              </w:rPr>
              <w:t xml:space="preserve">USD </w:t>
            </w:r>
            <w:r w:rsidR="00D468A8" w:rsidRPr="00250EF4">
              <w:rPr>
                <w:w w:val="95"/>
                <w:sz w:val="20"/>
                <w:szCs w:val="20"/>
              </w:rPr>
              <w:t>94</w:t>
            </w:r>
            <w:r w:rsidRPr="00250EF4">
              <w:rPr>
                <w:w w:val="95"/>
                <w:sz w:val="20"/>
                <w:szCs w:val="20"/>
              </w:rPr>
              <w:t>,000</w:t>
            </w:r>
          </w:p>
        </w:tc>
        <w:tc>
          <w:tcPr>
            <w:tcW w:w="2313" w:type="dxa"/>
            <w:tcBorders>
              <w:bottom w:val="single" w:sz="4" w:space="0" w:color="auto"/>
            </w:tcBorders>
            <w:shd w:val="clear" w:color="auto" w:fill="auto"/>
            <w:tcMar>
              <w:top w:w="28" w:type="dxa"/>
              <w:bottom w:w="28" w:type="dxa"/>
            </w:tcMar>
          </w:tcPr>
          <w:p w:rsidR="00F816E3" w:rsidRPr="00250EF4" w:rsidRDefault="00F816E3" w:rsidP="000020A9">
            <w:pPr>
              <w:widowControl w:val="0"/>
              <w:autoSpaceDE w:val="0"/>
              <w:autoSpaceDN w:val="0"/>
              <w:adjustRightInd w:val="0"/>
              <w:spacing w:before="40"/>
              <w:rPr>
                <w:w w:val="95"/>
                <w:sz w:val="20"/>
                <w:szCs w:val="20"/>
              </w:rPr>
            </w:pPr>
            <w:r w:rsidRPr="00250EF4">
              <w:rPr>
                <w:w w:val="95"/>
                <w:sz w:val="20"/>
                <w:szCs w:val="20"/>
              </w:rPr>
              <w:t>When required</w:t>
            </w:r>
          </w:p>
        </w:tc>
      </w:tr>
      <w:tr w:rsidR="000D13DB" w:rsidRPr="00250EF4" w:rsidTr="0071100E">
        <w:tc>
          <w:tcPr>
            <w:tcW w:w="1945" w:type="dxa"/>
            <w:tcBorders>
              <w:bottom w:val="single" w:sz="4" w:space="0" w:color="auto"/>
            </w:tcBorders>
            <w:shd w:val="clear" w:color="auto" w:fill="auto"/>
            <w:tcMar>
              <w:top w:w="28" w:type="dxa"/>
              <w:bottom w:w="28" w:type="dxa"/>
            </w:tcMar>
          </w:tcPr>
          <w:p w:rsidR="00F816E3" w:rsidRPr="00250EF4" w:rsidRDefault="00934E16" w:rsidP="000020A9">
            <w:pPr>
              <w:widowControl w:val="0"/>
              <w:autoSpaceDE w:val="0"/>
              <w:autoSpaceDN w:val="0"/>
              <w:adjustRightInd w:val="0"/>
              <w:spacing w:before="40"/>
              <w:rPr>
                <w:w w:val="95"/>
                <w:sz w:val="20"/>
                <w:szCs w:val="20"/>
              </w:rPr>
            </w:pPr>
            <w:r w:rsidRPr="00250EF4">
              <w:rPr>
                <w:w w:val="95"/>
                <w:sz w:val="20"/>
                <w:szCs w:val="20"/>
              </w:rPr>
              <w:t>Annual meetings with national and provincial government on budget alignment</w:t>
            </w:r>
          </w:p>
        </w:tc>
        <w:tc>
          <w:tcPr>
            <w:tcW w:w="2470" w:type="dxa"/>
            <w:tcBorders>
              <w:bottom w:val="single" w:sz="4" w:space="0" w:color="auto"/>
            </w:tcBorders>
            <w:shd w:val="clear" w:color="auto" w:fill="auto"/>
            <w:tcMar>
              <w:top w:w="28" w:type="dxa"/>
              <w:bottom w:w="28" w:type="dxa"/>
            </w:tcMar>
          </w:tcPr>
          <w:p w:rsidR="00F816E3" w:rsidRPr="00250EF4" w:rsidRDefault="00934E16"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NEA Proejct Director &amp; Multi-agency liaison officer</w:t>
            </w:r>
          </w:p>
          <w:p w:rsidR="00934E16" w:rsidRPr="00250EF4" w:rsidRDefault="00934E16"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PMU</w:t>
            </w:r>
          </w:p>
          <w:p w:rsidR="00934E16" w:rsidRPr="00250EF4" w:rsidRDefault="00934E16"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Project TL</w:t>
            </w:r>
          </w:p>
          <w:p w:rsidR="00934E16" w:rsidRPr="00250EF4" w:rsidRDefault="00934E16" w:rsidP="00F816E3">
            <w:pPr>
              <w:pStyle w:val="ListParagraph"/>
              <w:widowControl w:val="0"/>
              <w:numPr>
                <w:ilvl w:val="0"/>
                <w:numId w:val="33"/>
              </w:numPr>
              <w:shd w:val="clear" w:color="auto" w:fill="auto"/>
              <w:tabs>
                <w:tab w:val="clear" w:pos="1350"/>
              </w:tabs>
              <w:autoSpaceDE w:val="0"/>
              <w:autoSpaceDN w:val="0"/>
              <w:adjustRightInd w:val="0"/>
              <w:spacing w:before="40" w:after="200" w:line="276" w:lineRule="auto"/>
              <w:ind w:left="244" w:hanging="218"/>
              <w:jc w:val="left"/>
              <w:rPr>
                <w:w w:val="95"/>
                <w:sz w:val="20"/>
                <w:szCs w:val="20"/>
              </w:rPr>
            </w:pPr>
            <w:r w:rsidRPr="00250EF4">
              <w:rPr>
                <w:w w:val="95"/>
                <w:sz w:val="20"/>
                <w:szCs w:val="20"/>
              </w:rPr>
              <w:t>Institutional development and Communications spec.</w:t>
            </w:r>
          </w:p>
        </w:tc>
        <w:tc>
          <w:tcPr>
            <w:tcW w:w="1975" w:type="dxa"/>
            <w:tcBorders>
              <w:bottom w:val="single" w:sz="4" w:space="0" w:color="auto"/>
            </w:tcBorders>
            <w:shd w:val="clear" w:color="auto" w:fill="auto"/>
          </w:tcPr>
          <w:p w:rsidR="00F816E3" w:rsidRPr="00250EF4" w:rsidRDefault="00934E16" w:rsidP="00B255B1">
            <w:pPr>
              <w:widowControl w:val="0"/>
              <w:autoSpaceDE w:val="0"/>
              <w:autoSpaceDN w:val="0"/>
              <w:adjustRightInd w:val="0"/>
              <w:spacing w:before="40"/>
              <w:ind w:left="26"/>
              <w:jc w:val="right"/>
              <w:rPr>
                <w:w w:val="95"/>
                <w:sz w:val="20"/>
                <w:szCs w:val="20"/>
              </w:rPr>
            </w:pPr>
            <w:r w:rsidRPr="00250EF4">
              <w:rPr>
                <w:w w:val="95"/>
                <w:sz w:val="20"/>
                <w:szCs w:val="20"/>
              </w:rPr>
              <w:t>USD 35,000</w:t>
            </w:r>
          </w:p>
        </w:tc>
        <w:tc>
          <w:tcPr>
            <w:tcW w:w="2018" w:type="dxa"/>
            <w:tcBorders>
              <w:bottom w:val="single" w:sz="4" w:space="0" w:color="auto"/>
            </w:tcBorders>
          </w:tcPr>
          <w:p w:rsidR="00F816E3" w:rsidRPr="00250EF4" w:rsidRDefault="00934E16" w:rsidP="00B255B1">
            <w:pPr>
              <w:widowControl w:val="0"/>
              <w:autoSpaceDE w:val="0"/>
              <w:autoSpaceDN w:val="0"/>
              <w:adjustRightInd w:val="0"/>
              <w:spacing w:before="40"/>
              <w:jc w:val="right"/>
              <w:rPr>
                <w:w w:val="95"/>
                <w:sz w:val="20"/>
                <w:szCs w:val="20"/>
              </w:rPr>
            </w:pPr>
            <w:r w:rsidRPr="00250EF4">
              <w:rPr>
                <w:w w:val="95"/>
                <w:sz w:val="20"/>
                <w:szCs w:val="20"/>
              </w:rPr>
              <w:t>USD 35,000</w:t>
            </w:r>
          </w:p>
        </w:tc>
        <w:tc>
          <w:tcPr>
            <w:tcW w:w="2313" w:type="dxa"/>
            <w:tcBorders>
              <w:bottom w:val="single" w:sz="4" w:space="0" w:color="auto"/>
            </w:tcBorders>
            <w:shd w:val="clear" w:color="auto" w:fill="auto"/>
            <w:tcMar>
              <w:top w:w="28" w:type="dxa"/>
              <w:bottom w:w="28" w:type="dxa"/>
            </w:tcMar>
          </w:tcPr>
          <w:p w:rsidR="00F816E3" w:rsidRPr="00250EF4" w:rsidRDefault="00934E16" w:rsidP="00934E16">
            <w:pPr>
              <w:widowControl w:val="0"/>
              <w:autoSpaceDE w:val="0"/>
              <w:autoSpaceDN w:val="0"/>
              <w:adjustRightInd w:val="0"/>
              <w:spacing w:before="40"/>
              <w:rPr>
                <w:w w:val="95"/>
                <w:sz w:val="20"/>
                <w:szCs w:val="20"/>
              </w:rPr>
            </w:pPr>
            <w:r w:rsidRPr="00250EF4">
              <w:rPr>
                <w:w w:val="95"/>
                <w:sz w:val="20"/>
                <w:szCs w:val="20"/>
              </w:rPr>
              <w:t>Annual prior to APBN &amp; APBD government budgeting meetings</w:t>
            </w:r>
          </w:p>
        </w:tc>
      </w:tr>
      <w:tr w:rsidR="00934E16" w:rsidRPr="00250EF4" w:rsidTr="0071100E">
        <w:tc>
          <w:tcPr>
            <w:tcW w:w="4415" w:type="dxa"/>
            <w:gridSpan w:val="2"/>
            <w:shd w:val="clear" w:color="auto" w:fill="E6E6E6"/>
            <w:tcMar>
              <w:top w:w="28" w:type="dxa"/>
              <w:bottom w:w="28" w:type="dxa"/>
            </w:tcMar>
          </w:tcPr>
          <w:p w:rsidR="00F816E3" w:rsidRPr="00250EF4" w:rsidRDefault="00F816E3" w:rsidP="00250EF4">
            <w:pPr>
              <w:widowControl w:val="0"/>
              <w:autoSpaceDE w:val="0"/>
              <w:autoSpaceDN w:val="0"/>
              <w:adjustRightInd w:val="0"/>
              <w:spacing w:before="40"/>
              <w:rPr>
                <w:sz w:val="20"/>
                <w:szCs w:val="20"/>
              </w:rPr>
            </w:pPr>
            <w:r w:rsidRPr="00250EF4">
              <w:rPr>
                <w:b/>
                <w:sz w:val="20"/>
                <w:szCs w:val="20"/>
              </w:rPr>
              <w:t xml:space="preserve">Indicative </w:t>
            </w:r>
            <w:r w:rsidR="00250EF4">
              <w:rPr>
                <w:b/>
                <w:sz w:val="20"/>
                <w:szCs w:val="20"/>
              </w:rPr>
              <w:t xml:space="preserve">M&amp;E </w:t>
            </w:r>
            <w:r w:rsidRPr="00250EF4">
              <w:rPr>
                <w:b/>
                <w:sz w:val="20"/>
                <w:szCs w:val="20"/>
              </w:rPr>
              <w:t>cost</w:t>
            </w:r>
            <w:r w:rsidR="00250EF4">
              <w:rPr>
                <w:b/>
                <w:sz w:val="20"/>
                <w:szCs w:val="20"/>
              </w:rPr>
              <w:t>s:</w:t>
            </w:r>
            <w:r w:rsidRPr="00250EF4">
              <w:rPr>
                <w:sz w:val="20"/>
                <w:szCs w:val="20"/>
              </w:rPr>
              <w:br/>
            </w:r>
            <w:r w:rsidRPr="00250EF4">
              <w:rPr>
                <w:i/>
                <w:sz w:val="20"/>
                <w:szCs w:val="20"/>
              </w:rPr>
              <w:t>(Excluding routine project staff  and UNEP staff and travel expenses)</w:t>
            </w:r>
          </w:p>
        </w:tc>
        <w:tc>
          <w:tcPr>
            <w:tcW w:w="1975" w:type="dxa"/>
            <w:tcBorders>
              <w:right w:val="nil"/>
            </w:tcBorders>
            <w:shd w:val="clear" w:color="auto" w:fill="E6E6E6"/>
            <w:vAlign w:val="center"/>
          </w:tcPr>
          <w:p w:rsidR="00F816E3" w:rsidRPr="00250EF4" w:rsidRDefault="00F816E3" w:rsidP="0071100E">
            <w:pPr>
              <w:widowControl w:val="0"/>
              <w:autoSpaceDE w:val="0"/>
              <w:autoSpaceDN w:val="0"/>
              <w:adjustRightInd w:val="0"/>
              <w:spacing w:before="40"/>
              <w:rPr>
                <w:b/>
                <w:sz w:val="20"/>
                <w:szCs w:val="20"/>
              </w:rPr>
            </w:pPr>
            <w:r w:rsidRPr="0071100E">
              <w:rPr>
                <w:b/>
                <w:sz w:val="20"/>
                <w:szCs w:val="20"/>
              </w:rPr>
              <w:t xml:space="preserve">Estimated GEF cost:  </w:t>
            </w:r>
            <w:r w:rsidRPr="0071100E">
              <w:rPr>
                <w:b/>
                <w:sz w:val="20"/>
                <w:szCs w:val="20"/>
              </w:rPr>
              <w:br/>
              <w:t>USD 3</w:t>
            </w:r>
            <w:r w:rsidR="00161048" w:rsidRPr="0071100E">
              <w:rPr>
                <w:b/>
                <w:sz w:val="20"/>
                <w:szCs w:val="20"/>
              </w:rPr>
              <w:t>46</w:t>
            </w:r>
            <w:r w:rsidRPr="0071100E">
              <w:rPr>
                <w:b/>
                <w:sz w:val="20"/>
                <w:szCs w:val="20"/>
              </w:rPr>
              <w:t xml:space="preserve">,500 </w:t>
            </w:r>
            <w:r w:rsidRPr="00524B1F">
              <w:rPr>
                <w:bCs/>
                <w:sz w:val="20"/>
                <w:szCs w:val="20"/>
              </w:rPr>
              <w:t>of which USD</w:t>
            </w:r>
            <w:r w:rsidR="00161048" w:rsidRPr="00524B1F">
              <w:rPr>
                <w:bCs/>
                <w:sz w:val="20"/>
                <w:szCs w:val="20"/>
              </w:rPr>
              <w:t xml:space="preserve"> </w:t>
            </w:r>
            <w:r w:rsidR="0071100E" w:rsidRPr="00524B1F">
              <w:rPr>
                <w:bCs/>
                <w:sz w:val="20"/>
                <w:szCs w:val="20"/>
              </w:rPr>
              <w:t xml:space="preserve">165,00 </w:t>
            </w:r>
            <w:r w:rsidRPr="00524B1F">
              <w:rPr>
                <w:bCs/>
                <w:sz w:val="20"/>
                <w:szCs w:val="20"/>
              </w:rPr>
              <w:t>is part of the PMC</w:t>
            </w:r>
          </w:p>
        </w:tc>
        <w:tc>
          <w:tcPr>
            <w:tcW w:w="2018" w:type="dxa"/>
            <w:tcBorders>
              <w:right w:val="nil"/>
            </w:tcBorders>
            <w:shd w:val="clear" w:color="auto" w:fill="E6E6E6"/>
          </w:tcPr>
          <w:p w:rsidR="00F816E3" w:rsidRPr="00524B1F" w:rsidRDefault="00F816E3" w:rsidP="000020A9">
            <w:pPr>
              <w:widowControl w:val="0"/>
              <w:autoSpaceDE w:val="0"/>
              <w:autoSpaceDN w:val="0"/>
              <w:adjustRightInd w:val="0"/>
              <w:spacing w:before="40"/>
              <w:rPr>
                <w:b/>
                <w:bCs/>
                <w:sz w:val="20"/>
                <w:szCs w:val="20"/>
              </w:rPr>
            </w:pPr>
            <w:r w:rsidRPr="00524B1F">
              <w:rPr>
                <w:b/>
                <w:bCs/>
                <w:sz w:val="20"/>
                <w:szCs w:val="20"/>
              </w:rPr>
              <w:t>Estimated co-funding:</w:t>
            </w:r>
          </w:p>
        </w:tc>
        <w:tc>
          <w:tcPr>
            <w:tcW w:w="2313" w:type="dxa"/>
            <w:tcBorders>
              <w:left w:val="nil"/>
            </w:tcBorders>
            <w:shd w:val="clear" w:color="auto" w:fill="E6E6E6"/>
            <w:tcMar>
              <w:top w:w="28" w:type="dxa"/>
              <w:bottom w:w="28" w:type="dxa"/>
            </w:tcMar>
          </w:tcPr>
          <w:p w:rsidR="00F816E3" w:rsidRPr="00524B1F" w:rsidRDefault="00524B1F" w:rsidP="000020A9">
            <w:pPr>
              <w:widowControl w:val="0"/>
              <w:autoSpaceDE w:val="0"/>
              <w:autoSpaceDN w:val="0"/>
              <w:adjustRightInd w:val="0"/>
              <w:spacing w:before="40"/>
              <w:rPr>
                <w:b/>
                <w:bCs/>
                <w:sz w:val="20"/>
                <w:szCs w:val="20"/>
              </w:rPr>
            </w:pPr>
            <w:r w:rsidRPr="00524B1F">
              <w:rPr>
                <w:b/>
                <w:bCs/>
                <w:sz w:val="20"/>
                <w:szCs w:val="20"/>
              </w:rPr>
              <w:t>USD 543,413</w:t>
            </w:r>
          </w:p>
        </w:tc>
      </w:tr>
    </w:tbl>
    <w:p w:rsidR="00C0015E" w:rsidRPr="00E034C6" w:rsidRDefault="00C0015E" w:rsidP="00591870">
      <w:pPr>
        <w:sectPr w:rsidR="00C0015E" w:rsidRPr="00E034C6" w:rsidSect="00591870">
          <w:footerReference w:type="default" r:id="rId15"/>
          <w:pgSz w:w="12240" w:h="15840"/>
          <w:pgMar w:top="720" w:right="907" w:bottom="1440" w:left="720" w:header="720" w:footer="720" w:gutter="0"/>
          <w:cols w:space="720"/>
          <w:formProt w:val="0"/>
          <w:docGrid w:linePitch="360"/>
        </w:sectPr>
      </w:pPr>
    </w:p>
    <w:p w:rsidR="004E6371" w:rsidRPr="00E034C6" w:rsidRDefault="004E6371" w:rsidP="004E6371">
      <w:pPr>
        <w:tabs>
          <w:tab w:val="center" w:pos="4320"/>
          <w:tab w:val="right" w:pos="8640"/>
        </w:tabs>
        <w:spacing w:after="0" w:line="240" w:lineRule="auto"/>
        <w:rPr>
          <w:rFonts w:ascii="Times New Roman" w:eastAsia="Times New Roman" w:hAnsi="Times New Roman"/>
          <w:b/>
          <w:caps/>
          <w:color w:val="00B0F0"/>
          <w:u w:val="single"/>
        </w:rPr>
      </w:pPr>
      <w:r w:rsidRPr="00E034C6">
        <w:rPr>
          <w:rFonts w:ascii="Times New Roman" w:eastAsia="Times New Roman" w:hAnsi="Times New Roman"/>
          <w:b/>
          <w:caps/>
          <w:color w:val="00B0F0"/>
          <w:u w:val="single"/>
        </w:rPr>
        <w:t>PART iII: Approval/endorsement by gef operational focal point(s) and gef agency(ies)</w:t>
      </w:r>
    </w:p>
    <w:p w:rsidR="004E6371" w:rsidRPr="00E034C6"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E034C6" w:rsidSect="004E6371">
          <w:pgSz w:w="12240" w:h="15840"/>
          <w:pgMar w:top="720" w:right="900" w:bottom="1440" w:left="720" w:header="720" w:footer="720" w:gutter="0"/>
          <w:cols w:space="720"/>
          <w:formProt w:val="0"/>
          <w:docGrid w:linePitch="360"/>
        </w:sectPr>
      </w:pPr>
    </w:p>
    <w:p w:rsidR="004E6371" w:rsidRPr="00E034C6" w:rsidRDefault="004E6371" w:rsidP="00EE0A54">
      <w:pPr>
        <w:numPr>
          <w:ilvl w:val="0"/>
          <w:numId w:val="4"/>
        </w:numPr>
        <w:spacing w:before="240" w:after="240" w:line="240" w:lineRule="auto"/>
        <w:ind w:left="360"/>
        <w:rPr>
          <w:rFonts w:ascii="Times New Roman" w:eastAsia="Times New Roman" w:hAnsi="Times New Roman"/>
        </w:rPr>
      </w:pPr>
      <w:r w:rsidRPr="00E034C6">
        <w:rPr>
          <w:rFonts w:ascii="Times New Roman Bold" w:eastAsia="Times New Roman" w:hAnsi="Times New Roman Bold"/>
          <w:b/>
          <w:smallCaps/>
        </w:rPr>
        <w:t xml:space="preserve">Record of Endorsement of GEF Operational Focal Point(s) on Behalf of the Government(s): </w:t>
      </w:r>
      <w:r w:rsidRPr="00E034C6">
        <w:rPr>
          <w:rFonts w:ascii="Times New Roman" w:eastAsia="Times New Roman" w:hAnsi="Times New Roman"/>
          <w:b/>
          <w:bCs/>
          <w:smallCaps/>
        </w:rPr>
        <w:t>):</w:t>
      </w:r>
      <w:r w:rsidRPr="00E034C6">
        <w:rPr>
          <w:rFonts w:ascii="Times New Roman" w:eastAsia="Times New Roman" w:hAnsi="Times New Roman"/>
        </w:rPr>
        <w:t xml:space="preserve"> (Please attach the</w:t>
      </w:r>
      <w:r w:rsidRPr="00E034C6">
        <w:rPr>
          <w:rFonts w:ascii="Times New Roman" w:eastAsia="Times New Roman" w:hAnsi="Times New Roman"/>
          <w:color w:val="0000FF"/>
        </w:rPr>
        <w:t xml:space="preserve"> </w:t>
      </w:r>
      <w:hyperlink r:id="rId16" w:history="1">
        <w:r w:rsidRPr="00E034C6">
          <w:rPr>
            <w:rFonts w:ascii="Times New Roman" w:eastAsia="Times New Roman" w:hAnsi="Times New Roman"/>
            <w:color w:val="0000FF"/>
            <w:u w:val="single"/>
          </w:rPr>
          <w:t>Operational Focal Point endorsement letter(s)</w:t>
        </w:r>
      </w:hyperlink>
      <w:r w:rsidRPr="00E034C6">
        <w:rPr>
          <w:rFonts w:ascii="Times New Roman" w:eastAsia="Times New Roman" w:hAnsi="Times New Roman"/>
        </w:rPr>
        <w:t xml:space="preserve"> with this form. For SGP, use this </w:t>
      </w:r>
      <w:hyperlink r:id="rId17" w:history="1">
        <w:r w:rsidRPr="00E034C6">
          <w:rPr>
            <w:rFonts w:ascii="Times New Roman" w:eastAsia="Times New Roman" w:hAnsi="Times New Roman"/>
            <w:color w:val="0000FF"/>
            <w:u w:val="single"/>
          </w:rPr>
          <w:t>OFP endorsement letter)</w:t>
        </w:r>
      </w:hyperlink>
      <w:r w:rsidRPr="00E034C6">
        <w:rPr>
          <w:rFonts w:ascii="Times New Roman" w:eastAsia="Times New Roman" w:hAnsi="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610"/>
        <w:gridCol w:w="2340"/>
      </w:tblGrid>
      <w:tr w:rsidR="004E6371" w:rsidRPr="00E034C6" w:rsidTr="00AF2FE3">
        <w:tc>
          <w:tcPr>
            <w:tcW w:w="2700" w:type="dxa"/>
          </w:tcPr>
          <w:p w:rsidR="004E6371" w:rsidRPr="00E034C6" w:rsidRDefault="004E6371" w:rsidP="004E6371">
            <w:pPr>
              <w:spacing w:after="0" w:line="240" w:lineRule="auto"/>
              <w:jc w:val="both"/>
              <w:rPr>
                <w:rFonts w:ascii="Times New Roman" w:eastAsia="Times New Roman" w:hAnsi="Times New Roman"/>
                <w:b/>
                <w:bCs/>
                <w:smallCaps/>
              </w:rPr>
            </w:pPr>
            <w:r w:rsidRPr="00E034C6">
              <w:rPr>
                <w:rFonts w:ascii="Times New Roman" w:eastAsia="Times New Roman" w:hAnsi="Times New Roman"/>
                <w:b/>
                <w:bCs/>
                <w:smallCaps/>
              </w:rPr>
              <w:t>Name</w:t>
            </w:r>
          </w:p>
        </w:tc>
        <w:tc>
          <w:tcPr>
            <w:tcW w:w="2700" w:type="dxa"/>
          </w:tcPr>
          <w:p w:rsidR="004E6371" w:rsidRPr="00E034C6" w:rsidRDefault="004E6371" w:rsidP="004E6371">
            <w:pPr>
              <w:spacing w:after="0" w:line="240" w:lineRule="auto"/>
              <w:jc w:val="both"/>
              <w:rPr>
                <w:rFonts w:ascii="Times New Roman" w:eastAsia="Times New Roman" w:hAnsi="Times New Roman"/>
                <w:b/>
                <w:bCs/>
                <w:smallCaps/>
              </w:rPr>
            </w:pPr>
            <w:r w:rsidRPr="00E034C6">
              <w:rPr>
                <w:rFonts w:ascii="Times New Roman" w:eastAsia="Times New Roman" w:hAnsi="Times New Roman"/>
                <w:b/>
                <w:bCs/>
                <w:smallCaps/>
              </w:rPr>
              <w:t>Position</w:t>
            </w:r>
          </w:p>
        </w:tc>
        <w:tc>
          <w:tcPr>
            <w:tcW w:w="2610" w:type="dxa"/>
          </w:tcPr>
          <w:p w:rsidR="004E6371" w:rsidRPr="00E034C6" w:rsidRDefault="004E6371" w:rsidP="004E6371">
            <w:pPr>
              <w:spacing w:after="0" w:line="240" w:lineRule="auto"/>
              <w:jc w:val="both"/>
              <w:rPr>
                <w:rFonts w:ascii="Times New Roman" w:eastAsia="Times New Roman" w:hAnsi="Times New Roman"/>
                <w:b/>
                <w:bCs/>
                <w:smallCaps/>
              </w:rPr>
            </w:pPr>
            <w:r w:rsidRPr="00E034C6">
              <w:rPr>
                <w:rFonts w:ascii="Times New Roman" w:eastAsia="Times New Roman" w:hAnsi="Times New Roman"/>
                <w:b/>
                <w:bCs/>
                <w:smallCaps/>
              </w:rPr>
              <w:t>Ministry</w:t>
            </w:r>
          </w:p>
        </w:tc>
        <w:tc>
          <w:tcPr>
            <w:tcW w:w="2340" w:type="dxa"/>
          </w:tcPr>
          <w:p w:rsidR="004E6371" w:rsidRPr="00E034C6" w:rsidRDefault="004E6371" w:rsidP="004E6371">
            <w:pPr>
              <w:spacing w:after="0" w:line="240" w:lineRule="auto"/>
              <w:jc w:val="center"/>
              <w:rPr>
                <w:rFonts w:ascii="Times New Roman" w:eastAsia="Times New Roman" w:hAnsi="Times New Roman"/>
                <w:b/>
              </w:rPr>
            </w:pPr>
            <w:r w:rsidRPr="00E034C6">
              <w:rPr>
                <w:rFonts w:ascii="Times New Roman" w:eastAsia="Times New Roman" w:hAnsi="Times New Roman"/>
                <w:b/>
                <w:bCs/>
                <w:smallCaps/>
              </w:rPr>
              <w:t>Date</w:t>
            </w:r>
            <w:r w:rsidRPr="00E034C6">
              <w:rPr>
                <w:rFonts w:ascii="Times New Roman" w:eastAsia="Times New Roman" w:hAnsi="Times New Roman"/>
                <w:b/>
              </w:rPr>
              <w:t xml:space="preserve"> </w:t>
            </w:r>
            <w:r w:rsidRPr="00E034C6">
              <w:rPr>
                <w:rFonts w:ascii="Times New Roman" w:eastAsia="Times New Roman" w:hAnsi="Times New Roman"/>
                <w:i/>
              </w:rPr>
              <w:t>(MM/dd/yyyy)</w:t>
            </w:r>
          </w:p>
        </w:tc>
      </w:tr>
      <w:tr w:rsidR="004E6371" w:rsidRPr="00E034C6" w:rsidTr="00AF2FE3">
        <w:tc>
          <w:tcPr>
            <w:tcW w:w="2700" w:type="dxa"/>
          </w:tcPr>
          <w:p w:rsidR="004E6371" w:rsidRPr="004769B4" w:rsidRDefault="004274F0" w:rsidP="004E6371">
            <w:pPr>
              <w:spacing w:after="0" w:line="240" w:lineRule="auto"/>
              <w:rPr>
                <w:rFonts w:ascii="Times New Roman" w:hAnsi="Times New Roman"/>
                <w:sz w:val="20"/>
                <w:szCs w:val="20"/>
              </w:rPr>
            </w:pPr>
            <w:r w:rsidRPr="004769B4">
              <w:rPr>
                <w:rFonts w:ascii="Times New Roman" w:hAnsi="Times New Roman"/>
                <w:sz w:val="20"/>
                <w:szCs w:val="20"/>
              </w:rPr>
              <w:t>Dana A. Kartakusuma</w:t>
            </w:r>
          </w:p>
        </w:tc>
        <w:tc>
          <w:tcPr>
            <w:tcW w:w="2700" w:type="dxa"/>
          </w:tcPr>
          <w:p w:rsidR="004E6371" w:rsidRPr="004769B4" w:rsidRDefault="004274F0" w:rsidP="004E6371">
            <w:pPr>
              <w:spacing w:after="0" w:line="240" w:lineRule="auto"/>
              <w:rPr>
                <w:rFonts w:ascii="Times New Roman" w:hAnsi="Times New Roman"/>
                <w:sz w:val="20"/>
                <w:szCs w:val="20"/>
              </w:rPr>
            </w:pPr>
            <w:r w:rsidRPr="004769B4">
              <w:rPr>
                <w:rFonts w:ascii="Times New Roman" w:hAnsi="Times New Roman"/>
                <w:sz w:val="20"/>
                <w:szCs w:val="20"/>
              </w:rPr>
              <w:t>GEF Operational Focal Point, Assistant Minister - Economy and Sustainable Development</w:t>
            </w:r>
          </w:p>
        </w:tc>
        <w:tc>
          <w:tcPr>
            <w:tcW w:w="2610" w:type="dxa"/>
          </w:tcPr>
          <w:p w:rsidR="004E6371" w:rsidRPr="004769B4" w:rsidRDefault="004274F0" w:rsidP="004E6371">
            <w:pPr>
              <w:spacing w:after="0" w:line="240" w:lineRule="auto"/>
              <w:jc w:val="both"/>
              <w:rPr>
                <w:rFonts w:ascii="Times New Roman" w:hAnsi="Times New Roman"/>
                <w:sz w:val="20"/>
                <w:szCs w:val="20"/>
              </w:rPr>
            </w:pPr>
            <w:r w:rsidRPr="004769B4">
              <w:rPr>
                <w:rFonts w:ascii="Times New Roman" w:hAnsi="Times New Roman"/>
                <w:sz w:val="20"/>
                <w:szCs w:val="20"/>
              </w:rPr>
              <w:t>Indonesian Ministry of Environment</w:t>
            </w:r>
          </w:p>
        </w:tc>
        <w:tc>
          <w:tcPr>
            <w:tcW w:w="2340" w:type="dxa"/>
          </w:tcPr>
          <w:p w:rsidR="004E6371" w:rsidRPr="004769B4" w:rsidRDefault="004274F0" w:rsidP="004E6371">
            <w:pPr>
              <w:spacing w:after="0" w:line="240" w:lineRule="auto"/>
              <w:jc w:val="both"/>
              <w:rPr>
                <w:rFonts w:ascii="Times New Roman" w:hAnsi="Times New Roman"/>
                <w:sz w:val="20"/>
                <w:szCs w:val="20"/>
              </w:rPr>
            </w:pPr>
            <w:r w:rsidRPr="004769B4">
              <w:rPr>
                <w:rFonts w:ascii="Times New Roman" w:hAnsi="Times New Roman"/>
                <w:sz w:val="20"/>
                <w:szCs w:val="20"/>
              </w:rPr>
              <w:t>January 31, 2013</w:t>
            </w:r>
          </w:p>
        </w:tc>
      </w:tr>
    </w:tbl>
    <w:p w:rsidR="004E6371" w:rsidRPr="00E034C6"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E034C6" w:rsidSect="00AF2FE3">
          <w:type w:val="continuous"/>
          <w:pgSz w:w="12240" w:h="15840"/>
          <w:pgMar w:top="720" w:right="900" w:bottom="1440" w:left="720" w:header="720" w:footer="720" w:gutter="0"/>
          <w:cols w:space="720"/>
          <w:formProt w:val="0"/>
          <w:docGrid w:linePitch="360"/>
        </w:sectPr>
      </w:pPr>
    </w:p>
    <w:p w:rsidR="004274F0" w:rsidRDefault="004274F0" w:rsidP="004E6371">
      <w:pPr>
        <w:tabs>
          <w:tab w:val="center" w:pos="4320"/>
          <w:tab w:val="right" w:pos="8640"/>
        </w:tabs>
        <w:spacing w:after="0" w:line="240" w:lineRule="auto"/>
        <w:rPr>
          <w:rFonts w:ascii="Times New Roman" w:eastAsia="Times New Roman" w:hAnsi="Times New Roman"/>
          <w:b/>
          <w:caps/>
        </w:rPr>
      </w:pPr>
    </w:p>
    <w:p w:rsidR="004E6371" w:rsidRPr="00E034C6" w:rsidRDefault="004E6371" w:rsidP="004E6371">
      <w:pPr>
        <w:tabs>
          <w:tab w:val="center" w:pos="4320"/>
          <w:tab w:val="right" w:pos="8640"/>
        </w:tabs>
        <w:spacing w:after="0" w:line="240" w:lineRule="auto"/>
        <w:rPr>
          <w:rFonts w:ascii="Times New Roman" w:eastAsia="Times New Roman" w:hAnsi="Times New Roman"/>
          <w:b/>
          <w:caps/>
        </w:rPr>
      </w:pPr>
      <w:r w:rsidRPr="00E034C6">
        <w:rPr>
          <w:rFonts w:ascii="Times New Roman" w:eastAsia="Times New Roman" w:hAnsi="Times New Roman"/>
          <w:b/>
          <w:caps/>
        </w:rPr>
        <w:t>B.  GEF agency(ies) 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4E6371" w:rsidRPr="00E034C6" w:rsidTr="00AF2FE3">
        <w:trPr>
          <w:cantSplit/>
          <w:trHeight w:val="503"/>
        </w:trPr>
        <w:tc>
          <w:tcPr>
            <w:tcW w:w="10368" w:type="dxa"/>
          </w:tcPr>
          <w:p w:rsidR="004E6371" w:rsidRPr="00E034C6" w:rsidRDefault="004E6371" w:rsidP="004E6371">
            <w:pPr>
              <w:spacing w:after="120" w:line="240" w:lineRule="auto"/>
              <w:rPr>
                <w:rFonts w:ascii="Times New Roman" w:eastAsia="Times New Roman" w:hAnsi="Times New Roman"/>
              </w:rPr>
            </w:pPr>
            <w:r w:rsidRPr="00E034C6">
              <w:rPr>
                <w:rFonts w:ascii="Times New Roman" w:eastAsia="Times New Roman" w:hAnsi="Times New Roman"/>
              </w:rPr>
              <w:t>This request has been prepared in accordance with GEF/LDCF/SCCF/NPIF policies and procedures and meets the GEF/LDCF/SCCF/NPIF criteria for CEO endorsement/approval of project.</w:t>
            </w:r>
          </w:p>
        </w:tc>
      </w:tr>
    </w:tbl>
    <w:p w:rsidR="004E6371" w:rsidRPr="00E034C6" w:rsidRDefault="004E6371" w:rsidP="004E6371">
      <w:pPr>
        <w:spacing w:after="0" w:line="240" w:lineRule="auto"/>
        <w:rPr>
          <w:rFonts w:ascii="Times New Roman" w:eastAsia="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1896"/>
        <w:gridCol w:w="1668"/>
        <w:gridCol w:w="1474"/>
        <w:gridCol w:w="1365"/>
        <w:gridCol w:w="2017"/>
      </w:tblGrid>
      <w:tr w:rsidR="004E6371" w:rsidRPr="00E034C6" w:rsidTr="00D830AA">
        <w:tc>
          <w:tcPr>
            <w:tcW w:w="2011" w:type="dxa"/>
            <w:vAlign w:val="center"/>
          </w:tcPr>
          <w:p w:rsidR="004E6371" w:rsidRPr="00E034C6" w:rsidRDefault="004E6371" w:rsidP="004E6371">
            <w:pPr>
              <w:spacing w:after="0" w:line="240" w:lineRule="auto"/>
              <w:jc w:val="center"/>
              <w:rPr>
                <w:rFonts w:ascii="Times New Roman" w:eastAsia="Times New Roman" w:hAnsi="Times New Roman"/>
                <w:b/>
              </w:rPr>
            </w:pPr>
            <w:r w:rsidRPr="00E034C6">
              <w:rPr>
                <w:rFonts w:ascii="Times New Roman" w:eastAsia="Times New Roman" w:hAnsi="Times New Roman"/>
                <w:b/>
              </w:rPr>
              <w:t>Agency Coordinator, Agency Name</w:t>
            </w:r>
          </w:p>
        </w:tc>
        <w:tc>
          <w:tcPr>
            <w:tcW w:w="1662" w:type="dxa"/>
            <w:vAlign w:val="center"/>
          </w:tcPr>
          <w:p w:rsidR="004E6371" w:rsidRPr="00E034C6" w:rsidRDefault="004E6371" w:rsidP="004E6371">
            <w:pPr>
              <w:spacing w:after="0" w:line="240" w:lineRule="auto"/>
              <w:jc w:val="center"/>
              <w:rPr>
                <w:rFonts w:ascii="Times New Roman" w:eastAsia="Times New Roman" w:hAnsi="Times New Roman"/>
                <w:b/>
              </w:rPr>
            </w:pPr>
            <w:r w:rsidRPr="00E034C6">
              <w:rPr>
                <w:rFonts w:ascii="Times New Roman" w:eastAsia="Times New Roman" w:hAnsi="Times New Roman"/>
                <w:b/>
              </w:rPr>
              <w:t>Signature</w:t>
            </w:r>
          </w:p>
        </w:tc>
        <w:tc>
          <w:tcPr>
            <w:tcW w:w="1768" w:type="dxa"/>
            <w:vAlign w:val="center"/>
          </w:tcPr>
          <w:p w:rsidR="004E6371" w:rsidRPr="00E034C6" w:rsidRDefault="004E6371" w:rsidP="004E6371">
            <w:pPr>
              <w:spacing w:after="0" w:line="240" w:lineRule="auto"/>
              <w:jc w:val="center"/>
              <w:rPr>
                <w:rFonts w:ascii="Times New Roman" w:eastAsia="Times New Roman" w:hAnsi="Times New Roman"/>
                <w:b/>
              </w:rPr>
            </w:pPr>
            <w:r w:rsidRPr="00E034C6">
              <w:rPr>
                <w:rFonts w:ascii="Times New Roman" w:eastAsia="Times New Roman" w:hAnsi="Times New Roman"/>
                <w:b/>
              </w:rPr>
              <w:t xml:space="preserve">Date </w:t>
            </w:r>
            <w:r w:rsidRPr="00E034C6">
              <w:rPr>
                <w:rFonts w:ascii="Times New Roman" w:eastAsia="Times New Roman" w:hAnsi="Times New Roman"/>
                <w:b/>
              </w:rPr>
              <w:br/>
            </w:r>
            <w:r w:rsidR="00985A96" w:rsidRPr="00E034C6">
              <w:rPr>
                <w:rFonts w:ascii="Times New Roman" w:eastAsia="Times New Roman" w:hAnsi="Times New Roman"/>
                <w:b/>
                <w:i/>
                <w:iCs/>
              </w:rPr>
              <w:fldChar w:fldCharType="begin">
                <w:ffData>
                  <w:name w:val="Text31"/>
                  <w:enabled/>
                  <w:calcOnExit w:val="0"/>
                  <w:helpText w:type="text" w:val="Date of endorsement by the Operational or Political Focal Point."/>
                  <w:textInput>
                    <w:default w:val="(Month, day, year)"/>
                  </w:textInput>
                </w:ffData>
              </w:fldChar>
            </w:r>
            <w:r w:rsidRPr="00087F8E">
              <w:rPr>
                <w:rFonts w:ascii="Times New Roman" w:eastAsia="Times New Roman" w:hAnsi="Times New Roman"/>
                <w:b/>
                <w:i/>
                <w:iCs/>
              </w:rPr>
              <w:instrText xml:space="preserve"> FORMTEXT </w:instrText>
            </w:r>
            <w:r w:rsidR="00985A96" w:rsidRPr="00E034C6">
              <w:rPr>
                <w:rFonts w:ascii="Times New Roman" w:eastAsia="Times New Roman" w:hAnsi="Times New Roman"/>
                <w:b/>
                <w:i/>
                <w:iCs/>
              </w:rPr>
            </w:r>
            <w:r w:rsidR="00985A96" w:rsidRPr="00E034C6">
              <w:rPr>
                <w:rFonts w:ascii="Times New Roman" w:eastAsia="Times New Roman" w:hAnsi="Times New Roman"/>
                <w:b/>
                <w:i/>
                <w:iCs/>
              </w:rPr>
              <w:fldChar w:fldCharType="separate"/>
            </w:r>
            <w:r w:rsidRPr="00E034C6">
              <w:rPr>
                <w:rFonts w:ascii="Times New Roman" w:eastAsia="Times New Roman" w:hAnsi="Times New Roman"/>
                <w:b/>
                <w:i/>
                <w:iCs/>
                <w:noProof/>
              </w:rPr>
              <w:t>(Month, day, year)</w:t>
            </w:r>
            <w:r w:rsidR="00985A96" w:rsidRPr="00E034C6">
              <w:rPr>
                <w:rFonts w:ascii="Times New Roman" w:eastAsia="Times New Roman" w:hAnsi="Times New Roman"/>
                <w:b/>
                <w:i/>
                <w:iCs/>
              </w:rPr>
              <w:fldChar w:fldCharType="end"/>
            </w:r>
          </w:p>
        </w:tc>
        <w:tc>
          <w:tcPr>
            <w:tcW w:w="1510" w:type="dxa"/>
            <w:vAlign w:val="center"/>
          </w:tcPr>
          <w:p w:rsidR="004E6371" w:rsidRPr="00E034C6" w:rsidRDefault="004E6371" w:rsidP="004E6371">
            <w:pPr>
              <w:spacing w:after="0" w:line="240" w:lineRule="auto"/>
              <w:jc w:val="center"/>
              <w:rPr>
                <w:rFonts w:ascii="Times New Roman" w:eastAsia="Times New Roman" w:hAnsi="Times New Roman"/>
                <w:b/>
              </w:rPr>
            </w:pPr>
            <w:r w:rsidRPr="00E034C6">
              <w:rPr>
                <w:rFonts w:ascii="Times New Roman" w:eastAsia="Times New Roman" w:hAnsi="Times New Roman"/>
                <w:b/>
              </w:rPr>
              <w:t>Project Contact Person</w:t>
            </w:r>
          </w:p>
        </w:tc>
        <w:tc>
          <w:tcPr>
            <w:tcW w:w="1389" w:type="dxa"/>
            <w:vAlign w:val="center"/>
          </w:tcPr>
          <w:p w:rsidR="004E6371" w:rsidRPr="00E034C6" w:rsidRDefault="004E6371" w:rsidP="004E6371">
            <w:pPr>
              <w:spacing w:after="0" w:line="240" w:lineRule="auto"/>
              <w:jc w:val="center"/>
              <w:rPr>
                <w:rFonts w:ascii="Times New Roman" w:eastAsia="Times New Roman" w:hAnsi="Times New Roman"/>
                <w:b/>
              </w:rPr>
            </w:pPr>
            <w:r w:rsidRPr="00E034C6">
              <w:rPr>
                <w:rFonts w:ascii="Times New Roman" w:eastAsia="Times New Roman" w:hAnsi="Times New Roman"/>
                <w:b/>
              </w:rPr>
              <w:t>Telephone</w:t>
            </w:r>
          </w:p>
        </w:tc>
        <w:tc>
          <w:tcPr>
            <w:tcW w:w="2021" w:type="dxa"/>
            <w:vAlign w:val="center"/>
          </w:tcPr>
          <w:p w:rsidR="004E6371" w:rsidRPr="00E034C6" w:rsidRDefault="004E6371" w:rsidP="004E6371">
            <w:pPr>
              <w:spacing w:after="0" w:line="240" w:lineRule="auto"/>
              <w:jc w:val="center"/>
              <w:rPr>
                <w:rFonts w:ascii="Times New Roman" w:eastAsia="Times New Roman" w:hAnsi="Times New Roman"/>
                <w:b/>
              </w:rPr>
            </w:pPr>
            <w:r w:rsidRPr="00E034C6">
              <w:rPr>
                <w:rFonts w:ascii="Times New Roman" w:eastAsia="Times New Roman" w:hAnsi="Times New Roman"/>
                <w:b/>
              </w:rPr>
              <w:t>Email Address</w:t>
            </w:r>
          </w:p>
        </w:tc>
      </w:tr>
      <w:tr w:rsidR="00B752F0" w:rsidRPr="00E034C6" w:rsidTr="00D830AA">
        <w:tc>
          <w:tcPr>
            <w:tcW w:w="2011" w:type="dxa"/>
          </w:tcPr>
          <w:p w:rsidR="00B752F0" w:rsidRDefault="00D830AA" w:rsidP="00310A6A">
            <w:pPr>
              <w:rPr>
                <w:rFonts w:ascii="Times New Roman" w:hAnsi="Times New Roman"/>
                <w:sz w:val="20"/>
                <w:szCs w:val="20"/>
              </w:rPr>
            </w:pPr>
            <w:r w:rsidRPr="004769B4">
              <w:rPr>
                <w:rFonts w:ascii="Times New Roman" w:hAnsi="Times New Roman"/>
                <w:sz w:val="20"/>
                <w:szCs w:val="20"/>
              </w:rPr>
              <w:t>Brennan Van Dyke</w:t>
            </w:r>
          </w:p>
          <w:p w:rsidR="00310A6A" w:rsidRPr="00310A6A" w:rsidRDefault="00310A6A" w:rsidP="00310A6A">
            <w:pPr>
              <w:rPr>
                <w:rFonts w:ascii="Times New Roman" w:hAnsi="Times New Roman"/>
                <w:sz w:val="20"/>
                <w:szCs w:val="20"/>
              </w:rPr>
            </w:pPr>
            <w:r w:rsidRPr="00310A6A">
              <w:rPr>
                <w:rFonts w:ascii="Times New Roman" w:hAnsi="Times New Roman"/>
                <w:sz w:val="20"/>
                <w:szCs w:val="20"/>
              </w:rPr>
              <w:t xml:space="preserve">Director, GEF Coordination Office, </w:t>
            </w:r>
          </w:p>
          <w:p w:rsidR="00310A6A" w:rsidRPr="00310A6A" w:rsidRDefault="00310A6A" w:rsidP="00310A6A">
            <w:pPr>
              <w:rPr>
                <w:rFonts w:ascii="Times New Roman" w:hAnsi="Times New Roman"/>
                <w:sz w:val="20"/>
                <w:szCs w:val="20"/>
              </w:rPr>
            </w:pPr>
            <w:r w:rsidRPr="00310A6A">
              <w:rPr>
                <w:rFonts w:ascii="Times New Roman" w:hAnsi="Times New Roman"/>
                <w:sz w:val="20"/>
                <w:szCs w:val="20"/>
              </w:rPr>
              <w:t>UNEP</w:t>
            </w:r>
          </w:p>
          <w:p w:rsidR="00310A6A" w:rsidRPr="004769B4" w:rsidRDefault="00310A6A" w:rsidP="004E6371">
            <w:pPr>
              <w:spacing w:after="0" w:line="240" w:lineRule="auto"/>
              <w:jc w:val="center"/>
              <w:rPr>
                <w:rFonts w:ascii="Times New Roman" w:eastAsia="Times New Roman" w:hAnsi="Times New Roman"/>
                <w:sz w:val="20"/>
                <w:szCs w:val="20"/>
              </w:rPr>
            </w:pPr>
          </w:p>
        </w:tc>
        <w:tc>
          <w:tcPr>
            <w:tcW w:w="1662" w:type="dxa"/>
          </w:tcPr>
          <w:p w:rsidR="00B752F0" w:rsidRPr="004769B4" w:rsidRDefault="00310A6A" w:rsidP="004E6371">
            <w:pPr>
              <w:spacing w:after="0" w:line="240" w:lineRule="auto"/>
              <w:jc w:val="center"/>
              <w:rPr>
                <w:rFonts w:ascii="Times New Roman" w:eastAsia="Times New Roman" w:hAnsi="Times New Roman"/>
                <w:sz w:val="20"/>
                <w:szCs w:val="20"/>
              </w:rPr>
            </w:pPr>
            <w:r>
              <w:rPr>
                <w:noProof/>
                <w:lang w:val="en-US"/>
              </w:rPr>
              <w:drawing>
                <wp:inline distT="0" distB="0" distL="0" distR="0">
                  <wp:extent cx="1057275" cy="295275"/>
                  <wp:effectExtent l="0" t="0" r="9525" b="9525"/>
                  <wp:docPr id="1" name="Picture 1" desc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7275" cy="295275"/>
                          </a:xfrm>
                          <a:prstGeom prst="rect">
                            <a:avLst/>
                          </a:prstGeom>
                          <a:noFill/>
                          <a:ln>
                            <a:noFill/>
                          </a:ln>
                        </pic:spPr>
                      </pic:pic>
                    </a:graphicData>
                  </a:graphic>
                </wp:inline>
              </w:drawing>
            </w:r>
          </w:p>
        </w:tc>
        <w:tc>
          <w:tcPr>
            <w:tcW w:w="1768" w:type="dxa"/>
          </w:tcPr>
          <w:p w:rsidR="00B752F0" w:rsidRPr="004769B4" w:rsidRDefault="00493B60" w:rsidP="004E637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Jul 04, 2016</w:t>
            </w:r>
          </w:p>
        </w:tc>
        <w:tc>
          <w:tcPr>
            <w:tcW w:w="1510" w:type="dxa"/>
          </w:tcPr>
          <w:p w:rsidR="00B752F0" w:rsidRPr="004769B4" w:rsidRDefault="00B752F0" w:rsidP="00B752F0">
            <w:pPr>
              <w:rPr>
                <w:rFonts w:ascii="Times New Roman" w:hAnsi="Times New Roman"/>
                <w:sz w:val="20"/>
                <w:szCs w:val="20"/>
              </w:rPr>
            </w:pPr>
            <w:r w:rsidRPr="004769B4">
              <w:rPr>
                <w:rFonts w:ascii="Times New Roman" w:hAnsi="Times New Roman"/>
                <w:sz w:val="20"/>
                <w:szCs w:val="20"/>
              </w:rPr>
              <w:t>Max Zieren, Task Manager – Asia, UNEP/GEF, Bangkok</w:t>
            </w:r>
          </w:p>
        </w:tc>
        <w:tc>
          <w:tcPr>
            <w:tcW w:w="1389" w:type="dxa"/>
          </w:tcPr>
          <w:p w:rsidR="00B752F0" w:rsidRPr="004769B4" w:rsidRDefault="00B752F0" w:rsidP="00C24B97">
            <w:pPr>
              <w:jc w:val="both"/>
              <w:rPr>
                <w:rFonts w:ascii="Times New Roman" w:hAnsi="Times New Roman"/>
                <w:sz w:val="20"/>
                <w:szCs w:val="20"/>
              </w:rPr>
            </w:pPr>
            <w:bookmarkStart w:id="82" w:name="ContactPhone_01"/>
            <w:r w:rsidRPr="004769B4">
              <w:rPr>
                <w:rFonts w:ascii="Times New Roman" w:hAnsi="Times New Roman"/>
                <w:sz w:val="20"/>
                <w:szCs w:val="20"/>
              </w:rPr>
              <w:t>+66-2-288-2101</w:t>
            </w:r>
            <w:bookmarkEnd w:id="82"/>
          </w:p>
        </w:tc>
        <w:tc>
          <w:tcPr>
            <w:tcW w:w="2021" w:type="dxa"/>
          </w:tcPr>
          <w:p w:rsidR="00B752F0" w:rsidRPr="004769B4" w:rsidRDefault="00B752F0" w:rsidP="00C24B97">
            <w:pPr>
              <w:jc w:val="both"/>
              <w:rPr>
                <w:rFonts w:ascii="Times New Roman" w:hAnsi="Times New Roman"/>
                <w:sz w:val="20"/>
                <w:szCs w:val="20"/>
              </w:rPr>
            </w:pPr>
            <w:bookmarkStart w:id="83" w:name="ContactEmail_01"/>
            <w:r w:rsidRPr="004769B4">
              <w:rPr>
                <w:rFonts w:ascii="Times New Roman" w:hAnsi="Times New Roman"/>
                <w:sz w:val="20"/>
                <w:szCs w:val="20"/>
              </w:rPr>
              <w:t xml:space="preserve">max.zieren@unep.org </w:t>
            </w:r>
            <w:bookmarkEnd w:id="83"/>
          </w:p>
        </w:tc>
      </w:tr>
    </w:tbl>
    <w:p w:rsidR="0035107A" w:rsidRPr="00E034C6" w:rsidRDefault="0035107A" w:rsidP="00591870">
      <w:pPr>
        <w:sectPr w:rsidR="0035107A" w:rsidRPr="00E034C6" w:rsidSect="004E6371">
          <w:type w:val="continuous"/>
          <w:pgSz w:w="12240" w:h="15840" w:code="1"/>
          <w:pgMar w:top="720" w:right="907" w:bottom="1440" w:left="720" w:header="720" w:footer="720" w:gutter="0"/>
          <w:cols w:space="720"/>
          <w:formProt w:val="0"/>
          <w:docGrid w:linePitch="360"/>
        </w:sectPr>
      </w:pPr>
    </w:p>
    <w:p w:rsidR="0035107A" w:rsidRPr="00E034C6" w:rsidRDefault="0035107A" w:rsidP="0035107A">
      <w:pPr>
        <w:spacing w:after="0" w:line="240" w:lineRule="auto"/>
        <w:rPr>
          <w:rFonts w:ascii="Times New Roman" w:eastAsia="Times New Roman" w:hAnsi="Times New Roman"/>
        </w:rPr>
      </w:pPr>
      <w:r w:rsidRPr="00E034C6">
        <w:rPr>
          <w:rFonts w:ascii="Times New Roman" w:eastAsia="Times New Roman" w:hAnsi="Times New Roman"/>
          <w:b/>
        </w:rPr>
        <w:t xml:space="preserve">ANNEX A:  PROJECT RESULTS FRAMEWORK </w:t>
      </w:r>
      <w:r w:rsidRPr="00E034C6">
        <w:rPr>
          <w:rFonts w:ascii="Times New Roman" w:eastAsia="Times New Roman" w:hAnsi="Times New Roman"/>
        </w:rPr>
        <w:t>(either copy and paste here the framework from the Agency document, or provide reference to the page in the project document where the framework could be found).</w:t>
      </w:r>
    </w:p>
    <w:p w:rsidR="0035107A" w:rsidRPr="00E034C6" w:rsidRDefault="0035107A" w:rsidP="0035107A">
      <w:pPr>
        <w:spacing w:after="0" w:line="240" w:lineRule="auto"/>
        <w:rPr>
          <w:rFonts w:ascii="Times New Roman" w:eastAsia="Times New Roman" w:hAnsi="Times New Roman"/>
        </w:rPr>
      </w:pPr>
    </w:p>
    <w:p w:rsidR="00B1335F" w:rsidRPr="00E034C6" w:rsidRDefault="00B1335F" w:rsidP="0035107A">
      <w:pPr>
        <w:spacing w:after="0" w:line="240" w:lineRule="auto"/>
        <w:rPr>
          <w:rFonts w:ascii="Times New Roman" w:eastAsia="Times New Roman" w:hAnsi="Times New Roman"/>
        </w:rPr>
      </w:pPr>
    </w:p>
    <w:p w:rsidR="00B1335F" w:rsidRPr="00C5361A" w:rsidRDefault="00C5361A" w:rsidP="0035107A">
      <w:pPr>
        <w:spacing w:after="0" w:line="240" w:lineRule="auto"/>
        <w:rPr>
          <w:rFonts w:ascii="Times New Roman" w:eastAsia="Times New Roman" w:hAnsi="Times New Roman"/>
          <w:b/>
          <w:bCs/>
        </w:rPr>
      </w:pPr>
      <w:r w:rsidRPr="00C5361A">
        <w:rPr>
          <w:rFonts w:ascii="Times New Roman" w:eastAsia="Times New Roman" w:hAnsi="Times New Roman"/>
          <w:b/>
          <w:bCs/>
        </w:rPr>
        <w:t xml:space="preserve">Please see the </w:t>
      </w:r>
      <w:r w:rsidR="00DA661E" w:rsidRPr="00C5361A">
        <w:rPr>
          <w:rFonts w:ascii="Times New Roman" w:eastAsia="Times New Roman" w:hAnsi="Times New Roman"/>
          <w:b/>
          <w:bCs/>
        </w:rPr>
        <w:t>Project</w:t>
      </w:r>
      <w:r w:rsidRPr="00C5361A">
        <w:rPr>
          <w:rFonts w:ascii="Times New Roman" w:eastAsia="Times New Roman" w:hAnsi="Times New Roman"/>
          <w:b/>
          <w:bCs/>
        </w:rPr>
        <w:t xml:space="preserve"> Results Framework in Appendix 4 of the ProDoc.</w:t>
      </w:r>
    </w:p>
    <w:p w:rsidR="00B1335F" w:rsidRPr="00C5361A" w:rsidRDefault="00B1335F" w:rsidP="0035107A">
      <w:pPr>
        <w:spacing w:after="0" w:line="240" w:lineRule="auto"/>
        <w:rPr>
          <w:rFonts w:ascii="Times New Roman" w:eastAsia="Times New Roman" w:hAnsi="Times New Roman"/>
          <w:b/>
          <w:bCs/>
        </w:rPr>
      </w:pPr>
    </w:p>
    <w:p w:rsidR="00B1335F" w:rsidRPr="00E034C6" w:rsidRDefault="00B1335F" w:rsidP="0035107A">
      <w:pPr>
        <w:spacing w:after="0" w:line="240" w:lineRule="auto"/>
        <w:rPr>
          <w:rFonts w:ascii="Times New Roman" w:eastAsia="Times New Roman" w:hAnsi="Times New Roman"/>
        </w:rPr>
      </w:pPr>
    </w:p>
    <w:p w:rsidR="00B1335F" w:rsidRPr="00E034C6" w:rsidRDefault="00B1335F" w:rsidP="0035107A">
      <w:pPr>
        <w:spacing w:after="0" w:line="240" w:lineRule="auto"/>
        <w:rPr>
          <w:rFonts w:ascii="Times New Roman" w:eastAsia="Times New Roman" w:hAnsi="Times New Roman"/>
        </w:rPr>
        <w:sectPr w:rsidR="00B1335F" w:rsidRPr="00E034C6" w:rsidSect="0035107A">
          <w:pgSz w:w="15840" w:h="12240" w:orient="landscape"/>
          <w:pgMar w:top="720" w:right="720" w:bottom="907" w:left="1440" w:header="720" w:footer="720" w:gutter="0"/>
          <w:cols w:space="720"/>
          <w:formProt w:val="0"/>
          <w:docGrid w:linePitch="360"/>
        </w:sectPr>
      </w:pPr>
    </w:p>
    <w:p w:rsidR="00916B09" w:rsidRDefault="0035107A" w:rsidP="0035107A">
      <w:pPr>
        <w:spacing w:after="0" w:line="240" w:lineRule="auto"/>
        <w:rPr>
          <w:rFonts w:ascii="Times New Roman" w:eastAsia="Times New Roman" w:hAnsi="Times New Roman"/>
        </w:rPr>
      </w:pPr>
      <w:r w:rsidRPr="00E034C6">
        <w:rPr>
          <w:rFonts w:ascii="Times New Roman" w:eastAsia="Times New Roman" w:hAnsi="Times New Roman"/>
          <w:b/>
        </w:rPr>
        <w:t>ANNEX B:  RESPONSES TO PROJECT REVIEWS (</w:t>
      </w:r>
      <w:r w:rsidRPr="00E034C6">
        <w:rPr>
          <w:rFonts w:ascii="Times New Roman" w:eastAsia="Times New Roman" w:hAnsi="Times New Roman"/>
        </w:rPr>
        <w:t>from G</w:t>
      </w:r>
    </w:p>
    <w:p w:rsidR="0035107A" w:rsidRPr="00E034C6" w:rsidRDefault="0035107A" w:rsidP="0035107A">
      <w:pPr>
        <w:spacing w:after="0" w:line="240" w:lineRule="auto"/>
        <w:rPr>
          <w:rFonts w:ascii="Times New Roman" w:eastAsia="Times New Roman" w:hAnsi="Times New Roman"/>
        </w:rPr>
      </w:pPr>
      <w:r w:rsidRPr="00E034C6">
        <w:rPr>
          <w:rFonts w:ascii="Times New Roman" w:eastAsia="Times New Roman" w:hAnsi="Times New Roman"/>
        </w:rPr>
        <w:t>EF Secretariat and GEF Agencies, and Responses to Comments from Council at work program inclusion and the Convention Secretariat and STAP at PIF).</w:t>
      </w:r>
    </w:p>
    <w:p w:rsidR="0035107A" w:rsidRPr="00E034C6" w:rsidRDefault="0035107A" w:rsidP="0035107A">
      <w:pPr>
        <w:spacing w:after="0" w:line="240" w:lineRule="auto"/>
        <w:rPr>
          <w:rFonts w:ascii="Times New Roman" w:eastAsia="Times New Roman" w:hAnsi="Times New Roman"/>
        </w:rPr>
      </w:pPr>
    </w:p>
    <w:p w:rsidR="001E054A" w:rsidRPr="00E034C6" w:rsidRDefault="001E054A" w:rsidP="001E054A">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5613"/>
      </w:tblGrid>
      <w:tr w:rsidR="001E054A" w:rsidRPr="00E034C6" w:rsidTr="0042407D">
        <w:trPr>
          <w:trHeight w:val="417"/>
        </w:trPr>
        <w:tc>
          <w:tcPr>
            <w:tcW w:w="10836" w:type="dxa"/>
            <w:gridSpan w:val="2"/>
            <w:tcBorders>
              <w:bottom w:val="single" w:sz="4" w:space="0" w:color="auto"/>
            </w:tcBorders>
            <w:shd w:val="clear" w:color="auto" w:fill="F2DBDB" w:themeFill="accent2" w:themeFillTint="33"/>
          </w:tcPr>
          <w:p w:rsidR="001E054A" w:rsidRPr="00E034C6" w:rsidRDefault="001E054A" w:rsidP="001E054A">
            <w:pPr>
              <w:spacing w:after="0" w:line="240" w:lineRule="auto"/>
              <w:jc w:val="center"/>
              <w:rPr>
                <w:rFonts w:ascii="Times New Roman" w:eastAsia="Times New Roman" w:hAnsi="Times New Roman"/>
                <w:b/>
                <w:sz w:val="21"/>
                <w:szCs w:val="21"/>
              </w:rPr>
            </w:pPr>
            <w:r w:rsidRPr="00E034C6">
              <w:rPr>
                <w:rFonts w:ascii="Times New Roman" w:eastAsia="Times New Roman" w:hAnsi="Times New Roman"/>
                <w:b/>
                <w:sz w:val="21"/>
                <w:szCs w:val="21"/>
              </w:rPr>
              <w:t xml:space="preserve">COMMENTS FROM GEFSEC </w:t>
            </w:r>
            <w:r w:rsidRPr="00E034C6">
              <w:rPr>
                <w:rFonts w:ascii="Times New Roman" w:eastAsia="Times New Roman" w:hAnsi="Times New Roman"/>
                <w:b/>
                <w:sz w:val="21"/>
                <w:szCs w:val="21"/>
              </w:rPr>
              <w:br/>
              <w:t>(GEF Review Sheet, Cell 25)</w:t>
            </w:r>
          </w:p>
        </w:tc>
      </w:tr>
      <w:tr w:rsidR="00F42946" w:rsidRPr="00E034C6" w:rsidTr="0042407D">
        <w:trPr>
          <w:trHeight w:val="417"/>
        </w:trPr>
        <w:tc>
          <w:tcPr>
            <w:tcW w:w="2358" w:type="dxa"/>
            <w:tcBorders>
              <w:bottom w:val="single" w:sz="4" w:space="0" w:color="auto"/>
            </w:tcBorders>
            <w:shd w:val="clear" w:color="auto" w:fill="D6E3BC"/>
          </w:tcPr>
          <w:p w:rsidR="001E054A" w:rsidRPr="00E034C6" w:rsidRDefault="001E054A" w:rsidP="001E054A">
            <w:pPr>
              <w:spacing w:after="0" w:line="240" w:lineRule="auto"/>
              <w:jc w:val="center"/>
              <w:rPr>
                <w:rFonts w:ascii="Times New Roman" w:eastAsia="Times New Roman" w:hAnsi="Times New Roman"/>
                <w:b/>
                <w:sz w:val="21"/>
                <w:szCs w:val="21"/>
              </w:rPr>
            </w:pPr>
            <w:r w:rsidRPr="00E034C6">
              <w:rPr>
                <w:rFonts w:ascii="Times New Roman" w:eastAsia="Times New Roman" w:hAnsi="Times New Roman"/>
                <w:b/>
                <w:sz w:val="21"/>
                <w:szCs w:val="21"/>
              </w:rPr>
              <w:t>Comment</w:t>
            </w:r>
          </w:p>
        </w:tc>
        <w:tc>
          <w:tcPr>
            <w:tcW w:w="8478" w:type="dxa"/>
            <w:tcBorders>
              <w:bottom w:val="single" w:sz="4" w:space="0" w:color="auto"/>
            </w:tcBorders>
            <w:shd w:val="clear" w:color="auto" w:fill="D6E3BC"/>
          </w:tcPr>
          <w:p w:rsidR="001E054A" w:rsidRPr="00E034C6" w:rsidRDefault="001E054A" w:rsidP="001E054A">
            <w:pPr>
              <w:spacing w:after="0" w:line="240" w:lineRule="auto"/>
              <w:jc w:val="center"/>
              <w:rPr>
                <w:rFonts w:ascii="Times New Roman" w:eastAsia="Times New Roman" w:hAnsi="Times New Roman"/>
                <w:b/>
                <w:sz w:val="21"/>
                <w:szCs w:val="21"/>
              </w:rPr>
            </w:pPr>
            <w:r w:rsidRPr="00E034C6">
              <w:rPr>
                <w:rFonts w:ascii="Times New Roman" w:eastAsia="Times New Roman" w:hAnsi="Times New Roman"/>
                <w:b/>
                <w:sz w:val="21"/>
                <w:szCs w:val="21"/>
              </w:rPr>
              <w:t>Response</w:t>
            </w:r>
          </w:p>
        </w:tc>
      </w:tr>
      <w:tr w:rsidR="00F42946" w:rsidRPr="00E034C6" w:rsidTr="0042407D">
        <w:trPr>
          <w:trHeight w:val="440"/>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1. Confirm co</w:t>
            </w:r>
            <w:r w:rsidR="00087F8E">
              <w:rPr>
                <w:rFonts w:ascii="Times New Roman" w:eastAsiaTheme="minorHAnsi" w:hAnsi="Times New Roman"/>
              </w:rPr>
              <w:t>-</w:t>
            </w:r>
            <w:r w:rsidRPr="00E034C6">
              <w:rPr>
                <w:rFonts w:ascii="Times New Roman" w:eastAsiaTheme="minorHAnsi" w:hAnsi="Times New Roman"/>
              </w:rPr>
              <w:t>financing.</w:t>
            </w:r>
          </w:p>
          <w:p w:rsidR="001E054A" w:rsidRPr="00E034C6" w:rsidRDefault="001E054A" w:rsidP="001E054A">
            <w:pPr>
              <w:autoSpaceDE w:val="0"/>
              <w:autoSpaceDN w:val="0"/>
              <w:adjustRightInd w:val="0"/>
              <w:spacing w:after="0" w:line="240" w:lineRule="auto"/>
              <w:rPr>
                <w:rFonts w:ascii="Times New Roman" w:eastAsia="Times New Roman" w:hAnsi="Times New Roman"/>
                <w:sz w:val="21"/>
                <w:szCs w:val="21"/>
              </w:rPr>
            </w:pPr>
          </w:p>
        </w:tc>
        <w:tc>
          <w:tcPr>
            <w:tcW w:w="8478" w:type="dxa"/>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Done.  See Section 7.2 (Project Co-financing), Appendix 2 (Co-financing by source and UNEP budget lines), and Appendix 11 (Co-financing commitment letters from project partners).</w:t>
            </w:r>
          </w:p>
        </w:tc>
      </w:tr>
      <w:tr w:rsidR="00F42946" w:rsidRPr="00E034C6" w:rsidTr="0042407D">
        <w:trPr>
          <w:trHeight w:val="458"/>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2. Develop a monitoring plan.</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Done.  See Section 6 for M&amp;E plan</w:t>
            </w:r>
            <w:r w:rsidR="00AE27DE">
              <w:rPr>
                <w:rFonts w:ascii="Times New Roman" w:eastAsia="Times New Roman" w:hAnsi="Times New Roman"/>
                <w:sz w:val="21"/>
                <w:szCs w:val="21"/>
              </w:rPr>
              <w:t xml:space="preserve"> </w:t>
            </w:r>
            <w:r w:rsidR="004E4C23">
              <w:rPr>
                <w:rFonts w:ascii="Times New Roman" w:eastAsia="Times New Roman" w:hAnsi="Times New Roman"/>
                <w:sz w:val="21"/>
                <w:szCs w:val="21"/>
              </w:rPr>
              <w:t>including Appendix 4 Results Fra</w:t>
            </w:r>
            <w:r w:rsidR="00AE27DE">
              <w:rPr>
                <w:rFonts w:ascii="Times New Roman" w:eastAsia="Times New Roman" w:hAnsi="Times New Roman"/>
                <w:sz w:val="21"/>
                <w:szCs w:val="21"/>
              </w:rPr>
              <w:t>m</w:t>
            </w:r>
            <w:r w:rsidR="004E4C23">
              <w:rPr>
                <w:rFonts w:ascii="Times New Roman" w:eastAsia="Times New Roman" w:hAnsi="Times New Roman"/>
                <w:sz w:val="21"/>
                <w:szCs w:val="21"/>
              </w:rPr>
              <w:t>e</w:t>
            </w:r>
            <w:r w:rsidR="00AE27DE">
              <w:rPr>
                <w:rFonts w:ascii="Times New Roman" w:eastAsia="Times New Roman" w:hAnsi="Times New Roman"/>
                <w:sz w:val="21"/>
                <w:szCs w:val="21"/>
              </w:rPr>
              <w:t>work, and summary of costs in Section C above</w:t>
            </w:r>
            <w:r w:rsidRPr="00E034C6">
              <w:rPr>
                <w:rFonts w:ascii="Times New Roman" w:eastAsia="Times New Roman" w:hAnsi="Times New Roman"/>
                <w:sz w:val="21"/>
                <w:szCs w:val="21"/>
              </w:rPr>
              <w:t xml:space="preserve">.  </w:t>
            </w:r>
          </w:p>
        </w:tc>
      </w:tr>
      <w:tr w:rsidR="00F42946" w:rsidRPr="00E034C6" w:rsidTr="0042407D">
        <w:trPr>
          <w:trHeight w:val="793"/>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3. Provide the baseline and the indicators related to the globally threatened biodiversity (forests and fauna).</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B7208D" w:rsidRDefault="001E054A" w:rsidP="00AE27DE">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Done.  Indicator baselines are included in Appendix 4 (Results Framework).  </w:t>
            </w:r>
            <w:r w:rsidR="00AE27DE">
              <w:rPr>
                <w:rFonts w:ascii="Times New Roman" w:eastAsia="Times New Roman" w:hAnsi="Times New Roman"/>
                <w:sz w:val="21"/>
                <w:szCs w:val="21"/>
              </w:rPr>
              <w:t>Some of the b</w:t>
            </w:r>
            <w:r w:rsidRPr="00E034C6">
              <w:rPr>
                <w:rFonts w:ascii="Times New Roman" w:eastAsia="Times New Roman" w:hAnsi="Times New Roman"/>
                <w:sz w:val="21"/>
                <w:szCs w:val="21"/>
              </w:rPr>
              <w:t xml:space="preserve">aselines will </w:t>
            </w:r>
            <w:r w:rsidR="00AE27DE">
              <w:rPr>
                <w:rFonts w:ascii="Times New Roman" w:eastAsia="Times New Roman" w:hAnsi="Times New Roman"/>
                <w:sz w:val="21"/>
                <w:szCs w:val="21"/>
              </w:rPr>
              <w:t xml:space="preserve">need to be </w:t>
            </w:r>
            <w:r w:rsidR="00B603D5" w:rsidRPr="00E034C6">
              <w:rPr>
                <w:rFonts w:ascii="Times New Roman" w:eastAsia="Times New Roman" w:hAnsi="Times New Roman"/>
                <w:sz w:val="21"/>
                <w:szCs w:val="21"/>
              </w:rPr>
              <w:t xml:space="preserve">reconfirmed </w:t>
            </w:r>
            <w:r w:rsidR="00B603D5">
              <w:rPr>
                <w:rFonts w:ascii="Times New Roman" w:eastAsia="Times New Roman" w:hAnsi="Times New Roman"/>
                <w:sz w:val="21"/>
                <w:szCs w:val="21"/>
              </w:rPr>
              <w:t>or</w:t>
            </w:r>
            <w:r w:rsidR="00C24B97">
              <w:rPr>
                <w:rFonts w:ascii="Times New Roman" w:eastAsia="Times New Roman" w:hAnsi="Times New Roman"/>
                <w:sz w:val="21"/>
                <w:szCs w:val="21"/>
              </w:rPr>
              <w:t xml:space="preserve"> fine</w:t>
            </w:r>
            <w:r w:rsidR="00B57503">
              <w:rPr>
                <w:rFonts w:ascii="Times New Roman" w:eastAsia="Times New Roman" w:hAnsi="Times New Roman"/>
                <w:sz w:val="21"/>
                <w:szCs w:val="21"/>
              </w:rPr>
              <w:t>-</w:t>
            </w:r>
            <w:r w:rsidR="00C24B97">
              <w:rPr>
                <w:rFonts w:ascii="Times New Roman" w:eastAsia="Times New Roman" w:hAnsi="Times New Roman"/>
                <w:sz w:val="21"/>
                <w:szCs w:val="21"/>
              </w:rPr>
              <w:t xml:space="preserve">tuned </w:t>
            </w:r>
            <w:r w:rsidRPr="00E034C6">
              <w:rPr>
                <w:rFonts w:ascii="Times New Roman" w:eastAsia="Times New Roman" w:hAnsi="Times New Roman"/>
                <w:sz w:val="21"/>
                <w:szCs w:val="21"/>
              </w:rPr>
              <w:t>at beginning of project.</w:t>
            </w:r>
            <w:r w:rsidR="00AE27DE">
              <w:rPr>
                <w:rFonts w:ascii="Times New Roman" w:eastAsia="Times New Roman" w:hAnsi="Times New Roman"/>
                <w:sz w:val="21"/>
                <w:szCs w:val="21"/>
              </w:rPr>
              <w:t xml:space="preserve"> </w:t>
            </w:r>
            <w:r w:rsidR="00B7208D">
              <w:rPr>
                <w:rFonts w:ascii="Times New Roman" w:eastAsia="Times New Roman" w:hAnsi="Times New Roman"/>
                <w:sz w:val="21"/>
                <w:szCs w:val="21"/>
              </w:rPr>
              <w:t xml:space="preserve">Baselines with regards BD Objective 2 have been established through the GEF TT. Same applies to forest and SFM targets through the </w:t>
            </w:r>
            <w:r w:rsidR="00822781">
              <w:rPr>
                <w:rFonts w:ascii="Times New Roman" w:eastAsia="Times New Roman" w:hAnsi="Times New Roman"/>
                <w:sz w:val="21"/>
                <w:szCs w:val="21"/>
              </w:rPr>
              <w:t>SFM TT. Additionally the result</w:t>
            </w:r>
            <w:r w:rsidR="00B7208D">
              <w:rPr>
                <w:rFonts w:ascii="Times New Roman" w:eastAsia="Times New Roman" w:hAnsi="Times New Roman"/>
                <w:sz w:val="21"/>
                <w:szCs w:val="21"/>
              </w:rPr>
              <w:t xml:space="preserve"> Framework has clear indicators and targets with regards forests</w:t>
            </w:r>
            <w:r w:rsidR="007F7BEA">
              <w:rPr>
                <w:rFonts w:ascii="Times New Roman" w:eastAsia="Times New Roman" w:hAnsi="Times New Roman"/>
                <w:sz w:val="21"/>
                <w:szCs w:val="21"/>
              </w:rPr>
              <w:t xml:space="preserve">. </w:t>
            </w:r>
          </w:p>
          <w:p w:rsidR="00B7208D" w:rsidRDefault="00B7208D" w:rsidP="00AE27DE">
            <w:pPr>
              <w:spacing w:after="0" w:line="240" w:lineRule="auto"/>
              <w:rPr>
                <w:rFonts w:ascii="Times New Roman" w:eastAsia="Times New Roman" w:hAnsi="Times New Roman"/>
                <w:sz w:val="21"/>
                <w:szCs w:val="21"/>
              </w:rPr>
            </w:pPr>
          </w:p>
          <w:p w:rsidR="001E054A" w:rsidRPr="00E034C6" w:rsidRDefault="00AE27DE" w:rsidP="00AE27DE">
            <w:pPr>
              <w:spacing w:after="0" w:line="240" w:lineRule="auto"/>
              <w:rPr>
                <w:rFonts w:ascii="Times New Roman" w:eastAsia="Times New Roman" w:hAnsi="Times New Roman"/>
                <w:sz w:val="21"/>
                <w:szCs w:val="21"/>
              </w:rPr>
            </w:pPr>
            <w:r>
              <w:rPr>
                <w:rFonts w:ascii="Times New Roman" w:eastAsia="Times New Roman" w:hAnsi="Times New Roman"/>
                <w:sz w:val="21"/>
                <w:szCs w:val="21"/>
              </w:rPr>
              <w:t>Although baselines have been established during the PPG  more comprehensive design and surveys need to be conducted to establish awareness levels and gender baselines, once the target group//beneficiaries have been delineated and agreed with local government and village heads.</w:t>
            </w:r>
          </w:p>
        </w:tc>
      </w:tr>
      <w:tr w:rsidR="00F42946" w:rsidRPr="00E034C6" w:rsidTr="0042407D">
        <w:trPr>
          <w:trHeight w:val="793"/>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4. Complete assessment of risks due to oil palm and of adequacy of project activities in deterring such economic activities.</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1E054A" w:rsidRPr="00E034C6" w:rsidRDefault="00510C63" w:rsidP="001E054A">
            <w:pPr>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Done. </w:t>
            </w:r>
            <w:r w:rsidR="001E054A" w:rsidRPr="00E034C6">
              <w:rPr>
                <w:rFonts w:ascii="Times New Roman" w:eastAsia="Times New Roman" w:hAnsi="Times New Roman"/>
                <w:sz w:val="21"/>
                <w:szCs w:val="21"/>
              </w:rPr>
              <w:t>Oil palm in the RIMBA Corridor is discussed in Section 2.3.2.6 (Oil Palm Plantation).  The Project as currently conceived does not address oil palm at the sector level, rather the industrial wood plantation (HTI) sector</w:t>
            </w:r>
            <w:r w:rsidR="00C10798">
              <w:rPr>
                <w:rFonts w:ascii="Times New Roman" w:eastAsia="Times New Roman" w:hAnsi="Times New Roman"/>
                <w:sz w:val="21"/>
                <w:szCs w:val="21"/>
              </w:rPr>
              <w:t xml:space="preserve"> as well as mining</w:t>
            </w:r>
            <w:r w:rsidR="001E054A" w:rsidRPr="00E034C6">
              <w:rPr>
                <w:rFonts w:ascii="Times New Roman" w:eastAsia="Times New Roman" w:hAnsi="Times New Roman"/>
                <w:sz w:val="21"/>
                <w:szCs w:val="21"/>
              </w:rPr>
              <w:t xml:space="preserve">.  </w:t>
            </w:r>
            <w:r w:rsidR="00C10798">
              <w:rPr>
                <w:rFonts w:ascii="Times New Roman" w:eastAsia="Times New Roman" w:hAnsi="Times New Roman"/>
                <w:sz w:val="21"/>
                <w:szCs w:val="21"/>
              </w:rPr>
              <w:t>However, at a much smaller scale, o</w:t>
            </w:r>
            <w:r w:rsidR="001E054A" w:rsidRPr="00E034C6">
              <w:rPr>
                <w:rFonts w:ascii="Times New Roman" w:eastAsia="Times New Roman" w:hAnsi="Times New Roman"/>
                <w:sz w:val="21"/>
                <w:szCs w:val="21"/>
              </w:rPr>
              <w:t>il palm plantations</w:t>
            </w:r>
            <w:r w:rsidR="00C10798">
              <w:rPr>
                <w:rFonts w:ascii="Times New Roman" w:eastAsia="Times New Roman" w:hAnsi="Times New Roman"/>
                <w:sz w:val="21"/>
                <w:szCs w:val="21"/>
              </w:rPr>
              <w:t xml:space="preserve"> specifically </w:t>
            </w:r>
            <w:r w:rsidR="001E054A" w:rsidRPr="00E034C6">
              <w:rPr>
                <w:rFonts w:ascii="Times New Roman" w:eastAsia="Times New Roman" w:hAnsi="Times New Roman"/>
                <w:sz w:val="21"/>
                <w:szCs w:val="21"/>
              </w:rPr>
              <w:t xml:space="preserve">those of small holders, are involved in the activities </w:t>
            </w:r>
            <w:r w:rsidR="004E4C23">
              <w:rPr>
                <w:rFonts w:ascii="Times New Roman" w:eastAsia="Times New Roman" w:hAnsi="Times New Roman"/>
                <w:sz w:val="21"/>
                <w:szCs w:val="21"/>
              </w:rPr>
              <w:t>of</w:t>
            </w:r>
            <w:r w:rsidR="001E054A" w:rsidRPr="00E034C6">
              <w:rPr>
                <w:rFonts w:ascii="Times New Roman" w:eastAsia="Times New Roman" w:hAnsi="Times New Roman"/>
                <w:sz w:val="21"/>
                <w:szCs w:val="21"/>
              </w:rPr>
              <w:t xml:space="preserve"> Investment Cluster II (see Outcome 2.2 </w:t>
            </w:r>
            <w:r w:rsidR="00C10798">
              <w:rPr>
                <w:rFonts w:ascii="Times New Roman" w:eastAsia="Times New Roman" w:hAnsi="Times New Roman"/>
                <w:sz w:val="21"/>
                <w:szCs w:val="21"/>
              </w:rPr>
              <w:t xml:space="preserve">described </w:t>
            </w:r>
            <w:r w:rsidR="004E4C23">
              <w:rPr>
                <w:rFonts w:ascii="Times New Roman" w:eastAsia="Times New Roman" w:hAnsi="Times New Roman"/>
                <w:sz w:val="21"/>
                <w:szCs w:val="21"/>
              </w:rPr>
              <w:t>in Section 3.3</w:t>
            </w:r>
            <w:r w:rsidR="00C10798">
              <w:rPr>
                <w:rFonts w:ascii="Times New Roman" w:eastAsia="Times New Roman" w:hAnsi="Times New Roman"/>
                <w:sz w:val="21"/>
                <w:szCs w:val="21"/>
              </w:rPr>
              <w:t xml:space="preserve"> of ProDoc</w:t>
            </w:r>
            <w:r w:rsidR="001E054A" w:rsidRPr="00E034C6">
              <w:rPr>
                <w:rFonts w:ascii="Times New Roman" w:eastAsia="Times New Roman" w:hAnsi="Times New Roman"/>
                <w:sz w:val="21"/>
                <w:szCs w:val="21"/>
              </w:rPr>
              <w:t>)</w:t>
            </w:r>
            <w:r w:rsidR="00C10798">
              <w:rPr>
                <w:rFonts w:ascii="Times New Roman" w:eastAsia="Times New Roman" w:hAnsi="Times New Roman"/>
                <w:sz w:val="21"/>
                <w:szCs w:val="21"/>
              </w:rPr>
              <w:t xml:space="preserve">. Work with small-holder oil palm farmers will be done hand-in-hand with the fire prevention program targeted under Output 2.2.3, yet importantly based on a full PLUP process as part of the business planning and partnership building for the FMU units involved (2.2.2). </w:t>
            </w:r>
            <w:r w:rsidR="004E4C23">
              <w:rPr>
                <w:rFonts w:ascii="Times New Roman" w:eastAsia="Times New Roman" w:hAnsi="Times New Roman"/>
                <w:sz w:val="21"/>
                <w:szCs w:val="21"/>
              </w:rPr>
              <w:t xml:space="preserve">This is also one of the focal areas targeted under the </w:t>
            </w:r>
            <w:r w:rsidR="00AD0B6B">
              <w:rPr>
                <w:rFonts w:ascii="Times New Roman" w:eastAsia="Times New Roman" w:hAnsi="Times New Roman"/>
                <w:sz w:val="21"/>
                <w:szCs w:val="21"/>
              </w:rPr>
              <w:t xml:space="preserve">co-funding </w:t>
            </w:r>
            <w:r w:rsidR="004E4C23">
              <w:rPr>
                <w:rFonts w:ascii="Times New Roman" w:eastAsia="Times New Roman" w:hAnsi="Times New Roman"/>
                <w:sz w:val="21"/>
                <w:szCs w:val="21"/>
              </w:rPr>
              <w:t>partnership with the project GAMBUT run by UNORCID including UNEP and UNDP</w:t>
            </w:r>
            <w:r w:rsidR="00AD0B6B">
              <w:rPr>
                <w:rFonts w:ascii="Times New Roman" w:eastAsia="Times New Roman" w:hAnsi="Times New Roman"/>
                <w:sz w:val="21"/>
                <w:szCs w:val="21"/>
              </w:rPr>
              <w:t xml:space="preserve"> (see letter by UNEP)</w:t>
            </w:r>
            <w:r w:rsidR="004E4C23">
              <w:rPr>
                <w:rFonts w:ascii="Times New Roman" w:eastAsia="Times New Roman" w:hAnsi="Times New Roman"/>
                <w:sz w:val="21"/>
                <w:szCs w:val="21"/>
              </w:rPr>
              <w:t xml:space="preserve">. </w:t>
            </w:r>
            <w:r w:rsidR="00C10798">
              <w:rPr>
                <w:rFonts w:ascii="Times New Roman" w:eastAsia="Times New Roman" w:hAnsi="Times New Roman"/>
                <w:sz w:val="21"/>
                <w:szCs w:val="21"/>
              </w:rPr>
              <w:t xml:space="preserve">Additionally, the project will provide incentives to famers for behaviour change through facilitating enhanced market access, stronger organisation (e.g. cooperative) and </w:t>
            </w:r>
            <w:r w:rsidR="00205722">
              <w:rPr>
                <w:rFonts w:ascii="Times New Roman" w:eastAsia="Times New Roman" w:hAnsi="Times New Roman"/>
                <w:sz w:val="21"/>
                <w:szCs w:val="21"/>
              </w:rPr>
              <w:t>collaboration with the large plantation firms/processing plants. This ‘package’ should enable reduction of illegal forest encroachment as well as associated use of fire</w:t>
            </w:r>
            <w:r w:rsidR="00AD0B6B">
              <w:rPr>
                <w:rFonts w:ascii="Times New Roman" w:eastAsia="Times New Roman" w:hAnsi="Times New Roman"/>
                <w:sz w:val="21"/>
                <w:szCs w:val="21"/>
              </w:rPr>
              <w:t xml:space="preserve"> for land clearing</w:t>
            </w:r>
            <w:r w:rsidR="00205722">
              <w:rPr>
                <w:rFonts w:ascii="Times New Roman" w:eastAsia="Times New Roman" w:hAnsi="Times New Roman"/>
                <w:sz w:val="21"/>
                <w:szCs w:val="21"/>
              </w:rPr>
              <w:t xml:space="preserve">. </w:t>
            </w:r>
            <w:r w:rsidR="00C10798">
              <w:rPr>
                <w:rFonts w:ascii="Times New Roman" w:eastAsia="Times New Roman" w:hAnsi="Times New Roman"/>
                <w:sz w:val="21"/>
                <w:szCs w:val="21"/>
              </w:rPr>
              <w:t>W</w:t>
            </w:r>
            <w:r w:rsidR="001E054A" w:rsidRPr="00E034C6">
              <w:rPr>
                <w:rFonts w:ascii="Times New Roman" w:eastAsia="Times New Roman" w:hAnsi="Times New Roman"/>
                <w:sz w:val="21"/>
                <w:szCs w:val="21"/>
              </w:rPr>
              <w:t xml:space="preserve">e note </w:t>
            </w:r>
            <w:r w:rsidR="00205722">
              <w:rPr>
                <w:rFonts w:ascii="Times New Roman" w:eastAsia="Times New Roman" w:hAnsi="Times New Roman"/>
                <w:sz w:val="21"/>
                <w:szCs w:val="21"/>
              </w:rPr>
              <w:t xml:space="preserve">however </w:t>
            </w:r>
            <w:r w:rsidR="001E054A" w:rsidRPr="00E034C6">
              <w:rPr>
                <w:rFonts w:ascii="Times New Roman" w:eastAsia="Times New Roman" w:hAnsi="Times New Roman"/>
                <w:sz w:val="21"/>
                <w:szCs w:val="21"/>
              </w:rPr>
              <w:t xml:space="preserve">the risk of the economics of ISPO/RSPO not being strong enough to drive behaviour change (in Appendix 4, Results Framework, under Outcome 2.2).  </w:t>
            </w:r>
          </w:p>
          <w:p w:rsidR="001E054A" w:rsidRPr="00E034C6" w:rsidRDefault="001E054A" w:rsidP="001E054A">
            <w:pPr>
              <w:spacing w:after="0" w:line="240" w:lineRule="auto"/>
              <w:rPr>
                <w:rFonts w:ascii="Times New Roman" w:eastAsia="Times New Roman" w:hAnsi="Times New Roman"/>
                <w:sz w:val="21"/>
                <w:szCs w:val="21"/>
              </w:rPr>
            </w:pPr>
          </w:p>
        </w:tc>
      </w:tr>
      <w:tr w:rsidR="00F42946" w:rsidRPr="00E034C6" w:rsidTr="0042407D">
        <w:trPr>
          <w:trHeight w:val="793"/>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5. Provide the area of RIMBA corridor that is degraded and specific driver/drivers for such degradation.</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1E054A" w:rsidRPr="00E034C6" w:rsidRDefault="00510C63" w:rsidP="001E054A">
            <w:pPr>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Done. </w:t>
            </w:r>
            <w:r w:rsidR="001E054A" w:rsidRPr="00E034C6">
              <w:rPr>
                <w:rFonts w:ascii="Times New Roman" w:eastAsia="Times New Roman" w:hAnsi="Times New Roman"/>
                <w:sz w:val="21"/>
                <w:szCs w:val="21"/>
              </w:rPr>
              <w:t xml:space="preserve">Drivers of degradation are treated in Section 2.3 (Threats, Root Causes and Barrier Analysis).  The total area of the RIMBA Corridor that is degraded (550,000 hectares, or 17%) is reviewed in Appendix 17 (Calculation of Carbon Stock Benefits to be Achieved by the RIMBA Project, see in particular Table 5).  </w:t>
            </w:r>
          </w:p>
          <w:p w:rsidR="001E054A" w:rsidRPr="00E034C6" w:rsidRDefault="001E054A" w:rsidP="001E054A">
            <w:pPr>
              <w:spacing w:after="0" w:line="240" w:lineRule="auto"/>
              <w:rPr>
                <w:rFonts w:ascii="Times New Roman" w:eastAsia="Times New Roman" w:hAnsi="Times New Roman"/>
                <w:sz w:val="21"/>
                <w:szCs w:val="21"/>
              </w:rPr>
            </w:pPr>
          </w:p>
        </w:tc>
      </w:tr>
      <w:tr w:rsidR="00F42946" w:rsidRPr="00E034C6" w:rsidTr="0042407D">
        <w:trPr>
          <w:trHeight w:val="793"/>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6. Provide existing carbon stocks in the degraded forest land and areas not covered in the baseline projects. Please perform separate analysis for peatlands and for forests.</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1E054A" w:rsidRPr="00E034C6" w:rsidRDefault="00510C63" w:rsidP="001E054A">
            <w:pPr>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Done. </w:t>
            </w:r>
            <w:r w:rsidR="001E054A" w:rsidRPr="00E034C6">
              <w:rPr>
                <w:rFonts w:ascii="Times New Roman" w:eastAsia="Times New Roman" w:hAnsi="Times New Roman"/>
                <w:sz w:val="21"/>
                <w:szCs w:val="21"/>
              </w:rPr>
              <w:t xml:space="preserve">This now done as part of Appendix 17 (Calculation of Carbon Stock Benefits to be achieved by the RIMBA Project).  </w:t>
            </w:r>
          </w:p>
        </w:tc>
      </w:tr>
      <w:tr w:rsidR="00F42946" w:rsidRPr="00E034C6" w:rsidTr="0042407D">
        <w:trPr>
          <w:trHeight w:val="793"/>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7. Provide the extent of threat (location wise and intensity wise) due to different drivers.</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Done.  See Section 2.3 (Threats, Root Causes and Barrier Analysis).  </w:t>
            </w:r>
          </w:p>
        </w:tc>
      </w:tr>
      <w:tr w:rsidR="00F42946" w:rsidRPr="00E034C6" w:rsidTr="0042407D">
        <w:trPr>
          <w:trHeight w:val="350"/>
        </w:trPr>
        <w:tc>
          <w:tcPr>
            <w:tcW w:w="2358" w:type="dxa"/>
          </w:tcPr>
          <w:p w:rsidR="001E054A" w:rsidRPr="00E034C6" w:rsidRDefault="001E054A" w:rsidP="001E054A">
            <w:pPr>
              <w:autoSpaceDE w:val="0"/>
              <w:autoSpaceDN w:val="0"/>
              <w:adjustRightInd w:val="0"/>
              <w:spacing w:after="0" w:line="240" w:lineRule="auto"/>
              <w:rPr>
                <w:rFonts w:ascii="Times New Roman" w:eastAsiaTheme="minorHAnsi" w:hAnsi="Times New Roman"/>
              </w:rPr>
            </w:pPr>
            <w:r w:rsidRPr="00E034C6">
              <w:rPr>
                <w:rFonts w:ascii="Times New Roman" w:eastAsiaTheme="minorHAnsi" w:hAnsi="Times New Roman"/>
              </w:rPr>
              <w:t>8. Assessment of GHG emissions reduced or carbon stocks increased based on the site specific information and full consideration of leakage issue.</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1E054A" w:rsidRPr="00E034C6" w:rsidRDefault="00510C63" w:rsidP="001E054A">
            <w:pPr>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Done. </w:t>
            </w:r>
            <w:r w:rsidR="001E054A" w:rsidRPr="00E034C6">
              <w:rPr>
                <w:rFonts w:ascii="Times New Roman" w:eastAsia="Times New Roman" w:hAnsi="Times New Roman"/>
                <w:sz w:val="21"/>
                <w:szCs w:val="21"/>
              </w:rPr>
              <w:t>This is discussed generally in Section 3.1</w:t>
            </w:r>
            <w:r>
              <w:rPr>
                <w:rFonts w:ascii="Times New Roman" w:eastAsia="Times New Roman" w:hAnsi="Times New Roman"/>
                <w:sz w:val="21"/>
                <w:szCs w:val="21"/>
              </w:rPr>
              <w:t xml:space="preserve"> &amp; </w:t>
            </w:r>
            <w:r w:rsidR="00CA3355">
              <w:rPr>
                <w:rFonts w:ascii="Times New Roman" w:eastAsia="Times New Roman" w:hAnsi="Times New Roman"/>
                <w:sz w:val="21"/>
                <w:szCs w:val="21"/>
              </w:rPr>
              <w:t xml:space="preserve">3.2 </w:t>
            </w:r>
            <w:r w:rsidR="00CA3355" w:rsidRPr="00E034C6">
              <w:rPr>
                <w:rFonts w:ascii="Times New Roman" w:eastAsia="Times New Roman" w:hAnsi="Times New Roman"/>
                <w:sz w:val="21"/>
                <w:szCs w:val="21"/>
              </w:rPr>
              <w:t>Project</w:t>
            </w:r>
            <w:r w:rsidR="001E054A" w:rsidRPr="00E034C6">
              <w:rPr>
                <w:rFonts w:ascii="Times New Roman" w:eastAsia="Times New Roman" w:hAnsi="Times New Roman"/>
                <w:sz w:val="21"/>
                <w:szCs w:val="21"/>
              </w:rPr>
              <w:t xml:space="preserve"> Rationale, Policy Conformity and Expected Global Environmental Benefits.  Site-specific emissions reductions and carbon stock increases are listed in the targets of the Results Framework (Appendix 4</w:t>
            </w:r>
            <w:r w:rsidR="00983EE6">
              <w:rPr>
                <w:rFonts w:ascii="Times New Roman" w:eastAsia="Times New Roman" w:hAnsi="Times New Roman"/>
                <w:sz w:val="21"/>
                <w:szCs w:val="21"/>
              </w:rPr>
              <w:t xml:space="preserve"> – see specifically Outcome 1.2 second indicator on CO2</w:t>
            </w:r>
            <w:r w:rsidR="001E054A" w:rsidRPr="00E034C6">
              <w:rPr>
                <w:rFonts w:ascii="Times New Roman" w:eastAsia="Times New Roman" w:hAnsi="Times New Roman"/>
                <w:sz w:val="21"/>
                <w:szCs w:val="21"/>
              </w:rPr>
              <w:t>)</w:t>
            </w:r>
            <w:r w:rsidR="00983EE6">
              <w:rPr>
                <w:rFonts w:ascii="Times New Roman" w:eastAsia="Times New Roman" w:hAnsi="Times New Roman"/>
                <w:sz w:val="21"/>
                <w:szCs w:val="21"/>
              </w:rPr>
              <w:t>, based on the analysis in Appendix 17</w:t>
            </w:r>
            <w:r w:rsidR="002B0529">
              <w:rPr>
                <w:rFonts w:ascii="Times New Roman" w:eastAsia="Times New Roman" w:hAnsi="Times New Roman"/>
                <w:sz w:val="21"/>
                <w:szCs w:val="21"/>
              </w:rPr>
              <w:t>C -</w:t>
            </w:r>
            <w:r w:rsidR="00983EE6">
              <w:rPr>
                <w:rFonts w:ascii="Times New Roman" w:eastAsia="Times New Roman" w:hAnsi="Times New Roman"/>
                <w:sz w:val="21"/>
                <w:szCs w:val="21"/>
              </w:rPr>
              <w:t xml:space="preserve"> Carbon calculations)</w:t>
            </w:r>
            <w:r w:rsidR="001E054A" w:rsidRPr="00E034C6">
              <w:rPr>
                <w:rFonts w:ascii="Times New Roman" w:eastAsia="Times New Roman" w:hAnsi="Times New Roman"/>
                <w:sz w:val="21"/>
                <w:szCs w:val="21"/>
              </w:rPr>
              <w:t xml:space="preserve">.  Leakage is dealt with in Section 3.5 (Risk Analysis and Risk Management Measure). </w:t>
            </w:r>
          </w:p>
          <w:p w:rsidR="001E054A" w:rsidRPr="00E034C6" w:rsidRDefault="001E054A" w:rsidP="001E054A">
            <w:pPr>
              <w:spacing w:after="0" w:line="240" w:lineRule="auto"/>
              <w:rPr>
                <w:rFonts w:ascii="Times New Roman" w:eastAsia="Times New Roman" w:hAnsi="Times New Roman"/>
                <w:sz w:val="21"/>
                <w:szCs w:val="21"/>
              </w:rPr>
            </w:pPr>
          </w:p>
        </w:tc>
      </w:tr>
      <w:tr w:rsidR="00F42946" w:rsidRPr="00E034C6" w:rsidTr="0042407D">
        <w:trPr>
          <w:trHeight w:val="793"/>
        </w:trPr>
        <w:tc>
          <w:tcPr>
            <w:tcW w:w="2358" w:type="dxa"/>
          </w:tcPr>
          <w:p w:rsidR="001E054A" w:rsidRPr="00E034C6" w:rsidRDefault="001E054A" w:rsidP="001E054A">
            <w:pPr>
              <w:spacing w:after="0" w:line="240" w:lineRule="auto"/>
              <w:rPr>
                <w:rFonts w:ascii="Times New Roman" w:eastAsiaTheme="minorHAnsi" w:hAnsi="Times New Roman"/>
              </w:rPr>
            </w:pPr>
            <w:r w:rsidRPr="00E034C6">
              <w:rPr>
                <w:rFonts w:ascii="Times New Roman" w:eastAsiaTheme="minorHAnsi" w:hAnsi="Times New Roman"/>
              </w:rPr>
              <w:t>9. Alignment of the carbon assessment with REDD+ methodologies.</w:t>
            </w:r>
          </w:p>
          <w:p w:rsidR="001E054A" w:rsidRPr="00E034C6" w:rsidRDefault="001E054A" w:rsidP="001E054A">
            <w:pPr>
              <w:spacing w:after="0" w:line="240" w:lineRule="auto"/>
              <w:rPr>
                <w:rFonts w:ascii="Times New Roman" w:eastAsia="Times New Roman" w:hAnsi="Times New Roman"/>
                <w:sz w:val="21"/>
                <w:szCs w:val="21"/>
              </w:rPr>
            </w:pPr>
          </w:p>
        </w:tc>
        <w:tc>
          <w:tcPr>
            <w:tcW w:w="8478" w:type="dxa"/>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The Project’s carbon assessment is aligned with REDD+ methodologies.  We have used InVEST tools that use IPCC 2006 as the guideline for carbon assessment.  </w:t>
            </w:r>
          </w:p>
          <w:p w:rsidR="001E054A" w:rsidRPr="00E034C6" w:rsidRDefault="001E054A" w:rsidP="001E054A">
            <w:pPr>
              <w:spacing w:after="0" w:line="240" w:lineRule="auto"/>
              <w:rPr>
                <w:rFonts w:ascii="Times New Roman" w:eastAsia="Times New Roman" w:hAnsi="Times New Roman"/>
                <w:sz w:val="21"/>
                <w:szCs w:val="21"/>
              </w:rPr>
            </w:pPr>
          </w:p>
        </w:tc>
      </w:tr>
      <w:tr w:rsidR="001E054A" w:rsidRPr="00E034C6" w:rsidTr="001E054A">
        <w:trPr>
          <w:trHeight w:val="417"/>
        </w:trPr>
        <w:tc>
          <w:tcPr>
            <w:tcW w:w="0" w:type="auto"/>
            <w:gridSpan w:val="2"/>
            <w:tcBorders>
              <w:bottom w:val="single" w:sz="4" w:space="0" w:color="auto"/>
            </w:tcBorders>
            <w:shd w:val="clear" w:color="auto" w:fill="F2DBDB" w:themeFill="accent2" w:themeFillTint="33"/>
          </w:tcPr>
          <w:p w:rsidR="001E054A" w:rsidRPr="00E034C6" w:rsidRDefault="001E054A" w:rsidP="001E054A">
            <w:pPr>
              <w:spacing w:after="0" w:line="240" w:lineRule="auto"/>
              <w:jc w:val="center"/>
              <w:rPr>
                <w:rFonts w:ascii="Times New Roman" w:eastAsia="Times New Roman" w:hAnsi="Times New Roman"/>
                <w:b/>
                <w:sz w:val="21"/>
                <w:szCs w:val="21"/>
              </w:rPr>
            </w:pPr>
            <w:r w:rsidRPr="00E034C6">
              <w:rPr>
                <w:rFonts w:ascii="Times New Roman" w:eastAsia="Times New Roman" w:hAnsi="Times New Roman"/>
                <w:b/>
                <w:sz w:val="21"/>
                <w:szCs w:val="21"/>
              </w:rPr>
              <w:t>COMMENTS FROM GEF COUNCIL</w:t>
            </w:r>
          </w:p>
        </w:tc>
      </w:tr>
      <w:tr w:rsidR="00F42946" w:rsidRPr="00E034C6" w:rsidTr="001E054A">
        <w:trPr>
          <w:trHeight w:val="417"/>
        </w:trPr>
        <w:tc>
          <w:tcPr>
            <w:tcW w:w="0" w:type="auto"/>
            <w:tcBorders>
              <w:bottom w:val="single" w:sz="4" w:space="0" w:color="auto"/>
            </w:tcBorders>
            <w:shd w:val="clear" w:color="auto" w:fill="D6E3BC"/>
          </w:tcPr>
          <w:p w:rsidR="001E054A" w:rsidRPr="00E034C6" w:rsidRDefault="001E054A" w:rsidP="001E054A">
            <w:pPr>
              <w:spacing w:after="0" w:line="240" w:lineRule="auto"/>
              <w:jc w:val="center"/>
              <w:rPr>
                <w:rFonts w:ascii="Times New Roman" w:eastAsia="Times New Roman" w:hAnsi="Times New Roman"/>
                <w:b/>
                <w:sz w:val="21"/>
                <w:szCs w:val="21"/>
              </w:rPr>
            </w:pPr>
            <w:r w:rsidRPr="00E034C6">
              <w:rPr>
                <w:rFonts w:ascii="Times New Roman" w:eastAsia="Times New Roman" w:hAnsi="Times New Roman"/>
                <w:b/>
                <w:sz w:val="21"/>
                <w:szCs w:val="21"/>
              </w:rPr>
              <w:t>Comment</w:t>
            </w:r>
          </w:p>
        </w:tc>
        <w:tc>
          <w:tcPr>
            <w:tcW w:w="0" w:type="auto"/>
            <w:tcBorders>
              <w:bottom w:val="single" w:sz="4" w:space="0" w:color="auto"/>
            </w:tcBorders>
            <w:shd w:val="clear" w:color="auto" w:fill="D6E3BC"/>
          </w:tcPr>
          <w:p w:rsidR="001E054A" w:rsidRPr="00E034C6" w:rsidRDefault="001E054A" w:rsidP="001E054A">
            <w:pPr>
              <w:spacing w:after="0" w:line="240" w:lineRule="auto"/>
              <w:jc w:val="center"/>
              <w:rPr>
                <w:rFonts w:ascii="Times New Roman" w:eastAsia="Times New Roman" w:hAnsi="Times New Roman"/>
                <w:b/>
                <w:sz w:val="21"/>
                <w:szCs w:val="21"/>
              </w:rPr>
            </w:pPr>
            <w:r w:rsidRPr="00E034C6">
              <w:rPr>
                <w:rFonts w:ascii="Times New Roman" w:eastAsia="Times New Roman" w:hAnsi="Times New Roman"/>
                <w:b/>
                <w:sz w:val="21"/>
                <w:szCs w:val="21"/>
              </w:rPr>
              <w:t>Response</w:t>
            </w:r>
          </w:p>
        </w:tc>
      </w:tr>
      <w:tr w:rsidR="00F42946" w:rsidRPr="00E034C6" w:rsidTr="001E054A">
        <w:trPr>
          <w:trHeight w:val="440"/>
        </w:trPr>
        <w:tc>
          <w:tcPr>
            <w:tcW w:w="0" w:type="auto"/>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1.  For the purpose of avoiding coordination problems in advance, please clarify and elaborate how the Ministry of Home Affairs coordinates this project since this project covers various technical fields such as biodiversity, climate change, and forestry (Japan).  </w:t>
            </w:r>
          </w:p>
          <w:p w:rsidR="001E054A" w:rsidRPr="00E034C6" w:rsidRDefault="001E054A" w:rsidP="001E054A">
            <w:pPr>
              <w:spacing w:after="0" w:line="240" w:lineRule="auto"/>
              <w:rPr>
                <w:rFonts w:ascii="Times New Roman" w:eastAsia="Times New Roman" w:hAnsi="Times New Roman"/>
                <w:sz w:val="21"/>
                <w:szCs w:val="21"/>
              </w:rPr>
            </w:pPr>
          </w:p>
        </w:tc>
        <w:tc>
          <w:tcPr>
            <w:tcW w:w="0" w:type="auto"/>
          </w:tcPr>
          <w:p w:rsidR="001E054A" w:rsidRPr="00E034C6" w:rsidRDefault="001E054A" w:rsidP="0061724D">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Done.  See Section 4.2 (Organizational Arrangements for Project Implementation and Sustainability.)  Note that MoHA is no longer the coordinating ministry, rather now changed to Coordinating Ministry of Economic</w:t>
            </w:r>
            <w:r w:rsidR="006630F2">
              <w:rPr>
                <w:rFonts w:ascii="Times New Roman" w:eastAsia="Times New Roman" w:hAnsi="Times New Roman"/>
                <w:sz w:val="21"/>
                <w:szCs w:val="21"/>
              </w:rPr>
              <w:t xml:space="preserve"> Affairs</w:t>
            </w:r>
            <w:r w:rsidRPr="00E034C6">
              <w:rPr>
                <w:rFonts w:ascii="Times New Roman" w:eastAsia="Times New Roman" w:hAnsi="Times New Roman"/>
                <w:sz w:val="21"/>
                <w:szCs w:val="21"/>
              </w:rPr>
              <w:t xml:space="preserve"> </w:t>
            </w:r>
            <w:r w:rsidR="00822781">
              <w:rPr>
                <w:rFonts w:ascii="Times New Roman" w:eastAsia="Times New Roman" w:hAnsi="Times New Roman"/>
                <w:sz w:val="21"/>
                <w:szCs w:val="21"/>
              </w:rPr>
              <w:t xml:space="preserve">– </w:t>
            </w:r>
            <w:r w:rsidR="006630F2">
              <w:rPr>
                <w:rFonts w:ascii="Times New Roman" w:eastAsia="Times New Roman" w:hAnsi="Times New Roman"/>
                <w:sz w:val="21"/>
                <w:szCs w:val="21"/>
              </w:rPr>
              <w:t>which is mandated to coordinate a range of line agencies such as environment &amp; forestry, public works, finance, agriculture, and agrarian a</w:t>
            </w:r>
            <w:r w:rsidR="0061724D">
              <w:rPr>
                <w:rFonts w:ascii="Times New Roman" w:eastAsia="Times New Roman" w:hAnsi="Times New Roman"/>
                <w:sz w:val="21"/>
                <w:szCs w:val="21"/>
              </w:rPr>
              <w:t>f</w:t>
            </w:r>
            <w:r w:rsidR="006630F2">
              <w:rPr>
                <w:rFonts w:ascii="Times New Roman" w:eastAsia="Times New Roman" w:hAnsi="Times New Roman"/>
                <w:sz w:val="21"/>
                <w:szCs w:val="21"/>
              </w:rPr>
              <w:t xml:space="preserve">fairs and spatial planning – all core to the project </w:t>
            </w:r>
            <w:r w:rsidR="0061724D">
              <w:rPr>
                <w:rFonts w:ascii="Times New Roman" w:eastAsia="Times New Roman" w:hAnsi="Times New Roman"/>
                <w:sz w:val="21"/>
                <w:szCs w:val="21"/>
              </w:rPr>
              <w:t xml:space="preserve">approach and partnership </w:t>
            </w:r>
            <w:r w:rsidRPr="00E034C6">
              <w:rPr>
                <w:rFonts w:ascii="Times New Roman" w:eastAsia="Times New Roman" w:hAnsi="Times New Roman"/>
                <w:sz w:val="21"/>
                <w:szCs w:val="21"/>
              </w:rPr>
              <w:t xml:space="preserve">(see </w:t>
            </w:r>
            <w:r w:rsidR="0061724D">
              <w:rPr>
                <w:rFonts w:ascii="Times New Roman" w:eastAsia="Times New Roman" w:hAnsi="Times New Roman"/>
                <w:sz w:val="21"/>
                <w:szCs w:val="21"/>
              </w:rPr>
              <w:t xml:space="preserve">also </w:t>
            </w:r>
            <w:r w:rsidRPr="00E034C6">
              <w:rPr>
                <w:rFonts w:ascii="Times New Roman" w:eastAsia="Times New Roman" w:hAnsi="Times New Roman"/>
                <w:sz w:val="21"/>
                <w:szCs w:val="21"/>
              </w:rPr>
              <w:t xml:space="preserve">Section 4.1, The Context for Governance for RIMBA 2015-2021).  </w:t>
            </w:r>
          </w:p>
        </w:tc>
      </w:tr>
      <w:tr w:rsidR="00F42946" w:rsidRPr="00E034C6" w:rsidTr="001E054A">
        <w:trPr>
          <w:trHeight w:val="793"/>
        </w:trPr>
        <w:tc>
          <w:tcPr>
            <w:tcW w:w="0" w:type="auto"/>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2.  The term “Green Economy” is frequently used in the proposal but is not defined or used to describe activities that would lead to a “Green Economy” concept and a green economy policy (Germany).  </w:t>
            </w:r>
          </w:p>
          <w:p w:rsidR="001E054A" w:rsidRPr="00E034C6" w:rsidRDefault="001E054A" w:rsidP="001E054A">
            <w:pPr>
              <w:spacing w:after="0" w:line="240" w:lineRule="auto"/>
              <w:rPr>
                <w:rFonts w:ascii="Times New Roman" w:eastAsia="Times New Roman" w:hAnsi="Times New Roman"/>
                <w:sz w:val="21"/>
                <w:szCs w:val="21"/>
              </w:rPr>
            </w:pPr>
          </w:p>
        </w:tc>
        <w:tc>
          <w:tcPr>
            <w:tcW w:w="0" w:type="auto"/>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Done.  Green Economy defined in Section 2.1.1 (A Direction for National Change) as “Low emission economic development strategies which together with resource efficiency and equitable access to resources and their benefits, are collectively known as Green Economy.”  (The definition of </w:t>
            </w:r>
            <w:r w:rsidR="00F14C17">
              <w:rPr>
                <w:rFonts w:ascii="Times New Roman" w:eastAsia="Times New Roman" w:hAnsi="Times New Roman"/>
                <w:sz w:val="21"/>
                <w:szCs w:val="21"/>
              </w:rPr>
              <w:t xml:space="preserve">former </w:t>
            </w:r>
            <w:r w:rsidRPr="00E034C6">
              <w:rPr>
                <w:rFonts w:ascii="Times New Roman" w:eastAsia="Times New Roman" w:hAnsi="Times New Roman"/>
                <w:sz w:val="21"/>
                <w:szCs w:val="21"/>
              </w:rPr>
              <w:t xml:space="preserve">President Susilo Bambang Yudhoyono, speaking at the Centre for International Forestry Research in 2012, is also detailed in Section 2.4.2 (Indonesia’s Climate Change Strategy).)  </w:t>
            </w:r>
          </w:p>
          <w:p w:rsidR="001E054A" w:rsidRPr="00E034C6" w:rsidRDefault="001E054A" w:rsidP="001E054A">
            <w:pPr>
              <w:spacing w:after="0" w:line="240" w:lineRule="auto"/>
              <w:rPr>
                <w:rFonts w:ascii="Times New Roman" w:eastAsia="Times New Roman" w:hAnsi="Times New Roman"/>
                <w:sz w:val="21"/>
                <w:szCs w:val="21"/>
              </w:rPr>
            </w:pPr>
          </w:p>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Green Economy is also now included clearly in targets, particularly under the Project’s Component 1 (see </w:t>
            </w:r>
            <w:r w:rsidR="003603A1">
              <w:rPr>
                <w:rFonts w:ascii="Times New Roman" w:eastAsia="Times New Roman" w:hAnsi="Times New Roman"/>
                <w:sz w:val="21"/>
                <w:szCs w:val="21"/>
              </w:rPr>
              <w:t xml:space="preserve">Outputs 1.1.1, 1.1.2, 1.1.3 &amp; 1.1.4; Outputs  1.2.1 &amp; 1.2.3; </w:t>
            </w:r>
            <w:r w:rsidR="00CB6291">
              <w:rPr>
                <w:rFonts w:ascii="Times New Roman" w:eastAsia="Times New Roman" w:hAnsi="Times New Roman"/>
                <w:sz w:val="21"/>
                <w:szCs w:val="21"/>
              </w:rPr>
              <w:t xml:space="preserve">Component 2.1 – 2.3 GE Investment Cluster programs; </w:t>
            </w:r>
            <w:r w:rsidR="003603A1">
              <w:rPr>
                <w:rFonts w:ascii="Times New Roman" w:eastAsia="Times New Roman" w:hAnsi="Times New Roman"/>
                <w:sz w:val="21"/>
                <w:szCs w:val="21"/>
              </w:rPr>
              <w:t xml:space="preserve">Outputs 2.4.1, 2.4.2 &amp; 2.4.3, and  Outputs </w:t>
            </w:r>
            <w:r w:rsidR="00CB6291">
              <w:rPr>
                <w:rFonts w:ascii="Times New Roman" w:eastAsia="Times New Roman" w:hAnsi="Times New Roman"/>
                <w:sz w:val="21"/>
                <w:szCs w:val="21"/>
              </w:rPr>
              <w:t xml:space="preserve">3.1.1. &amp; </w:t>
            </w:r>
            <w:r w:rsidR="003603A1">
              <w:rPr>
                <w:rFonts w:ascii="Times New Roman" w:eastAsia="Times New Roman" w:hAnsi="Times New Roman"/>
                <w:sz w:val="21"/>
                <w:szCs w:val="21"/>
              </w:rPr>
              <w:t xml:space="preserve">in </w:t>
            </w:r>
            <w:r w:rsidRPr="00E034C6">
              <w:rPr>
                <w:rFonts w:ascii="Times New Roman" w:eastAsia="Times New Roman" w:hAnsi="Times New Roman"/>
                <w:sz w:val="21"/>
                <w:szCs w:val="21"/>
              </w:rPr>
              <w:t>Appendix 4</w:t>
            </w:r>
            <w:r w:rsidR="00CB6291">
              <w:rPr>
                <w:rFonts w:ascii="Times New Roman" w:eastAsia="Times New Roman" w:hAnsi="Times New Roman"/>
                <w:sz w:val="21"/>
                <w:szCs w:val="21"/>
              </w:rPr>
              <w:t xml:space="preserve"> ‘</w:t>
            </w:r>
            <w:r w:rsidRPr="00E034C6">
              <w:rPr>
                <w:rFonts w:ascii="Times New Roman" w:eastAsia="Times New Roman" w:hAnsi="Times New Roman"/>
                <w:sz w:val="21"/>
                <w:szCs w:val="21"/>
              </w:rPr>
              <w:t>Results Framework</w:t>
            </w:r>
            <w:r w:rsidR="00CB6291">
              <w:rPr>
                <w:rFonts w:ascii="Times New Roman" w:eastAsia="Times New Roman" w:hAnsi="Times New Roman"/>
                <w:sz w:val="21"/>
                <w:szCs w:val="21"/>
              </w:rPr>
              <w:t>”</w:t>
            </w:r>
            <w:r w:rsidRPr="00E034C6">
              <w:rPr>
                <w:rFonts w:ascii="Times New Roman" w:eastAsia="Times New Roman" w:hAnsi="Times New Roman"/>
                <w:sz w:val="21"/>
                <w:szCs w:val="21"/>
              </w:rPr>
              <w:t xml:space="preserve">), to show the connection between GE activities and GE policies. Further see also </w:t>
            </w:r>
            <w:r w:rsidR="00CB6291">
              <w:rPr>
                <w:rFonts w:ascii="Times New Roman" w:eastAsia="Times New Roman" w:hAnsi="Times New Roman"/>
                <w:sz w:val="21"/>
                <w:szCs w:val="21"/>
              </w:rPr>
              <w:t xml:space="preserve">ProDoc </w:t>
            </w:r>
            <w:r w:rsidRPr="00E034C6">
              <w:rPr>
                <w:rFonts w:ascii="Times New Roman" w:eastAsia="Times New Roman" w:hAnsi="Times New Roman"/>
                <w:sz w:val="21"/>
                <w:szCs w:val="21"/>
              </w:rPr>
              <w:t>Section 2.4.</w:t>
            </w:r>
            <w:r w:rsidR="00060159">
              <w:rPr>
                <w:rFonts w:ascii="Times New Roman" w:eastAsia="Times New Roman" w:hAnsi="Times New Roman"/>
                <w:sz w:val="21"/>
                <w:szCs w:val="21"/>
              </w:rPr>
              <w:t>2</w:t>
            </w:r>
            <w:r w:rsidRPr="00E034C6">
              <w:rPr>
                <w:rFonts w:ascii="Times New Roman" w:eastAsia="Times New Roman" w:hAnsi="Times New Roman"/>
                <w:sz w:val="21"/>
                <w:szCs w:val="21"/>
              </w:rPr>
              <w:t xml:space="preserve"> (National Economic Development and the Green Economy) and Appendix 19 (Importance of the Green Economy Concept in the RIMBA Corridor, Sumatra).</w:t>
            </w:r>
            <w:r w:rsidR="00CB6291">
              <w:rPr>
                <w:rFonts w:ascii="Times New Roman" w:eastAsia="Times New Roman" w:hAnsi="Times New Roman"/>
                <w:sz w:val="21"/>
                <w:szCs w:val="21"/>
              </w:rPr>
              <w:t xml:space="preserve"> A full description of specific GE approaches and activities is given in Section 3.3</w:t>
            </w:r>
          </w:p>
          <w:p w:rsidR="001E054A" w:rsidRPr="00E034C6" w:rsidRDefault="001E054A" w:rsidP="001E054A">
            <w:pPr>
              <w:spacing w:after="0" w:line="240" w:lineRule="auto"/>
              <w:rPr>
                <w:rFonts w:ascii="Times New Roman" w:eastAsia="Times New Roman" w:hAnsi="Times New Roman"/>
                <w:sz w:val="21"/>
                <w:szCs w:val="21"/>
              </w:rPr>
            </w:pPr>
          </w:p>
        </w:tc>
      </w:tr>
      <w:tr w:rsidR="00F42946" w:rsidRPr="00E034C6" w:rsidTr="001E054A">
        <w:trPr>
          <w:trHeight w:val="793"/>
        </w:trPr>
        <w:tc>
          <w:tcPr>
            <w:tcW w:w="0" w:type="auto"/>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3. The ongoing reform of the forestry sector (establishment of Forest Management Units, FMUs at the district level) is not mentioned and not taken into account. This reform plays a critical role to improve the good governance of Indonesia’s forest resources and the Project should actively support or/and make use of these new administrative structures (Germany).  </w:t>
            </w:r>
          </w:p>
          <w:p w:rsidR="001E054A" w:rsidRPr="00E034C6" w:rsidRDefault="001E054A" w:rsidP="001E054A">
            <w:pPr>
              <w:spacing w:after="0" w:line="240" w:lineRule="auto"/>
              <w:rPr>
                <w:rFonts w:ascii="Times New Roman" w:eastAsia="Times New Roman" w:hAnsi="Times New Roman"/>
                <w:sz w:val="21"/>
                <w:szCs w:val="21"/>
              </w:rPr>
            </w:pPr>
          </w:p>
        </w:tc>
        <w:tc>
          <w:tcPr>
            <w:tcW w:w="0" w:type="auto"/>
          </w:tcPr>
          <w:p w:rsidR="001E054A" w:rsidRPr="00E034C6" w:rsidRDefault="00AE3CB2" w:rsidP="00E8235A">
            <w:pPr>
              <w:spacing w:after="0" w:line="240" w:lineRule="auto"/>
              <w:rPr>
                <w:rFonts w:ascii="Times New Roman" w:eastAsia="Times New Roman" w:hAnsi="Times New Roman"/>
                <w:sz w:val="21"/>
                <w:szCs w:val="21"/>
              </w:rPr>
            </w:pPr>
            <w:r>
              <w:rPr>
                <w:rFonts w:ascii="Times New Roman" w:eastAsia="Times New Roman" w:hAnsi="Times New Roman"/>
                <w:sz w:val="21"/>
                <w:szCs w:val="21"/>
              </w:rPr>
              <w:t>Fully agreed.</w:t>
            </w:r>
            <w:r w:rsidR="001E054A" w:rsidRPr="00E034C6">
              <w:rPr>
                <w:rFonts w:ascii="Times New Roman" w:eastAsia="Times New Roman" w:hAnsi="Times New Roman"/>
                <w:sz w:val="21"/>
                <w:szCs w:val="21"/>
              </w:rPr>
              <w:t xml:space="preserve">  FMUs are now a major </w:t>
            </w:r>
            <w:r w:rsidR="008F73D5">
              <w:rPr>
                <w:rFonts w:ascii="Times New Roman" w:eastAsia="Times New Roman" w:hAnsi="Times New Roman"/>
                <w:sz w:val="21"/>
                <w:szCs w:val="21"/>
              </w:rPr>
              <w:t xml:space="preserve">planning tool, governance platform and SFM delivery </w:t>
            </w:r>
            <w:r w:rsidR="00E8235A">
              <w:rPr>
                <w:rFonts w:ascii="Times New Roman" w:eastAsia="Times New Roman" w:hAnsi="Times New Roman"/>
                <w:sz w:val="21"/>
                <w:szCs w:val="21"/>
              </w:rPr>
              <w:t>mechanism</w:t>
            </w:r>
            <w:r w:rsidR="00E8235A" w:rsidRPr="00E034C6">
              <w:rPr>
                <w:rFonts w:ascii="Times New Roman" w:eastAsia="Times New Roman" w:hAnsi="Times New Roman"/>
                <w:sz w:val="21"/>
                <w:szCs w:val="21"/>
              </w:rPr>
              <w:t xml:space="preserve"> used by the Project and is</w:t>
            </w:r>
            <w:r w:rsidR="001E054A" w:rsidRPr="00E034C6">
              <w:rPr>
                <w:rFonts w:ascii="Times New Roman" w:eastAsia="Times New Roman" w:hAnsi="Times New Roman"/>
                <w:sz w:val="21"/>
                <w:szCs w:val="21"/>
              </w:rPr>
              <w:t xml:space="preserve"> reflected in several </w:t>
            </w:r>
            <w:r w:rsidR="008F73D5">
              <w:rPr>
                <w:rFonts w:ascii="Times New Roman" w:eastAsia="Times New Roman" w:hAnsi="Times New Roman"/>
                <w:sz w:val="21"/>
                <w:szCs w:val="21"/>
              </w:rPr>
              <w:t>key Outputs, indicators and targets</w:t>
            </w:r>
            <w:r w:rsidR="001E054A" w:rsidRPr="00E034C6">
              <w:rPr>
                <w:rFonts w:ascii="Times New Roman" w:eastAsia="Times New Roman" w:hAnsi="Times New Roman"/>
                <w:sz w:val="21"/>
                <w:szCs w:val="21"/>
              </w:rPr>
              <w:t xml:space="preserve">.  See </w:t>
            </w:r>
            <w:r w:rsidR="008F73D5">
              <w:rPr>
                <w:rFonts w:ascii="Times New Roman" w:eastAsia="Times New Roman" w:hAnsi="Times New Roman"/>
                <w:sz w:val="21"/>
                <w:szCs w:val="21"/>
              </w:rPr>
              <w:t xml:space="preserve">specifically the Results Framework and </w:t>
            </w:r>
            <w:r w:rsidR="001E054A" w:rsidRPr="00E034C6">
              <w:rPr>
                <w:rFonts w:ascii="Times New Roman" w:eastAsia="Times New Roman" w:hAnsi="Times New Roman"/>
                <w:sz w:val="21"/>
                <w:szCs w:val="21"/>
              </w:rPr>
              <w:t xml:space="preserve">Section 3.3 (Project Components and Expected Results) and Section 3.4 </w:t>
            </w:r>
            <w:r>
              <w:rPr>
                <w:rFonts w:ascii="Times New Roman" w:eastAsia="Times New Roman" w:hAnsi="Times New Roman"/>
                <w:sz w:val="21"/>
                <w:szCs w:val="21"/>
              </w:rPr>
              <w:t>Theory of Change</w:t>
            </w:r>
            <w:r w:rsidR="00F14C17">
              <w:rPr>
                <w:rFonts w:ascii="Times New Roman" w:eastAsia="Times New Roman" w:hAnsi="Times New Roman"/>
                <w:sz w:val="21"/>
                <w:szCs w:val="21"/>
              </w:rPr>
              <w:t xml:space="preserve"> </w:t>
            </w:r>
            <w:r w:rsidR="001E054A" w:rsidRPr="00E034C6">
              <w:rPr>
                <w:rFonts w:ascii="Times New Roman" w:eastAsia="Times New Roman" w:hAnsi="Times New Roman"/>
                <w:sz w:val="21"/>
                <w:szCs w:val="21"/>
              </w:rPr>
              <w:t xml:space="preserve">(Intervention Logic and Key Assumptions).  </w:t>
            </w:r>
          </w:p>
        </w:tc>
      </w:tr>
      <w:tr w:rsidR="00F42946" w:rsidRPr="00E034C6" w:rsidTr="001E054A">
        <w:trPr>
          <w:trHeight w:val="793"/>
        </w:trPr>
        <w:tc>
          <w:tcPr>
            <w:tcW w:w="0" w:type="auto"/>
          </w:tcPr>
          <w:p w:rsidR="001E054A"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4. Non-Forest Areas (APL areas) are an important part of the forest cover and are not mentioned in the proposal at al.  These so-called non-forest areas are a considerable part of Indonesia’s forests and will influence the expected results.  Therefore, this issue should be clarified (Germany).  </w:t>
            </w:r>
          </w:p>
          <w:p w:rsidR="00DA139A" w:rsidRPr="00E034C6" w:rsidRDefault="00DA139A" w:rsidP="001E054A">
            <w:pPr>
              <w:spacing w:after="0" w:line="240" w:lineRule="auto"/>
              <w:rPr>
                <w:rFonts w:ascii="Times New Roman" w:eastAsia="Times New Roman" w:hAnsi="Times New Roman"/>
                <w:sz w:val="21"/>
                <w:szCs w:val="21"/>
              </w:rPr>
            </w:pPr>
          </w:p>
        </w:tc>
        <w:tc>
          <w:tcPr>
            <w:tcW w:w="0" w:type="auto"/>
          </w:tcPr>
          <w:p w:rsidR="00916B09" w:rsidRPr="00E034C6" w:rsidRDefault="00916B09" w:rsidP="00DA139A">
            <w:pPr>
              <w:spacing w:after="0" w:line="240" w:lineRule="auto"/>
              <w:rPr>
                <w:rFonts w:ascii="Times New Roman" w:eastAsia="Times New Roman" w:hAnsi="Times New Roman"/>
                <w:sz w:val="21"/>
                <w:szCs w:val="21"/>
              </w:rPr>
            </w:pPr>
            <w:r>
              <w:rPr>
                <w:rFonts w:ascii="Times New Roman" w:eastAsia="Times New Roman" w:hAnsi="Times New Roman"/>
                <w:sz w:val="21"/>
                <w:szCs w:val="21"/>
              </w:rPr>
              <w:t>After the formulation of the Basic Agrarian Act in 1964 Indonesia was divided between agrarian land and forest land. After the Basic Forest Law of 1967 Forest Land was placed under the authority of the Ministry of Forestry and that situation has pertained in Islands outside Java and Bali until 2011. Except for these two Islands the Forest Land and the Forests were pretty much aligned and the Non-forest areas under forest cover were largely restricted to Java. The only way that legally forest cover could be excised from the Forest Estate was for it to be zoned for conversion (</w:t>
            </w:r>
            <w:r w:rsidR="0015230E" w:rsidRPr="0015230E">
              <w:rPr>
                <w:rFonts w:ascii="Times New Roman" w:eastAsia="Times New Roman" w:hAnsi="Times New Roman"/>
                <w:i/>
                <w:sz w:val="21"/>
                <w:szCs w:val="21"/>
              </w:rPr>
              <w:t>Hutan Produksi Konversi)</w:t>
            </w:r>
            <w:r>
              <w:rPr>
                <w:rFonts w:ascii="Times New Roman" w:eastAsia="Times New Roman" w:hAnsi="Times New Roman"/>
                <w:sz w:val="21"/>
                <w:szCs w:val="21"/>
              </w:rPr>
              <w:t xml:space="preserve"> and this approach has been applied throughout the outer islands. Rationalisation of this situation has been on the agenda in Indonesia since the introduction of the 1992 Spatial Planning Law. In December 2011 the Constitutional Court began a process which a year later became more clear, whereby the legal Forest Estate was only those areas which had been formally surveyed and gazetted. In some interpretations this cut the Forest Estate to only about 14 million ha</w:t>
            </w:r>
            <w:r w:rsidR="00B55E27">
              <w:rPr>
                <w:rFonts w:ascii="Times New Roman" w:eastAsia="Times New Roman" w:hAnsi="Times New Roman"/>
                <w:sz w:val="21"/>
                <w:szCs w:val="21"/>
              </w:rPr>
              <w:t xml:space="preserve"> with the rest nominally available for negotiation under the Spatial Planning Law which operates down to the District Government. Since this time there has been little real practical change, but the situation has begun a path to resolution through forest planning through local area Forest Management Units which are formalised under Regional </w:t>
            </w:r>
            <w:r w:rsidR="00412C26">
              <w:rPr>
                <w:rFonts w:ascii="Times New Roman" w:eastAsia="Times New Roman" w:hAnsi="Times New Roman"/>
                <w:sz w:val="21"/>
                <w:szCs w:val="21"/>
              </w:rPr>
              <w:t>Government Decrees</w:t>
            </w:r>
            <w:r w:rsidR="00B55E27">
              <w:rPr>
                <w:rFonts w:ascii="Times New Roman" w:eastAsia="Times New Roman" w:hAnsi="Times New Roman"/>
                <w:sz w:val="21"/>
                <w:szCs w:val="21"/>
              </w:rPr>
              <w:t xml:space="preserve">. FMU’s focus in several areas of activity but one important one is in clarifying what is forest land and how it will be accessed and managed. The work of the FMU’s will be represented within the District Spatial Plans in due course. In the RIMBA Project we deal with forest plantation through HTI and HTR concessions. These are still within the Permanent Forest Estate. We deal with all other forest land, whether or not it has been legally or illegally </w:t>
            </w:r>
            <w:r w:rsidR="00412C26">
              <w:rPr>
                <w:rFonts w:ascii="Times New Roman" w:eastAsia="Times New Roman" w:hAnsi="Times New Roman"/>
                <w:sz w:val="21"/>
                <w:szCs w:val="21"/>
              </w:rPr>
              <w:t>cleared, through</w:t>
            </w:r>
            <w:r w:rsidR="00B55E27">
              <w:rPr>
                <w:rFonts w:ascii="Times New Roman" w:eastAsia="Times New Roman" w:hAnsi="Times New Roman"/>
                <w:sz w:val="21"/>
                <w:szCs w:val="21"/>
              </w:rPr>
              <w:t xml:space="preserve"> partnership with the FMU’s. To our knowledge there are no significant areas of forest cover in the RIMBA Corridor that are clearly either APL or yet in formally acknowledged </w:t>
            </w:r>
            <w:r w:rsidR="0015230E" w:rsidRPr="0015230E">
              <w:rPr>
                <w:rFonts w:ascii="Times New Roman" w:eastAsia="Times New Roman" w:hAnsi="Times New Roman"/>
                <w:i/>
                <w:sz w:val="21"/>
                <w:szCs w:val="21"/>
              </w:rPr>
              <w:t>Adat</w:t>
            </w:r>
            <w:r w:rsidR="00B55E27">
              <w:rPr>
                <w:rFonts w:ascii="Times New Roman" w:eastAsia="Times New Roman" w:hAnsi="Times New Roman"/>
                <w:sz w:val="21"/>
                <w:szCs w:val="21"/>
              </w:rPr>
              <w:t xml:space="preserve"> Forest (which might eventually be argued in the courts to be outside the forest estate. </w:t>
            </w:r>
          </w:p>
        </w:tc>
      </w:tr>
      <w:tr w:rsidR="00F42946" w:rsidRPr="00E034C6" w:rsidTr="001E054A">
        <w:trPr>
          <w:trHeight w:val="793"/>
        </w:trPr>
        <w:tc>
          <w:tcPr>
            <w:tcW w:w="0" w:type="auto"/>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5.  Support of agroforestry systems should be incorporated in the Project (Germany).  </w:t>
            </w:r>
          </w:p>
        </w:tc>
        <w:tc>
          <w:tcPr>
            <w:tcW w:w="0" w:type="auto"/>
          </w:tcPr>
          <w:p w:rsidR="001E054A" w:rsidRPr="00E034C6" w:rsidRDefault="001A27A1" w:rsidP="001E054A">
            <w:pPr>
              <w:spacing w:after="0" w:line="240" w:lineRule="auto"/>
              <w:rPr>
                <w:rFonts w:ascii="Times New Roman" w:eastAsia="Times New Roman" w:hAnsi="Times New Roman"/>
                <w:sz w:val="21"/>
                <w:szCs w:val="21"/>
              </w:rPr>
            </w:pPr>
            <w:r>
              <w:rPr>
                <w:rFonts w:ascii="Times New Roman" w:eastAsia="Times New Roman" w:hAnsi="Times New Roman"/>
                <w:sz w:val="21"/>
                <w:szCs w:val="21"/>
              </w:rPr>
              <w:t>Fully agreed and d</w:t>
            </w:r>
            <w:r w:rsidR="001E054A" w:rsidRPr="00E034C6">
              <w:rPr>
                <w:rFonts w:ascii="Times New Roman" w:eastAsia="Times New Roman" w:hAnsi="Times New Roman"/>
                <w:sz w:val="21"/>
                <w:szCs w:val="21"/>
              </w:rPr>
              <w:t xml:space="preserve">one.  Agro-forestry is now incorporated in </w:t>
            </w:r>
            <w:r w:rsidR="00F42946">
              <w:rPr>
                <w:rFonts w:ascii="Times New Roman" w:eastAsia="Times New Roman" w:hAnsi="Times New Roman"/>
                <w:sz w:val="21"/>
                <w:szCs w:val="21"/>
              </w:rPr>
              <w:t xml:space="preserve">the </w:t>
            </w:r>
            <w:r w:rsidR="001E054A" w:rsidRPr="00E034C6">
              <w:rPr>
                <w:rFonts w:ascii="Times New Roman" w:eastAsia="Times New Roman" w:hAnsi="Times New Roman"/>
                <w:sz w:val="21"/>
                <w:szCs w:val="21"/>
              </w:rPr>
              <w:t xml:space="preserve">RIMBA </w:t>
            </w:r>
            <w:r w:rsidR="00F42946">
              <w:rPr>
                <w:rFonts w:ascii="Times New Roman" w:eastAsia="Times New Roman" w:hAnsi="Times New Roman"/>
                <w:sz w:val="21"/>
                <w:szCs w:val="21"/>
              </w:rPr>
              <w:t>approach to</w:t>
            </w:r>
            <w:r w:rsidR="00DE3516">
              <w:rPr>
                <w:rFonts w:ascii="Times New Roman" w:eastAsia="Times New Roman" w:hAnsi="Times New Roman"/>
                <w:sz w:val="21"/>
                <w:szCs w:val="21"/>
              </w:rPr>
              <w:t>wards</w:t>
            </w:r>
            <w:r w:rsidR="00F42946">
              <w:rPr>
                <w:rFonts w:ascii="Times New Roman" w:eastAsia="Times New Roman" w:hAnsi="Times New Roman"/>
                <w:sz w:val="21"/>
                <w:szCs w:val="21"/>
              </w:rPr>
              <w:t xml:space="preserve"> attaining SFM, forest  restoration and community support programs – </w:t>
            </w:r>
            <w:r w:rsidR="001E054A" w:rsidRPr="00E034C6">
              <w:rPr>
                <w:rFonts w:ascii="Times New Roman" w:eastAsia="Times New Roman" w:hAnsi="Times New Roman"/>
                <w:sz w:val="21"/>
                <w:szCs w:val="21"/>
              </w:rPr>
              <w:t xml:space="preserve">particularly in Cluster 3 (see </w:t>
            </w:r>
            <w:r w:rsidR="00F42946">
              <w:rPr>
                <w:rFonts w:ascii="Times New Roman" w:eastAsia="Times New Roman" w:hAnsi="Times New Roman"/>
                <w:sz w:val="21"/>
                <w:szCs w:val="21"/>
              </w:rPr>
              <w:t xml:space="preserve">Section 3.3 Outcome 2.3 and  its outputs; and </w:t>
            </w:r>
            <w:r w:rsidR="001E054A" w:rsidRPr="00E034C6">
              <w:rPr>
                <w:rFonts w:ascii="Times New Roman" w:eastAsia="Times New Roman" w:hAnsi="Times New Roman"/>
                <w:sz w:val="21"/>
                <w:szCs w:val="21"/>
              </w:rPr>
              <w:t>Appendix 4, Results Framework</w:t>
            </w:r>
            <w:r w:rsidR="00F42946">
              <w:rPr>
                <w:rFonts w:ascii="Times New Roman" w:eastAsia="Times New Roman" w:hAnsi="Times New Roman"/>
                <w:sz w:val="21"/>
                <w:szCs w:val="21"/>
              </w:rPr>
              <w:t>). Collaboration suggested with VECO would enable better market access and commodity prices (part of fair trade), which will be used as incentive and condition to collaborate on land restoration through expa</w:t>
            </w:r>
            <w:r w:rsidR="00DE3516">
              <w:rPr>
                <w:rFonts w:ascii="Times New Roman" w:eastAsia="Times New Roman" w:hAnsi="Times New Roman"/>
                <w:sz w:val="21"/>
                <w:szCs w:val="21"/>
              </w:rPr>
              <w:t xml:space="preserve">nding on agro-forestry as well </w:t>
            </w:r>
            <w:r>
              <w:rPr>
                <w:rFonts w:ascii="Times New Roman" w:eastAsia="Times New Roman" w:hAnsi="Times New Roman"/>
                <w:sz w:val="21"/>
                <w:szCs w:val="21"/>
              </w:rPr>
              <w:t>a</w:t>
            </w:r>
            <w:r w:rsidR="00F42946">
              <w:rPr>
                <w:rFonts w:ascii="Times New Roman" w:eastAsia="Times New Roman" w:hAnsi="Times New Roman"/>
                <w:sz w:val="21"/>
                <w:szCs w:val="21"/>
              </w:rPr>
              <w:t xml:space="preserve">s forest restoration. </w:t>
            </w:r>
            <w:r w:rsidR="001E054A" w:rsidRPr="00E034C6">
              <w:rPr>
                <w:rFonts w:ascii="Times New Roman" w:eastAsia="Times New Roman" w:hAnsi="Times New Roman"/>
                <w:sz w:val="21"/>
                <w:szCs w:val="21"/>
              </w:rPr>
              <w:t xml:space="preserve">  </w:t>
            </w:r>
          </w:p>
          <w:p w:rsidR="001E054A" w:rsidRPr="00E034C6" w:rsidRDefault="001E054A" w:rsidP="001E054A">
            <w:pPr>
              <w:spacing w:after="0" w:line="240" w:lineRule="auto"/>
              <w:rPr>
                <w:rFonts w:ascii="Times New Roman" w:eastAsia="Times New Roman" w:hAnsi="Times New Roman"/>
                <w:sz w:val="21"/>
                <w:szCs w:val="21"/>
              </w:rPr>
            </w:pPr>
          </w:p>
        </w:tc>
      </w:tr>
      <w:tr w:rsidR="00F42946" w:rsidRPr="00E034C6" w:rsidTr="001E054A">
        <w:trPr>
          <w:trHeight w:val="793"/>
        </w:trPr>
        <w:tc>
          <w:tcPr>
            <w:tcW w:w="0" w:type="auto"/>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6.  Confirm co-funding (USA).  </w:t>
            </w:r>
          </w:p>
        </w:tc>
        <w:tc>
          <w:tcPr>
            <w:tcW w:w="0" w:type="auto"/>
          </w:tcPr>
          <w:p w:rsidR="001E054A" w:rsidRPr="00E034C6" w:rsidRDefault="001E054A" w:rsidP="001E054A">
            <w:pPr>
              <w:spacing w:after="0" w:line="240" w:lineRule="auto"/>
              <w:rPr>
                <w:rFonts w:ascii="Times New Roman" w:eastAsia="Times New Roman" w:hAnsi="Times New Roman"/>
                <w:sz w:val="21"/>
                <w:szCs w:val="21"/>
              </w:rPr>
            </w:pPr>
            <w:r w:rsidRPr="00E034C6">
              <w:rPr>
                <w:rFonts w:ascii="Times New Roman" w:eastAsia="Times New Roman" w:hAnsi="Times New Roman"/>
                <w:sz w:val="21"/>
                <w:szCs w:val="21"/>
              </w:rPr>
              <w:t xml:space="preserve">Done.  See Section 7.2 (Project Co-financing), Appendix 2 (Co-financing by source and UNEP budget lines), and Appendix 11 (Co-financing commitment letters from project partners).  </w:t>
            </w:r>
          </w:p>
          <w:p w:rsidR="001E054A" w:rsidRPr="00E034C6" w:rsidRDefault="001E054A" w:rsidP="001E054A">
            <w:pPr>
              <w:spacing w:after="0" w:line="240" w:lineRule="auto"/>
              <w:rPr>
                <w:rFonts w:ascii="Times New Roman" w:eastAsia="Times New Roman" w:hAnsi="Times New Roman"/>
                <w:sz w:val="21"/>
                <w:szCs w:val="21"/>
              </w:rPr>
            </w:pPr>
          </w:p>
        </w:tc>
      </w:tr>
    </w:tbl>
    <w:p w:rsidR="001E054A" w:rsidRDefault="001E054A" w:rsidP="001E054A"/>
    <w:p w:rsidR="0090170D" w:rsidRDefault="0090170D" w:rsidP="001E054A"/>
    <w:p w:rsidR="0090170D" w:rsidRPr="00E034C6" w:rsidRDefault="0090170D" w:rsidP="001E054A"/>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580"/>
      </w:tblGrid>
      <w:tr w:rsidR="001E054A" w:rsidRPr="00F816E3" w:rsidTr="0042407D">
        <w:trPr>
          <w:trHeight w:val="417"/>
        </w:trPr>
        <w:tc>
          <w:tcPr>
            <w:tcW w:w="10818" w:type="dxa"/>
            <w:gridSpan w:val="2"/>
            <w:tcBorders>
              <w:bottom w:val="single" w:sz="4" w:space="0" w:color="auto"/>
            </w:tcBorders>
            <w:shd w:val="clear" w:color="auto" w:fill="F2DBDB" w:themeFill="accent2" w:themeFillTint="33"/>
          </w:tcPr>
          <w:p w:rsidR="001E054A" w:rsidRPr="00F816E3" w:rsidRDefault="001E054A" w:rsidP="001E054A">
            <w:pPr>
              <w:spacing w:after="0" w:line="240" w:lineRule="auto"/>
              <w:jc w:val="center"/>
              <w:rPr>
                <w:rFonts w:ascii="Times New Roman" w:eastAsia="Times New Roman" w:hAnsi="Times New Roman"/>
                <w:b/>
                <w:sz w:val="21"/>
                <w:szCs w:val="21"/>
              </w:rPr>
            </w:pPr>
            <w:r w:rsidRPr="00F816E3">
              <w:rPr>
                <w:rFonts w:ascii="Times New Roman" w:eastAsia="Times New Roman" w:hAnsi="Times New Roman"/>
                <w:b/>
                <w:sz w:val="21"/>
                <w:szCs w:val="21"/>
              </w:rPr>
              <w:t>COMMENTS FROM STAP</w:t>
            </w:r>
          </w:p>
        </w:tc>
      </w:tr>
      <w:tr w:rsidR="001E054A" w:rsidRPr="00F816E3" w:rsidTr="0042407D">
        <w:trPr>
          <w:trHeight w:val="417"/>
        </w:trPr>
        <w:tc>
          <w:tcPr>
            <w:tcW w:w="5238" w:type="dxa"/>
            <w:tcBorders>
              <w:bottom w:val="single" w:sz="4" w:space="0" w:color="auto"/>
            </w:tcBorders>
            <w:shd w:val="clear" w:color="auto" w:fill="D6E3BC"/>
          </w:tcPr>
          <w:p w:rsidR="001E054A" w:rsidRPr="00F816E3" w:rsidRDefault="001E054A" w:rsidP="001E054A">
            <w:pPr>
              <w:spacing w:after="0" w:line="240" w:lineRule="auto"/>
              <w:jc w:val="center"/>
              <w:rPr>
                <w:rFonts w:ascii="Times New Roman" w:eastAsia="Times New Roman" w:hAnsi="Times New Roman"/>
                <w:b/>
                <w:sz w:val="21"/>
                <w:szCs w:val="21"/>
              </w:rPr>
            </w:pPr>
            <w:r w:rsidRPr="00F816E3">
              <w:rPr>
                <w:rFonts w:ascii="Times New Roman" w:eastAsia="Times New Roman" w:hAnsi="Times New Roman"/>
                <w:b/>
                <w:sz w:val="21"/>
                <w:szCs w:val="21"/>
              </w:rPr>
              <w:t>Comment</w:t>
            </w:r>
          </w:p>
        </w:tc>
        <w:tc>
          <w:tcPr>
            <w:tcW w:w="5580" w:type="dxa"/>
            <w:tcBorders>
              <w:bottom w:val="single" w:sz="4" w:space="0" w:color="auto"/>
            </w:tcBorders>
            <w:shd w:val="clear" w:color="auto" w:fill="D6E3BC"/>
          </w:tcPr>
          <w:p w:rsidR="001E054A" w:rsidRPr="00F816E3" w:rsidRDefault="001E054A" w:rsidP="001E054A">
            <w:pPr>
              <w:spacing w:after="0" w:line="240" w:lineRule="auto"/>
              <w:jc w:val="center"/>
              <w:rPr>
                <w:rFonts w:ascii="Times New Roman" w:eastAsia="Times New Roman" w:hAnsi="Times New Roman"/>
                <w:b/>
                <w:sz w:val="21"/>
                <w:szCs w:val="21"/>
              </w:rPr>
            </w:pPr>
            <w:r w:rsidRPr="00F816E3">
              <w:rPr>
                <w:rFonts w:ascii="Times New Roman" w:eastAsia="Times New Roman" w:hAnsi="Times New Roman"/>
                <w:b/>
                <w:sz w:val="21"/>
                <w:szCs w:val="21"/>
              </w:rPr>
              <w:t>Response</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1. The definition of Ecosystem Services changes throughout the proposal and should be clearly stated in order to properly calculate Natural Capital and monitor it.  … STAP would also like to see details of how the project proposes to make PES operational and sustainable to deliver tangible and measurable results on the ground. </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DA139A" w:rsidRPr="00F816E3" w:rsidRDefault="00DA139A" w:rsidP="00DA139A">
            <w:pPr>
              <w:pStyle w:val="FootnoteText"/>
              <w:jc w:val="both"/>
              <w:rPr>
                <w:sz w:val="21"/>
                <w:szCs w:val="21"/>
              </w:rPr>
            </w:pPr>
            <w:r w:rsidRPr="00F816E3">
              <w:rPr>
                <w:sz w:val="21"/>
                <w:szCs w:val="21"/>
              </w:rPr>
              <w:t xml:space="preserve">The terms Environmental Services or Ecosystem Services are used </w:t>
            </w:r>
            <w:r w:rsidR="00412C26" w:rsidRPr="00F816E3">
              <w:rPr>
                <w:sz w:val="21"/>
                <w:szCs w:val="21"/>
              </w:rPr>
              <w:t>synonymously</w:t>
            </w:r>
            <w:r w:rsidRPr="00F816E3">
              <w:rPr>
                <w:sz w:val="21"/>
                <w:szCs w:val="21"/>
              </w:rPr>
              <w:t xml:space="preserve"> in this document following the argument of Boyd and S Banzhaf, that ES, within the framework of Green Economy, should be defined so as to be economically consistent with the definitions of goods and services used in conventional income accounting. In the framework of GE, environmental services may be either marketable or non-marketable. They thus use the definition that ES are components of nature directly enjoyed, consumed or used to yield human well-being (Boyd, J. and S.Banzhaf 2007. What are ecosystem services? The need for standardized accounting units. Ecol. Econ., 63:616-626).</w:t>
            </w:r>
          </w:p>
          <w:p w:rsidR="00DA139A" w:rsidRPr="00F816E3" w:rsidRDefault="00DA139A" w:rsidP="00923E41">
            <w:pPr>
              <w:spacing w:after="0" w:line="240" w:lineRule="auto"/>
              <w:rPr>
                <w:rFonts w:ascii="Times New Roman" w:eastAsia="Times New Roman" w:hAnsi="Times New Roman"/>
                <w:sz w:val="21"/>
                <w:szCs w:val="21"/>
              </w:rPr>
            </w:pPr>
          </w:p>
          <w:p w:rsidR="001E054A" w:rsidRPr="00F816E3" w:rsidRDefault="00923E41" w:rsidP="00756365">
            <w:pPr>
              <w:spacing w:after="0" w:line="240" w:lineRule="auto"/>
              <w:jc w:val="both"/>
              <w:rPr>
                <w:rFonts w:ascii="Times New Roman" w:eastAsia="Times New Roman" w:hAnsi="Times New Roman"/>
                <w:sz w:val="21"/>
                <w:szCs w:val="21"/>
              </w:rPr>
            </w:pPr>
            <w:r w:rsidRPr="00F816E3">
              <w:rPr>
                <w:rFonts w:ascii="Times New Roman" w:eastAsia="Times New Roman" w:hAnsi="Times New Roman"/>
                <w:sz w:val="21"/>
                <w:szCs w:val="21"/>
              </w:rPr>
              <w:t xml:space="preserve">PES was originally envisioned to become a stand-alone financing/benefit system – mainly as PWS, yet has now been reduced in scope and integrated  in </w:t>
            </w:r>
            <w:r w:rsidR="003B1AE3" w:rsidRPr="00F816E3">
              <w:rPr>
                <w:rFonts w:ascii="Times New Roman" w:eastAsia="Times New Roman" w:hAnsi="Times New Roman"/>
                <w:sz w:val="21"/>
                <w:szCs w:val="21"/>
              </w:rPr>
              <w:t>Investment</w:t>
            </w:r>
            <w:r w:rsidRPr="00F816E3">
              <w:rPr>
                <w:rFonts w:ascii="Times New Roman" w:eastAsia="Times New Roman" w:hAnsi="Times New Roman"/>
                <w:sz w:val="21"/>
                <w:szCs w:val="21"/>
              </w:rPr>
              <w:t xml:space="preserve"> Cluster 3, including one PWS scheme </w:t>
            </w:r>
            <w:r w:rsidR="00756365" w:rsidRPr="00F816E3">
              <w:rPr>
                <w:rFonts w:ascii="Times New Roman" w:eastAsia="Times New Roman" w:hAnsi="Times New Roman"/>
                <w:sz w:val="21"/>
                <w:szCs w:val="21"/>
              </w:rPr>
              <w:t>involving the Water Utility in Merangin.</w:t>
            </w:r>
            <w:r w:rsidRPr="00F816E3">
              <w:rPr>
                <w:rFonts w:ascii="Times New Roman" w:eastAsia="Times New Roman" w:hAnsi="Times New Roman"/>
                <w:sz w:val="21"/>
                <w:szCs w:val="21"/>
              </w:rPr>
              <w:t xml:space="preserve"> Additionally, </w:t>
            </w:r>
            <w:r w:rsidR="00756365" w:rsidRPr="00F816E3">
              <w:rPr>
                <w:rFonts w:ascii="Times New Roman" w:eastAsia="Times New Roman" w:hAnsi="Times New Roman"/>
                <w:sz w:val="21"/>
                <w:szCs w:val="21"/>
              </w:rPr>
              <w:t xml:space="preserve">the conservation of water services will be used to ensure sustainability of </w:t>
            </w:r>
            <w:r w:rsidRPr="00F816E3">
              <w:rPr>
                <w:rFonts w:ascii="Times New Roman" w:eastAsia="Times New Roman" w:hAnsi="Times New Roman"/>
                <w:sz w:val="21"/>
                <w:szCs w:val="21"/>
              </w:rPr>
              <w:t xml:space="preserve">renewable energy investments </w:t>
            </w:r>
            <w:r w:rsidR="00756365" w:rsidRPr="00F816E3">
              <w:rPr>
                <w:rFonts w:ascii="Times New Roman" w:eastAsia="Times New Roman" w:hAnsi="Times New Roman"/>
                <w:sz w:val="21"/>
                <w:szCs w:val="21"/>
              </w:rPr>
              <w:t xml:space="preserve">for </w:t>
            </w:r>
            <w:r w:rsidRPr="00F816E3">
              <w:rPr>
                <w:rFonts w:ascii="Times New Roman" w:eastAsia="Times New Roman" w:hAnsi="Times New Roman"/>
                <w:sz w:val="21"/>
                <w:szCs w:val="21"/>
              </w:rPr>
              <w:t>community welfare and as incentive to reach agreement and set conditionalities towards community support for for</w:t>
            </w:r>
            <w:r w:rsidR="00822781" w:rsidRPr="00F816E3">
              <w:rPr>
                <w:rFonts w:ascii="Times New Roman" w:eastAsia="Times New Roman" w:hAnsi="Times New Roman"/>
                <w:sz w:val="21"/>
                <w:szCs w:val="21"/>
              </w:rPr>
              <w:t>e</w:t>
            </w:r>
            <w:r w:rsidRPr="00F816E3">
              <w:rPr>
                <w:rFonts w:ascii="Times New Roman" w:eastAsia="Times New Roman" w:hAnsi="Times New Roman"/>
                <w:sz w:val="21"/>
                <w:szCs w:val="21"/>
              </w:rPr>
              <w:t xml:space="preserve">st protection and restoration.  </w:t>
            </w:r>
            <w:r w:rsidR="001E054A" w:rsidRPr="00F816E3">
              <w:rPr>
                <w:rFonts w:ascii="Times New Roman" w:eastAsia="Times New Roman" w:hAnsi="Times New Roman"/>
                <w:sz w:val="21"/>
                <w:szCs w:val="21"/>
              </w:rPr>
              <w:t xml:space="preserve">With regard to making PES operational, this is discussed in Section 3.3 (Project Components and Expected Results, particularly for Outcome 2.3 / Cluster 3).  </w:t>
            </w:r>
            <w:r w:rsidRPr="00F816E3">
              <w:rPr>
                <w:rFonts w:ascii="Times New Roman" w:eastAsia="Times New Roman" w:hAnsi="Times New Roman"/>
                <w:sz w:val="21"/>
                <w:szCs w:val="21"/>
              </w:rPr>
              <w:t>WWF-</w:t>
            </w:r>
            <w:r w:rsidR="009631E4" w:rsidRPr="00F816E3">
              <w:rPr>
                <w:rFonts w:ascii="Times New Roman" w:eastAsia="Times New Roman" w:hAnsi="Times New Roman"/>
                <w:sz w:val="21"/>
                <w:szCs w:val="21"/>
              </w:rPr>
              <w:t>Indonesia</w:t>
            </w:r>
            <w:r w:rsidRPr="00F816E3">
              <w:rPr>
                <w:rFonts w:ascii="Times New Roman" w:eastAsia="Times New Roman" w:hAnsi="Times New Roman"/>
                <w:sz w:val="21"/>
                <w:szCs w:val="21"/>
              </w:rPr>
              <w:t xml:space="preserve"> has extensive experience in running PWS on Mount Rinjani in Lombok Island (also part of the UNEP/GEF ForCES project).</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2. Output 1.2.1 should be modified to Modifications to land use, forestry, and financial policies of government institutions that will incorporate ecosystem services and ensure replication. </w:t>
            </w:r>
          </w:p>
          <w:p w:rsidR="001E054A" w:rsidRPr="00F816E3" w:rsidRDefault="001E054A" w:rsidP="001E054A">
            <w:pPr>
              <w:spacing w:after="0" w:line="240" w:lineRule="auto"/>
              <w:jc w:val="center"/>
              <w:rPr>
                <w:rFonts w:ascii="Times New Roman" w:eastAsia="Times New Roman" w:hAnsi="Times New Roman"/>
                <w:sz w:val="21"/>
                <w:szCs w:val="21"/>
              </w:rPr>
            </w:pPr>
          </w:p>
        </w:tc>
        <w:tc>
          <w:tcPr>
            <w:tcW w:w="5580" w:type="dxa"/>
          </w:tcPr>
          <w:p w:rsidR="001E054A" w:rsidRPr="00F816E3" w:rsidRDefault="00B2563C" w:rsidP="009631E4">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We only partly agree with this comment. What the project aims at is the adoption and modifications to policies and plans with regards GE principles</w:t>
            </w:r>
            <w:r w:rsidR="001C28A7" w:rsidRPr="00F816E3">
              <w:rPr>
                <w:rFonts w:ascii="Times New Roman" w:eastAsia="Times New Roman" w:hAnsi="Times New Roman"/>
                <w:sz w:val="21"/>
                <w:szCs w:val="21"/>
              </w:rPr>
              <w:t xml:space="preserve"> and targets</w:t>
            </w:r>
            <w:r w:rsidRPr="00F816E3">
              <w:rPr>
                <w:rFonts w:ascii="Times New Roman" w:eastAsia="Times New Roman" w:hAnsi="Times New Roman"/>
                <w:sz w:val="21"/>
                <w:szCs w:val="21"/>
              </w:rPr>
              <w:t xml:space="preserve">, which include both NC and their associated ES, but also </w:t>
            </w:r>
            <w:r w:rsidR="001C28A7" w:rsidRPr="00F816E3">
              <w:rPr>
                <w:rFonts w:ascii="Times New Roman" w:eastAsia="Times New Roman" w:hAnsi="Times New Roman"/>
                <w:sz w:val="21"/>
                <w:szCs w:val="21"/>
              </w:rPr>
              <w:t xml:space="preserve">the </w:t>
            </w:r>
            <w:r w:rsidRPr="00F816E3">
              <w:rPr>
                <w:rFonts w:ascii="Times New Roman" w:eastAsia="Times New Roman" w:hAnsi="Times New Roman"/>
                <w:sz w:val="21"/>
                <w:szCs w:val="21"/>
              </w:rPr>
              <w:t xml:space="preserve">creation of green jobs, compliance with principle of equity (e.g. on gender), as well as applying SPC practises to land and forest resources. </w:t>
            </w:r>
            <w:r w:rsidR="001C28A7" w:rsidRPr="00F816E3">
              <w:rPr>
                <w:rFonts w:ascii="Times New Roman" w:eastAsia="Times New Roman" w:hAnsi="Times New Roman"/>
                <w:sz w:val="21"/>
                <w:szCs w:val="21"/>
              </w:rPr>
              <w:t>GE or green growth is already common language in Indonesia</w:t>
            </w:r>
            <w:r w:rsidR="009631E4" w:rsidRPr="00F816E3">
              <w:rPr>
                <w:rFonts w:ascii="Times New Roman" w:eastAsia="Times New Roman" w:hAnsi="Times New Roman"/>
                <w:sz w:val="21"/>
                <w:szCs w:val="21"/>
              </w:rPr>
              <w:t xml:space="preserve"> </w:t>
            </w:r>
            <w:r w:rsidR="001C28A7" w:rsidRPr="00F816E3">
              <w:rPr>
                <w:rFonts w:ascii="Times New Roman" w:eastAsia="Times New Roman" w:hAnsi="Times New Roman"/>
                <w:sz w:val="21"/>
                <w:szCs w:val="21"/>
              </w:rPr>
              <w:t xml:space="preserve">(at least at higher government level), contrary to using the term ES.  </w:t>
            </w:r>
            <w:r w:rsidRPr="00F816E3">
              <w:rPr>
                <w:rFonts w:ascii="Times New Roman" w:eastAsia="Times New Roman" w:hAnsi="Times New Roman"/>
                <w:sz w:val="21"/>
                <w:szCs w:val="21"/>
              </w:rPr>
              <w:t xml:space="preserve">We believe that such approach will be much more acceptable to public, private and CSO </w:t>
            </w:r>
            <w:r w:rsidR="001C28A7" w:rsidRPr="00F816E3">
              <w:rPr>
                <w:rFonts w:ascii="Times New Roman" w:eastAsia="Times New Roman" w:hAnsi="Times New Roman"/>
                <w:sz w:val="21"/>
                <w:szCs w:val="21"/>
              </w:rPr>
              <w:t xml:space="preserve">agents of change, </w:t>
            </w:r>
            <w:r w:rsidRPr="00F816E3">
              <w:rPr>
                <w:rFonts w:ascii="Times New Roman" w:eastAsia="Times New Roman" w:hAnsi="Times New Roman"/>
                <w:sz w:val="21"/>
                <w:szCs w:val="21"/>
              </w:rPr>
              <w:t xml:space="preserve">than just ‘selling’ ES.  This output is now included in the revised Outcome 2.4 (and removed from 1.2). </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3. The proposal cites “green economy target”' in several places. Please consider adding the definition of such targets. The proposal also offers very little evidence of lessons learned from successful “Green Economy” precedents. The concept of Green Economy as outlined by the Green Economy UNEP reports is weakly translated into the practical activities of this project.</w:t>
            </w:r>
          </w:p>
          <w:p w:rsidR="001E054A" w:rsidRPr="00F816E3" w:rsidRDefault="001E054A" w:rsidP="001E054A">
            <w:pPr>
              <w:spacing w:after="0" w:line="240" w:lineRule="auto"/>
              <w:jc w:val="center"/>
              <w:rPr>
                <w:rFonts w:ascii="Times New Roman" w:eastAsia="Times New Roman" w:hAnsi="Times New Roman"/>
                <w:sz w:val="21"/>
                <w:szCs w:val="21"/>
              </w:rPr>
            </w:pPr>
          </w:p>
        </w:tc>
        <w:tc>
          <w:tcPr>
            <w:tcW w:w="5580"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Green Economy defined in Section 2.1.1 (A Direction for National Change) as “Low emission economic development strategies which together with resource efficiency and equitable access to resources and their benefits, are collectively known as Green Economy.”  (The definition of </w:t>
            </w:r>
            <w:r w:rsidR="009631E4" w:rsidRPr="00F816E3">
              <w:rPr>
                <w:rFonts w:ascii="Times New Roman" w:eastAsia="Times New Roman" w:hAnsi="Times New Roman"/>
                <w:sz w:val="21"/>
                <w:szCs w:val="21"/>
              </w:rPr>
              <w:t xml:space="preserve">former </w:t>
            </w:r>
            <w:r w:rsidRPr="00F816E3">
              <w:rPr>
                <w:rFonts w:ascii="Times New Roman" w:eastAsia="Times New Roman" w:hAnsi="Times New Roman"/>
                <w:sz w:val="21"/>
                <w:szCs w:val="21"/>
              </w:rPr>
              <w:t xml:space="preserve">President Susilo Bambang Yudhoyono, speaking at the Centre for International Forestry Research in 2012, is also detailed in Section 2.4.2 (Indonesia’s Climate Change Strategy).)  </w:t>
            </w:r>
          </w:p>
          <w:p w:rsidR="001E054A" w:rsidRPr="00F816E3" w:rsidRDefault="001E054A" w:rsidP="001E054A">
            <w:pPr>
              <w:spacing w:after="0" w:line="240" w:lineRule="auto"/>
              <w:rPr>
                <w:rFonts w:ascii="Times New Roman" w:eastAsia="Times New Roman" w:hAnsi="Times New Roman"/>
                <w:sz w:val="21"/>
                <w:szCs w:val="21"/>
              </w:rPr>
            </w:pPr>
          </w:p>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Green Economy is also now included clearly in targets, particularly under the Project’s Component 1 (see Appendix 4, Results Framework), to show the connection between GE activities and GE policies. Further see also Section 2.4.1 (National Economic Development and the Green Economy) and Appendix 19 (Importance of the Green Economy Concept in the RIMBA Corridor, Sumatra).</w:t>
            </w:r>
          </w:p>
          <w:p w:rsidR="001E054A" w:rsidRPr="00F816E3" w:rsidRDefault="001E054A" w:rsidP="001E054A">
            <w:pPr>
              <w:spacing w:after="0" w:line="240" w:lineRule="auto"/>
              <w:rPr>
                <w:rFonts w:ascii="Times New Roman" w:eastAsia="Times New Roman" w:hAnsi="Times New Roman"/>
                <w:sz w:val="21"/>
                <w:szCs w:val="21"/>
              </w:rPr>
            </w:pP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4. The Risk Analysis section lacks an important threat to the project of leakage, including through illegal trade. Please describe the approach on how the project will monitor and mitigate this risk.</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Leakage is now discussed as one of the “technical risks” in Section 3.5 (Risk Analysis and Risk Management Measure).  </w:t>
            </w:r>
          </w:p>
          <w:p w:rsidR="001E054A" w:rsidRPr="00F816E3" w:rsidRDefault="001E054A" w:rsidP="001E054A">
            <w:pPr>
              <w:spacing w:after="0" w:line="240" w:lineRule="auto"/>
              <w:rPr>
                <w:rFonts w:ascii="Times New Roman" w:eastAsia="Times New Roman" w:hAnsi="Times New Roman"/>
                <w:sz w:val="21"/>
                <w:szCs w:val="21"/>
              </w:rPr>
            </w:pP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5. STAP questions the incremental reasoning behind renewable energy activity. The proposal intends to provide renewable energy through hydropower and biofuels while not giving description of these activities. Indonesia has committed to reducing national greenhouse gas emissions by 26%, and up to 41% with international support, by 2020. Why this goal could not be achieved without GEF support and how is it linked to the rest of the proposal? The 5MW appears to be an arbitrary target, not based on an assessment of suitable sites for micro hydro, or available biomass for bioenergy. </w:t>
            </w:r>
          </w:p>
          <w:p w:rsidR="001E054A" w:rsidRPr="00F816E3" w:rsidRDefault="001E054A" w:rsidP="001E054A">
            <w:pPr>
              <w:spacing w:after="0" w:line="240" w:lineRule="auto"/>
              <w:rPr>
                <w:rFonts w:ascii="Times New Roman" w:eastAsia="Times New Roman" w:hAnsi="Times New Roman"/>
                <w:sz w:val="21"/>
                <w:szCs w:val="21"/>
              </w:rPr>
            </w:pPr>
          </w:p>
          <w:p w:rsidR="001E054A" w:rsidRPr="00F816E3" w:rsidRDefault="001E054A" w:rsidP="001E054A">
            <w:pPr>
              <w:spacing w:after="0" w:line="240" w:lineRule="auto"/>
              <w:jc w:val="center"/>
              <w:rPr>
                <w:rFonts w:ascii="Times New Roman" w:eastAsia="Times New Roman" w:hAnsi="Times New Roman"/>
                <w:sz w:val="21"/>
                <w:szCs w:val="21"/>
              </w:rPr>
            </w:pPr>
          </w:p>
        </w:tc>
        <w:tc>
          <w:tcPr>
            <w:tcW w:w="5580" w:type="dxa"/>
          </w:tcPr>
          <w:p w:rsidR="007410B5" w:rsidRPr="00F816E3" w:rsidRDefault="00F83F9F" w:rsidP="00F83F9F">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That the goal of 26- 41% emission reductions could not be achieved yet is made clear by the recent uncontrolled forest fires in Indonesia. </w:t>
            </w:r>
            <w:r w:rsidR="001E054A" w:rsidRPr="00F816E3">
              <w:rPr>
                <w:rFonts w:ascii="Times New Roman" w:eastAsia="Times New Roman" w:hAnsi="Times New Roman"/>
                <w:sz w:val="21"/>
                <w:szCs w:val="21"/>
              </w:rPr>
              <w:t xml:space="preserve">The proposal has been revised to work solely through hydropower for renewable energy; biofuels have been removed.  The ProDoc discusses the need for renewable energy in e.g., Section 2.4.6 (Energy Policy and Options for Regional Development).  </w:t>
            </w:r>
          </w:p>
          <w:p w:rsidR="00671153" w:rsidRPr="00F816E3" w:rsidRDefault="007410B5" w:rsidP="0067115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In addition to reducing on additional Carbon emissions from </w:t>
            </w:r>
            <w:r w:rsidR="00822781" w:rsidRPr="00F816E3">
              <w:rPr>
                <w:rFonts w:ascii="Times New Roman" w:eastAsia="Times New Roman" w:hAnsi="Times New Roman"/>
                <w:sz w:val="21"/>
                <w:szCs w:val="21"/>
              </w:rPr>
              <w:t>electrification</w:t>
            </w:r>
            <w:r w:rsidRPr="00F816E3">
              <w:rPr>
                <w:rFonts w:ascii="Times New Roman" w:eastAsia="Times New Roman" w:hAnsi="Times New Roman"/>
                <w:sz w:val="21"/>
                <w:szCs w:val="21"/>
              </w:rPr>
              <w:t xml:space="preserve"> through micro-hydro instead of  conventional power supply (diesel powered electricity) to approximately 600 households (1</w:t>
            </w:r>
            <w:r w:rsidR="000B2D82">
              <w:rPr>
                <w:rFonts w:ascii="Times New Roman" w:eastAsia="Times New Roman" w:hAnsi="Times New Roman"/>
                <w:sz w:val="21"/>
                <w:szCs w:val="21"/>
              </w:rPr>
              <w:t>.5</w:t>
            </w:r>
            <w:r w:rsidRPr="00F816E3">
              <w:rPr>
                <w:rFonts w:ascii="Times New Roman" w:eastAsia="Times New Roman" w:hAnsi="Times New Roman"/>
                <w:sz w:val="21"/>
                <w:szCs w:val="21"/>
              </w:rPr>
              <w:t xml:space="preserve"> MW maximum)</w:t>
            </w:r>
            <w:r w:rsidR="009631E4" w:rsidRPr="00F816E3">
              <w:rPr>
                <w:rFonts w:ascii="Times New Roman" w:eastAsia="Times New Roman" w:hAnsi="Times New Roman"/>
                <w:sz w:val="21"/>
                <w:szCs w:val="21"/>
              </w:rPr>
              <w:t>,</w:t>
            </w:r>
            <w:r w:rsidRPr="00F816E3">
              <w:rPr>
                <w:rFonts w:ascii="Times New Roman" w:eastAsia="Times New Roman" w:hAnsi="Times New Roman"/>
                <w:sz w:val="21"/>
                <w:szCs w:val="21"/>
              </w:rPr>
              <w:t xml:space="preserve"> the i</w:t>
            </w:r>
            <w:r w:rsidR="001E054A" w:rsidRPr="00F816E3">
              <w:rPr>
                <w:rFonts w:ascii="Times New Roman" w:eastAsia="Times New Roman" w:hAnsi="Times New Roman"/>
                <w:sz w:val="21"/>
                <w:szCs w:val="21"/>
              </w:rPr>
              <w:t xml:space="preserve">ncremental cost reasoning is </w:t>
            </w:r>
            <w:r w:rsidRPr="00F816E3">
              <w:rPr>
                <w:rFonts w:ascii="Times New Roman" w:eastAsia="Times New Roman" w:hAnsi="Times New Roman"/>
                <w:sz w:val="21"/>
                <w:szCs w:val="21"/>
              </w:rPr>
              <w:t xml:space="preserve">particularly based on enabling welfare with targeted communities which would enable the local government and technical partners to set &amp; agree on SFM targets and activities (e.g. the 4,000 hectares under SFM and restoration in Sub-catchment 1 of Cluster 3). </w:t>
            </w:r>
            <w:r w:rsidR="00671153" w:rsidRPr="00F816E3">
              <w:rPr>
                <w:rFonts w:ascii="Times New Roman" w:eastAsia="Times New Roman" w:hAnsi="Times New Roman"/>
                <w:sz w:val="21"/>
                <w:szCs w:val="21"/>
              </w:rPr>
              <w:t xml:space="preserve">As described in the baseline, several micro-hydro plants have been established previously yet none of these investments and partnerships are linked to forest management to </w:t>
            </w:r>
            <w:r w:rsidR="009631E4" w:rsidRPr="00F816E3">
              <w:rPr>
                <w:rFonts w:ascii="Times New Roman" w:eastAsia="Times New Roman" w:hAnsi="Times New Roman"/>
                <w:sz w:val="21"/>
                <w:szCs w:val="21"/>
              </w:rPr>
              <w:t>maintain</w:t>
            </w:r>
            <w:r w:rsidR="00671153" w:rsidRPr="00F816E3">
              <w:rPr>
                <w:rFonts w:ascii="Times New Roman" w:eastAsia="Times New Roman" w:hAnsi="Times New Roman"/>
                <w:sz w:val="21"/>
                <w:szCs w:val="21"/>
              </w:rPr>
              <w:t xml:space="preserve"> the needed minimum flows of water. Investing in renewable</w:t>
            </w:r>
            <w:r w:rsidR="00BB33A8" w:rsidRPr="00F816E3">
              <w:rPr>
                <w:rFonts w:ascii="Times New Roman" w:eastAsia="Times New Roman" w:hAnsi="Times New Roman"/>
                <w:sz w:val="21"/>
                <w:szCs w:val="21"/>
              </w:rPr>
              <w:t>s</w:t>
            </w:r>
            <w:r w:rsidR="00671153" w:rsidRPr="00F816E3">
              <w:rPr>
                <w:rFonts w:ascii="Times New Roman" w:eastAsia="Times New Roman" w:hAnsi="Times New Roman"/>
                <w:sz w:val="21"/>
                <w:szCs w:val="21"/>
              </w:rPr>
              <w:t>, community welfare, as well a</w:t>
            </w:r>
            <w:r w:rsidR="009631E4" w:rsidRPr="00F816E3">
              <w:rPr>
                <w:rFonts w:ascii="Times New Roman" w:eastAsia="Times New Roman" w:hAnsi="Times New Roman"/>
                <w:sz w:val="21"/>
                <w:szCs w:val="21"/>
              </w:rPr>
              <w:t>s forest management – in tandem</w:t>
            </w:r>
            <w:r w:rsidR="00671153" w:rsidRPr="00F816E3">
              <w:rPr>
                <w:rFonts w:ascii="Times New Roman" w:eastAsia="Times New Roman" w:hAnsi="Times New Roman"/>
                <w:sz w:val="21"/>
                <w:szCs w:val="21"/>
              </w:rPr>
              <w:t>, is exactly what GE stands for</w:t>
            </w:r>
            <w:r w:rsidR="00BB33A8" w:rsidRPr="00F816E3">
              <w:rPr>
                <w:rFonts w:ascii="Times New Roman" w:eastAsia="Times New Roman" w:hAnsi="Times New Roman"/>
                <w:sz w:val="21"/>
                <w:szCs w:val="21"/>
              </w:rPr>
              <w:t xml:space="preserve"> under the recently adopted SDG framework of global goals</w:t>
            </w:r>
            <w:r w:rsidR="00671153" w:rsidRPr="00F816E3">
              <w:rPr>
                <w:rFonts w:ascii="Times New Roman" w:eastAsia="Times New Roman" w:hAnsi="Times New Roman"/>
                <w:sz w:val="21"/>
                <w:szCs w:val="21"/>
              </w:rPr>
              <w:t xml:space="preserve">. </w:t>
            </w:r>
          </w:p>
          <w:p w:rsidR="00671153" w:rsidRPr="00F816E3" w:rsidRDefault="007410B5" w:rsidP="0067115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Overall incremental reasoning is </w:t>
            </w:r>
            <w:r w:rsidR="001E054A" w:rsidRPr="00F816E3">
              <w:rPr>
                <w:rFonts w:ascii="Times New Roman" w:eastAsia="Times New Roman" w:hAnsi="Times New Roman"/>
                <w:sz w:val="21"/>
                <w:szCs w:val="21"/>
              </w:rPr>
              <w:t xml:space="preserve">addressed in Section 3.7 and Appendix 3 (Incremental Cost Analysis).  </w:t>
            </w:r>
          </w:p>
          <w:p w:rsidR="001E054A" w:rsidRPr="00F816E3" w:rsidRDefault="001E054A" w:rsidP="0067115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The work on RE </w:t>
            </w:r>
            <w:r w:rsidR="00671153" w:rsidRPr="00F816E3">
              <w:rPr>
                <w:rFonts w:ascii="Times New Roman" w:eastAsia="Times New Roman" w:hAnsi="Times New Roman"/>
                <w:sz w:val="21"/>
                <w:szCs w:val="21"/>
              </w:rPr>
              <w:t>– and the</w:t>
            </w:r>
            <w:r w:rsidR="00822781" w:rsidRPr="00F816E3">
              <w:rPr>
                <w:rFonts w:ascii="Times New Roman" w:eastAsia="Times New Roman" w:hAnsi="Times New Roman"/>
                <w:sz w:val="21"/>
                <w:szCs w:val="21"/>
              </w:rPr>
              <w:t xml:space="preserve"> cost of </w:t>
            </w:r>
            <w:r w:rsidR="00671153" w:rsidRPr="00F816E3">
              <w:rPr>
                <w:rFonts w:ascii="Times New Roman" w:eastAsia="Times New Roman" w:hAnsi="Times New Roman"/>
                <w:sz w:val="21"/>
                <w:szCs w:val="21"/>
              </w:rPr>
              <w:t xml:space="preserve">investment, </w:t>
            </w:r>
            <w:r w:rsidRPr="00F816E3">
              <w:rPr>
                <w:rFonts w:ascii="Times New Roman" w:eastAsia="Times New Roman" w:hAnsi="Times New Roman"/>
                <w:sz w:val="21"/>
                <w:szCs w:val="21"/>
              </w:rPr>
              <w:t xml:space="preserve">will be done primarily through the </w:t>
            </w:r>
            <w:r w:rsidR="00671153" w:rsidRPr="00F816E3">
              <w:rPr>
                <w:rFonts w:ascii="Times New Roman" w:eastAsia="Times New Roman" w:hAnsi="Times New Roman"/>
                <w:sz w:val="21"/>
                <w:szCs w:val="21"/>
              </w:rPr>
              <w:t xml:space="preserve">co-funding </w:t>
            </w:r>
            <w:r w:rsidRPr="00F816E3">
              <w:rPr>
                <w:rFonts w:ascii="Times New Roman" w:eastAsia="Times New Roman" w:hAnsi="Times New Roman"/>
                <w:sz w:val="21"/>
                <w:szCs w:val="21"/>
              </w:rPr>
              <w:t xml:space="preserve">partner MCA-I.  Therefore, the Project will use MCA-I’s baselines and prefeasibility </w:t>
            </w:r>
            <w:r w:rsidR="00671153" w:rsidRPr="00F816E3">
              <w:rPr>
                <w:rFonts w:ascii="Times New Roman" w:eastAsia="Times New Roman" w:hAnsi="Times New Roman"/>
                <w:sz w:val="21"/>
                <w:szCs w:val="21"/>
              </w:rPr>
              <w:t xml:space="preserve">assessments </w:t>
            </w:r>
            <w:r w:rsidRPr="00F816E3">
              <w:rPr>
                <w:rFonts w:ascii="Times New Roman" w:eastAsia="Times New Roman" w:hAnsi="Times New Roman"/>
                <w:sz w:val="21"/>
                <w:szCs w:val="21"/>
              </w:rPr>
              <w:t xml:space="preserve">for RE moving forward.  </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6. The PIF mentioned many excellent GEF and other initiatives (Tiger Initiative and others) that are currently happening in the baseline of the project. It will be useful to list these initiatives in the Baseline section of the PIF and provide a plan for coordination with these initiatives to ensure the highest impact of GEF investments and avoid repetition of efforts of other projects.</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5A50E5">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Done.  Details are in Section 2.7 (Linkages with Other GEF and Non-GEF Interventions).  </w:t>
            </w:r>
            <w:r w:rsidR="005C5B5B" w:rsidRPr="00F816E3">
              <w:rPr>
                <w:rFonts w:ascii="Times New Roman" w:eastAsia="Times New Roman" w:hAnsi="Times New Roman"/>
                <w:sz w:val="21"/>
                <w:szCs w:val="21"/>
              </w:rPr>
              <w:t xml:space="preserve">Additionally, the whole funding and implementation approach of RIMBA project is one of ‘alignment’ of GEF with multiple government and other funding sources and programs (see e.g. Section 7.1 Project Financing and Budget). </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7. The distinction between three investment areas and their alignment lacks clear rationale.</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Each investment area provides the Project with the opportunity to resolve a pressing challenge</w:t>
            </w:r>
            <w:r w:rsidR="00CE66FD" w:rsidRPr="00F816E3">
              <w:rPr>
                <w:rFonts w:ascii="Times New Roman" w:eastAsia="Times New Roman" w:hAnsi="Times New Roman"/>
                <w:sz w:val="21"/>
                <w:szCs w:val="21"/>
              </w:rPr>
              <w:t xml:space="preserve"> as well as represent a possible GE based approach to be tested.</w:t>
            </w:r>
            <w:r w:rsidRPr="00F816E3">
              <w:rPr>
                <w:rFonts w:ascii="Times New Roman" w:eastAsia="Times New Roman" w:hAnsi="Times New Roman"/>
                <w:sz w:val="21"/>
                <w:szCs w:val="21"/>
              </w:rPr>
              <w:t xml:space="preserve">  Cluster 1 is about habitat fragmentation, infrastructure and FMU management.  Cluster 2 is about carbon storage in peat lands, oil palm, and smallholder empowerment.  Cluster 3 is about watershed protection, PES, and local economic development.  Further explanation and rationale provided in Section 3.1 (Project Rationale, Policy Conformity and Expected Environmental Benefits) as well as Section 3.2 (Project Goal and Objectives, particularly discussion of Component 2).  See also Appendix 16 (Selection Methodology and Spatial Mapping of Pilot Sites).  </w:t>
            </w:r>
          </w:p>
          <w:p w:rsidR="001E054A" w:rsidRPr="00F816E3" w:rsidRDefault="001E054A" w:rsidP="001E054A">
            <w:pPr>
              <w:spacing w:after="0" w:line="240" w:lineRule="auto"/>
              <w:rPr>
                <w:rFonts w:ascii="Times New Roman" w:eastAsia="Times New Roman" w:hAnsi="Times New Roman"/>
                <w:sz w:val="21"/>
                <w:szCs w:val="21"/>
              </w:rPr>
            </w:pP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8. It is not clear what technology is being proposed to generate electricity from biofuels using oil palm residues. Please clarify.</w:t>
            </w:r>
          </w:p>
          <w:p w:rsidR="001E054A" w:rsidRPr="00F816E3" w:rsidRDefault="001E054A" w:rsidP="001E054A">
            <w:pPr>
              <w:spacing w:after="0" w:line="240" w:lineRule="auto"/>
              <w:jc w:val="center"/>
              <w:rPr>
                <w:rFonts w:ascii="Times New Roman" w:eastAsia="Times New Roman" w:hAnsi="Times New Roman"/>
                <w:sz w:val="21"/>
                <w:szCs w:val="21"/>
              </w:rPr>
            </w:pPr>
          </w:p>
        </w:tc>
        <w:tc>
          <w:tcPr>
            <w:tcW w:w="5580"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The proposal has been revised to work solely through hydropower for renewable energy; biofuels have been removed.  Therefore, this recommen</w:t>
            </w:r>
            <w:r w:rsidR="00CE66FD" w:rsidRPr="00F816E3">
              <w:rPr>
                <w:rFonts w:ascii="Times New Roman" w:eastAsia="Times New Roman" w:hAnsi="Times New Roman"/>
                <w:sz w:val="21"/>
                <w:szCs w:val="21"/>
              </w:rPr>
              <w:t>dation is no longer operative.</w:t>
            </w:r>
            <w:r w:rsidRPr="00F816E3">
              <w:rPr>
                <w:rFonts w:ascii="Times New Roman" w:eastAsia="Times New Roman" w:hAnsi="Times New Roman"/>
                <w:sz w:val="21"/>
                <w:szCs w:val="21"/>
              </w:rPr>
              <w:t xml:space="preserve"> </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9. It is inappropriate to categorise agro-forestry and plantations as degraded forests.</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Agreed.  This has been changed.  Further, agro-forestry is now incorporated in RIMBA investments, particularly in Cluster 3 (see Appendix 4, Resu</w:t>
            </w:r>
            <w:r w:rsidR="00597979" w:rsidRPr="00F816E3">
              <w:rPr>
                <w:rFonts w:ascii="Times New Roman" w:eastAsia="Times New Roman" w:hAnsi="Times New Roman"/>
                <w:sz w:val="21"/>
                <w:szCs w:val="21"/>
              </w:rPr>
              <w:t>lts Framework, e.g., outputs under Outcome 2.1 as well as Outcome 2.3</w:t>
            </w:r>
            <w:r w:rsidRPr="00F816E3">
              <w:rPr>
                <w:rFonts w:ascii="Times New Roman" w:eastAsia="Times New Roman" w:hAnsi="Times New Roman"/>
                <w:sz w:val="21"/>
                <w:szCs w:val="21"/>
              </w:rPr>
              <w:t xml:space="preserve">).  </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10. The calculations of C benefit assume that the current rate of deforestation and forest degradation continues "unabated", yet the proposal also quotes current government policies to eliminate conversion of natural forests (from 2003!), eliminate deforestation of natural forests by 2020, and rehabilitate 1million ha per year.  While these targets seem unlikely to be achieved, the BAU case should take into account the impacts of these policies: the estimated benefits of the project must be incremental to the likely impacts of these policies.</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While recognizing the importance of working in partnership to achieve national and global goals on carbon emissions, we have not taken STAP’s suggestion to incorporate government CBD policies in our carbon estimates.  Such policies (e.g., eliminate conversion of natural forests, or to rehabilitate 1 million ha per year) do not yet have specific goals within the RIMBA Corridor (e.g., locations are unknown, the size of the rehabilitation target not yet set</w:t>
            </w:r>
            <w:r w:rsidR="00231C5D" w:rsidRPr="00F816E3">
              <w:rPr>
                <w:rFonts w:ascii="Times New Roman" w:eastAsia="Times New Roman" w:hAnsi="Times New Roman"/>
                <w:sz w:val="21"/>
                <w:szCs w:val="21"/>
              </w:rPr>
              <w:t>, nor budgets been secured</w:t>
            </w:r>
            <w:r w:rsidRPr="00F816E3">
              <w:rPr>
                <w:rFonts w:ascii="Times New Roman" w:eastAsia="Times New Roman" w:hAnsi="Times New Roman"/>
                <w:sz w:val="21"/>
                <w:szCs w:val="21"/>
              </w:rPr>
              <w:t xml:space="preserve">).  More importantly, we believe that measuring the Project’s incremental benefits based on proposed governmental targets is untenable as estimating the “likely impacts” of these policies would be based on untestable assumptions.  </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11. There is misplaced precision in estimates of avoided emissions. While the figures for carbon stocks and sequestration are realistic on a per ha basis, it seems that the areas involved are quite arbitrary. Why, for example, is it assumed that 10000 ha of heavily degraded forest will be restored in one region, but only 500 in another? If there is a sound basis for this difference, it should be stated. </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0B2D82">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As the Project has developed, we have revised many of the targets with information we have gained in this </w:t>
            </w:r>
            <w:r w:rsidR="00DF1609" w:rsidRPr="00F816E3">
              <w:rPr>
                <w:rFonts w:ascii="Times New Roman" w:eastAsia="Times New Roman" w:hAnsi="Times New Roman"/>
                <w:sz w:val="21"/>
                <w:szCs w:val="21"/>
              </w:rPr>
              <w:t xml:space="preserve">PPG </w:t>
            </w:r>
            <w:r w:rsidRPr="00F816E3">
              <w:rPr>
                <w:rFonts w:ascii="Times New Roman" w:eastAsia="Times New Roman" w:hAnsi="Times New Roman"/>
                <w:sz w:val="21"/>
                <w:szCs w:val="21"/>
              </w:rPr>
              <w:t>period</w:t>
            </w:r>
            <w:r w:rsidR="005C2EC1" w:rsidRPr="00F816E3">
              <w:rPr>
                <w:rFonts w:ascii="Times New Roman" w:eastAsia="Times New Roman" w:hAnsi="Times New Roman"/>
                <w:sz w:val="21"/>
                <w:szCs w:val="21"/>
              </w:rPr>
              <w:t xml:space="preserve"> and based on an extensive GIS data set</w:t>
            </w:r>
            <w:r w:rsidRPr="00F816E3">
              <w:rPr>
                <w:rFonts w:ascii="Times New Roman" w:eastAsia="Times New Roman" w:hAnsi="Times New Roman"/>
                <w:sz w:val="21"/>
                <w:szCs w:val="21"/>
              </w:rPr>
              <w:t xml:space="preserve">.  Targets are now more realistic; many have been scaled back.  </w:t>
            </w:r>
            <w:r w:rsidR="00DF1609" w:rsidRPr="00F816E3">
              <w:rPr>
                <w:rFonts w:ascii="Times New Roman" w:eastAsia="Times New Roman" w:hAnsi="Times New Roman"/>
                <w:sz w:val="21"/>
                <w:szCs w:val="21"/>
              </w:rPr>
              <w:t xml:space="preserve">For a summary of ‘forest’ targets and related emission reduction or sequestration  </w:t>
            </w:r>
            <w:r w:rsidR="00E4241F" w:rsidRPr="00F816E3">
              <w:rPr>
                <w:rFonts w:ascii="Times New Roman" w:eastAsia="Times New Roman" w:hAnsi="Times New Roman"/>
                <w:sz w:val="21"/>
                <w:szCs w:val="21"/>
                <w:lang w:val="id-ID"/>
              </w:rPr>
              <w:t>please</w:t>
            </w:r>
            <w:r w:rsidR="00E4241F" w:rsidRPr="00F816E3">
              <w:rPr>
                <w:rFonts w:ascii="Times New Roman" w:eastAsia="Times New Roman" w:hAnsi="Times New Roman"/>
                <w:sz w:val="21"/>
                <w:szCs w:val="21"/>
              </w:rPr>
              <w:t xml:space="preserve"> </w:t>
            </w:r>
            <w:r w:rsidR="00DF1609" w:rsidRPr="00F816E3">
              <w:rPr>
                <w:rFonts w:ascii="Times New Roman" w:eastAsia="Times New Roman" w:hAnsi="Times New Roman"/>
                <w:sz w:val="21"/>
                <w:szCs w:val="21"/>
              </w:rPr>
              <w:t>see the Results Framework – 2</w:t>
            </w:r>
            <w:r w:rsidR="00DF1609" w:rsidRPr="00F816E3">
              <w:rPr>
                <w:rFonts w:ascii="Times New Roman" w:eastAsia="Times New Roman" w:hAnsi="Times New Roman"/>
                <w:sz w:val="21"/>
                <w:szCs w:val="21"/>
                <w:vertAlign w:val="superscript"/>
              </w:rPr>
              <w:t>nd</w:t>
            </w:r>
            <w:r w:rsidR="00DF1609" w:rsidRPr="00F816E3">
              <w:rPr>
                <w:rFonts w:ascii="Times New Roman" w:eastAsia="Times New Roman" w:hAnsi="Times New Roman"/>
                <w:sz w:val="21"/>
                <w:szCs w:val="21"/>
              </w:rPr>
              <w:t xml:space="preserve"> indicator of Outcome 1.2</w:t>
            </w:r>
            <w:r w:rsidR="000B2D82">
              <w:rPr>
                <w:rFonts w:ascii="Times New Roman" w:eastAsia="Times New Roman" w:hAnsi="Times New Roman"/>
                <w:sz w:val="21"/>
                <w:szCs w:val="21"/>
              </w:rPr>
              <w:t>. Please see Appendix 17 for detailed LULUCF Carbon benefit calculations based on FAO EX-ACT methods and tool.</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12. The data presented in the Annex in support of the C calculations are difficult to interpret. The large temporal changes would appear to indicate variation in definitions and/or uncertainty in quantification, and so lend doubt to the estimates of rate of deforestation. </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F07AF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W</w:t>
            </w:r>
            <w:r w:rsidR="00C5060A" w:rsidRPr="00F816E3">
              <w:rPr>
                <w:rFonts w:ascii="Times New Roman" w:eastAsia="Times New Roman" w:hAnsi="Times New Roman"/>
                <w:sz w:val="21"/>
                <w:szCs w:val="21"/>
              </w:rPr>
              <w:t>e have revised our summaries and calculations</w:t>
            </w:r>
            <w:r w:rsidR="00F07AFA" w:rsidRPr="00F816E3">
              <w:rPr>
                <w:rFonts w:ascii="Times New Roman" w:eastAsia="Times New Roman" w:hAnsi="Times New Roman"/>
                <w:sz w:val="21"/>
                <w:szCs w:val="21"/>
              </w:rPr>
              <w:t xml:space="preserve"> in Appendix 17 (Calculation of Carbon Stocks Benefits to be Achieved by the Project).  </w:t>
            </w:r>
            <w:r w:rsidR="00C5060A" w:rsidRPr="00F816E3">
              <w:rPr>
                <w:rFonts w:ascii="Times New Roman" w:eastAsia="Times New Roman" w:hAnsi="Times New Roman"/>
                <w:sz w:val="21"/>
                <w:szCs w:val="21"/>
              </w:rPr>
              <w:t>W</w:t>
            </w:r>
            <w:r w:rsidRPr="00F816E3">
              <w:rPr>
                <w:rFonts w:ascii="Times New Roman" w:eastAsia="Times New Roman" w:hAnsi="Times New Roman"/>
                <w:sz w:val="21"/>
                <w:szCs w:val="21"/>
              </w:rPr>
              <w:t xml:space="preserve">e have adjusted the time sequencing of the data sets to show each area of forest cover in shorter temporal ranges, now 90-00, 00-03, 03-06, 06-09, and 09-12.  This smooths the variance while only giving small changes in the estimated deforestation rates.  </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13. On what basis has the area to be restored or protected been calculated? It seems unlikely that the nominated large area of heavily degraded land could actually be "fully restored" with the specified resources. Degraded land is often eroded or affected by other limitations e.g. acidity, Al toxicity, P deficiency, so successful reforestation </w:t>
            </w:r>
            <w:r w:rsidR="00E4241F" w:rsidRPr="00F816E3">
              <w:rPr>
                <w:rFonts w:ascii="Times New Roman" w:eastAsia="Times New Roman" w:hAnsi="Times New Roman"/>
                <w:sz w:val="21"/>
                <w:szCs w:val="21"/>
              </w:rPr>
              <w:t>of such</w:t>
            </w:r>
            <w:r w:rsidRPr="00F816E3">
              <w:rPr>
                <w:rFonts w:ascii="Times New Roman" w:eastAsia="Times New Roman" w:hAnsi="Times New Roman"/>
                <w:sz w:val="21"/>
                <w:szCs w:val="21"/>
              </w:rPr>
              <w:t xml:space="preserve"> sites is a resource-intensive activity, and may not be justified. The PIF mentions abandoned and failed plantations -- these are evidence of the challenges in reforestation, and suggest that the assumption of 100% success in restoration is unrealistic.</w:t>
            </w:r>
          </w:p>
          <w:p w:rsidR="001E054A" w:rsidRPr="00F816E3" w:rsidRDefault="001E054A" w:rsidP="001E054A">
            <w:pPr>
              <w:spacing w:after="0" w:line="240" w:lineRule="auto"/>
              <w:rPr>
                <w:rFonts w:ascii="Times New Roman" w:eastAsia="Times New Roman" w:hAnsi="Times New Roman"/>
                <w:sz w:val="21"/>
                <w:szCs w:val="21"/>
              </w:rPr>
            </w:pP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Agree</w:t>
            </w:r>
            <w:r w:rsidR="00E054C5" w:rsidRPr="00F816E3">
              <w:rPr>
                <w:rFonts w:ascii="Times New Roman" w:eastAsia="Times New Roman" w:hAnsi="Times New Roman"/>
                <w:sz w:val="21"/>
                <w:szCs w:val="21"/>
              </w:rPr>
              <w:t>, the total t</w:t>
            </w:r>
            <w:r w:rsidRPr="00F816E3">
              <w:rPr>
                <w:rFonts w:ascii="Times New Roman" w:eastAsia="Times New Roman" w:hAnsi="Times New Roman"/>
                <w:sz w:val="21"/>
                <w:szCs w:val="21"/>
              </w:rPr>
              <w:t>argeted area in PIF, at 153,000 ha</w:t>
            </w:r>
            <w:r w:rsidR="006C4297" w:rsidRPr="00F816E3">
              <w:rPr>
                <w:rFonts w:ascii="Times New Roman" w:eastAsia="Times New Roman" w:hAnsi="Times New Roman"/>
                <w:sz w:val="21"/>
                <w:szCs w:val="21"/>
              </w:rPr>
              <w:t xml:space="preserve"> (all clustered)</w:t>
            </w:r>
            <w:r w:rsidR="000B2D82">
              <w:rPr>
                <w:rFonts w:ascii="Times New Roman" w:eastAsia="Times New Roman" w:hAnsi="Times New Roman"/>
                <w:sz w:val="21"/>
                <w:szCs w:val="21"/>
              </w:rPr>
              <w:t>, was</w:t>
            </w:r>
            <w:r w:rsidRPr="00F816E3">
              <w:rPr>
                <w:rFonts w:ascii="Times New Roman" w:eastAsia="Times New Roman" w:hAnsi="Times New Roman"/>
                <w:sz w:val="21"/>
                <w:szCs w:val="21"/>
              </w:rPr>
              <w:t xml:space="preserve"> over ambitious.  </w:t>
            </w:r>
            <w:r w:rsidR="00E054C5" w:rsidRPr="00F816E3">
              <w:rPr>
                <w:rFonts w:ascii="Times New Roman" w:eastAsia="Times New Roman" w:hAnsi="Times New Roman"/>
                <w:sz w:val="21"/>
                <w:szCs w:val="21"/>
              </w:rPr>
              <w:t xml:space="preserve">Based on the GIS established during the PPG as well as field checks conducted </w:t>
            </w:r>
            <w:r w:rsidR="006C4297" w:rsidRPr="00F816E3">
              <w:rPr>
                <w:rFonts w:ascii="Times New Roman" w:eastAsia="Times New Roman" w:hAnsi="Times New Roman"/>
                <w:sz w:val="21"/>
                <w:szCs w:val="21"/>
              </w:rPr>
              <w:t>th</w:t>
            </w:r>
            <w:r w:rsidR="000B2D82">
              <w:rPr>
                <w:rFonts w:ascii="Times New Roman" w:eastAsia="Times New Roman" w:hAnsi="Times New Roman"/>
                <w:sz w:val="21"/>
                <w:szCs w:val="21"/>
              </w:rPr>
              <w:t xml:space="preserve">area and specific type of LULUCF inventions have been detailed and the total reduced to 106,600 ha; of which 14,300 peatland brought under reduced fire and 24,600 ha of peatland restored in their basic hydrology through re-wetting and canal blocking. . </w:t>
            </w:r>
            <w:r w:rsidRPr="00F816E3">
              <w:rPr>
                <w:rFonts w:ascii="Times New Roman" w:eastAsia="Times New Roman" w:hAnsi="Times New Roman"/>
                <w:sz w:val="21"/>
                <w:szCs w:val="21"/>
              </w:rPr>
              <w:t>See Table 22</w:t>
            </w:r>
            <w:r w:rsidR="00E054C5" w:rsidRPr="00F816E3">
              <w:rPr>
                <w:rFonts w:ascii="Times New Roman" w:eastAsia="Times New Roman" w:hAnsi="Times New Roman"/>
                <w:sz w:val="21"/>
                <w:szCs w:val="21"/>
              </w:rPr>
              <w:t xml:space="preserve"> in the ProDoc</w:t>
            </w:r>
            <w:r w:rsidR="000B2D82">
              <w:rPr>
                <w:rFonts w:ascii="Times New Roman" w:eastAsia="Times New Roman" w:hAnsi="Times New Roman"/>
                <w:sz w:val="21"/>
                <w:szCs w:val="21"/>
              </w:rPr>
              <w:t xml:space="preserve"> for a summary; as well as Appendix 17 with detailed description of the areas and type of interventions, and the EX-ACT calculations on the Carbon benefits targeted. </w:t>
            </w:r>
            <w:r w:rsidR="00E054C5" w:rsidRPr="00F816E3">
              <w:rPr>
                <w:rFonts w:ascii="Times New Roman" w:eastAsia="Times New Roman" w:hAnsi="Times New Roman"/>
                <w:sz w:val="21"/>
                <w:szCs w:val="21"/>
              </w:rPr>
              <w:t xml:space="preserve">Component 2 activities and targeted areas </w:t>
            </w:r>
            <w:r w:rsidR="000B2D82">
              <w:rPr>
                <w:rFonts w:ascii="Times New Roman" w:eastAsia="Times New Roman" w:hAnsi="Times New Roman"/>
                <w:sz w:val="21"/>
                <w:szCs w:val="21"/>
              </w:rPr>
              <w:t xml:space="preserve">are also strengthened and described </w:t>
            </w:r>
            <w:r w:rsidR="00E054C5" w:rsidRPr="00F816E3">
              <w:rPr>
                <w:rFonts w:ascii="Times New Roman" w:eastAsia="Times New Roman" w:hAnsi="Times New Roman"/>
                <w:sz w:val="21"/>
                <w:szCs w:val="21"/>
              </w:rPr>
              <w:t xml:space="preserve">in Section 3.3 </w:t>
            </w:r>
            <w:r w:rsidRPr="00F816E3">
              <w:rPr>
                <w:rFonts w:ascii="Times New Roman" w:eastAsia="Times New Roman" w:hAnsi="Times New Roman"/>
                <w:sz w:val="21"/>
                <w:szCs w:val="21"/>
              </w:rPr>
              <w:t>)</w:t>
            </w:r>
            <w:r w:rsidR="006C4297" w:rsidRPr="00F816E3">
              <w:rPr>
                <w:rFonts w:ascii="Times New Roman" w:eastAsia="Times New Roman" w:hAnsi="Times New Roman"/>
                <w:sz w:val="21"/>
                <w:szCs w:val="21"/>
              </w:rPr>
              <w:t>.</w:t>
            </w:r>
            <w:r w:rsidRPr="00F816E3">
              <w:rPr>
                <w:rFonts w:ascii="Times New Roman" w:eastAsia="Times New Roman" w:hAnsi="Times New Roman"/>
                <w:sz w:val="21"/>
                <w:szCs w:val="21"/>
              </w:rPr>
              <w:t xml:space="preserve">  </w:t>
            </w:r>
          </w:p>
          <w:p w:rsidR="000B2D82" w:rsidRPr="00F816E3" w:rsidRDefault="000B2D82" w:rsidP="001E054A">
            <w:pPr>
              <w:spacing w:after="0" w:line="240" w:lineRule="auto"/>
              <w:rPr>
                <w:rFonts w:ascii="Times New Roman" w:eastAsia="Times New Roman" w:hAnsi="Times New Roman"/>
                <w:sz w:val="21"/>
                <w:szCs w:val="21"/>
              </w:rPr>
            </w:pPr>
            <w:r>
              <w:rPr>
                <w:rFonts w:ascii="Times New Roman" w:eastAsia="Times New Roman" w:hAnsi="Times New Roman"/>
                <w:sz w:val="21"/>
                <w:szCs w:val="21"/>
              </w:rPr>
              <w:t>I t has to be re-emphasised that the GEF incremental funding will be used to generate significant additional funding from core government funding for forest protection and restoration such as most recent the pledge to restore 2 million hectares of peatland; as well as additional upcoming financial mechanisms such as the WB BioCarbon Fund, as well as the Tropical Landscape Bond (USD 0.5 – 1 billion) to which UNEP is a founding partner.</w:t>
            </w:r>
          </w:p>
          <w:p w:rsidR="001E054A" w:rsidRPr="00F816E3" w:rsidRDefault="001E054A" w:rsidP="001E054A">
            <w:pPr>
              <w:spacing w:after="0" w:line="240" w:lineRule="auto"/>
              <w:rPr>
                <w:rFonts w:ascii="Times New Roman" w:eastAsia="Times New Roman" w:hAnsi="Times New Roman"/>
                <w:sz w:val="21"/>
                <w:szCs w:val="21"/>
              </w:rPr>
            </w:pPr>
          </w:p>
          <w:p w:rsidR="001E054A" w:rsidRPr="00F816E3" w:rsidRDefault="001E054A" w:rsidP="001E054A">
            <w:pPr>
              <w:spacing w:after="0" w:line="240" w:lineRule="auto"/>
              <w:rPr>
                <w:rFonts w:ascii="Times New Roman" w:eastAsia="Times New Roman" w:hAnsi="Times New Roman"/>
                <w:sz w:val="21"/>
                <w:szCs w:val="21"/>
              </w:rPr>
            </w:pPr>
          </w:p>
          <w:p w:rsidR="001E054A" w:rsidRPr="00F816E3" w:rsidRDefault="001E054A" w:rsidP="001E054A">
            <w:pPr>
              <w:spacing w:after="0" w:line="240" w:lineRule="auto"/>
              <w:rPr>
                <w:rFonts w:ascii="Times New Roman" w:eastAsia="Times New Roman" w:hAnsi="Times New Roman"/>
                <w:sz w:val="21"/>
                <w:szCs w:val="21"/>
              </w:rPr>
            </w:pP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14. There is no detail provided of the intended forest restoration activities, so it is not possible to determine whether the planned activities are soundly based.</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1E054A" w:rsidRPr="00F816E3" w:rsidRDefault="001E054A" w:rsidP="006D23CD">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The Project’s definition of restoration, and associated activities, are now made explicit, via footnote, in Section 2.1.2 (The History of the RIMBA Project). </w:t>
            </w:r>
            <w:r w:rsidR="006D23CD" w:rsidRPr="00F816E3">
              <w:rPr>
                <w:rFonts w:ascii="Times New Roman" w:eastAsia="Times New Roman" w:hAnsi="Times New Roman"/>
                <w:sz w:val="21"/>
                <w:szCs w:val="21"/>
              </w:rPr>
              <w:t xml:space="preserve">Additionally, the environmental and social safeguards of UNEP require to be extra careful in species </w:t>
            </w:r>
            <w:r w:rsidR="00066229" w:rsidRPr="00F816E3">
              <w:rPr>
                <w:rFonts w:ascii="Times New Roman" w:eastAsia="Times New Roman" w:hAnsi="Times New Roman"/>
                <w:sz w:val="21"/>
                <w:szCs w:val="21"/>
              </w:rPr>
              <w:t>selection,</w:t>
            </w:r>
            <w:r w:rsidR="006D23CD" w:rsidRPr="00F816E3">
              <w:rPr>
                <w:rFonts w:ascii="Times New Roman" w:eastAsia="Times New Roman" w:hAnsi="Times New Roman"/>
                <w:sz w:val="21"/>
                <w:szCs w:val="21"/>
              </w:rPr>
              <w:t xml:space="preserve"> this to avoid potential invasive species</w:t>
            </w:r>
            <w:r w:rsidRPr="00F816E3">
              <w:rPr>
                <w:rFonts w:ascii="Times New Roman" w:eastAsia="Times New Roman" w:hAnsi="Times New Roman"/>
                <w:sz w:val="21"/>
                <w:szCs w:val="21"/>
              </w:rPr>
              <w:t xml:space="preserve"> </w:t>
            </w:r>
            <w:r w:rsidR="006D23CD" w:rsidRPr="00F816E3">
              <w:rPr>
                <w:rFonts w:ascii="Times New Roman" w:eastAsia="Times New Roman" w:hAnsi="Times New Roman"/>
                <w:sz w:val="21"/>
                <w:szCs w:val="21"/>
              </w:rPr>
              <w:t>for reforestation or re-vegetation activities. Proper reforestation will require the project to conduct detailed site assessments, partnership building and agreement with e.g. local communities, including conducting EIA where physical work such as canal blocking in reclaimed peatlands are envisioned, or where chemical</w:t>
            </w:r>
            <w:r w:rsidR="005C2EC1" w:rsidRPr="00F816E3">
              <w:rPr>
                <w:rFonts w:ascii="Times New Roman" w:eastAsia="Times New Roman" w:hAnsi="Times New Roman"/>
                <w:sz w:val="21"/>
                <w:szCs w:val="21"/>
              </w:rPr>
              <w:t>s</w:t>
            </w:r>
            <w:r w:rsidR="006D23CD" w:rsidRPr="00F816E3">
              <w:rPr>
                <w:rFonts w:ascii="Times New Roman" w:eastAsia="Times New Roman" w:hAnsi="Times New Roman"/>
                <w:sz w:val="21"/>
                <w:szCs w:val="21"/>
              </w:rPr>
              <w:t xml:space="preserve"> would be needed for removal of invasive species, prior to replanting. However these are the type of studies at the operational level, well surpassing the function and available resources on a PPG. Additionally, as previously indicated, much of the project approach will be through alignment of GEF with e.g. government reforestation budget resources, in which role the project would facilitate proper site selection (for e.g. maximising landscape connectivity), species selection and  linkages with other investments such as road expansion, peat restoration, to name a few.</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15. There is a heavy focus on spatial planning, but it is not clear what the envisaged plans will encompass. That is, will they focus on planning of protected areas and sites for forest restoration, or also plan zoning for specific agricultural activities and urban expansion? Urban encroachment is identified as a major threat. STAP is pleased to see the intention to contribute data to support the NCA, but it is not clear what the proposed database will actually contain, and what data will be contributed by this project.</w:t>
            </w:r>
          </w:p>
          <w:p w:rsidR="001E054A" w:rsidRPr="00F816E3" w:rsidRDefault="001E054A" w:rsidP="001E054A">
            <w:pPr>
              <w:spacing w:after="0" w:line="240" w:lineRule="auto"/>
              <w:rPr>
                <w:rFonts w:ascii="Times New Roman" w:eastAsia="Times New Roman" w:hAnsi="Times New Roman"/>
                <w:sz w:val="21"/>
                <w:szCs w:val="21"/>
              </w:rPr>
            </w:pPr>
          </w:p>
          <w:p w:rsidR="001E054A" w:rsidRPr="00F816E3" w:rsidRDefault="001E054A" w:rsidP="001E054A">
            <w:pPr>
              <w:spacing w:after="0" w:line="240" w:lineRule="auto"/>
              <w:jc w:val="center"/>
              <w:rPr>
                <w:rFonts w:ascii="Times New Roman" w:eastAsia="Times New Roman" w:hAnsi="Times New Roman"/>
                <w:sz w:val="21"/>
                <w:szCs w:val="21"/>
              </w:rPr>
            </w:pPr>
          </w:p>
        </w:tc>
        <w:tc>
          <w:tcPr>
            <w:tcW w:w="5580" w:type="dxa"/>
          </w:tcPr>
          <w:p w:rsidR="0090530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Spatial planning will continue to have an important role in the Project by providing a vehicle through which the multiple values of land assessed through such modelling tools as InVEST will be incorporated into land allocation decisions Appendix 20, Integrated Spatial Planning and Models for Scenario Analysis).</w:t>
            </w:r>
          </w:p>
          <w:p w:rsidR="0090530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 </w:t>
            </w:r>
          </w:p>
          <w:p w:rsidR="0090530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WWF, in collaboration with the GOI is already running Natural Capital analyses using the InVEST tool in the RIMBA corridor based on Siak, Kampar, Batanghari, Pengabuan Lagan, and Reteh watersheds. Water yield, sediment retention, nutrient retention, and habitat quality for Sumatran Tiger were calculated in these locations using 2008 data as baseline.</w:t>
            </w:r>
          </w:p>
          <w:p w:rsidR="0090530A" w:rsidRPr="00F816E3" w:rsidRDefault="0090530A" w:rsidP="00F816E3">
            <w:pPr>
              <w:spacing w:after="0" w:line="240" w:lineRule="auto"/>
              <w:rPr>
                <w:rFonts w:ascii="Times New Roman" w:eastAsia="Times New Roman" w:hAnsi="Times New Roman"/>
                <w:sz w:val="21"/>
                <w:szCs w:val="21"/>
              </w:rPr>
            </w:pPr>
          </w:p>
          <w:p w:rsidR="0090530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As a result of this analysis it has been possible to compare the impact of BAU under the existing spatial plans with the objectives of the Sumatra 2020 Vision. The work provides valuable experience for the RIMBA Project as its extension to other parts of the Corridor will assist in developing Green Economy scenarios. </w:t>
            </w:r>
          </w:p>
          <w:p w:rsidR="0090530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One of the strengths of the RIMBA Proposal is that the District Governments have already made it clear that they are pleased to be able to embrace the new approach we are offering. Four Districts inside RIMBA (Kuantan Singingi, Kampar, Indragiri Hilir, and Indragiri Hulu) have not completed their spatial planning so it will be possible for our proposed approach to be directly included in their process. For those remaining the InVEST analysis will be incorporated in routine 5 year spatial plan reviews.</w:t>
            </w:r>
          </w:p>
          <w:p w:rsidR="0090530A" w:rsidRPr="00F816E3" w:rsidRDefault="0090530A" w:rsidP="00F816E3">
            <w:pPr>
              <w:spacing w:after="0" w:line="240" w:lineRule="auto"/>
              <w:rPr>
                <w:rFonts w:ascii="Times New Roman" w:eastAsia="Times New Roman" w:hAnsi="Times New Roman"/>
                <w:sz w:val="21"/>
                <w:szCs w:val="21"/>
              </w:rPr>
            </w:pPr>
          </w:p>
          <w:p w:rsidR="0090530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The bio-physical and social parameters required for the NC analyses are detailed in Appendix 20 of the PRODOC. Some data layers will be produced directly during the Project, such as water yield, habitat quality, and carbon stock distribution. Other data layers will be purchased, such as soil type, slope, and planned infrastructure. Access agreements with the GOI will mean that the Project will have access to many data layers currently being incorporated in a national GIS under the “One Map Project” (see Section 2.7)</w:t>
            </w:r>
          </w:p>
          <w:p w:rsidR="0090530A" w:rsidRPr="00F816E3" w:rsidRDefault="0090530A" w:rsidP="00F816E3">
            <w:pPr>
              <w:spacing w:after="0" w:line="240" w:lineRule="auto"/>
              <w:rPr>
                <w:rFonts w:ascii="Times New Roman" w:eastAsia="Times New Roman" w:hAnsi="Times New Roman"/>
                <w:sz w:val="21"/>
                <w:szCs w:val="21"/>
              </w:rPr>
            </w:pPr>
          </w:p>
          <w:p w:rsidR="0090530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To enable open access to data and utilisation of the information collected and analysed through the Project, the existing “Sigaptaru,” spatial plan monitoring system, already activated for the RIMBA Corridor will be used. The platform is managed by the Sustainable Rural and Regional Development Forum Indonesia, in partnership with the Ministry of Agrarian Affairs and Spatial Planning.  </w:t>
            </w:r>
          </w:p>
          <w:p w:rsidR="0090530A" w:rsidRPr="00F816E3" w:rsidRDefault="0090530A" w:rsidP="00F816E3">
            <w:pPr>
              <w:spacing w:after="0" w:line="240" w:lineRule="auto"/>
              <w:rPr>
                <w:rFonts w:ascii="Times New Roman" w:eastAsia="Times New Roman" w:hAnsi="Times New Roman"/>
                <w:sz w:val="21"/>
                <w:szCs w:val="21"/>
              </w:rPr>
            </w:pPr>
          </w:p>
          <w:p w:rsidR="001E054A" w:rsidRPr="00F816E3" w:rsidRDefault="0090530A" w:rsidP="00F816E3">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Despite these innovations, and as explained in the main text, spatial planning is not the sole or even primary focus of the Project, which will establish a system of governance and an experience of land resources utilisation consistent with a landscape approach to a green economy and market solutions for equitable development.  As detailed in Section 4.1 (The Context of Governance for RIMBA 2015-2019), Project ambitions have been broadened since the PIF and the NEA is no longer the Directorate for Spatial Planning and Environment but rather the Coordinating Ministry of Economic Affairs.</w:t>
            </w:r>
          </w:p>
        </w:tc>
      </w:tr>
      <w:tr w:rsidR="001E054A" w:rsidRPr="00F816E3" w:rsidTr="0042407D">
        <w:trPr>
          <w:trHeight w:val="793"/>
        </w:trPr>
        <w:tc>
          <w:tcPr>
            <w:tcW w:w="5238" w:type="dxa"/>
          </w:tcPr>
          <w:p w:rsidR="001E054A" w:rsidRPr="00F816E3" w:rsidRDefault="001E054A" w:rsidP="001E054A">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16. The loosely linked baseline projects would seem to be a "shaky" foundation to base project interventions.</w:t>
            </w:r>
          </w:p>
          <w:p w:rsidR="001E054A" w:rsidRPr="00F816E3" w:rsidRDefault="001E054A" w:rsidP="001E054A">
            <w:pPr>
              <w:spacing w:after="0" w:line="240" w:lineRule="auto"/>
              <w:rPr>
                <w:rFonts w:ascii="Times New Roman" w:eastAsia="Times New Roman" w:hAnsi="Times New Roman"/>
                <w:sz w:val="21"/>
                <w:szCs w:val="21"/>
              </w:rPr>
            </w:pPr>
          </w:p>
        </w:tc>
        <w:tc>
          <w:tcPr>
            <w:tcW w:w="5580" w:type="dxa"/>
          </w:tcPr>
          <w:p w:rsidR="00024F71" w:rsidRPr="00F816E3" w:rsidRDefault="00024F71" w:rsidP="00024F71">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 xml:space="preserve">RIMBA is all about alignment with existing programs and planned initiatives and funds (see Section 7.1), transformation of existing policies, programs and budgets towards enhanced consideration and targets related to natural capital (forests, water, biodiversity and carbon)  – see e.g. activities under Outcome 2.4. </w:t>
            </w:r>
          </w:p>
          <w:p w:rsidR="00024F71" w:rsidRPr="00F816E3" w:rsidRDefault="00024F71" w:rsidP="00024F71">
            <w:pPr>
              <w:spacing w:after="0" w:line="240" w:lineRule="auto"/>
              <w:rPr>
                <w:rFonts w:ascii="Times New Roman" w:eastAsia="Times New Roman" w:hAnsi="Times New Roman"/>
                <w:sz w:val="21"/>
                <w:szCs w:val="21"/>
              </w:rPr>
            </w:pPr>
          </w:p>
          <w:p w:rsidR="0001431D" w:rsidRPr="00F816E3" w:rsidRDefault="0001431D" w:rsidP="00024F71">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The baseline projects, GEF increment and GEB have been revisited and further elaborated upon in Section 3.7</w:t>
            </w:r>
          </w:p>
          <w:p w:rsidR="00024F71" w:rsidRPr="00F816E3" w:rsidRDefault="00024F71" w:rsidP="00024F71">
            <w:pPr>
              <w:spacing w:after="0" w:line="240" w:lineRule="auto"/>
              <w:rPr>
                <w:rFonts w:ascii="Times New Roman" w:eastAsia="Times New Roman" w:hAnsi="Times New Roman"/>
                <w:sz w:val="21"/>
                <w:szCs w:val="21"/>
              </w:rPr>
            </w:pPr>
          </w:p>
          <w:p w:rsidR="001E054A" w:rsidRPr="00F816E3" w:rsidRDefault="00024F71" w:rsidP="00024F71">
            <w:pPr>
              <w:spacing w:after="0" w:line="240" w:lineRule="auto"/>
              <w:rPr>
                <w:rFonts w:ascii="Times New Roman" w:eastAsia="Times New Roman" w:hAnsi="Times New Roman"/>
                <w:sz w:val="21"/>
                <w:szCs w:val="21"/>
              </w:rPr>
            </w:pPr>
            <w:r w:rsidRPr="00F816E3">
              <w:rPr>
                <w:rFonts w:ascii="Times New Roman" w:eastAsia="Times New Roman" w:hAnsi="Times New Roman"/>
                <w:sz w:val="21"/>
                <w:szCs w:val="21"/>
              </w:rPr>
              <w:t>Additionally, t</w:t>
            </w:r>
            <w:r w:rsidR="001E054A" w:rsidRPr="00F816E3">
              <w:rPr>
                <w:rFonts w:ascii="Times New Roman" w:eastAsia="Times New Roman" w:hAnsi="Times New Roman"/>
                <w:sz w:val="21"/>
                <w:szCs w:val="21"/>
              </w:rPr>
              <w:t xml:space="preserve">he alignment of the Investment Clusters is addressed in #7, above.  </w:t>
            </w:r>
          </w:p>
        </w:tc>
      </w:tr>
    </w:tbl>
    <w:p w:rsidR="001E054A" w:rsidRPr="00E034C6" w:rsidRDefault="001E054A" w:rsidP="001E054A"/>
    <w:p w:rsidR="0035107A" w:rsidRPr="00E034C6" w:rsidRDefault="0035107A" w:rsidP="0035107A">
      <w:pPr>
        <w:spacing w:after="0" w:line="240" w:lineRule="auto"/>
        <w:rPr>
          <w:rFonts w:ascii="Times New Roman" w:eastAsia="Times New Roman" w:hAnsi="Times New Roman"/>
        </w:rPr>
      </w:pPr>
    </w:p>
    <w:p w:rsidR="0035107A" w:rsidRPr="00E034C6" w:rsidRDefault="0035107A" w:rsidP="0035107A">
      <w:pPr>
        <w:spacing w:after="0" w:line="240" w:lineRule="auto"/>
        <w:rPr>
          <w:rFonts w:ascii="Times New Roman" w:eastAsia="Times New Roman" w:hAnsi="Times New Roman"/>
        </w:rPr>
      </w:pPr>
    </w:p>
    <w:p w:rsidR="0035107A" w:rsidRPr="00E034C6" w:rsidRDefault="0035107A" w:rsidP="0035107A">
      <w:pPr>
        <w:spacing w:after="0" w:line="240" w:lineRule="auto"/>
        <w:rPr>
          <w:rFonts w:ascii="Times New Roman" w:eastAsia="Times New Roman" w:hAnsi="Times New Roman"/>
        </w:rPr>
      </w:pPr>
    </w:p>
    <w:p w:rsidR="0035107A" w:rsidRPr="00E034C6" w:rsidRDefault="0035107A" w:rsidP="0035107A">
      <w:pPr>
        <w:spacing w:after="0" w:line="240" w:lineRule="auto"/>
        <w:rPr>
          <w:rFonts w:ascii="Times New Roman" w:eastAsia="Times New Roman" w:hAnsi="Times New Roman"/>
        </w:rPr>
      </w:pPr>
    </w:p>
    <w:p w:rsidR="0035107A" w:rsidRPr="00E034C6" w:rsidRDefault="0035107A" w:rsidP="0035107A">
      <w:pPr>
        <w:spacing w:after="0" w:line="240" w:lineRule="auto"/>
        <w:rPr>
          <w:rFonts w:ascii="Times New Roman" w:eastAsia="Times New Roman" w:hAnsi="Times New Roman"/>
        </w:rPr>
        <w:sectPr w:rsidR="0035107A" w:rsidRPr="00E034C6" w:rsidSect="00AF2FE3">
          <w:pgSz w:w="12240" w:h="15840"/>
          <w:pgMar w:top="720" w:right="900" w:bottom="1440" w:left="720" w:header="720" w:footer="720" w:gutter="0"/>
          <w:cols w:space="720"/>
          <w:formProt w:val="0"/>
          <w:docGrid w:linePitch="360"/>
        </w:sectPr>
      </w:pPr>
    </w:p>
    <w:p w:rsidR="0035107A" w:rsidRPr="00E034C6" w:rsidRDefault="0035107A" w:rsidP="0035107A">
      <w:pPr>
        <w:spacing w:after="0" w:line="240" w:lineRule="auto"/>
        <w:rPr>
          <w:rFonts w:ascii="Times New Roman" w:eastAsia="Times New Roman" w:hAnsi="Times New Roman"/>
          <w:b/>
          <w:smallCaps/>
        </w:rPr>
      </w:pPr>
      <w:r w:rsidRPr="00E034C6">
        <w:rPr>
          <w:rFonts w:ascii="Times New Roman" w:eastAsia="Times New Roman" w:hAnsi="Times New Roman"/>
        </w:rPr>
        <w:br w:type="page"/>
      </w:r>
      <w:r w:rsidRPr="00E034C6" w:rsidDel="00343BD0">
        <w:rPr>
          <w:rFonts w:ascii="Times New Roman" w:eastAsia="Times New Roman" w:hAnsi="Times New Roman"/>
          <w:b/>
          <w:smallCaps/>
        </w:rPr>
        <w:t xml:space="preserve"> </w:t>
      </w:r>
      <w:r w:rsidRPr="00E034C6">
        <w:rPr>
          <w:rFonts w:ascii="Times New Roman" w:eastAsia="Times New Roman" w:hAnsi="Times New Roman"/>
          <w:b/>
          <w:smallCaps/>
        </w:rPr>
        <w:t xml:space="preserve">Annex </w:t>
      </w:r>
      <w:r w:rsidRPr="00E034C6">
        <w:rPr>
          <w:rFonts w:ascii="Times New Roman" w:eastAsia="Times New Roman" w:hAnsi="Times New Roman"/>
          <w:b/>
          <w:caps/>
        </w:rPr>
        <w:t>C</w:t>
      </w:r>
      <w:r w:rsidRPr="00E034C6">
        <w:rPr>
          <w:rFonts w:ascii="Times New Roman" w:eastAsia="Times New Roman" w:hAnsi="Times New Roman"/>
          <w:b/>
          <w:smallCaps/>
        </w:rPr>
        <w:t>:  status of implementation of project preparation activities and the use of funds</w:t>
      </w:r>
      <w:r w:rsidR="001414B0" w:rsidRPr="00E034C6">
        <w:rPr>
          <w:rStyle w:val="FootnoteReference"/>
          <w:rFonts w:ascii="Times New Roman" w:eastAsia="Times New Roman" w:hAnsi="Times New Roman"/>
          <w:b/>
          <w:smallCaps/>
        </w:rPr>
        <w:footnoteReference w:id="8"/>
      </w:r>
    </w:p>
    <w:p w:rsidR="0035107A" w:rsidRPr="00E034C6" w:rsidRDefault="0035107A" w:rsidP="0035107A">
      <w:pPr>
        <w:spacing w:after="80" w:line="240" w:lineRule="auto"/>
        <w:rPr>
          <w:rFonts w:ascii="Times New Roman" w:eastAsia="Times New Roman" w:hAnsi="Times New Roman"/>
          <w:smallCaps/>
        </w:rPr>
      </w:pPr>
      <w:r w:rsidRPr="00E034C6">
        <w:rPr>
          <w:rFonts w:ascii="Times New Roman" w:eastAsia="Times New Roman" w:hAnsi="Times New Roman"/>
          <w:smallCaps/>
        </w:rPr>
        <w:t xml:space="preserve">A.    describe findings that might affect the project design or any concerns on project  </w:t>
      </w:r>
      <w:r w:rsidRPr="00E034C6">
        <w:rPr>
          <w:rFonts w:ascii="Times New Roman" w:eastAsia="Times New Roman" w:hAnsi="Times New Roman"/>
          <w:smallCaps/>
        </w:rPr>
        <w:br/>
        <w:t xml:space="preserve">         implementation, if any:  </w:t>
      </w:r>
    </w:p>
    <w:tbl>
      <w:tblPr>
        <w:tblW w:w="0" w:type="auto"/>
        <w:tblLook w:val="04A0" w:firstRow="1" w:lastRow="0" w:firstColumn="1" w:lastColumn="0" w:noHBand="0" w:noVBand="1"/>
      </w:tblPr>
      <w:tblGrid>
        <w:gridCol w:w="10836"/>
      </w:tblGrid>
      <w:tr w:rsidR="0035107A" w:rsidRPr="00E034C6" w:rsidTr="00AF2FE3">
        <w:tc>
          <w:tcPr>
            <w:tcW w:w="10836" w:type="dxa"/>
          </w:tcPr>
          <w:p w:rsidR="0035107A" w:rsidRPr="00E034C6" w:rsidRDefault="00EE0A54" w:rsidP="0035107A">
            <w:pPr>
              <w:spacing w:after="80" w:line="240" w:lineRule="auto"/>
              <w:ind w:firstLine="360"/>
              <w:rPr>
                <w:rFonts w:ascii="Times New Roman" w:eastAsia="Times New Roman" w:hAnsi="Times New Roman"/>
                <w:smallCaps/>
              </w:rPr>
            </w:pPr>
            <w:r w:rsidRPr="00E034C6">
              <w:rPr>
                <w:rFonts w:ascii="Times New Roman" w:eastAsia="Times New Roman" w:hAnsi="Times New Roman"/>
                <w:smallCaps/>
              </w:rPr>
              <w:t>NA</w:t>
            </w:r>
          </w:p>
          <w:p w:rsidR="00EE0A54" w:rsidRPr="00E034C6" w:rsidRDefault="00EE0A54" w:rsidP="0035107A">
            <w:pPr>
              <w:spacing w:after="80" w:line="240" w:lineRule="auto"/>
              <w:ind w:firstLine="360"/>
              <w:rPr>
                <w:rFonts w:ascii="Times New Roman" w:eastAsia="Times New Roman" w:hAnsi="Times New Roman"/>
                <w:b/>
                <w:smallCaps/>
              </w:rPr>
            </w:pPr>
          </w:p>
        </w:tc>
      </w:tr>
    </w:tbl>
    <w:p w:rsidR="0035107A" w:rsidRPr="00E034C6" w:rsidRDefault="0035107A" w:rsidP="0035107A">
      <w:pPr>
        <w:spacing w:after="120" w:line="240" w:lineRule="auto"/>
        <w:rPr>
          <w:rFonts w:ascii="Times New Roman" w:eastAsia="Times New Roman" w:hAnsi="Times New Roman"/>
          <w:smallCaps/>
        </w:rPr>
      </w:pPr>
      <w:r w:rsidRPr="00E034C6">
        <w:rPr>
          <w:rFonts w:ascii="Times New Roman" w:eastAsia="Times New Roman" w:hAnsi="Times New Roman"/>
          <w:smallCaps/>
        </w:rPr>
        <w:t>B.  provide detailed funding amount of the ppg activities financing status in the table below:</w:t>
      </w:r>
      <w:r w:rsidRPr="00E034C6">
        <w:rPr>
          <w:rFonts w:ascii="Times New Roman" w:eastAsia="Times New Roman" w:hAnsi="Times New Roman"/>
          <w:smallCaps/>
        </w:rPr>
        <w:br/>
        <w:t xml:space="preserve">        </w:t>
      </w:r>
    </w:p>
    <w:tbl>
      <w:tblPr>
        <w:tblW w:w="9663" w:type="dxa"/>
        <w:tblInd w:w="93" w:type="dxa"/>
        <w:tblLook w:val="04A0" w:firstRow="1" w:lastRow="0" w:firstColumn="1" w:lastColumn="0" w:noHBand="0" w:noVBand="1"/>
      </w:tblPr>
      <w:tblGrid>
        <w:gridCol w:w="661"/>
        <w:gridCol w:w="2756"/>
        <w:gridCol w:w="1260"/>
        <w:gridCol w:w="1106"/>
        <w:gridCol w:w="1220"/>
        <w:gridCol w:w="1040"/>
        <w:gridCol w:w="1620"/>
      </w:tblGrid>
      <w:tr w:rsidR="00086550" w:rsidRPr="004672DA" w:rsidTr="00B65341">
        <w:trPr>
          <w:trHeight w:val="315"/>
        </w:trPr>
        <w:tc>
          <w:tcPr>
            <w:tcW w:w="3417" w:type="dxa"/>
            <w:gridSpan w:val="2"/>
            <w:vMerge w:val="restart"/>
            <w:tcBorders>
              <w:top w:val="single" w:sz="4" w:space="0" w:color="auto"/>
              <w:left w:val="single" w:sz="4" w:space="0" w:color="auto"/>
              <w:bottom w:val="single" w:sz="4" w:space="0" w:color="000000"/>
              <w:right w:val="nil"/>
            </w:tcBorders>
            <w:shd w:val="clear" w:color="000000" w:fill="A6A6A6"/>
            <w:noWrap/>
            <w:vAlign w:val="center"/>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UNEP Budget Line</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A6A6A6"/>
            <w:vAlign w:val="bottom"/>
            <w:hideMark/>
          </w:tcPr>
          <w:p w:rsidR="00086550" w:rsidRPr="00F64497" w:rsidRDefault="00086550" w:rsidP="008376ED">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 xml:space="preserve">Total </w:t>
            </w:r>
            <w:r w:rsidRPr="00F64497">
              <w:rPr>
                <w:rFonts w:ascii="Times New Roman" w:eastAsia="Times New Roman" w:hAnsi="Times New Roman"/>
                <w:b/>
                <w:bCs/>
                <w:sz w:val="20"/>
                <w:szCs w:val="20"/>
              </w:rPr>
              <w:br/>
            </w:r>
            <w:r w:rsidR="008376ED">
              <w:rPr>
                <w:rFonts w:ascii="Times New Roman" w:eastAsia="Times New Roman" w:hAnsi="Times New Roman"/>
                <w:b/>
                <w:bCs/>
                <w:sz w:val="20"/>
                <w:szCs w:val="20"/>
              </w:rPr>
              <w:t xml:space="preserve">approved </w:t>
            </w:r>
            <w:r w:rsidRPr="00F64497">
              <w:rPr>
                <w:rFonts w:ascii="Times New Roman" w:eastAsia="Times New Roman" w:hAnsi="Times New Roman"/>
                <w:b/>
                <w:bCs/>
                <w:sz w:val="20"/>
                <w:szCs w:val="20"/>
              </w:rPr>
              <w:t>P</w:t>
            </w:r>
            <w:r w:rsidR="008376ED">
              <w:rPr>
                <w:rFonts w:ascii="Times New Roman" w:eastAsia="Times New Roman" w:hAnsi="Times New Roman"/>
                <w:b/>
                <w:bCs/>
                <w:sz w:val="20"/>
                <w:szCs w:val="20"/>
              </w:rPr>
              <w:t xml:space="preserve">PG </w:t>
            </w:r>
            <w:r w:rsidRPr="00F64497">
              <w:rPr>
                <w:rFonts w:ascii="Times New Roman" w:eastAsia="Times New Roman" w:hAnsi="Times New Roman"/>
                <w:b/>
                <w:bCs/>
                <w:sz w:val="20"/>
                <w:szCs w:val="20"/>
              </w:rPr>
              <w:t>Budget</w:t>
            </w:r>
          </w:p>
        </w:tc>
        <w:tc>
          <w:tcPr>
            <w:tcW w:w="3366" w:type="dxa"/>
            <w:gridSpan w:val="3"/>
            <w:tcBorders>
              <w:top w:val="single" w:sz="8" w:space="0" w:color="auto"/>
              <w:left w:val="single" w:sz="8" w:space="0" w:color="auto"/>
              <w:bottom w:val="single" w:sz="8" w:space="0" w:color="auto"/>
              <w:right w:val="nil"/>
            </w:tcBorders>
            <w:shd w:val="clear" w:color="000000" w:fill="A6A6A6"/>
            <w:noWrap/>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Actual Expenditures incurred*</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A6A6A6"/>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 xml:space="preserve">Cumulative unspent balance </w:t>
            </w:r>
            <w:r w:rsidRPr="00F64497">
              <w:rPr>
                <w:rFonts w:ascii="Times New Roman" w:eastAsia="Times New Roman" w:hAnsi="Times New Roman"/>
                <w:b/>
                <w:bCs/>
                <w:sz w:val="20"/>
                <w:szCs w:val="20"/>
              </w:rPr>
              <w:br/>
              <w:t>to-date</w:t>
            </w:r>
          </w:p>
        </w:tc>
      </w:tr>
      <w:tr w:rsidR="00086550" w:rsidRPr="004672DA" w:rsidTr="00B65341">
        <w:trPr>
          <w:trHeight w:val="268"/>
        </w:trPr>
        <w:tc>
          <w:tcPr>
            <w:tcW w:w="3417" w:type="dxa"/>
            <w:gridSpan w:val="2"/>
            <w:vMerge/>
            <w:tcBorders>
              <w:top w:val="single" w:sz="4" w:space="0" w:color="auto"/>
              <w:left w:val="single" w:sz="4" w:space="0" w:color="auto"/>
              <w:bottom w:val="single" w:sz="4" w:space="0" w:color="000000"/>
              <w:right w:val="nil"/>
            </w:tcBorders>
            <w:vAlign w:val="center"/>
            <w:hideMark/>
          </w:tcPr>
          <w:p w:rsidR="00086550" w:rsidRPr="00F64497" w:rsidRDefault="00086550" w:rsidP="00412C26">
            <w:pPr>
              <w:spacing w:after="0" w:line="240" w:lineRule="auto"/>
              <w:rPr>
                <w:rFonts w:ascii="Times New Roman" w:eastAsia="Times New Roman" w:hAnsi="Times New Roman"/>
                <w:b/>
                <w:bCs/>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86550" w:rsidRPr="00F64497" w:rsidRDefault="00086550" w:rsidP="00412C26">
            <w:pPr>
              <w:spacing w:after="0" w:line="240" w:lineRule="auto"/>
              <w:rPr>
                <w:rFonts w:ascii="Times New Roman" w:eastAsia="Times New Roman" w:hAnsi="Times New Roman"/>
                <w:b/>
                <w:bCs/>
                <w:sz w:val="20"/>
                <w:szCs w:val="20"/>
              </w:rPr>
            </w:pPr>
          </w:p>
        </w:tc>
        <w:tc>
          <w:tcPr>
            <w:tcW w:w="1106" w:type="dxa"/>
            <w:tcBorders>
              <w:top w:val="nil"/>
              <w:left w:val="nil"/>
              <w:bottom w:val="single" w:sz="4" w:space="0" w:color="auto"/>
              <w:right w:val="single" w:sz="4" w:space="0" w:color="auto"/>
            </w:tcBorders>
            <w:shd w:val="clear" w:color="000000" w:fill="A6A6A6"/>
            <w:vAlign w:val="center"/>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FY 2013</w:t>
            </w:r>
          </w:p>
        </w:tc>
        <w:tc>
          <w:tcPr>
            <w:tcW w:w="1220" w:type="dxa"/>
            <w:tcBorders>
              <w:top w:val="nil"/>
              <w:left w:val="nil"/>
              <w:bottom w:val="single" w:sz="4" w:space="0" w:color="auto"/>
              <w:right w:val="single" w:sz="4" w:space="0" w:color="auto"/>
            </w:tcBorders>
            <w:shd w:val="clear" w:color="000000" w:fill="A6A6A6"/>
            <w:vAlign w:val="center"/>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FY 2014</w:t>
            </w:r>
          </w:p>
        </w:tc>
        <w:tc>
          <w:tcPr>
            <w:tcW w:w="1040" w:type="dxa"/>
            <w:tcBorders>
              <w:top w:val="nil"/>
              <w:left w:val="nil"/>
              <w:bottom w:val="single" w:sz="4" w:space="0" w:color="auto"/>
              <w:right w:val="single" w:sz="4" w:space="0" w:color="auto"/>
            </w:tcBorders>
            <w:shd w:val="clear" w:color="000000" w:fill="A6A6A6"/>
            <w:vAlign w:val="center"/>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FY2015</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86550" w:rsidRPr="00F64497" w:rsidRDefault="00086550" w:rsidP="00412C26">
            <w:pPr>
              <w:spacing w:after="0" w:line="240" w:lineRule="auto"/>
              <w:rPr>
                <w:rFonts w:ascii="Times New Roman" w:eastAsia="Times New Roman" w:hAnsi="Times New Roman"/>
                <w:b/>
                <w:bCs/>
                <w:sz w:val="20"/>
                <w:szCs w:val="20"/>
              </w:rPr>
            </w:pPr>
          </w:p>
        </w:tc>
      </w:tr>
      <w:tr w:rsidR="00086550" w:rsidRPr="004672DA" w:rsidTr="00B65341">
        <w:trPr>
          <w:trHeight w:val="255"/>
        </w:trPr>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1201</w:t>
            </w:r>
          </w:p>
        </w:tc>
        <w:tc>
          <w:tcPr>
            <w:tcW w:w="2756" w:type="dxa"/>
            <w:tcBorders>
              <w:top w:val="single" w:sz="4" w:space="0" w:color="auto"/>
              <w:left w:val="nil"/>
              <w:bottom w:val="single" w:sz="4" w:space="0" w:color="auto"/>
              <w:right w:val="single" w:sz="4" w:space="0" w:color="auto"/>
            </w:tcBorders>
            <w:shd w:val="clear" w:color="auto" w:fill="auto"/>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Local Consultants</w:t>
            </w:r>
          </w:p>
        </w:tc>
        <w:tc>
          <w:tcPr>
            <w:tcW w:w="1260" w:type="dxa"/>
            <w:tcBorders>
              <w:top w:val="single" w:sz="4" w:space="0" w:color="auto"/>
              <w:left w:val="nil"/>
              <w:bottom w:val="single" w:sz="4" w:space="0" w:color="auto"/>
              <w:right w:val="single" w:sz="4" w:space="0" w:color="auto"/>
            </w:tcBorders>
            <w:shd w:val="clear" w:color="auto" w:fill="auto"/>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 xml:space="preserve">    35,100</w:t>
            </w:r>
          </w:p>
        </w:tc>
        <w:tc>
          <w:tcPr>
            <w:tcW w:w="1106" w:type="dxa"/>
            <w:tcBorders>
              <w:top w:val="single" w:sz="4" w:space="0" w:color="auto"/>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1,347.86 </w:t>
            </w:r>
          </w:p>
        </w:tc>
        <w:tc>
          <w:tcPr>
            <w:tcW w:w="1220" w:type="dxa"/>
            <w:tcBorders>
              <w:top w:val="single" w:sz="4" w:space="0" w:color="auto"/>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29,163.84 </w:t>
            </w:r>
          </w:p>
        </w:tc>
        <w:tc>
          <w:tcPr>
            <w:tcW w:w="1040" w:type="dxa"/>
            <w:tcBorders>
              <w:top w:val="single" w:sz="4" w:space="0" w:color="auto"/>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4,983.79 </w:t>
            </w:r>
          </w:p>
        </w:tc>
        <w:tc>
          <w:tcPr>
            <w:tcW w:w="1620" w:type="dxa"/>
            <w:tcBorders>
              <w:top w:val="single" w:sz="4" w:space="0" w:color="auto"/>
              <w:left w:val="nil"/>
              <w:bottom w:val="single" w:sz="4" w:space="0" w:color="auto"/>
              <w:right w:val="single" w:sz="4" w:space="0" w:color="auto"/>
            </w:tcBorders>
            <w:shd w:val="clear" w:color="auto" w:fill="auto"/>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- 395 </w:t>
            </w:r>
          </w:p>
        </w:tc>
      </w:tr>
      <w:tr w:rsidR="00086550" w:rsidRPr="004672DA" w:rsidTr="00B65341">
        <w:trPr>
          <w:trHeight w:val="240"/>
        </w:trPr>
        <w:tc>
          <w:tcPr>
            <w:tcW w:w="661" w:type="dxa"/>
            <w:tcBorders>
              <w:top w:val="nil"/>
              <w:left w:val="single" w:sz="4" w:space="0" w:color="auto"/>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1202</w:t>
            </w:r>
          </w:p>
        </w:tc>
        <w:tc>
          <w:tcPr>
            <w:tcW w:w="2756"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International Consultants</w:t>
            </w:r>
          </w:p>
        </w:tc>
        <w:tc>
          <w:tcPr>
            <w:tcW w:w="126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 xml:space="preserve">  115,150</w:t>
            </w:r>
          </w:p>
        </w:tc>
        <w:tc>
          <w:tcPr>
            <w:tcW w:w="1106"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9,000.00 </w:t>
            </w:r>
          </w:p>
        </w:tc>
        <w:tc>
          <w:tcPr>
            <w:tcW w:w="122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98,757.12 </w:t>
            </w:r>
          </w:p>
        </w:tc>
        <w:tc>
          <w:tcPr>
            <w:tcW w:w="104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 xml:space="preserve">            -   </w:t>
            </w:r>
          </w:p>
        </w:tc>
        <w:tc>
          <w:tcPr>
            <w:tcW w:w="1620" w:type="dxa"/>
            <w:tcBorders>
              <w:top w:val="nil"/>
              <w:left w:val="nil"/>
              <w:bottom w:val="single" w:sz="4" w:space="0" w:color="auto"/>
              <w:right w:val="single" w:sz="4" w:space="0" w:color="auto"/>
            </w:tcBorders>
            <w:shd w:val="clear" w:color="auto" w:fill="auto"/>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 xml:space="preserve">         7,393 </w:t>
            </w:r>
          </w:p>
        </w:tc>
      </w:tr>
      <w:tr w:rsidR="00086550" w:rsidRPr="004672DA" w:rsidTr="00B65341">
        <w:trPr>
          <w:trHeight w:val="270"/>
        </w:trPr>
        <w:tc>
          <w:tcPr>
            <w:tcW w:w="661" w:type="dxa"/>
            <w:tcBorders>
              <w:top w:val="nil"/>
              <w:left w:val="single" w:sz="4" w:space="0" w:color="auto"/>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1601</w:t>
            </w:r>
          </w:p>
        </w:tc>
        <w:tc>
          <w:tcPr>
            <w:tcW w:w="2756"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Local travel &amp; local DSA all consultants &amp; WWF staff</w:t>
            </w:r>
          </w:p>
        </w:tc>
        <w:tc>
          <w:tcPr>
            <w:tcW w:w="126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7,900</w:t>
            </w:r>
          </w:p>
        </w:tc>
        <w:tc>
          <w:tcPr>
            <w:tcW w:w="1106"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2,411.50 </w:t>
            </w:r>
          </w:p>
        </w:tc>
        <w:tc>
          <w:tcPr>
            <w:tcW w:w="122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4,320.62 </w:t>
            </w:r>
          </w:p>
        </w:tc>
        <w:tc>
          <w:tcPr>
            <w:tcW w:w="104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   </w:t>
            </w:r>
          </w:p>
        </w:tc>
        <w:tc>
          <w:tcPr>
            <w:tcW w:w="1620" w:type="dxa"/>
            <w:tcBorders>
              <w:top w:val="nil"/>
              <w:left w:val="nil"/>
              <w:bottom w:val="single" w:sz="4" w:space="0" w:color="auto"/>
              <w:right w:val="single" w:sz="4" w:space="0" w:color="auto"/>
            </w:tcBorders>
            <w:shd w:val="clear" w:color="auto" w:fill="auto"/>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1,168 </w:t>
            </w:r>
          </w:p>
        </w:tc>
      </w:tr>
      <w:tr w:rsidR="00086550" w:rsidRPr="004672DA" w:rsidTr="00B65341">
        <w:trPr>
          <w:trHeight w:val="330"/>
        </w:trPr>
        <w:tc>
          <w:tcPr>
            <w:tcW w:w="661" w:type="dxa"/>
            <w:tcBorders>
              <w:top w:val="nil"/>
              <w:left w:val="single" w:sz="4" w:space="0" w:color="auto"/>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3201</w:t>
            </w:r>
          </w:p>
        </w:tc>
        <w:tc>
          <w:tcPr>
            <w:tcW w:w="2756"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2x national &amp; 3x provincial workshops, consultations etc</w:t>
            </w:r>
          </w:p>
        </w:tc>
        <w:tc>
          <w:tcPr>
            <w:tcW w:w="126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 xml:space="preserve">   18,500</w:t>
            </w:r>
          </w:p>
        </w:tc>
        <w:tc>
          <w:tcPr>
            <w:tcW w:w="1106"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9,074.14 </w:t>
            </w:r>
          </w:p>
        </w:tc>
        <w:tc>
          <w:tcPr>
            <w:tcW w:w="122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16,425.26 </w:t>
            </w:r>
          </w:p>
        </w:tc>
        <w:tc>
          <w:tcPr>
            <w:tcW w:w="104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   </w:t>
            </w:r>
          </w:p>
        </w:tc>
        <w:tc>
          <w:tcPr>
            <w:tcW w:w="1620" w:type="dxa"/>
            <w:tcBorders>
              <w:top w:val="nil"/>
              <w:left w:val="nil"/>
              <w:bottom w:val="single" w:sz="4" w:space="0" w:color="auto"/>
              <w:right w:val="single" w:sz="4" w:space="0" w:color="auto"/>
            </w:tcBorders>
            <w:shd w:val="clear" w:color="auto" w:fill="auto"/>
            <w:hideMark/>
          </w:tcPr>
          <w:p w:rsidR="00086550" w:rsidRPr="00F64497" w:rsidRDefault="00086550" w:rsidP="00412C26">
            <w:pPr>
              <w:spacing w:after="0" w:line="240" w:lineRule="auto"/>
              <w:rPr>
                <w:rFonts w:ascii="Times New Roman" w:eastAsia="Times New Roman" w:hAnsi="Times New Roman"/>
                <w:sz w:val="20"/>
                <w:szCs w:val="20"/>
              </w:rPr>
            </w:pPr>
            <w:r w:rsidRPr="00F64497">
              <w:rPr>
                <w:rFonts w:ascii="Times New Roman" w:eastAsia="Times New Roman" w:hAnsi="Times New Roman"/>
                <w:sz w:val="20"/>
                <w:szCs w:val="20"/>
              </w:rPr>
              <w:t xml:space="preserve">       - 6,999 </w:t>
            </w:r>
          </w:p>
        </w:tc>
      </w:tr>
      <w:tr w:rsidR="00086550" w:rsidRPr="004672DA" w:rsidTr="00B65341">
        <w:trPr>
          <w:trHeight w:val="420"/>
        </w:trPr>
        <w:tc>
          <w:tcPr>
            <w:tcW w:w="661" w:type="dxa"/>
            <w:tcBorders>
              <w:top w:val="nil"/>
              <w:left w:val="single" w:sz="4" w:space="0" w:color="auto"/>
              <w:bottom w:val="single" w:sz="4" w:space="0" w:color="auto"/>
              <w:right w:val="single" w:sz="4" w:space="0" w:color="auto"/>
            </w:tcBorders>
            <w:shd w:val="clear" w:color="auto" w:fill="auto"/>
            <w:noWrap/>
            <w:hideMark/>
          </w:tcPr>
          <w:p w:rsidR="00086550" w:rsidRPr="00F64497" w:rsidRDefault="008376ED" w:rsidP="00412C26">
            <w:pPr>
              <w:spacing w:after="0" w:line="240" w:lineRule="auto"/>
              <w:rPr>
                <w:rFonts w:ascii="Times New Roman" w:eastAsia="Times New Roman" w:hAnsi="Times New Roman"/>
                <w:sz w:val="20"/>
                <w:szCs w:val="20"/>
              </w:rPr>
            </w:pPr>
            <w:r>
              <w:rPr>
                <w:rFonts w:ascii="Times New Roman" w:eastAsia="Times New Roman" w:hAnsi="Times New Roman"/>
                <w:sz w:val="20"/>
                <w:szCs w:val="20"/>
              </w:rPr>
              <w:t>4</w:t>
            </w:r>
            <w:r w:rsidR="00086550" w:rsidRPr="00F64497">
              <w:rPr>
                <w:rFonts w:ascii="Times New Roman" w:eastAsia="Times New Roman" w:hAnsi="Times New Roman"/>
                <w:sz w:val="20"/>
                <w:szCs w:val="20"/>
              </w:rPr>
              <w:t>101</w:t>
            </w:r>
          </w:p>
        </w:tc>
        <w:tc>
          <w:tcPr>
            <w:tcW w:w="2756" w:type="dxa"/>
            <w:tcBorders>
              <w:top w:val="nil"/>
              <w:left w:val="nil"/>
              <w:bottom w:val="single" w:sz="4" w:space="0" w:color="auto"/>
              <w:right w:val="single" w:sz="4" w:space="0" w:color="auto"/>
            </w:tcBorders>
            <w:shd w:val="clear" w:color="auto" w:fill="auto"/>
            <w:noWrap/>
            <w:hideMark/>
          </w:tcPr>
          <w:p w:rsidR="00A26A95" w:rsidRDefault="0015230E">
            <w:pPr>
              <w:rPr>
                <w:rFonts w:ascii="Times New Roman" w:eastAsia="Times New Roman" w:hAnsi="Times New Roman"/>
                <w:sz w:val="20"/>
                <w:szCs w:val="20"/>
              </w:rPr>
            </w:pPr>
            <w:r w:rsidRPr="0015230E">
              <w:rPr>
                <w:rFonts w:ascii="Times New Roman" w:eastAsia="Times New Roman" w:hAnsi="Times New Roman"/>
                <w:sz w:val="20"/>
                <w:szCs w:val="20"/>
              </w:rPr>
              <w:t>Baseline materials - satellite imagery, datasets, etc</w:t>
            </w:r>
          </w:p>
        </w:tc>
        <w:tc>
          <w:tcPr>
            <w:tcW w:w="126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13,350</w:t>
            </w:r>
          </w:p>
        </w:tc>
        <w:tc>
          <w:tcPr>
            <w:tcW w:w="1106"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   </w:t>
            </w:r>
          </w:p>
        </w:tc>
        <w:tc>
          <w:tcPr>
            <w:tcW w:w="122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12,875.91 </w:t>
            </w:r>
          </w:p>
        </w:tc>
        <w:tc>
          <w:tcPr>
            <w:tcW w:w="1040" w:type="dxa"/>
            <w:tcBorders>
              <w:top w:val="nil"/>
              <w:left w:val="nil"/>
              <w:bottom w:val="single" w:sz="4" w:space="0" w:color="auto"/>
              <w:right w:val="single" w:sz="4" w:space="0" w:color="auto"/>
            </w:tcBorders>
            <w:shd w:val="clear" w:color="auto" w:fill="auto"/>
            <w:noWrap/>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44.43 </w:t>
            </w:r>
          </w:p>
        </w:tc>
        <w:tc>
          <w:tcPr>
            <w:tcW w:w="1620" w:type="dxa"/>
            <w:tcBorders>
              <w:top w:val="nil"/>
              <w:left w:val="nil"/>
              <w:bottom w:val="single" w:sz="4" w:space="0" w:color="auto"/>
              <w:right w:val="single" w:sz="4" w:space="0" w:color="auto"/>
            </w:tcBorders>
            <w:shd w:val="clear" w:color="auto" w:fill="auto"/>
            <w:hideMark/>
          </w:tcPr>
          <w:p w:rsidR="00086550" w:rsidRPr="00F64497" w:rsidRDefault="00086550" w:rsidP="00412C26">
            <w:pPr>
              <w:spacing w:after="0" w:line="240" w:lineRule="auto"/>
              <w:jc w:val="center"/>
              <w:rPr>
                <w:rFonts w:ascii="Times New Roman" w:eastAsia="Times New Roman" w:hAnsi="Times New Roman"/>
                <w:sz w:val="20"/>
                <w:szCs w:val="20"/>
              </w:rPr>
            </w:pPr>
            <w:r w:rsidRPr="00F64497">
              <w:rPr>
                <w:rFonts w:ascii="Times New Roman" w:eastAsia="Times New Roman" w:hAnsi="Times New Roman"/>
                <w:sz w:val="20"/>
                <w:szCs w:val="20"/>
              </w:rPr>
              <w:t xml:space="preserve">     430 </w:t>
            </w:r>
          </w:p>
        </w:tc>
      </w:tr>
      <w:tr w:rsidR="00086550" w:rsidRPr="004672DA" w:rsidTr="00B65341">
        <w:trPr>
          <w:trHeight w:val="255"/>
        </w:trPr>
        <w:tc>
          <w:tcPr>
            <w:tcW w:w="3417" w:type="dxa"/>
            <w:gridSpan w:val="2"/>
            <w:tcBorders>
              <w:top w:val="single" w:sz="4" w:space="0" w:color="auto"/>
              <w:left w:val="single" w:sz="4" w:space="0" w:color="auto"/>
              <w:bottom w:val="single" w:sz="4" w:space="0" w:color="auto"/>
              <w:right w:val="single" w:sz="4" w:space="0" w:color="000000"/>
            </w:tcBorders>
            <w:shd w:val="clear" w:color="000000" w:fill="A6A6A6"/>
            <w:noWrap/>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GRAND TOTAL</w:t>
            </w:r>
          </w:p>
        </w:tc>
        <w:tc>
          <w:tcPr>
            <w:tcW w:w="1260" w:type="dxa"/>
            <w:tcBorders>
              <w:top w:val="nil"/>
              <w:left w:val="nil"/>
              <w:bottom w:val="single" w:sz="4" w:space="0" w:color="auto"/>
              <w:right w:val="single" w:sz="4" w:space="0" w:color="auto"/>
            </w:tcBorders>
            <w:shd w:val="clear" w:color="000000" w:fill="A6A6A6"/>
            <w:noWrap/>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190,000</w:t>
            </w:r>
          </w:p>
        </w:tc>
        <w:tc>
          <w:tcPr>
            <w:tcW w:w="1106" w:type="dxa"/>
            <w:tcBorders>
              <w:top w:val="nil"/>
              <w:left w:val="nil"/>
              <w:bottom w:val="single" w:sz="4" w:space="0" w:color="auto"/>
              <w:right w:val="single" w:sz="4" w:space="0" w:color="auto"/>
            </w:tcBorders>
            <w:shd w:val="clear" w:color="000000" w:fill="A6A6A6"/>
            <w:noWrap/>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21,833.49</w:t>
            </w:r>
          </w:p>
        </w:tc>
        <w:tc>
          <w:tcPr>
            <w:tcW w:w="1220" w:type="dxa"/>
            <w:tcBorders>
              <w:top w:val="nil"/>
              <w:left w:val="nil"/>
              <w:bottom w:val="single" w:sz="4" w:space="0" w:color="auto"/>
              <w:right w:val="single" w:sz="4" w:space="0" w:color="auto"/>
            </w:tcBorders>
            <w:shd w:val="clear" w:color="000000" w:fill="A6A6A6"/>
            <w:noWrap/>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161,542.74</w:t>
            </w:r>
          </w:p>
        </w:tc>
        <w:tc>
          <w:tcPr>
            <w:tcW w:w="1040" w:type="dxa"/>
            <w:tcBorders>
              <w:top w:val="nil"/>
              <w:left w:val="nil"/>
              <w:bottom w:val="single" w:sz="4" w:space="0" w:color="auto"/>
              <w:right w:val="single" w:sz="4" w:space="0" w:color="auto"/>
            </w:tcBorders>
            <w:shd w:val="clear" w:color="000000" w:fill="A6A6A6"/>
            <w:noWrap/>
            <w:hideMark/>
          </w:tcPr>
          <w:p w:rsidR="00086550" w:rsidRPr="00F64497" w:rsidRDefault="00086550" w:rsidP="00412C26">
            <w:pPr>
              <w:spacing w:after="0" w:line="240" w:lineRule="auto"/>
              <w:jc w:val="center"/>
              <w:rPr>
                <w:rFonts w:ascii="Times New Roman" w:eastAsia="Times New Roman" w:hAnsi="Times New Roman"/>
                <w:b/>
                <w:bCs/>
                <w:sz w:val="20"/>
                <w:szCs w:val="20"/>
              </w:rPr>
            </w:pPr>
            <w:r w:rsidRPr="00F64497">
              <w:rPr>
                <w:rFonts w:ascii="Times New Roman" w:eastAsia="Times New Roman" w:hAnsi="Times New Roman"/>
                <w:b/>
                <w:bCs/>
                <w:sz w:val="20"/>
                <w:szCs w:val="20"/>
              </w:rPr>
              <w:t>5,028.22</w:t>
            </w:r>
          </w:p>
        </w:tc>
        <w:tc>
          <w:tcPr>
            <w:tcW w:w="1620" w:type="dxa"/>
            <w:tcBorders>
              <w:top w:val="nil"/>
              <w:left w:val="nil"/>
              <w:bottom w:val="single" w:sz="4" w:space="0" w:color="auto"/>
              <w:right w:val="single" w:sz="4" w:space="0" w:color="auto"/>
            </w:tcBorders>
            <w:shd w:val="clear" w:color="000000" w:fill="A6A6A6"/>
            <w:noWrap/>
            <w:hideMark/>
          </w:tcPr>
          <w:p w:rsidR="00086550" w:rsidRPr="00F64497" w:rsidRDefault="00086550" w:rsidP="00412C26">
            <w:pPr>
              <w:spacing w:after="0" w:line="240" w:lineRule="auto"/>
              <w:rPr>
                <w:rFonts w:ascii="Times New Roman" w:eastAsia="Times New Roman" w:hAnsi="Times New Roman"/>
                <w:b/>
                <w:bCs/>
                <w:sz w:val="20"/>
                <w:szCs w:val="20"/>
              </w:rPr>
            </w:pPr>
            <w:r w:rsidRPr="00F64497">
              <w:rPr>
                <w:rFonts w:ascii="Times New Roman" w:eastAsia="Times New Roman" w:hAnsi="Times New Roman"/>
                <w:b/>
                <w:bCs/>
                <w:sz w:val="20"/>
                <w:szCs w:val="20"/>
              </w:rPr>
              <w:t xml:space="preserve">          1,596 </w:t>
            </w:r>
          </w:p>
        </w:tc>
      </w:tr>
    </w:tbl>
    <w:p w:rsidR="0035107A" w:rsidRPr="00E034C6" w:rsidRDefault="0035107A" w:rsidP="0035107A">
      <w:pPr>
        <w:spacing w:after="0" w:line="240" w:lineRule="auto"/>
        <w:rPr>
          <w:rFonts w:ascii="Times New Roman" w:eastAsia="Times New Roman" w:hAnsi="Times New Roman"/>
          <w:sz w:val="18"/>
          <w:szCs w:val="18"/>
        </w:rPr>
      </w:pPr>
    </w:p>
    <w:p w:rsidR="0035107A" w:rsidRPr="00E034C6" w:rsidRDefault="0035107A" w:rsidP="0035107A">
      <w:pPr>
        <w:spacing w:after="0" w:line="240" w:lineRule="auto"/>
        <w:rPr>
          <w:rFonts w:ascii="Times New Roman" w:eastAsia="Times New Roman" w:hAnsi="Times New Roman"/>
          <w:b/>
          <w:smallCaps/>
        </w:rPr>
      </w:pPr>
      <w:r w:rsidRPr="00E034C6">
        <w:rPr>
          <w:rFonts w:ascii="Times New Roman" w:eastAsia="Times New Roman" w:hAnsi="Times New Roman"/>
          <w:b/>
          <w:smallCaps/>
        </w:rPr>
        <w:br w:type="page"/>
      </w:r>
    </w:p>
    <w:p w:rsidR="0035107A" w:rsidRPr="00E034C6" w:rsidRDefault="0035107A" w:rsidP="0035107A">
      <w:pPr>
        <w:spacing w:after="0" w:line="240" w:lineRule="auto"/>
        <w:rPr>
          <w:rFonts w:ascii="Times New Roman" w:eastAsia="Times New Roman" w:hAnsi="Times New Roman"/>
          <w:b/>
          <w:smallCaps/>
        </w:rPr>
        <w:sectPr w:rsidR="0035107A" w:rsidRPr="00E034C6" w:rsidSect="00AF2FE3">
          <w:type w:val="continuous"/>
          <w:pgSz w:w="12240" w:h="15840"/>
          <w:pgMar w:top="720" w:right="900" w:bottom="1440" w:left="720" w:header="720" w:footer="720" w:gutter="0"/>
          <w:cols w:space="720"/>
          <w:formProt w:val="0"/>
          <w:docGrid w:linePitch="360"/>
        </w:sectPr>
      </w:pPr>
    </w:p>
    <w:p w:rsidR="0035107A" w:rsidRPr="00E034C6" w:rsidRDefault="0035107A" w:rsidP="0035107A">
      <w:pPr>
        <w:spacing w:after="0" w:line="240" w:lineRule="auto"/>
        <w:rPr>
          <w:rFonts w:ascii="Times New Roman" w:eastAsia="Times New Roman" w:hAnsi="Times New Roman"/>
        </w:rPr>
      </w:pPr>
      <w:r w:rsidRPr="00E034C6">
        <w:rPr>
          <w:rFonts w:ascii="Times New Roman" w:eastAsia="Times New Roman" w:hAnsi="Times New Roman"/>
          <w:b/>
          <w:smallCaps/>
        </w:rPr>
        <w:t>annex d:  calendar  of expected reflows (</w:t>
      </w:r>
      <w:r w:rsidRPr="00E034C6">
        <w:rPr>
          <w:rFonts w:ascii="Times New Roman" w:eastAsia="Times New Roman" w:hAnsi="Times New Roman"/>
        </w:rPr>
        <w:t>if non-grant instrument is used</w:t>
      </w:r>
      <w:r w:rsidRPr="00E034C6">
        <w:rPr>
          <w:rFonts w:ascii="Times New Roman" w:eastAsia="Times New Roman" w:hAnsi="Times New Roman"/>
          <w:b/>
          <w:smallCaps/>
        </w:rPr>
        <w:t>)</w:t>
      </w:r>
    </w:p>
    <w:p w:rsidR="0035107A" w:rsidRPr="00E034C6" w:rsidRDefault="0035107A" w:rsidP="0035107A">
      <w:pPr>
        <w:spacing w:after="0" w:line="240" w:lineRule="auto"/>
        <w:rPr>
          <w:rFonts w:ascii="Times New Roman" w:eastAsia="Times New Roman" w:hAnsi="Times New Roman"/>
          <w:b/>
          <w:smallCaps/>
        </w:rPr>
      </w:pPr>
    </w:p>
    <w:p w:rsidR="0035107A" w:rsidRPr="00E034C6" w:rsidRDefault="0035107A" w:rsidP="0035107A">
      <w:pPr>
        <w:spacing w:after="0" w:line="240" w:lineRule="auto"/>
        <w:rPr>
          <w:rFonts w:ascii="Times New Roman" w:eastAsia="Times New Roman" w:hAnsi="Times New Roman"/>
        </w:rPr>
      </w:pPr>
      <w:r w:rsidRPr="00E034C6">
        <w:rPr>
          <w:rFonts w:ascii="Times New Roman" w:eastAsia="Times New Roman" w:hAnsi="Times New Roman"/>
        </w:rPr>
        <w:t>Provide a calendar of expected reflows to the GEF/LDCF/SCCF/NPIF  Trust Fund or to your Agency (and/or revolving fund that will be set up)</w:t>
      </w:r>
    </w:p>
    <w:p w:rsidR="0035107A" w:rsidRPr="00E034C6" w:rsidRDefault="0035107A" w:rsidP="0035107A">
      <w:pPr>
        <w:spacing w:after="0" w:line="240" w:lineRule="auto"/>
        <w:rPr>
          <w:rFonts w:ascii="Times New Roman" w:eastAsia="Times New Roman" w:hAnsi="Times New Roman"/>
        </w:rPr>
      </w:pPr>
    </w:p>
    <w:p w:rsidR="0035107A" w:rsidRDefault="00985A96" w:rsidP="0035107A">
      <w:pPr>
        <w:spacing w:after="0" w:line="240" w:lineRule="auto"/>
        <w:rPr>
          <w:rFonts w:ascii="Times New Roman" w:eastAsia="Times New Roman" w:hAnsi="Times New Roman"/>
        </w:rPr>
      </w:pPr>
      <w:r w:rsidRPr="00E034C6">
        <w:rPr>
          <w:rFonts w:ascii="Times New Roman" w:eastAsia="Times New Roman" w:hAnsi="Times New Roman"/>
        </w:rPr>
        <w:fldChar w:fldCharType="begin">
          <w:ffData>
            <w:name w:val="ApprovedActivity_01"/>
            <w:enabled/>
            <w:calcOnExit w:val="0"/>
            <w:textInput/>
          </w:ffData>
        </w:fldChar>
      </w:r>
      <w:r w:rsidR="00B6017C" w:rsidRPr="00E034C6">
        <w:rPr>
          <w:rFonts w:ascii="Times New Roman" w:eastAsia="Times New Roman" w:hAnsi="Times New Roman"/>
        </w:rPr>
        <w:instrText xml:space="preserve"> FORMTEXT </w:instrText>
      </w:r>
      <w:r w:rsidRPr="00E034C6">
        <w:rPr>
          <w:rFonts w:ascii="Times New Roman" w:eastAsia="Times New Roman" w:hAnsi="Times New Roman"/>
        </w:rPr>
      </w:r>
      <w:r w:rsidRPr="00E034C6">
        <w:rPr>
          <w:rFonts w:ascii="Times New Roman" w:eastAsia="Times New Roman" w:hAnsi="Times New Roman"/>
        </w:rPr>
        <w:fldChar w:fldCharType="separate"/>
      </w:r>
      <w:r w:rsidR="00B6017C" w:rsidRPr="00E034C6">
        <w:rPr>
          <w:rFonts w:ascii="Times New Roman" w:eastAsia="Times New Roman" w:hAnsi="Times New Roman"/>
          <w:noProof/>
        </w:rPr>
        <w:t> </w:t>
      </w:r>
      <w:r w:rsidR="001B6EC9" w:rsidRPr="00E034C6">
        <w:rPr>
          <w:rFonts w:ascii="Times New Roman" w:eastAsia="Times New Roman" w:hAnsi="Times New Roman"/>
          <w:noProof/>
        </w:rPr>
        <w:t>[not applicable]</w:t>
      </w:r>
      <w:r w:rsidR="00B6017C" w:rsidRPr="00E034C6">
        <w:rPr>
          <w:rFonts w:ascii="Times New Roman" w:eastAsia="Times New Roman" w:hAnsi="Times New Roman"/>
          <w:noProof/>
        </w:rPr>
        <w:t> </w:t>
      </w:r>
      <w:r w:rsidR="00B6017C" w:rsidRPr="00E034C6">
        <w:rPr>
          <w:rFonts w:ascii="Times New Roman" w:eastAsia="Times New Roman" w:hAnsi="Times New Roman"/>
          <w:noProof/>
        </w:rPr>
        <w:t> </w:t>
      </w:r>
      <w:r w:rsidR="00B6017C" w:rsidRPr="00E034C6">
        <w:rPr>
          <w:rFonts w:ascii="Times New Roman" w:eastAsia="Times New Roman" w:hAnsi="Times New Roman"/>
          <w:noProof/>
        </w:rPr>
        <w:t> </w:t>
      </w:r>
      <w:r w:rsidR="00B6017C" w:rsidRPr="00E034C6">
        <w:rPr>
          <w:rFonts w:ascii="Times New Roman" w:eastAsia="Times New Roman" w:hAnsi="Times New Roman"/>
          <w:noProof/>
        </w:rPr>
        <w:t> </w:t>
      </w:r>
      <w:r w:rsidRPr="00E034C6">
        <w:rPr>
          <w:rFonts w:ascii="Times New Roman" w:eastAsia="Times New Roman" w:hAnsi="Times New Roman"/>
        </w:rPr>
        <w:fldChar w:fldCharType="end"/>
      </w:r>
    </w:p>
    <w:p w:rsidR="00EC63C7" w:rsidRDefault="00EC63C7" w:rsidP="0035107A">
      <w:pPr>
        <w:spacing w:after="0" w:line="240" w:lineRule="auto"/>
        <w:rPr>
          <w:rFonts w:ascii="Times New Roman" w:eastAsia="Times New Roman" w:hAnsi="Times New Roman"/>
        </w:rPr>
      </w:pPr>
    </w:p>
    <w:p w:rsidR="00EC63C7" w:rsidRDefault="00EC63C7">
      <w:pPr>
        <w:spacing w:after="0" w:line="240" w:lineRule="auto"/>
        <w:rPr>
          <w:rFonts w:ascii="Times New Roman" w:eastAsia="Times New Roman" w:hAnsi="Times New Roman"/>
        </w:rPr>
      </w:pPr>
      <w:r>
        <w:rPr>
          <w:rFonts w:ascii="Times New Roman" w:eastAsia="Times New Roman" w:hAnsi="Times New Roman"/>
        </w:rPr>
        <w:br w:type="page"/>
      </w:r>
    </w:p>
    <w:tbl>
      <w:tblPr>
        <w:tblW w:w="5000" w:type="pct"/>
        <w:tblInd w:w="-459" w:type="dxa"/>
        <w:tblLook w:val="04A0" w:firstRow="1" w:lastRow="0" w:firstColumn="1" w:lastColumn="0" w:noHBand="0" w:noVBand="1"/>
      </w:tblPr>
      <w:tblGrid>
        <w:gridCol w:w="1924"/>
        <w:gridCol w:w="1924"/>
        <w:gridCol w:w="1924"/>
        <w:gridCol w:w="1924"/>
        <w:gridCol w:w="1924"/>
        <w:gridCol w:w="2016"/>
        <w:gridCol w:w="2260"/>
      </w:tblGrid>
      <w:tr w:rsidR="007949E1" w:rsidRPr="00D81CF3" w:rsidTr="00302D4A">
        <w:trPr>
          <w:trHeight w:val="480"/>
        </w:trPr>
        <w:tc>
          <w:tcPr>
            <w:tcW w:w="4288" w:type="pct"/>
            <w:gridSpan w:val="6"/>
            <w:tcBorders>
              <w:top w:val="nil"/>
              <w:left w:val="nil"/>
              <w:bottom w:val="single" w:sz="8" w:space="0" w:color="auto"/>
              <w:right w:val="nil"/>
            </w:tcBorders>
            <w:shd w:val="clear" w:color="auto" w:fill="auto"/>
            <w:vAlign w:val="bottom"/>
            <w:hideMark/>
          </w:tcPr>
          <w:p w:rsidR="007949E1" w:rsidRDefault="007949E1" w:rsidP="00BB4003">
            <w:pPr>
              <w:spacing w:after="0" w:line="240" w:lineRule="auto"/>
              <w:rPr>
                <w:rFonts w:ascii="Times New Roman" w:hAnsi="Times New Roman"/>
                <w:b/>
                <w:bCs/>
                <w:color w:val="000000"/>
                <w:lang w:eastAsia="zh-CN"/>
              </w:rPr>
            </w:pPr>
            <w:r>
              <w:rPr>
                <w:rFonts w:ascii="Times New Roman" w:hAnsi="Times New Roman"/>
                <w:b/>
                <w:bCs/>
                <w:color w:val="000000"/>
                <w:lang w:eastAsia="zh-CN"/>
              </w:rPr>
              <w:t xml:space="preserve">Annex E to CEO RIMBA project : </w:t>
            </w:r>
            <w:r w:rsidRPr="00D81CF3">
              <w:rPr>
                <w:rFonts w:ascii="Times New Roman" w:hAnsi="Times New Roman"/>
                <w:b/>
                <w:bCs/>
                <w:color w:val="000000"/>
                <w:lang w:eastAsia="zh-CN"/>
              </w:rPr>
              <w:t>Summary of Changes in C</w:t>
            </w:r>
            <w:r>
              <w:rPr>
                <w:rFonts w:ascii="Times New Roman" w:hAnsi="Times New Roman"/>
                <w:b/>
                <w:bCs/>
                <w:color w:val="000000"/>
                <w:lang w:eastAsia="zh-CN"/>
              </w:rPr>
              <w:t>omponents, Outcomes and Outputs</w:t>
            </w:r>
          </w:p>
          <w:p w:rsidR="007949E1" w:rsidRPr="00D81CF3" w:rsidRDefault="007949E1" w:rsidP="00BB4003">
            <w:pPr>
              <w:spacing w:after="0" w:line="240" w:lineRule="auto"/>
              <w:jc w:val="center"/>
              <w:rPr>
                <w:rFonts w:ascii="Times New Roman" w:hAnsi="Times New Roman"/>
                <w:b/>
                <w:bCs/>
                <w:color w:val="000000"/>
                <w:lang w:eastAsia="zh-CN"/>
              </w:rPr>
            </w:pPr>
          </w:p>
        </w:tc>
        <w:tc>
          <w:tcPr>
            <w:tcW w:w="712" w:type="pct"/>
            <w:tcBorders>
              <w:top w:val="nil"/>
              <w:left w:val="nil"/>
              <w:bottom w:val="single" w:sz="8" w:space="0" w:color="auto"/>
              <w:right w:val="nil"/>
            </w:tcBorders>
          </w:tcPr>
          <w:p w:rsidR="007949E1" w:rsidRDefault="007949E1" w:rsidP="00BB4003">
            <w:pPr>
              <w:spacing w:after="0" w:line="240" w:lineRule="auto"/>
              <w:rPr>
                <w:rFonts w:ascii="Times New Roman" w:hAnsi="Times New Roman"/>
                <w:b/>
                <w:bCs/>
                <w:color w:val="000000"/>
                <w:lang w:eastAsia="zh-CN"/>
              </w:rPr>
            </w:pPr>
          </w:p>
        </w:tc>
      </w:tr>
      <w:tr w:rsidR="007949E1" w:rsidRPr="00D81CF3" w:rsidTr="00302D4A">
        <w:trPr>
          <w:trHeight w:val="540"/>
        </w:trPr>
        <w:tc>
          <w:tcPr>
            <w:tcW w:w="1432" w:type="pct"/>
            <w:gridSpan w:val="2"/>
            <w:tcBorders>
              <w:top w:val="nil"/>
              <w:left w:val="single" w:sz="8" w:space="0" w:color="auto"/>
              <w:bottom w:val="single" w:sz="4" w:space="0" w:color="auto"/>
              <w:right w:val="single" w:sz="4"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sidRPr="00D81CF3">
              <w:rPr>
                <w:rFonts w:ascii="Times New Roman" w:hAnsi="Times New Roman"/>
                <w:b/>
                <w:bCs/>
                <w:color w:val="000000"/>
                <w:lang w:eastAsia="zh-CN"/>
              </w:rPr>
              <w:t>Components</w:t>
            </w:r>
          </w:p>
        </w:tc>
        <w:tc>
          <w:tcPr>
            <w:tcW w:w="1432" w:type="pct"/>
            <w:gridSpan w:val="2"/>
            <w:tcBorders>
              <w:top w:val="nil"/>
              <w:left w:val="nil"/>
              <w:bottom w:val="single" w:sz="8" w:space="0" w:color="auto"/>
              <w:right w:val="single" w:sz="4"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Pr>
                <w:rFonts w:ascii="Times New Roman" w:hAnsi="Times New Roman"/>
                <w:b/>
                <w:bCs/>
                <w:color w:val="000000"/>
                <w:lang w:eastAsia="zh-CN"/>
              </w:rPr>
              <w:t>Outcomes</w:t>
            </w:r>
          </w:p>
        </w:tc>
        <w:tc>
          <w:tcPr>
            <w:tcW w:w="1424" w:type="pct"/>
            <w:gridSpan w:val="2"/>
            <w:tcBorders>
              <w:top w:val="nil"/>
              <w:left w:val="nil"/>
              <w:bottom w:val="single" w:sz="8" w:space="0" w:color="auto"/>
              <w:right w:val="single" w:sz="8"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Pr>
                <w:rFonts w:ascii="Times New Roman" w:hAnsi="Times New Roman"/>
                <w:b/>
                <w:bCs/>
                <w:color w:val="000000"/>
                <w:lang w:eastAsia="zh-CN"/>
              </w:rPr>
              <w:t>Outputs</w:t>
            </w:r>
          </w:p>
        </w:tc>
        <w:tc>
          <w:tcPr>
            <w:tcW w:w="712" w:type="pct"/>
            <w:vMerge w:val="restart"/>
            <w:tcBorders>
              <w:top w:val="nil"/>
              <w:left w:val="nil"/>
              <w:right w:val="single" w:sz="8" w:space="0" w:color="auto"/>
            </w:tcBorders>
            <w:shd w:val="clear" w:color="000000" w:fill="FFFFFF"/>
          </w:tcPr>
          <w:p w:rsidR="007949E1" w:rsidRPr="00F65994" w:rsidRDefault="007949E1" w:rsidP="007949E1">
            <w:pPr>
              <w:tabs>
                <w:tab w:val="left" w:pos="840"/>
                <w:tab w:val="center" w:pos="8664"/>
              </w:tabs>
              <w:spacing w:after="0" w:line="240" w:lineRule="auto"/>
              <w:jc w:val="center"/>
              <w:rPr>
                <w:rFonts w:ascii="Times New Roman" w:hAnsi="Times New Roman"/>
                <w:b/>
                <w:bCs/>
                <w:lang w:eastAsia="zh-CN"/>
              </w:rPr>
            </w:pPr>
            <w:r w:rsidRPr="00F65994">
              <w:rPr>
                <w:rFonts w:ascii="Times New Roman" w:hAnsi="Times New Roman"/>
                <w:b/>
                <w:bCs/>
                <w:lang w:eastAsia="zh-CN"/>
              </w:rPr>
              <w:t>Clarification on key changes (PIF to PD)</w:t>
            </w:r>
          </w:p>
          <w:p w:rsidR="007949E1" w:rsidRPr="00F65994" w:rsidRDefault="007949E1" w:rsidP="007949E1">
            <w:pPr>
              <w:tabs>
                <w:tab w:val="left" w:pos="840"/>
                <w:tab w:val="center" w:pos="8664"/>
              </w:tabs>
              <w:spacing w:after="0" w:line="240" w:lineRule="auto"/>
              <w:jc w:val="center"/>
              <w:rPr>
                <w:rFonts w:ascii="Times New Roman" w:hAnsi="Times New Roman"/>
                <w:b/>
                <w:bCs/>
                <w:lang w:eastAsia="zh-CN"/>
              </w:rPr>
            </w:pPr>
          </w:p>
          <w:p w:rsidR="007949E1" w:rsidRPr="00F65994" w:rsidRDefault="007949E1" w:rsidP="007949E1">
            <w:pPr>
              <w:spacing w:after="0" w:line="240" w:lineRule="auto"/>
              <w:jc w:val="center"/>
              <w:rPr>
                <w:rFonts w:ascii="Times New Roman" w:hAnsi="Times New Roman"/>
                <w:b/>
                <w:bCs/>
                <w:lang w:eastAsia="zh-CN"/>
              </w:rPr>
            </w:pPr>
            <w:r w:rsidRPr="00F65994">
              <w:rPr>
                <w:rFonts w:ascii="Times New Roman" w:hAnsi="Times New Roman"/>
                <w:i/>
                <w:iCs/>
                <w:sz w:val="20"/>
                <w:szCs w:val="20"/>
                <w:lang w:eastAsia="zh-CN"/>
              </w:rPr>
              <w:t>Substance-wise there is little difference between PIF and PD, yet significant improvements have been made in details (better measurable targets) &amp; methodology.</w:t>
            </w:r>
          </w:p>
        </w:tc>
      </w:tr>
      <w:tr w:rsidR="007949E1" w:rsidRPr="00D81CF3" w:rsidTr="00302D4A">
        <w:trPr>
          <w:trHeight w:val="540"/>
        </w:trPr>
        <w:tc>
          <w:tcPr>
            <w:tcW w:w="716"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sidRPr="00D81CF3">
              <w:rPr>
                <w:rFonts w:ascii="Times New Roman" w:hAnsi="Times New Roman"/>
                <w:b/>
                <w:bCs/>
                <w:color w:val="000000"/>
                <w:lang w:eastAsia="zh-CN"/>
              </w:rPr>
              <w:t>PRODOC</w:t>
            </w:r>
          </w:p>
        </w:tc>
        <w:tc>
          <w:tcPr>
            <w:tcW w:w="716"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Pr>
                <w:rFonts w:ascii="Times New Roman" w:hAnsi="Times New Roman"/>
                <w:b/>
                <w:bCs/>
                <w:color w:val="000000"/>
                <w:lang w:eastAsia="zh-CN"/>
              </w:rPr>
              <w:t>(</w:t>
            </w:r>
            <w:r w:rsidRPr="00D81CF3">
              <w:rPr>
                <w:rFonts w:ascii="Times New Roman" w:hAnsi="Times New Roman"/>
                <w:b/>
                <w:bCs/>
                <w:color w:val="000000"/>
                <w:lang w:eastAsia="zh-CN"/>
              </w:rPr>
              <w:t>PIF</w:t>
            </w:r>
            <w:r>
              <w:rPr>
                <w:rFonts w:ascii="Times New Roman" w:hAnsi="Times New Roman"/>
                <w:b/>
                <w:bCs/>
                <w:color w:val="000000"/>
                <w:lang w:eastAsia="zh-CN"/>
              </w:rPr>
              <w:t>)</w:t>
            </w:r>
          </w:p>
        </w:tc>
        <w:tc>
          <w:tcPr>
            <w:tcW w:w="716" w:type="pct"/>
            <w:tcBorders>
              <w:top w:val="nil"/>
              <w:left w:val="nil"/>
              <w:bottom w:val="single" w:sz="4" w:space="0" w:color="auto"/>
              <w:right w:val="single" w:sz="4"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sidRPr="00D81CF3">
              <w:rPr>
                <w:rFonts w:ascii="Times New Roman" w:hAnsi="Times New Roman"/>
                <w:b/>
                <w:bCs/>
                <w:color w:val="000000"/>
                <w:lang w:eastAsia="zh-CN"/>
              </w:rPr>
              <w:t>PRODOC</w:t>
            </w:r>
          </w:p>
        </w:tc>
        <w:tc>
          <w:tcPr>
            <w:tcW w:w="716" w:type="pct"/>
            <w:tcBorders>
              <w:top w:val="nil"/>
              <w:left w:val="nil"/>
              <w:bottom w:val="single" w:sz="4" w:space="0" w:color="auto"/>
              <w:right w:val="single" w:sz="4"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Pr>
                <w:rFonts w:ascii="Times New Roman" w:hAnsi="Times New Roman"/>
                <w:b/>
                <w:bCs/>
                <w:color w:val="000000"/>
                <w:lang w:eastAsia="zh-CN"/>
              </w:rPr>
              <w:t>(</w:t>
            </w:r>
            <w:r w:rsidRPr="00D81CF3">
              <w:rPr>
                <w:rFonts w:ascii="Times New Roman" w:hAnsi="Times New Roman"/>
                <w:b/>
                <w:bCs/>
                <w:color w:val="000000"/>
                <w:lang w:eastAsia="zh-CN"/>
              </w:rPr>
              <w:t>PIF</w:t>
            </w:r>
            <w:r>
              <w:rPr>
                <w:rFonts w:ascii="Times New Roman" w:hAnsi="Times New Roman"/>
                <w:b/>
                <w:bCs/>
                <w:color w:val="000000"/>
                <w:lang w:eastAsia="zh-CN"/>
              </w:rPr>
              <w:t>)</w:t>
            </w:r>
          </w:p>
        </w:tc>
        <w:tc>
          <w:tcPr>
            <w:tcW w:w="716" w:type="pct"/>
            <w:tcBorders>
              <w:top w:val="nil"/>
              <w:left w:val="nil"/>
              <w:bottom w:val="single" w:sz="4" w:space="0" w:color="auto"/>
              <w:right w:val="single" w:sz="8"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sidRPr="00D81CF3">
              <w:rPr>
                <w:rFonts w:ascii="Times New Roman" w:hAnsi="Times New Roman"/>
                <w:b/>
                <w:bCs/>
                <w:color w:val="000000"/>
                <w:lang w:eastAsia="zh-CN"/>
              </w:rPr>
              <w:t>PRODOC</w:t>
            </w:r>
          </w:p>
        </w:tc>
        <w:tc>
          <w:tcPr>
            <w:tcW w:w="708" w:type="pct"/>
            <w:tcBorders>
              <w:top w:val="nil"/>
              <w:left w:val="single" w:sz="4" w:space="0" w:color="auto"/>
              <w:bottom w:val="single" w:sz="4" w:space="0" w:color="auto"/>
              <w:right w:val="single" w:sz="8" w:space="0" w:color="auto"/>
            </w:tcBorders>
            <w:shd w:val="clear" w:color="000000" w:fill="FFFFFF"/>
            <w:vAlign w:val="center"/>
            <w:hideMark/>
          </w:tcPr>
          <w:p w:rsidR="007949E1" w:rsidRPr="00D81CF3" w:rsidRDefault="007949E1" w:rsidP="00BB4003">
            <w:pPr>
              <w:spacing w:after="0" w:line="240" w:lineRule="auto"/>
              <w:jc w:val="center"/>
              <w:rPr>
                <w:rFonts w:ascii="Times New Roman" w:hAnsi="Times New Roman"/>
                <w:b/>
                <w:bCs/>
                <w:color w:val="000000"/>
                <w:lang w:eastAsia="zh-CN"/>
              </w:rPr>
            </w:pPr>
            <w:r w:rsidRPr="00D81CF3">
              <w:rPr>
                <w:rFonts w:ascii="Times New Roman" w:hAnsi="Times New Roman"/>
                <w:b/>
                <w:bCs/>
                <w:color w:val="000000"/>
                <w:lang w:eastAsia="zh-CN"/>
              </w:rPr>
              <w:t>(PIF)</w:t>
            </w:r>
          </w:p>
        </w:tc>
        <w:tc>
          <w:tcPr>
            <w:tcW w:w="712" w:type="pct"/>
            <w:vMerge/>
            <w:tcBorders>
              <w:left w:val="single" w:sz="4" w:space="0" w:color="auto"/>
              <w:bottom w:val="single" w:sz="4" w:space="0" w:color="auto"/>
              <w:right w:val="single" w:sz="8" w:space="0" w:color="auto"/>
            </w:tcBorders>
            <w:shd w:val="clear" w:color="000000" w:fill="FFFFFF"/>
          </w:tcPr>
          <w:p w:rsidR="007949E1" w:rsidRPr="00F65994" w:rsidRDefault="007949E1" w:rsidP="00BB4003">
            <w:pPr>
              <w:spacing w:after="0" w:line="240" w:lineRule="auto"/>
              <w:jc w:val="center"/>
              <w:rPr>
                <w:rFonts w:ascii="Times New Roman" w:hAnsi="Times New Roman"/>
                <w:b/>
                <w:bCs/>
                <w:lang w:eastAsia="zh-CN"/>
              </w:rPr>
            </w:pPr>
          </w:p>
        </w:tc>
      </w:tr>
      <w:tr w:rsidR="007949E1" w:rsidRPr="00D81CF3" w:rsidTr="00302D4A">
        <w:trPr>
          <w:trHeight w:val="3280"/>
        </w:trPr>
        <w:tc>
          <w:tcPr>
            <w:tcW w:w="716" w:type="pct"/>
            <w:tcBorders>
              <w:top w:val="single" w:sz="4" w:space="0" w:color="auto"/>
              <w:left w:val="single" w:sz="4" w:space="0" w:color="auto"/>
              <w:bottom w:val="single" w:sz="4" w:space="0" w:color="auto"/>
              <w:right w:val="single" w:sz="4" w:space="0" w:color="auto"/>
            </w:tcBorders>
            <w:shd w:val="clear" w:color="000000" w:fill="FFFFFF"/>
            <w:hideMark/>
          </w:tcPr>
          <w:p w:rsidR="007949E1" w:rsidRPr="008A4BCA" w:rsidRDefault="007949E1" w:rsidP="00BB4003">
            <w:pPr>
              <w:spacing w:after="0" w:line="240" w:lineRule="auto"/>
              <w:rPr>
                <w:rFonts w:ascii="Times New Roman" w:hAnsi="Times New Roman"/>
                <w:b/>
                <w:color w:val="000000"/>
                <w:sz w:val="20"/>
                <w:szCs w:val="20"/>
                <w:lang w:eastAsia="zh-CN"/>
              </w:rPr>
            </w:pPr>
            <w:r w:rsidRPr="008A4BCA">
              <w:rPr>
                <w:rFonts w:ascii="Times New Roman" w:hAnsi="Times New Roman"/>
                <w:b/>
                <w:sz w:val="20"/>
                <w:szCs w:val="20"/>
              </w:rPr>
              <w:t>1. The establishment of a sustainable and effective institutional framework for the management of natural resources for a Green Economy in the RIMBA Corridor of Central Sumatra.</w:t>
            </w:r>
          </w:p>
        </w:tc>
        <w:tc>
          <w:tcPr>
            <w:tcW w:w="716" w:type="pct"/>
            <w:tcBorders>
              <w:top w:val="single" w:sz="4" w:space="0" w:color="auto"/>
              <w:left w:val="single" w:sz="4" w:space="0" w:color="auto"/>
              <w:bottom w:val="single" w:sz="4" w:space="0" w:color="auto"/>
              <w:right w:val="single" w:sz="4" w:space="0" w:color="auto"/>
            </w:tcBorders>
            <w:shd w:val="clear" w:color="000000" w:fill="FFFFFF"/>
            <w:hideMark/>
          </w:tcPr>
          <w:p w:rsidR="007949E1" w:rsidRPr="003D3CDF" w:rsidRDefault="007949E1" w:rsidP="00BB4003">
            <w:pPr>
              <w:spacing w:after="0" w:line="240" w:lineRule="auto"/>
              <w:rPr>
                <w:rFonts w:ascii="Times New Roman" w:hAnsi="Times New Roman"/>
                <w:color w:val="000000"/>
                <w:sz w:val="20"/>
                <w:szCs w:val="20"/>
                <w:lang w:eastAsia="zh-CN"/>
              </w:rPr>
            </w:pPr>
            <w:r w:rsidRPr="00410680">
              <w:rPr>
                <w:rFonts w:ascii="Times New Roman" w:hAnsi="Times New Roman"/>
                <w:color w:val="000000"/>
                <w:sz w:val="20"/>
                <w:szCs w:val="20"/>
                <w:lang w:eastAsia="zh-CN"/>
              </w:rPr>
              <w:t>1</w:t>
            </w:r>
            <w:r>
              <w:rPr>
                <w:rFonts w:ascii="Times New Roman" w:hAnsi="Times New Roman"/>
                <w:color w:val="000000"/>
                <w:sz w:val="20"/>
                <w:szCs w:val="20"/>
                <w:lang w:eastAsia="zh-CN"/>
              </w:rPr>
              <w:t xml:space="preserve">. </w:t>
            </w:r>
            <w:r w:rsidRPr="00410680">
              <w:rPr>
                <w:rFonts w:ascii="Times New Roman" w:hAnsi="Times New Roman"/>
                <w:color w:val="000000"/>
                <w:sz w:val="20"/>
                <w:szCs w:val="20"/>
                <w:lang w:eastAsia="zh-CN"/>
              </w:rPr>
              <w:t>Establishing institutional sustainability and replication for RIMBA Green Economy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rsidR="007949E1" w:rsidRPr="008A4BCA" w:rsidRDefault="007949E1" w:rsidP="00BB4003">
            <w:pPr>
              <w:spacing w:after="0" w:line="240" w:lineRule="auto"/>
              <w:rPr>
                <w:rFonts w:ascii="Times New Roman" w:hAnsi="Times New Roman"/>
                <w:b/>
                <w:sz w:val="20"/>
                <w:szCs w:val="20"/>
              </w:rPr>
            </w:pPr>
            <w:r w:rsidRPr="008A4BCA">
              <w:rPr>
                <w:rFonts w:ascii="Times New Roman" w:hAnsi="Times New Roman"/>
                <w:b/>
                <w:sz w:val="20"/>
                <w:szCs w:val="20"/>
              </w:rPr>
              <w:t>1.1 A RIMBA - wide enabling environment exists that supports Green Economy activities related to conserving and growing natural capital in forests, carbon, soils, water resources and biodiversity.</w:t>
            </w:r>
          </w:p>
        </w:tc>
        <w:tc>
          <w:tcPr>
            <w:tcW w:w="716" w:type="pct"/>
            <w:tcBorders>
              <w:top w:val="single" w:sz="4" w:space="0" w:color="auto"/>
              <w:left w:val="single" w:sz="4" w:space="0" w:color="auto"/>
              <w:bottom w:val="single" w:sz="4" w:space="0" w:color="auto"/>
              <w:right w:val="single" w:sz="4" w:space="0" w:color="auto"/>
            </w:tcBorders>
            <w:shd w:val="clear" w:color="000000" w:fill="FFFFFF"/>
            <w:hideMark/>
          </w:tcPr>
          <w:p w:rsidR="007949E1" w:rsidRPr="003D3CDF" w:rsidRDefault="007949E1" w:rsidP="00BB4003">
            <w:pPr>
              <w:spacing w:after="0" w:line="240" w:lineRule="auto"/>
              <w:rPr>
                <w:rFonts w:ascii="Times New Roman" w:hAnsi="Times New Roman"/>
                <w:color w:val="000000"/>
                <w:sz w:val="20"/>
                <w:szCs w:val="20"/>
                <w:lang w:eastAsia="zh-CN"/>
              </w:rPr>
            </w:pPr>
            <w:r w:rsidRPr="00410680">
              <w:rPr>
                <w:rFonts w:ascii="Times New Roman" w:hAnsi="Times New Roman"/>
                <w:color w:val="000000"/>
                <w:sz w:val="20"/>
                <w:szCs w:val="20"/>
                <w:lang w:eastAsia="zh-CN"/>
              </w:rPr>
              <w:t>1.1 A RIMBA-wide enabling environment that promotes the green economy focused on investing in forest, its water resources &amp; connectivity for conserving biodiversity and carbon</w:t>
            </w:r>
          </w:p>
        </w:tc>
        <w:tc>
          <w:tcPr>
            <w:tcW w:w="716" w:type="pct"/>
            <w:tcBorders>
              <w:top w:val="single" w:sz="4" w:space="0" w:color="auto"/>
              <w:left w:val="single" w:sz="4" w:space="0" w:color="auto"/>
              <w:bottom w:val="single" w:sz="4" w:space="0" w:color="auto"/>
              <w:right w:val="single" w:sz="4" w:space="0" w:color="auto"/>
            </w:tcBorders>
            <w:shd w:val="clear" w:color="000000" w:fill="FFFFFF"/>
            <w:hideMark/>
          </w:tcPr>
          <w:p w:rsidR="007949E1" w:rsidRPr="008A4BCA" w:rsidRDefault="007949E1" w:rsidP="00BB4003">
            <w:pPr>
              <w:spacing w:after="0" w:line="240" w:lineRule="auto"/>
              <w:rPr>
                <w:rFonts w:ascii="Times New Roman" w:hAnsi="Times New Roman"/>
                <w:color w:val="000000"/>
                <w:sz w:val="20"/>
                <w:szCs w:val="20"/>
                <w:lang w:eastAsia="zh-CN"/>
              </w:rPr>
            </w:pPr>
            <w:r w:rsidRPr="008A4BCA">
              <w:rPr>
                <w:rFonts w:ascii="Times New Roman" w:hAnsi="Times New Roman"/>
                <w:color w:val="000000"/>
                <w:sz w:val="20"/>
                <w:szCs w:val="20"/>
                <w:lang w:eastAsia="zh-CN"/>
              </w:rPr>
              <w:t>1.1.1 A RIMBA management authority has been formally established to develop a “RIMBA Roadmap” (GE vision, programs, partnerships, GE targets (such as fair &amp; green jobs, available for both men and women) and to facilitate, coordinate, and monitor the implementation of Green Economy throughout the RIMBA Corridor</w:t>
            </w:r>
            <w:r>
              <w:rPr>
                <w:rFonts w:ascii="Times New Roman" w:hAnsi="Times New Roman"/>
                <w:color w:val="000000"/>
                <w:sz w:val="20"/>
                <w:szCs w:val="20"/>
                <w:lang w:val="id-ID" w:eastAsia="zh-CN"/>
              </w:rPr>
              <w:t>)</w:t>
            </w:r>
            <w:r w:rsidRPr="008A4BCA">
              <w:rPr>
                <w:rFonts w:ascii="Times New Roman" w:hAnsi="Times New Roman"/>
                <w:color w:val="000000"/>
                <w:sz w:val="20"/>
                <w:szCs w:val="20"/>
                <w:lang w:eastAsia="zh-CN"/>
              </w:rPr>
              <w:t xml:space="preserve">.     </w:t>
            </w:r>
          </w:p>
          <w:p w:rsidR="007949E1" w:rsidRPr="008A4BCA" w:rsidRDefault="007949E1" w:rsidP="00BB4003">
            <w:pPr>
              <w:spacing w:after="0" w:line="240" w:lineRule="auto"/>
              <w:rPr>
                <w:rFonts w:ascii="Times New Roman" w:hAnsi="Times New Roman"/>
                <w:color w:val="000000"/>
                <w:sz w:val="20"/>
                <w:szCs w:val="20"/>
                <w:lang w:eastAsia="zh-CN"/>
              </w:rPr>
            </w:pPr>
          </w:p>
          <w:p w:rsidR="007949E1" w:rsidRPr="008A4BCA" w:rsidRDefault="007949E1" w:rsidP="00BB4003">
            <w:pPr>
              <w:spacing w:after="0" w:line="240" w:lineRule="auto"/>
              <w:rPr>
                <w:rFonts w:ascii="Times New Roman" w:hAnsi="Times New Roman"/>
                <w:color w:val="000000"/>
                <w:sz w:val="20"/>
                <w:szCs w:val="20"/>
                <w:lang w:eastAsia="zh-CN"/>
              </w:rPr>
            </w:pPr>
            <w:r w:rsidRPr="008A4BCA">
              <w:rPr>
                <w:rFonts w:ascii="Times New Roman" w:hAnsi="Times New Roman"/>
                <w:color w:val="000000"/>
                <w:sz w:val="20"/>
                <w:szCs w:val="20"/>
                <w:lang w:eastAsia="zh-CN"/>
              </w:rPr>
              <w:t>1.1.2 Positive and equitable attitude changes among the project’s stakeholders, from national government and local government, the business community, the communities within each Cluster including men and women and marginalized groups, lead to networking and support for a Green Economy.</w:t>
            </w:r>
          </w:p>
          <w:p w:rsidR="007949E1" w:rsidRPr="008A4BCA" w:rsidRDefault="007949E1" w:rsidP="00BB4003">
            <w:pPr>
              <w:spacing w:after="0" w:line="240" w:lineRule="auto"/>
              <w:rPr>
                <w:rFonts w:ascii="Times New Roman" w:hAnsi="Times New Roman"/>
                <w:color w:val="000000"/>
                <w:sz w:val="20"/>
                <w:szCs w:val="20"/>
                <w:lang w:eastAsia="zh-CN"/>
              </w:rPr>
            </w:pPr>
          </w:p>
          <w:p w:rsidR="007949E1" w:rsidRPr="008A4BCA" w:rsidRDefault="007949E1" w:rsidP="00BB4003">
            <w:pPr>
              <w:spacing w:after="0" w:line="240" w:lineRule="auto"/>
              <w:rPr>
                <w:rFonts w:ascii="Times New Roman" w:hAnsi="Times New Roman"/>
                <w:color w:val="000000"/>
                <w:sz w:val="20"/>
                <w:szCs w:val="20"/>
                <w:lang w:eastAsia="zh-CN"/>
              </w:rPr>
            </w:pPr>
            <w:r w:rsidRPr="008A4BCA">
              <w:rPr>
                <w:rFonts w:ascii="Times New Roman" w:hAnsi="Times New Roman"/>
                <w:color w:val="000000"/>
                <w:sz w:val="20"/>
                <w:szCs w:val="20"/>
                <w:lang w:eastAsia="zh-CN"/>
              </w:rPr>
              <w:t>1.1</w:t>
            </w:r>
            <w:r>
              <w:rPr>
                <w:rFonts w:ascii="Times New Roman" w:hAnsi="Times New Roman"/>
                <w:color w:val="000000"/>
                <w:sz w:val="20"/>
                <w:szCs w:val="20"/>
                <w:lang w:eastAsia="zh-CN"/>
              </w:rPr>
              <w:t>.</w:t>
            </w:r>
            <w:r w:rsidRPr="008A4BCA">
              <w:rPr>
                <w:rFonts w:ascii="Times New Roman" w:hAnsi="Times New Roman"/>
                <w:color w:val="000000"/>
                <w:sz w:val="20"/>
                <w:szCs w:val="20"/>
                <w:lang w:eastAsia="zh-CN"/>
              </w:rPr>
              <w:t xml:space="preserve">3 Green economic development and conservation scenarios(s) for the three RIMBA Clusters agreed by government, business, and civil society stakeholders, with an emphasis on using Forest Management Units (KPH/FMU) as the key strategic tool.  </w:t>
            </w:r>
          </w:p>
          <w:p w:rsidR="007949E1" w:rsidRPr="008A4BCA" w:rsidRDefault="007949E1" w:rsidP="00BB4003">
            <w:pPr>
              <w:spacing w:after="0" w:line="240" w:lineRule="auto"/>
              <w:rPr>
                <w:rFonts w:ascii="Times New Roman" w:hAnsi="Times New Roman"/>
                <w:color w:val="000000"/>
                <w:sz w:val="20"/>
                <w:szCs w:val="20"/>
                <w:lang w:eastAsia="zh-CN"/>
              </w:rPr>
            </w:pPr>
          </w:p>
          <w:p w:rsidR="007949E1" w:rsidRPr="003D3CDF" w:rsidRDefault="007949E1" w:rsidP="00BB4003">
            <w:pPr>
              <w:spacing w:after="0" w:line="240" w:lineRule="auto"/>
              <w:rPr>
                <w:rFonts w:ascii="Times New Roman" w:hAnsi="Times New Roman"/>
                <w:color w:val="000000"/>
                <w:sz w:val="20"/>
                <w:szCs w:val="20"/>
                <w:lang w:eastAsia="zh-CN"/>
              </w:rPr>
            </w:pPr>
            <w:r w:rsidRPr="008A4BCA">
              <w:rPr>
                <w:rFonts w:ascii="Times New Roman" w:hAnsi="Times New Roman"/>
                <w:color w:val="000000"/>
                <w:sz w:val="20"/>
                <w:szCs w:val="20"/>
                <w:lang w:eastAsia="zh-CN"/>
              </w:rPr>
              <w:t>1.1.4 Technical capacity and operational modalities established among government, business, and civil society in the 6 demonstration districts, with more resources applied to creating a Green Economy focused on forest, biodiversity, water, and carbon resources.</w:t>
            </w:r>
            <w:r w:rsidRPr="003D3CDF">
              <w:rPr>
                <w:rFonts w:ascii="Times New Roman" w:hAnsi="Times New Roman"/>
                <w:color w:val="000000"/>
                <w:sz w:val="20"/>
                <w:szCs w:val="20"/>
                <w:lang w:eastAsia="zh-CN"/>
              </w:rPr>
              <w:t xml:space="preserve">  </w:t>
            </w:r>
          </w:p>
        </w:tc>
        <w:tc>
          <w:tcPr>
            <w:tcW w:w="708" w:type="pct"/>
            <w:tcBorders>
              <w:top w:val="single" w:sz="4" w:space="0" w:color="auto"/>
              <w:left w:val="single" w:sz="4" w:space="0" w:color="auto"/>
              <w:bottom w:val="single" w:sz="4" w:space="0" w:color="auto"/>
              <w:right w:val="single" w:sz="4" w:space="0" w:color="auto"/>
            </w:tcBorders>
            <w:shd w:val="clear" w:color="000000" w:fill="FFFFFF"/>
            <w:hideMark/>
          </w:tcPr>
          <w:p w:rsidR="007949E1" w:rsidRPr="00E641FF"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1.1.1 Enhanced understanding, sustained support and formalized governance by government, CSO and business-sector to the RIMBA Green Economy approach (incl. Facilitating Forum on consultation, local government adoption of green economy, conflict resolution and participatory planning)</w:t>
            </w:r>
          </w:p>
          <w:p w:rsidR="007949E1" w:rsidRDefault="007949E1" w:rsidP="00BB4003">
            <w:pPr>
              <w:spacing w:after="0" w:line="240" w:lineRule="auto"/>
              <w:rPr>
                <w:rFonts w:ascii="Times New Roman" w:hAnsi="Times New Roman"/>
                <w:color w:val="000000"/>
                <w:sz w:val="20"/>
                <w:szCs w:val="20"/>
                <w:lang w:eastAsia="zh-CN"/>
              </w:rPr>
            </w:pPr>
          </w:p>
          <w:p w:rsidR="007949E1" w:rsidRPr="00E641FF"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1.1.2 Technical capacity and operational modalities established in the 9 demo districts &amp; governmental agencies - to create a green economy focused on forest, water and carbon resources.</w:t>
            </w:r>
          </w:p>
          <w:p w:rsidR="007949E1" w:rsidRPr="00E641FF"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 xml:space="preserve">1.1.3 Green economic development and conservation scenario(s) agreed, based on an operational GIS-system, natural capital accounting, and the assessed potential for the RIMBA corridor and three demo areas specifically  </w:t>
            </w:r>
          </w:p>
          <w:p w:rsidR="007949E1" w:rsidRDefault="007949E1" w:rsidP="00BB4003">
            <w:pPr>
              <w:spacing w:after="0" w:line="240" w:lineRule="auto"/>
              <w:rPr>
                <w:rFonts w:ascii="Times New Roman" w:hAnsi="Times New Roman"/>
                <w:color w:val="000000"/>
                <w:sz w:val="20"/>
                <w:szCs w:val="20"/>
                <w:lang w:eastAsia="zh-CN"/>
              </w:rPr>
            </w:pPr>
          </w:p>
          <w:p w:rsidR="007949E1" w:rsidRPr="003D3CDF"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1.1.4 Roundtables, Sustainable Production and Consumption (SPC) Agreements and Sustainability Reporting    covering two key forest- and peatland based sectors.</w:t>
            </w:r>
          </w:p>
        </w:tc>
        <w:tc>
          <w:tcPr>
            <w:tcW w:w="712" w:type="pct"/>
            <w:tcBorders>
              <w:top w:val="single" w:sz="4" w:space="0" w:color="auto"/>
              <w:left w:val="single" w:sz="4" w:space="0" w:color="auto"/>
              <w:bottom w:val="single" w:sz="4" w:space="0" w:color="auto"/>
              <w:right w:val="single" w:sz="4" w:space="0" w:color="auto"/>
            </w:tcBorders>
            <w:shd w:val="clear" w:color="000000" w:fill="FFFFFF"/>
          </w:tcPr>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Output 1.1.1 (PIF) split up into ‘institutional 1.1.1. (PD) &amp; ‘communications/attitude change</w:t>
            </w:r>
            <w:r w:rsidR="00461D1E">
              <w:rPr>
                <w:rFonts w:ascii="Times New Roman" w:hAnsi="Times New Roman"/>
                <w:sz w:val="20"/>
                <w:szCs w:val="20"/>
                <w:lang w:eastAsia="zh-CN"/>
              </w:rPr>
              <w:t>’</w:t>
            </w:r>
            <w:r w:rsidRPr="00F65994">
              <w:rPr>
                <w:rFonts w:ascii="Times New Roman" w:hAnsi="Times New Roman"/>
                <w:sz w:val="20"/>
                <w:szCs w:val="20"/>
                <w:lang w:eastAsia="zh-CN"/>
              </w:rPr>
              <w:t xml:space="preserve"> 1.1.2</w:t>
            </w:r>
            <w:r w:rsidR="00461D1E">
              <w:rPr>
                <w:rFonts w:ascii="Times New Roman" w:hAnsi="Times New Roman"/>
                <w:sz w:val="20"/>
                <w:szCs w:val="20"/>
                <w:lang w:eastAsia="zh-CN"/>
              </w:rPr>
              <w:t xml:space="preserve"> </w:t>
            </w:r>
            <w:r w:rsidRPr="00F65994">
              <w:rPr>
                <w:rFonts w:ascii="Times New Roman" w:hAnsi="Times New Roman"/>
                <w:sz w:val="20"/>
                <w:szCs w:val="20"/>
                <w:lang w:eastAsia="zh-CN"/>
              </w:rPr>
              <w:t>(PD) for better targeted programming</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1.1.3 (PD) now focused on three Investment Clusters (instead whole RIMBA corridor), to reduce project scope within resources available (also STAP/GEFEC request)</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 xml:space="preserve">1.1.4 (PIF) on SPC moved to 2.4.2 (PD) as part of on-the-ground mainstreaming of GE practices in 3 Clusters/6 Districts. </w:t>
            </w:r>
          </w:p>
        </w:tc>
      </w:tr>
      <w:tr w:rsidR="007949E1" w:rsidRPr="00D81CF3" w:rsidTr="00302D4A">
        <w:trPr>
          <w:trHeight w:val="1829"/>
        </w:trPr>
        <w:tc>
          <w:tcPr>
            <w:tcW w:w="716" w:type="pct"/>
            <w:tcBorders>
              <w:top w:val="single" w:sz="4" w:space="0" w:color="auto"/>
              <w:left w:val="single" w:sz="8" w:space="0" w:color="auto"/>
              <w:bottom w:val="single" w:sz="4" w:space="0" w:color="auto"/>
              <w:right w:val="single" w:sz="4" w:space="0" w:color="auto"/>
            </w:tcBorders>
            <w:shd w:val="clear" w:color="000000" w:fill="FFFFFF"/>
          </w:tcPr>
          <w:p w:rsidR="007949E1" w:rsidRPr="003D3CDF" w:rsidRDefault="007949E1" w:rsidP="00BB4003">
            <w:pPr>
              <w:spacing w:after="0" w:line="240" w:lineRule="auto"/>
              <w:rPr>
                <w:rFonts w:ascii="Times New Roman" w:hAnsi="Times New Roman"/>
                <w:color w:val="000000"/>
                <w:sz w:val="20"/>
                <w:szCs w:val="20"/>
                <w:lang w:eastAsia="zh-CN"/>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3D3CDF" w:rsidRDefault="007949E1" w:rsidP="00BB4003">
            <w:pPr>
              <w:spacing w:after="0" w:line="240" w:lineRule="auto"/>
              <w:rPr>
                <w:rFonts w:ascii="Times New Roman" w:hAnsi="Times New Roman"/>
                <w:color w:val="000000"/>
                <w:sz w:val="20"/>
                <w:szCs w:val="20"/>
                <w:lang w:eastAsia="zh-CN"/>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8A4BCA" w:rsidRDefault="007949E1" w:rsidP="00BB4003">
            <w:pPr>
              <w:spacing w:after="0" w:line="240" w:lineRule="auto"/>
              <w:rPr>
                <w:rFonts w:ascii="Times New Roman" w:hAnsi="Times New Roman"/>
                <w:b/>
                <w:sz w:val="20"/>
                <w:szCs w:val="20"/>
              </w:rPr>
            </w:pPr>
            <w:r w:rsidRPr="008A4BCA">
              <w:rPr>
                <w:rFonts w:ascii="Times New Roman" w:hAnsi="Times New Roman"/>
                <w:b/>
                <w:sz w:val="20"/>
                <w:szCs w:val="20"/>
              </w:rPr>
              <w:t>1.2 The Green Economy approach to management of the RIMBA Corridor is institutionalized in a new RIMBA Management Agency (RMA).</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3D3CDF"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1.2 Green economy approach to RIMBA institutionalized and replicated through policy reforms, investments and programmes</w:t>
            </w:r>
          </w:p>
        </w:tc>
        <w:tc>
          <w:tcPr>
            <w:tcW w:w="716" w:type="pct"/>
            <w:tcBorders>
              <w:top w:val="single" w:sz="4" w:space="0" w:color="auto"/>
              <w:left w:val="nil"/>
              <w:bottom w:val="single" w:sz="4" w:space="0" w:color="auto"/>
              <w:right w:val="single" w:sz="8" w:space="0" w:color="auto"/>
            </w:tcBorders>
            <w:shd w:val="clear" w:color="000000" w:fill="FFFFFF"/>
          </w:tcPr>
          <w:p w:rsidR="007949E1"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1.2.1 </w:t>
            </w:r>
            <w:r w:rsidRPr="003D3CDF">
              <w:rPr>
                <w:rFonts w:ascii="Times New Roman" w:hAnsi="Times New Roman"/>
                <w:color w:val="000000"/>
                <w:sz w:val="20"/>
                <w:szCs w:val="20"/>
                <w:lang w:eastAsia="zh-CN"/>
              </w:rPr>
              <w:t>The Sumatra Island Spatial Plan, as described in Presidential Decree 13/2012, has been amended to refine the boundaries of the RIMBA Corridor, based on new knowledge related to Green Economy, and has been declared a  national strategic area.</w:t>
            </w:r>
          </w:p>
          <w:p w:rsidR="007949E1" w:rsidRPr="003D3CDF" w:rsidRDefault="007949E1" w:rsidP="00BB4003">
            <w:pPr>
              <w:spacing w:after="0" w:line="240" w:lineRule="auto"/>
              <w:rPr>
                <w:rFonts w:ascii="Times New Roman" w:hAnsi="Times New Roman"/>
                <w:color w:val="000000"/>
                <w:sz w:val="20"/>
                <w:szCs w:val="20"/>
                <w:lang w:eastAsia="zh-CN"/>
              </w:rPr>
            </w:pPr>
          </w:p>
          <w:p w:rsidR="007949E1"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1.2.2 </w:t>
            </w:r>
            <w:r w:rsidRPr="003D3CDF">
              <w:rPr>
                <w:rFonts w:ascii="Times New Roman" w:hAnsi="Times New Roman"/>
                <w:color w:val="000000"/>
                <w:sz w:val="20"/>
                <w:szCs w:val="20"/>
                <w:lang w:eastAsia="zh-CN"/>
              </w:rPr>
              <w:t>National and regional government, and other partners contributing to an institutionalised RIMBA Management Agency, have formally committed to harmonize their forward planning priorities, policies and financial contributions, to ensure sustainable and coordinated support for the agency’s activities.</w:t>
            </w:r>
          </w:p>
          <w:p w:rsidR="007949E1" w:rsidRPr="003D3CDF" w:rsidRDefault="007949E1" w:rsidP="00BB4003">
            <w:pPr>
              <w:spacing w:after="0" w:line="240" w:lineRule="auto"/>
              <w:rPr>
                <w:rFonts w:ascii="Times New Roman" w:hAnsi="Times New Roman"/>
                <w:color w:val="000000"/>
                <w:sz w:val="20"/>
                <w:szCs w:val="20"/>
                <w:lang w:eastAsia="zh-CN"/>
              </w:rPr>
            </w:pPr>
          </w:p>
          <w:p w:rsidR="007949E1" w:rsidRPr="003D3CD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1.2.3 </w:t>
            </w:r>
            <w:r w:rsidRPr="003D3CDF">
              <w:rPr>
                <w:rFonts w:ascii="Times New Roman" w:hAnsi="Times New Roman"/>
                <w:color w:val="000000"/>
                <w:sz w:val="20"/>
                <w:szCs w:val="20"/>
                <w:lang w:eastAsia="zh-CN"/>
              </w:rPr>
              <w:t>A Small Grants Programme is established to enable Green Economy activities to be undertaken by local stakeholders including women and indigenous communities.</w:t>
            </w:r>
          </w:p>
        </w:tc>
        <w:tc>
          <w:tcPr>
            <w:tcW w:w="708" w:type="pct"/>
            <w:tcBorders>
              <w:top w:val="single" w:sz="4" w:space="0" w:color="auto"/>
              <w:left w:val="single" w:sz="4" w:space="0" w:color="auto"/>
              <w:bottom w:val="single" w:sz="4" w:space="0" w:color="auto"/>
              <w:right w:val="single" w:sz="8" w:space="0" w:color="auto"/>
            </w:tcBorders>
            <w:shd w:val="clear" w:color="000000" w:fill="FFFFFF"/>
          </w:tcPr>
          <w:p w:rsidR="007949E1"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1.2.1 Modifications to land use, forestry and financial policies and associated budgets of government institutions that will lead to replication of the GE approach, the targeting of degraded land and strengthening RIMBA connectivity</w:t>
            </w:r>
          </w:p>
          <w:p w:rsidR="007949E1" w:rsidRPr="00E641FF" w:rsidRDefault="007949E1" w:rsidP="00BB4003">
            <w:pPr>
              <w:spacing w:after="0" w:line="240" w:lineRule="auto"/>
              <w:rPr>
                <w:rFonts w:ascii="Times New Roman" w:hAnsi="Times New Roman"/>
                <w:color w:val="000000"/>
                <w:sz w:val="20"/>
                <w:szCs w:val="20"/>
                <w:lang w:eastAsia="zh-CN"/>
              </w:rPr>
            </w:pPr>
          </w:p>
          <w:p w:rsidR="007949E1"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1.2.2 REDD+ Readiness, Schemes and MRV established in two Jambi Districts.</w:t>
            </w:r>
          </w:p>
          <w:p w:rsidR="007949E1" w:rsidRPr="00E641FF" w:rsidRDefault="007949E1" w:rsidP="00BB4003">
            <w:pPr>
              <w:spacing w:after="0" w:line="240" w:lineRule="auto"/>
              <w:rPr>
                <w:rFonts w:ascii="Times New Roman" w:hAnsi="Times New Roman"/>
                <w:color w:val="000000"/>
                <w:sz w:val="20"/>
                <w:szCs w:val="20"/>
                <w:lang w:eastAsia="zh-CN"/>
              </w:rPr>
            </w:pPr>
          </w:p>
          <w:p w:rsidR="007949E1"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1.2.3 Two Payment for Water Services Schemes (PWS) – operational, w. formalized partnership &amp; payment mechanisms, and ‘FSC certified’ evidence-base established on forest, water and financial benefits (linked to 3.1 investment sites)</w:t>
            </w:r>
          </w:p>
          <w:p w:rsidR="007949E1" w:rsidRPr="00E641FF" w:rsidRDefault="007949E1" w:rsidP="00BB4003">
            <w:pPr>
              <w:spacing w:after="0" w:line="240" w:lineRule="auto"/>
              <w:rPr>
                <w:rFonts w:ascii="Times New Roman" w:hAnsi="Times New Roman"/>
                <w:color w:val="000000"/>
                <w:sz w:val="20"/>
                <w:szCs w:val="20"/>
                <w:lang w:eastAsia="zh-CN"/>
              </w:rPr>
            </w:pPr>
          </w:p>
          <w:p w:rsidR="007949E1"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1.2.4 The reactivated Sumatra Trust Fund for biodiversity conservation.</w:t>
            </w:r>
          </w:p>
          <w:p w:rsidR="007949E1" w:rsidRPr="00E641FF" w:rsidRDefault="007949E1" w:rsidP="00BB4003">
            <w:pPr>
              <w:spacing w:after="0" w:line="240" w:lineRule="auto"/>
              <w:rPr>
                <w:rFonts w:ascii="Times New Roman" w:hAnsi="Times New Roman"/>
                <w:color w:val="000000"/>
                <w:sz w:val="20"/>
                <w:szCs w:val="20"/>
                <w:lang w:eastAsia="zh-CN"/>
              </w:rPr>
            </w:pPr>
          </w:p>
          <w:p w:rsidR="007949E1" w:rsidRPr="003D3CDF" w:rsidRDefault="007949E1" w:rsidP="00BB4003">
            <w:pPr>
              <w:spacing w:after="0" w:line="240" w:lineRule="auto"/>
              <w:rPr>
                <w:rFonts w:ascii="Times New Roman" w:hAnsi="Times New Roman"/>
                <w:color w:val="000000"/>
                <w:sz w:val="20"/>
                <w:szCs w:val="20"/>
                <w:lang w:eastAsia="zh-CN"/>
              </w:rPr>
            </w:pPr>
            <w:r w:rsidRPr="00E641FF">
              <w:rPr>
                <w:rFonts w:ascii="Times New Roman" w:hAnsi="Times New Roman"/>
                <w:color w:val="000000"/>
                <w:sz w:val="20"/>
                <w:szCs w:val="20"/>
                <w:lang w:eastAsia="zh-CN"/>
              </w:rPr>
              <w:t>1.2.5 Formal proposal to strengthen the RIMBA corridor and replication of best GE practices to at least 4 other districts, as well as 1 other private sector.</w:t>
            </w:r>
          </w:p>
        </w:tc>
        <w:tc>
          <w:tcPr>
            <w:tcW w:w="712" w:type="pct"/>
            <w:tcBorders>
              <w:top w:val="single" w:sz="4" w:space="0" w:color="auto"/>
              <w:left w:val="single" w:sz="4" w:space="0" w:color="auto"/>
              <w:bottom w:val="single" w:sz="4" w:space="0" w:color="auto"/>
              <w:right w:val="single" w:sz="8" w:space="0" w:color="auto"/>
            </w:tcBorders>
            <w:shd w:val="clear" w:color="000000" w:fill="FFFFFF"/>
          </w:tcPr>
          <w:p w:rsidR="007949E1" w:rsidRPr="00F65994" w:rsidRDefault="00461D1E" w:rsidP="007949E1">
            <w:pPr>
              <w:spacing w:after="0" w:line="240" w:lineRule="auto"/>
              <w:rPr>
                <w:rFonts w:ascii="Times New Roman" w:hAnsi="Times New Roman"/>
                <w:sz w:val="20"/>
                <w:szCs w:val="20"/>
                <w:lang w:eastAsia="zh-CN"/>
              </w:rPr>
            </w:pPr>
            <w:r>
              <w:rPr>
                <w:rFonts w:ascii="Times New Roman" w:hAnsi="Times New Roman"/>
                <w:sz w:val="20"/>
                <w:szCs w:val="20"/>
                <w:lang w:eastAsia="zh-CN"/>
              </w:rPr>
              <w:t>1</w:t>
            </w:r>
            <w:r w:rsidR="007949E1" w:rsidRPr="00F65994">
              <w:rPr>
                <w:rFonts w:ascii="Times New Roman" w:hAnsi="Times New Roman"/>
                <w:sz w:val="20"/>
                <w:szCs w:val="20"/>
                <w:lang w:eastAsia="zh-CN"/>
              </w:rPr>
              <w:t>.2.1 (PIF) moved to 2.4.1 (PD) in line with reduced scope, focus on 3 Clusters, mainstreaming of GE under 2.4 (PD)</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 xml:space="preserve">1.2.2 (PIF) merged with Investment Cluster program under 2.2 (PD) &amp; modified to peatland restoration (for even greater C-benefit). REDD+ Readiness is already being provided by other initiatives in Jambi (UNORCID) or nationally (UN-REDD) under this cluster program; yet REDD+ as </w:t>
            </w:r>
            <w:r w:rsidR="00461D1E" w:rsidRPr="00F65994">
              <w:rPr>
                <w:rFonts w:ascii="Times New Roman" w:hAnsi="Times New Roman"/>
                <w:sz w:val="20"/>
                <w:szCs w:val="20"/>
                <w:lang w:eastAsia="zh-CN"/>
              </w:rPr>
              <w:t>an</w:t>
            </w:r>
            <w:r w:rsidRPr="00F65994">
              <w:rPr>
                <w:rFonts w:ascii="Times New Roman" w:hAnsi="Times New Roman"/>
                <w:sz w:val="20"/>
                <w:szCs w:val="20"/>
                <w:lang w:eastAsia="zh-CN"/>
              </w:rPr>
              <w:t xml:space="preserve"> approach is still incorporated targeting C be</w:t>
            </w:r>
            <w:r w:rsidR="00461D1E">
              <w:rPr>
                <w:rFonts w:ascii="Times New Roman" w:hAnsi="Times New Roman"/>
                <w:sz w:val="20"/>
                <w:szCs w:val="20"/>
                <w:lang w:eastAsia="zh-CN"/>
              </w:rPr>
              <w:t>ne</w:t>
            </w:r>
            <w:r w:rsidRPr="00F65994">
              <w:rPr>
                <w:rFonts w:ascii="Times New Roman" w:hAnsi="Times New Roman"/>
                <w:sz w:val="20"/>
                <w:szCs w:val="20"/>
                <w:lang w:eastAsia="zh-CN"/>
              </w:rPr>
              <w:t xml:space="preserve">fits through restoring </w:t>
            </w:r>
            <w:r w:rsidR="00B863E7">
              <w:rPr>
                <w:rFonts w:ascii="Times New Roman" w:hAnsi="Times New Roman"/>
                <w:sz w:val="20"/>
                <w:szCs w:val="20"/>
                <w:lang w:eastAsia="zh-CN"/>
              </w:rPr>
              <w:t>the hydrology of peatlands</w:t>
            </w:r>
            <w:r w:rsidRPr="00F65994">
              <w:rPr>
                <w:rFonts w:ascii="Times New Roman" w:hAnsi="Times New Roman"/>
                <w:sz w:val="20"/>
                <w:szCs w:val="20"/>
                <w:lang w:eastAsia="zh-CN"/>
              </w:rPr>
              <w:t>). MRV system in Indonesia is of national not provincial scale (and as such cannot be supported by RIMBA project). Carbon benefit monitoring system for Cluster III is now part of the impact monitoring system of 3.1.2 (PD).</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PWS 1.2.3. (PIF) has been merged with Investment Cluster III program under 2.3 (PD) to be better align with needed reforestation &amp; forest protection activities through enhanced community engagement combined with welfare support through e.g. renewable energy investments.</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On the same 1.2.3 (PIF regarding FSC certification; which is now part of 2.1 (PD) Cluster I program towards sustainable forest management in one of the FMU units included.</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Sumatra Trust Fund for conservation 1.2.4  (PIF) deemed not feasible for reactivation; yet replaced with 1.2.3 (PD) small grants scheme through cash co-funding sources (MCA-I &amp; TFCA fund)</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1.2.5 (PIF) strengthened by splitting up into two specific outputs 1.2.1 (PD) &amp; 1.2.2 (PD) which will revise, formalize as well as institutionalize future GE programs and investments in the entire RIMBA corridor.</w:t>
            </w:r>
          </w:p>
        </w:tc>
      </w:tr>
      <w:tr w:rsidR="007949E1" w:rsidRPr="00D81CF3" w:rsidTr="00302D4A">
        <w:trPr>
          <w:trHeight w:val="2538"/>
        </w:trPr>
        <w:tc>
          <w:tcPr>
            <w:tcW w:w="716" w:type="pct"/>
            <w:tcBorders>
              <w:top w:val="single" w:sz="4" w:space="0" w:color="auto"/>
              <w:left w:val="single" w:sz="8" w:space="0" w:color="auto"/>
              <w:bottom w:val="single" w:sz="4" w:space="0" w:color="auto"/>
              <w:right w:val="single" w:sz="4" w:space="0" w:color="auto"/>
            </w:tcBorders>
            <w:shd w:val="clear" w:color="000000" w:fill="FFFFFF"/>
          </w:tcPr>
          <w:p w:rsidR="007949E1" w:rsidRPr="008B5632" w:rsidRDefault="007949E1" w:rsidP="00BB4003">
            <w:pPr>
              <w:spacing w:after="0" w:line="240" w:lineRule="auto"/>
              <w:rPr>
                <w:rFonts w:ascii="Times New Roman" w:hAnsi="Times New Roman"/>
                <w:b/>
                <w:color w:val="000000"/>
                <w:sz w:val="20"/>
                <w:szCs w:val="20"/>
                <w:lang w:eastAsia="zh-CN"/>
              </w:rPr>
            </w:pPr>
            <w:r w:rsidRPr="008B5632">
              <w:rPr>
                <w:rFonts w:ascii="Times New Roman" w:hAnsi="Times New Roman"/>
                <w:b/>
                <w:sz w:val="20"/>
                <w:szCs w:val="20"/>
              </w:rPr>
              <w:t>2. The practical demonstration to government, business and civil society partners of Green Economic Development to deliver Sustainable Outcomes which enhance the natural capital of water, carbon and biodiversity provided by forests in the RIMBA Corridor.</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6701B6" w:rsidRDefault="007949E1" w:rsidP="00BB4003">
            <w:pPr>
              <w:spacing w:after="0" w:line="240" w:lineRule="auto"/>
              <w:rPr>
                <w:rFonts w:ascii="Times New Roman" w:hAnsi="Times New Roman"/>
                <w:bCs/>
                <w:sz w:val="20"/>
                <w:szCs w:val="20"/>
              </w:rPr>
            </w:pPr>
            <w:r>
              <w:rPr>
                <w:rFonts w:ascii="Times New Roman" w:hAnsi="Times New Roman"/>
                <w:bCs/>
                <w:sz w:val="20"/>
                <w:szCs w:val="20"/>
              </w:rPr>
              <w:t>2.</w:t>
            </w:r>
            <w:r w:rsidRPr="006701B6">
              <w:rPr>
                <w:rFonts w:ascii="Times New Roman" w:hAnsi="Times New Roman"/>
                <w:bCs/>
                <w:sz w:val="20"/>
                <w:szCs w:val="20"/>
              </w:rPr>
              <w:t xml:space="preserve"> Large-scale demonstration of the RIMBA Green Economy for forests -  water, carbon and biodiversity</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3D3CDF" w:rsidRDefault="007949E1" w:rsidP="004F4C97">
            <w:pPr>
              <w:spacing w:after="0" w:line="240" w:lineRule="auto"/>
              <w:rPr>
                <w:rFonts w:ascii="Times New Roman" w:hAnsi="Times New Roman"/>
                <w:sz w:val="20"/>
                <w:szCs w:val="20"/>
              </w:rPr>
            </w:pPr>
            <w:r w:rsidRPr="008B5632">
              <w:rPr>
                <w:rFonts w:ascii="Times New Roman" w:hAnsi="Times New Roman"/>
                <w:b/>
                <w:sz w:val="20"/>
                <w:szCs w:val="20"/>
              </w:rPr>
              <w:t xml:space="preserve">2.1 </w:t>
            </w:r>
            <w:r>
              <w:rPr>
                <w:rFonts w:ascii="Times New Roman" w:hAnsi="Times New Roman"/>
                <w:b/>
                <w:sz w:val="20"/>
                <w:szCs w:val="20"/>
                <w:lang w:val="id-ID"/>
              </w:rPr>
              <w:t xml:space="preserve">Cluster 1: </w:t>
            </w:r>
            <w:r w:rsidRPr="008B5632">
              <w:rPr>
                <w:rFonts w:ascii="Times New Roman" w:hAnsi="Times New Roman"/>
                <w:b/>
                <w:sz w:val="20"/>
                <w:szCs w:val="20"/>
              </w:rPr>
              <w:t xml:space="preserve">Forested wildlife corridors have been strengthened through investment which implements FMU management plans, encourages public/private collaboration, and creates green jobs </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6701B6" w:rsidRDefault="007949E1" w:rsidP="00BB4003">
            <w:pPr>
              <w:spacing w:after="0" w:line="240" w:lineRule="auto"/>
              <w:rPr>
                <w:rFonts w:ascii="Times New Roman" w:hAnsi="Times New Roman"/>
                <w:bCs/>
                <w:sz w:val="20"/>
                <w:szCs w:val="20"/>
              </w:rPr>
            </w:pPr>
            <w:r w:rsidRPr="006701B6">
              <w:rPr>
                <w:rFonts w:ascii="Times New Roman" w:hAnsi="Times New Roman"/>
                <w:bCs/>
                <w:sz w:val="20"/>
                <w:szCs w:val="20"/>
              </w:rPr>
              <w:t>2.1 Viability and replicability of  investing in RIMBA forests and its natural capital demonstrated for nine districts – by targeting three distinct GE development scenarios</w:t>
            </w:r>
          </w:p>
        </w:tc>
        <w:tc>
          <w:tcPr>
            <w:tcW w:w="716" w:type="pct"/>
            <w:tcBorders>
              <w:top w:val="single" w:sz="4" w:space="0" w:color="auto"/>
              <w:left w:val="nil"/>
              <w:bottom w:val="single" w:sz="4" w:space="0" w:color="auto"/>
              <w:right w:val="single" w:sz="8" w:space="0" w:color="auto"/>
            </w:tcBorders>
            <w:shd w:val="clear" w:color="000000" w:fill="FFFFFF"/>
          </w:tcPr>
          <w:p w:rsidR="007949E1" w:rsidRPr="003D3CD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2.1.1 </w:t>
            </w:r>
            <w:r w:rsidRPr="003D3CDF">
              <w:rPr>
                <w:rFonts w:ascii="Times New Roman" w:hAnsi="Times New Roman"/>
                <w:color w:val="000000"/>
                <w:sz w:val="20"/>
                <w:szCs w:val="20"/>
                <w:lang w:eastAsia="zh-CN"/>
              </w:rPr>
              <w:t>Forest Management Units operating in Cluster 1 have been established supporting operational/business planning over state forest and identifying best management practices (e.g., forest restoration, land-swaps, PES, creation of green jobs, ) that lead to at least 5000 ha under SFM</w:t>
            </w:r>
          </w:p>
          <w:p w:rsidR="007949E1" w:rsidRDefault="007949E1" w:rsidP="00BB4003">
            <w:pPr>
              <w:spacing w:after="0" w:line="240" w:lineRule="auto"/>
              <w:rPr>
                <w:rFonts w:ascii="Times New Roman" w:hAnsi="Times New Roman"/>
                <w:color w:val="000000"/>
                <w:sz w:val="20"/>
                <w:szCs w:val="20"/>
                <w:lang w:eastAsia="zh-CN"/>
              </w:rPr>
            </w:pPr>
          </w:p>
          <w:p w:rsidR="007949E1" w:rsidRPr="003D3CD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2.1.2 </w:t>
            </w:r>
            <w:r w:rsidRPr="003D3CDF">
              <w:rPr>
                <w:rFonts w:ascii="Times New Roman" w:hAnsi="Times New Roman"/>
                <w:color w:val="000000"/>
                <w:sz w:val="20"/>
                <w:szCs w:val="20"/>
                <w:lang w:eastAsia="zh-CN"/>
              </w:rPr>
              <w:t>Participatory Land Use Planning techniques (PLUP) have been used to resolve conflicts among stakeholders to manage encroachment and provide guidance for reforestation, relocation, and sustainable forest management practice.</w:t>
            </w:r>
          </w:p>
          <w:p w:rsidR="007949E1" w:rsidRDefault="007949E1" w:rsidP="00BB4003">
            <w:pPr>
              <w:spacing w:after="0" w:line="240" w:lineRule="auto"/>
              <w:rPr>
                <w:rFonts w:ascii="Times New Roman" w:hAnsi="Times New Roman"/>
                <w:color w:val="000000"/>
                <w:sz w:val="20"/>
                <w:szCs w:val="20"/>
                <w:lang w:eastAsia="zh-CN"/>
              </w:rPr>
            </w:pPr>
          </w:p>
          <w:p w:rsidR="007949E1" w:rsidRPr="003D3CD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2.1.3 </w:t>
            </w:r>
            <w:r w:rsidRPr="0015230E">
              <w:rPr>
                <w:rFonts w:ascii="Times New Roman" w:hAnsi="Times New Roman"/>
                <w:sz w:val="20"/>
                <w:szCs w:val="20"/>
              </w:rPr>
              <w:t>An Involuntary Resettlement Plan, in accordance with IFC Safeguards, has been implemented in collaboration with the Bukit Batabuh Protection Forest FMU to relocate the estimated 100 households illegally located within Protection Forest</w:t>
            </w:r>
          </w:p>
          <w:p w:rsidR="007949E1" w:rsidRDefault="007949E1" w:rsidP="00BB4003">
            <w:pPr>
              <w:spacing w:after="0" w:line="240" w:lineRule="auto"/>
              <w:rPr>
                <w:rFonts w:ascii="Times New Roman" w:hAnsi="Times New Roman"/>
                <w:color w:val="000000"/>
                <w:sz w:val="20"/>
                <w:szCs w:val="20"/>
                <w:lang w:eastAsia="zh-CN"/>
              </w:rPr>
            </w:pPr>
          </w:p>
          <w:p w:rsidR="007949E1" w:rsidRPr="003D3CD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2.1.4 </w:t>
            </w:r>
            <w:r w:rsidRPr="0015230E">
              <w:rPr>
                <w:rFonts w:ascii="Times New Roman" w:hAnsi="Times New Roman"/>
                <w:sz w:val="20"/>
                <w:szCs w:val="20"/>
              </w:rPr>
              <w:t>Wildlife corridors have been consolidated by enhanced habitat connectivity through the revegetation of 1200 ha and the implementation of engineered road eco-designs for provincial transport infrastructure</w:t>
            </w:r>
          </w:p>
        </w:tc>
        <w:tc>
          <w:tcPr>
            <w:tcW w:w="708" w:type="pct"/>
            <w:tcBorders>
              <w:top w:val="single" w:sz="4" w:space="0" w:color="auto"/>
              <w:left w:val="single" w:sz="4" w:space="0" w:color="auto"/>
              <w:bottom w:val="single" w:sz="4" w:space="0" w:color="auto"/>
              <w:right w:val="single" w:sz="8" w:space="0" w:color="auto"/>
            </w:tcBorders>
            <w:shd w:val="clear" w:color="000000" w:fill="FFFFFF"/>
          </w:tcPr>
          <w:p w:rsidR="007949E1" w:rsidRPr="006701B6" w:rsidRDefault="007949E1" w:rsidP="00BB4003">
            <w:pPr>
              <w:spacing w:after="0" w:line="240" w:lineRule="auto"/>
              <w:rPr>
                <w:rFonts w:ascii="Times New Roman" w:hAnsi="Times New Roman"/>
                <w:color w:val="000000"/>
                <w:sz w:val="20"/>
                <w:szCs w:val="20"/>
                <w:lang w:eastAsia="zh-CN"/>
              </w:rPr>
            </w:pPr>
            <w:r w:rsidRPr="006701B6">
              <w:rPr>
                <w:rFonts w:ascii="Times New Roman" w:hAnsi="Times New Roman"/>
                <w:color w:val="000000"/>
                <w:sz w:val="20"/>
                <w:szCs w:val="20"/>
                <w:lang w:eastAsia="zh-CN"/>
              </w:rPr>
              <w:t>2.1.1 Nine District Socio-Economic Plans (RP-JMD) and nine District Spatial Plans (of three demo sites) formally re-aligned to protect and maximise land and ecosystem service values and to respect agreed green economy targets (drawing from the work under Outcome 1.1).</w:t>
            </w:r>
          </w:p>
          <w:p w:rsidR="007949E1" w:rsidRDefault="007949E1" w:rsidP="00BB4003">
            <w:pPr>
              <w:spacing w:after="0" w:line="240" w:lineRule="auto"/>
              <w:rPr>
                <w:rFonts w:ascii="Times New Roman" w:hAnsi="Times New Roman"/>
                <w:color w:val="000000"/>
                <w:sz w:val="20"/>
                <w:szCs w:val="20"/>
                <w:lang w:eastAsia="zh-CN"/>
              </w:rPr>
            </w:pPr>
          </w:p>
          <w:p w:rsidR="007949E1" w:rsidRPr="006701B6" w:rsidRDefault="007949E1" w:rsidP="00BB4003">
            <w:pPr>
              <w:spacing w:after="0" w:line="240" w:lineRule="auto"/>
              <w:rPr>
                <w:rFonts w:ascii="Times New Roman" w:hAnsi="Times New Roman"/>
                <w:color w:val="000000"/>
                <w:sz w:val="20"/>
                <w:szCs w:val="20"/>
                <w:lang w:eastAsia="zh-CN"/>
              </w:rPr>
            </w:pPr>
            <w:r w:rsidRPr="006701B6">
              <w:rPr>
                <w:rFonts w:ascii="Times New Roman" w:hAnsi="Times New Roman"/>
                <w:color w:val="000000"/>
                <w:sz w:val="20"/>
                <w:szCs w:val="20"/>
                <w:lang w:eastAsia="zh-CN"/>
              </w:rPr>
              <w:t>2.1.</w:t>
            </w:r>
            <w:r>
              <w:rPr>
                <w:rFonts w:ascii="Times New Roman" w:hAnsi="Times New Roman"/>
                <w:color w:val="000000"/>
                <w:sz w:val="20"/>
                <w:szCs w:val="20"/>
                <w:lang w:eastAsia="zh-CN"/>
              </w:rPr>
              <w:t>2</w:t>
            </w:r>
            <w:r w:rsidRPr="006701B6">
              <w:rPr>
                <w:rFonts w:ascii="Times New Roman" w:hAnsi="Times New Roman"/>
                <w:color w:val="000000"/>
                <w:sz w:val="20"/>
                <w:szCs w:val="20"/>
                <w:lang w:eastAsia="zh-CN"/>
              </w:rPr>
              <w:t>. Investment 1: Strengthen forested wildlife corridors through enhanced spatial allocation, innovative forest-based interventions and financial incentives in the Dharmasraya/Kuantan Singingi/Tebo nexus.</w:t>
            </w:r>
          </w:p>
          <w:p w:rsidR="007949E1" w:rsidRDefault="007949E1" w:rsidP="00BB4003">
            <w:pPr>
              <w:spacing w:after="0" w:line="240" w:lineRule="auto"/>
              <w:rPr>
                <w:rFonts w:ascii="Times New Roman" w:hAnsi="Times New Roman"/>
                <w:color w:val="000000"/>
                <w:sz w:val="20"/>
                <w:szCs w:val="20"/>
                <w:lang w:eastAsia="zh-CN"/>
              </w:rPr>
            </w:pPr>
          </w:p>
          <w:p w:rsidR="007949E1" w:rsidRPr="006701B6" w:rsidRDefault="007949E1" w:rsidP="00BB4003">
            <w:pPr>
              <w:spacing w:after="0" w:line="240" w:lineRule="auto"/>
              <w:rPr>
                <w:rFonts w:ascii="Times New Roman" w:hAnsi="Times New Roman"/>
                <w:color w:val="000000"/>
                <w:sz w:val="20"/>
                <w:szCs w:val="20"/>
                <w:lang w:eastAsia="zh-CN"/>
              </w:rPr>
            </w:pPr>
            <w:r w:rsidRPr="006701B6">
              <w:rPr>
                <w:rFonts w:ascii="Times New Roman" w:hAnsi="Times New Roman"/>
                <w:color w:val="000000"/>
                <w:sz w:val="20"/>
                <w:szCs w:val="20"/>
                <w:lang w:eastAsia="zh-CN"/>
              </w:rPr>
              <w:t>2.1.</w:t>
            </w:r>
            <w:r>
              <w:rPr>
                <w:rFonts w:ascii="Times New Roman" w:hAnsi="Times New Roman"/>
                <w:color w:val="000000"/>
                <w:sz w:val="20"/>
                <w:szCs w:val="20"/>
                <w:lang w:eastAsia="zh-CN"/>
              </w:rPr>
              <w:t>3</w:t>
            </w:r>
            <w:r w:rsidRPr="006701B6">
              <w:rPr>
                <w:rFonts w:ascii="Times New Roman" w:hAnsi="Times New Roman"/>
                <w:color w:val="000000"/>
                <w:sz w:val="20"/>
                <w:szCs w:val="20"/>
                <w:lang w:eastAsia="zh-CN"/>
              </w:rPr>
              <w:t xml:space="preserve"> Investment 2: Applying BMP/SPC practices to the protection and restoration of critical peatland and forests in the Tanjung Jabung Timur and Muaro Jambi nexus.</w:t>
            </w:r>
          </w:p>
          <w:p w:rsidR="007949E1" w:rsidRDefault="007949E1" w:rsidP="00BB4003">
            <w:pPr>
              <w:spacing w:after="0" w:line="240" w:lineRule="auto"/>
              <w:rPr>
                <w:rFonts w:ascii="Times New Roman" w:hAnsi="Times New Roman"/>
                <w:color w:val="000000"/>
                <w:sz w:val="20"/>
                <w:szCs w:val="20"/>
                <w:lang w:eastAsia="zh-CN"/>
              </w:rPr>
            </w:pPr>
          </w:p>
          <w:p w:rsidR="007949E1" w:rsidRPr="006701B6" w:rsidRDefault="007949E1" w:rsidP="00BB4003">
            <w:pPr>
              <w:spacing w:after="0" w:line="240" w:lineRule="auto"/>
              <w:rPr>
                <w:rFonts w:ascii="Times New Roman" w:hAnsi="Times New Roman"/>
                <w:color w:val="000000"/>
                <w:sz w:val="20"/>
                <w:szCs w:val="20"/>
                <w:lang w:eastAsia="zh-CN"/>
              </w:rPr>
            </w:pPr>
            <w:r w:rsidRPr="006701B6">
              <w:rPr>
                <w:rFonts w:ascii="Times New Roman" w:hAnsi="Times New Roman"/>
                <w:color w:val="000000"/>
                <w:sz w:val="20"/>
                <w:szCs w:val="20"/>
                <w:lang w:eastAsia="zh-CN"/>
              </w:rPr>
              <w:t>2.1.</w:t>
            </w:r>
            <w:r>
              <w:rPr>
                <w:rFonts w:ascii="Times New Roman" w:hAnsi="Times New Roman"/>
                <w:color w:val="000000"/>
                <w:sz w:val="20"/>
                <w:szCs w:val="20"/>
                <w:lang w:eastAsia="zh-CN"/>
              </w:rPr>
              <w:t>4</w:t>
            </w:r>
            <w:r w:rsidRPr="006701B6">
              <w:rPr>
                <w:rFonts w:ascii="Times New Roman" w:hAnsi="Times New Roman"/>
                <w:color w:val="000000"/>
                <w:sz w:val="20"/>
                <w:szCs w:val="20"/>
                <w:lang w:eastAsia="zh-CN"/>
              </w:rPr>
              <w:t xml:space="preserve"> Investment 3:  Reversing deforestation in critical upland watersheds through transformational change for local economic development along the Kerinci and Merangin District nexus.</w:t>
            </w:r>
          </w:p>
        </w:tc>
        <w:tc>
          <w:tcPr>
            <w:tcW w:w="712" w:type="pct"/>
            <w:tcBorders>
              <w:top w:val="single" w:sz="4" w:space="0" w:color="auto"/>
              <w:left w:val="single" w:sz="4" w:space="0" w:color="auto"/>
              <w:bottom w:val="single" w:sz="4" w:space="0" w:color="auto"/>
              <w:right w:val="single" w:sz="8" w:space="0" w:color="auto"/>
            </w:tcBorders>
            <w:shd w:val="clear" w:color="000000" w:fill="FFFFFF"/>
          </w:tcPr>
          <w:p w:rsidR="007949E1" w:rsidRPr="00F65994" w:rsidRDefault="007949E1" w:rsidP="007949E1">
            <w:pPr>
              <w:spacing w:after="0" w:line="240" w:lineRule="auto"/>
              <w:rPr>
                <w:rFonts w:ascii="Times New Roman" w:hAnsi="Times New Roman"/>
                <w:i/>
                <w:iCs/>
                <w:sz w:val="20"/>
                <w:szCs w:val="20"/>
                <w:lang w:eastAsia="zh-CN"/>
              </w:rPr>
            </w:pPr>
            <w:r w:rsidRPr="00F65994">
              <w:rPr>
                <w:rFonts w:ascii="Times New Roman" w:hAnsi="Times New Roman"/>
                <w:i/>
                <w:iCs/>
                <w:sz w:val="20"/>
                <w:szCs w:val="20"/>
                <w:lang w:eastAsia="zh-CN"/>
              </w:rPr>
              <w:t>General:</w:t>
            </w: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 xml:space="preserve">Outcome 2.1 (PIF) has been split into three new PD Outcomes specific for each of the three Investment Clusters. This will enable better measurement of impact through the M&amp;E system of Comp 3.1. </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Cluster programs have now be fully integrated as increment to the baseline program &amp; investments by government on the national Forest Management Units (FMU) program; which is a strong guarantee for District-based sustainability and replication as well as co-funding.</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Additionally whilst in PIF each Cluster had just one Output; these have now been specified into multiple and specific outputs in PD, with measurable targets where applicable. This will also enhance programming and measurement of impact.</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i/>
                <w:iCs/>
                <w:sz w:val="20"/>
                <w:szCs w:val="20"/>
                <w:lang w:eastAsia="zh-CN"/>
              </w:rPr>
            </w:pPr>
            <w:r w:rsidRPr="00F65994">
              <w:rPr>
                <w:rFonts w:ascii="Times New Roman" w:hAnsi="Times New Roman"/>
                <w:i/>
                <w:iCs/>
                <w:sz w:val="20"/>
                <w:szCs w:val="20"/>
                <w:lang w:eastAsia="zh-CN"/>
              </w:rPr>
              <w:t>Output specific:</w:t>
            </w: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2.1.1. (PIF) reduced in scope (</w:t>
            </w:r>
            <w:r w:rsidR="00461D1E">
              <w:rPr>
                <w:rFonts w:ascii="Times New Roman" w:hAnsi="Times New Roman"/>
                <w:sz w:val="20"/>
                <w:szCs w:val="20"/>
                <w:lang w:eastAsia="zh-CN"/>
              </w:rPr>
              <w:t>because</w:t>
            </w:r>
            <w:r w:rsidRPr="00F65994">
              <w:rPr>
                <w:rFonts w:ascii="Times New Roman" w:hAnsi="Times New Roman"/>
                <w:sz w:val="20"/>
                <w:szCs w:val="20"/>
                <w:lang w:eastAsia="zh-CN"/>
              </w:rPr>
              <w:t xml:space="preserve"> some spatial plans </w:t>
            </w:r>
            <w:r w:rsidR="00461D1E">
              <w:rPr>
                <w:rFonts w:ascii="Times New Roman" w:hAnsi="Times New Roman"/>
                <w:sz w:val="20"/>
                <w:szCs w:val="20"/>
                <w:lang w:eastAsia="zh-CN"/>
              </w:rPr>
              <w:t xml:space="preserve">are </w:t>
            </w:r>
            <w:r w:rsidRPr="00F65994">
              <w:rPr>
                <w:rFonts w:ascii="Times New Roman" w:hAnsi="Times New Roman"/>
                <w:sz w:val="20"/>
                <w:szCs w:val="20"/>
                <w:lang w:eastAsia="zh-CN"/>
              </w:rPr>
              <w:t>already existing) and merged with 2.4.1 (PD) as part of the mainstreaming for GE targets. Work on RP-JMD still as planned under this dame new output.</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Site selection and especially the activity programming for the 3 Cluster programs has been improved based on field assessment, baseline analysis as well as finding a better fit with the set GE themes (themes PD same with PIF)</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i/>
                <w:iCs/>
                <w:sz w:val="20"/>
                <w:szCs w:val="20"/>
                <w:lang w:eastAsia="zh-CN"/>
              </w:rPr>
            </w:pPr>
            <w:r w:rsidRPr="00F65994">
              <w:rPr>
                <w:rFonts w:ascii="Times New Roman" w:hAnsi="Times New Roman"/>
                <w:i/>
                <w:iCs/>
                <w:sz w:val="20"/>
                <w:szCs w:val="20"/>
                <w:lang w:eastAsia="zh-CN"/>
              </w:rPr>
              <w:t>Specific Cluster I:</w:t>
            </w: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General theme of cluster I has remained the same.</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2.1.2 (PD) Cluster I Program: an added opportunity has been both the new work approach through FMUs, as well as incorporation of eco-design of infrastructure works for enhancing forest landscape connectivity (this is part of the Presidential cabinet program for enhanced connectivity).</w:t>
            </w:r>
          </w:p>
        </w:tc>
      </w:tr>
      <w:tr w:rsidR="007949E1" w:rsidRPr="00D81CF3" w:rsidTr="00302D4A">
        <w:trPr>
          <w:trHeight w:val="890"/>
        </w:trPr>
        <w:tc>
          <w:tcPr>
            <w:tcW w:w="716" w:type="pct"/>
            <w:tcBorders>
              <w:top w:val="single" w:sz="4" w:space="0" w:color="auto"/>
              <w:left w:val="single" w:sz="8" w:space="0" w:color="auto"/>
              <w:bottom w:val="single" w:sz="4" w:space="0" w:color="auto"/>
              <w:right w:val="single" w:sz="4" w:space="0" w:color="auto"/>
            </w:tcBorders>
            <w:shd w:val="clear" w:color="000000" w:fill="FFFFFF"/>
          </w:tcPr>
          <w:p w:rsidR="007949E1" w:rsidRPr="003D3CDF" w:rsidRDefault="007949E1" w:rsidP="00BB4003">
            <w:pPr>
              <w:spacing w:after="0" w:line="240" w:lineRule="auto"/>
              <w:rPr>
                <w:rFonts w:ascii="Times New Roman" w:hAnsi="Times New Roman"/>
                <w:b/>
                <w:sz w:val="20"/>
                <w:szCs w:val="20"/>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8B5632" w:rsidRDefault="007949E1" w:rsidP="004C660D">
            <w:pPr>
              <w:spacing w:after="0" w:line="240" w:lineRule="auto"/>
              <w:rPr>
                <w:rFonts w:ascii="Times New Roman" w:hAnsi="Times New Roman"/>
                <w:b/>
                <w:sz w:val="20"/>
                <w:szCs w:val="20"/>
              </w:rPr>
            </w:pPr>
            <w:r w:rsidRPr="008B5632">
              <w:rPr>
                <w:rFonts w:ascii="Times New Roman" w:hAnsi="Times New Roman"/>
                <w:b/>
                <w:sz w:val="20"/>
                <w:szCs w:val="20"/>
              </w:rPr>
              <w:t>2.2 Low carbon-growth practices have been applied to the protection and restoration of critical peatland and forests through investment in Cluster 2</w:t>
            </w:r>
            <w:r>
              <w:rPr>
                <w:rFonts w:ascii="Times New Roman" w:hAnsi="Times New Roman"/>
                <w:b/>
                <w:sz w:val="20"/>
                <w:szCs w:val="20"/>
                <w:lang w:val="id-ID"/>
              </w:rPr>
              <w:t xml:space="preserve"> involving the Districts of</w:t>
            </w:r>
            <w:r w:rsidRPr="008B5632">
              <w:rPr>
                <w:rFonts w:ascii="Times New Roman" w:hAnsi="Times New Roman"/>
                <w:b/>
                <w:sz w:val="20"/>
                <w:szCs w:val="20"/>
              </w:rPr>
              <w:t xml:space="preserve"> Tanjung Jabung Timur and Muaro Jambi. </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nil"/>
              <w:bottom w:val="single" w:sz="4" w:space="0" w:color="auto"/>
              <w:right w:val="single" w:sz="8" w:space="0" w:color="auto"/>
            </w:tcBorders>
            <w:shd w:val="clear" w:color="000000" w:fill="FFFFFF"/>
          </w:tcPr>
          <w:p w:rsidR="007949E1" w:rsidRPr="006F423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2.2.1 </w:t>
            </w:r>
            <w:r w:rsidRPr="006F423F">
              <w:rPr>
                <w:rFonts w:ascii="Times New Roman" w:hAnsi="Times New Roman"/>
                <w:color w:val="000000"/>
                <w:sz w:val="20"/>
                <w:szCs w:val="20"/>
                <w:lang w:eastAsia="zh-CN"/>
              </w:rPr>
              <w:t>The Forest Management Units KPHP XII</w:t>
            </w:r>
            <w:r>
              <w:rPr>
                <w:rFonts w:ascii="Times New Roman" w:hAnsi="Times New Roman"/>
                <w:color w:val="000000"/>
                <w:sz w:val="20"/>
                <w:szCs w:val="20"/>
                <w:lang w:val="id-ID" w:eastAsia="zh-CN"/>
              </w:rPr>
              <w:t>I</w:t>
            </w:r>
            <w:r w:rsidRPr="006F423F">
              <w:rPr>
                <w:rFonts w:ascii="Times New Roman" w:hAnsi="Times New Roman"/>
                <w:color w:val="000000"/>
                <w:sz w:val="20"/>
                <w:szCs w:val="20"/>
                <w:lang w:eastAsia="zh-CN"/>
              </w:rPr>
              <w:t xml:space="preserve"> and KPHP </w:t>
            </w:r>
            <w:r>
              <w:rPr>
                <w:rFonts w:ascii="Times New Roman" w:hAnsi="Times New Roman"/>
                <w:color w:val="000000"/>
                <w:sz w:val="20"/>
                <w:szCs w:val="20"/>
                <w:lang w:val="id-ID" w:eastAsia="zh-CN"/>
              </w:rPr>
              <w:t>X</w:t>
            </w:r>
            <w:r w:rsidRPr="006F423F">
              <w:rPr>
                <w:rFonts w:ascii="Times New Roman" w:hAnsi="Times New Roman"/>
                <w:color w:val="000000"/>
                <w:sz w:val="20"/>
                <w:szCs w:val="20"/>
                <w:lang w:eastAsia="zh-CN"/>
              </w:rPr>
              <w:t>IV have been established to support operational/</w:t>
            </w:r>
            <w:r>
              <w:rPr>
                <w:rFonts w:ascii="Times New Roman" w:hAnsi="Times New Roman"/>
                <w:color w:val="000000"/>
                <w:sz w:val="20"/>
                <w:szCs w:val="20"/>
                <w:lang w:eastAsia="zh-CN"/>
              </w:rPr>
              <w:t xml:space="preserve"> </w:t>
            </w:r>
            <w:r w:rsidRPr="006F423F">
              <w:rPr>
                <w:rFonts w:ascii="Times New Roman" w:hAnsi="Times New Roman"/>
                <w:color w:val="000000"/>
                <w:sz w:val="20"/>
                <w:szCs w:val="20"/>
                <w:lang w:eastAsia="zh-CN"/>
              </w:rPr>
              <w:t>business planning over unallocated state forest that incorporate GHG emissions reduction through prevention of fires, peatland restoration and the optimization of land allocations through revised spatial planning and SCP approaches supporting the provision of green jobs.</w:t>
            </w:r>
          </w:p>
          <w:p w:rsidR="007949E1" w:rsidRDefault="007949E1" w:rsidP="00BB4003">
            <w:pPr>
              <w:spacing w:after="0" w:line="240" w:lineRule="auto"/>
              <w:rPr>
                <w:rFonts w:ascii="Times New Roman" w:hAnsi="Times New Roman"/>
                <w:color w:val="000000"/>
                <w:sz w:val="20"/>
                <w:szCs w:val="20"/>
                <w:lang w:eastAsia="zh-CN"/>
              </w:rPr>
            </w:pPr>
          </w:p>
          <w:p w:rsidR="007949E1" w:rsidRPr="006F423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2.2.2 </w:t>
            </w:r>
            <w:r w:rsidRPr="006F423F">
              <w:rPr>
                <w:rFonts w:ascii="Times New Roman" w:hAnsi="Times New Roman"/>
                <w:color w:val="000000"/>
                <w:sz w:val="20"/>
                <w:szCs w:val="20"/>
                <w:lang w:eastAsia="zh-CN"/>
              </w:rPr>
              <w:t xml:space="preserve">PLUP approaches have been incorporated into FMU practices to resolve conflicts among stakeholders, to inform detailed hydrological analysis, to assist economic sustainability of companies and small-holder community enterprises, and to establish a multi-stakeholder community based forum to facilitate SFM. </w:t>
            </w:r>
          </w:p>
          <w:p w:rsidR="007949E1" w:rsidRDefault="007949E1" w:rsidP="00BB4003">
            <w:pPr>
              <w:spacing w:after="0" w:line="240" w:lineRule="auto"/>
              <w:rPr>
                <w:rFonts w:ascii="Times New Roman" w:hAnsi="Times New Roman"/>
                <w:color w:val="000000"/>
                <w:sz w:val="20"/>
                <w:szCs w:val="20"/>
                <w:lang w:eastAsia="zh-CN"/>
              </w:rPr>
            </w:pPr>
          </w:p>
          <w:p w:rsidR="007949E1" w:rsidRDefault="007949E1">
            <w:pPr>
              <w:spacing w:after="0" w:line="240" w:lineRule="auto"/>
              <w:rPr>
                <w:rFonts w:ascii="Times New Roman" w:hAnsi="Times New Roman"/>
                <w:sz w:val="20"/>
                <w:szCs w:val="20"/>
              </w:rPr>
            </w:pPr>
            <w:r>
              <w:rPr>
                <w:rFonts w:ascii="Times New Roman" w:hAnsi="Times New Roman"/>
                <w:color w:val="000000"/>
                <w:sz w:val="20"/>
                <w:szCs w:val="20"/>
                <w:lang w:eastAsia="zh-CN"/>
              </w:rPr>
              <w:t xml:space="preserve">2.2.3 </w:t>
            </w:r>
            <w:r w:rsidRPr="0015230E">
              <w:rPr>
                <w:rFonts w:ascii="Times New Roman" w:hAnsi="Times New Roman"/>
                <w:sz w:val="20"/>
                <w:szCs w:val="20"/>
              </w:rPr>
              <w:t>The incidence of unplanned and illegal fires has been eliminated through behavioural change in local communities resulting from social marketing, industry extension and enforcement activities and training in firefighting among local communities, implemented through the FMU, in collaboration with other provincial agencies (e.g., Disaster Management)</w:t>
            </w:r>
          </w:p>
          <w:p w:rsidR="007949E1" w:rsidRPr="006F423F" w:rsidRDefault="007949E1" w:rsidP="00BB4003">
            <w:pPr>
              <w:spacing w:after="0" w:line="240" w:lineRule="auto"/>
              <w:rPr>
                <w:rFonts w:ascii="Times New Roman" w:hAnsi="Times New Roman"/>
                <w:color w:val="000000"/>
                <w:sz w:val="20"/>
                <w:szCs w:val="20"/>
                <w:lang w:eastAsia="zh-CN"/>
              </w:rPr>
            </w:pPr>
          </w:p>
          <w:p w:rsidR="007949E1" w:rsidRDefault="007949E1" w:rsidP="00BB4003">
            <w:pPr>
              <w:spacing w:after="0" w:line="240" w:lineRule="auto"/>
              <w:rPr>
                <w:rFonts w:ascii="Times New Roman" w:hAnsi="Times New Roman"/>
                <w:color w:val="000000"/>
                <w:sz w:val="20"/>
                <w:szCs w:val="20"/>
                <w:lang w:eastAsia="zh-CN"/>
              </w:rPr>
            </w:pPr>
          </w:p>
          <w:p w:rsidR="007949E1" w:rsidRPr="006F423F"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2.2.4 </w:t>
            </w:r>
            <w:r w:rsidRPr="006F423F">
              <w:rPr>
                <w:rFonts w:ascii="Times New Roman" w:hAnsi="Times New Roman"/>
                <w:color w:val="000000"/>
                <w:sz w:val="20"/>
                <w:szCs w:val="20"/>
                <w:lang w:eastAsia="zh-CN"/>
              </w:rPr>
              <w:t>Technical assistance has been provided to FMU (KPHP XII</w:t>
            </w:r>
            <w:r>
              <w:rPr>
                <w:rFonts w:ascii="Times New Roman" w:hAnsi="Times New Roman"/>
                <w:color w:val="000000"/>
                <w:sz w:val="20"/>
                <w:szCs w:val="20"/>
                <w:lang w:val="id-ID" w:eastAsia="zh-CN"/>
              </w:rPr>
              <w:t>I</w:t>
            </w:r>
            <w:r w:rsidRPr="006F423F">
              <w:rPr>
                <w:rFonts w:ascii="Times New Roman" w:hAnsi="Times New Roman"/>
                <w:color w:val="000000"/>
                <w:sz w:val="20"/>
                <w:szCs w:val="20"/>
                <w:lang w:eastAsia="zh-CN"/>
              </w:rPr>
              <w:t xml:space="preserve"> and XIV) and the Public Works Swamp Reclamation unit resulting in a detailed assessment of the issues of restoring hydrological conditions, and an agreed multi-agency plan for restoration interventions to halve GHG emissions.</w:t>
            </w:r>
          </w:p>
        </w:tc>
        <w:tc>
          <w:tcPr>
            <w:tcW w:w="708" w:type="pct"/>
            <w:tcBorders>
              <w:top w:val="single" w:sz="4" w:space="0" w:color="auto"/>
              <w:left w:val="single" w:sz="4" w:space="0" w:color="auto"/>
              <w:bottom w:val="single" w:sz="4" w:space="0" w:color="auto"/>
              <w:right w:val="single" w:sz="8"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r w:rsidRPr="008B5632">
              <w:rPr>
                <w:rFonts w:ascii="Times New Roman" w:hAnsi="Times New Roman"/>
                <w:color w:val="000000"/>
                <w:sz w:val="20"/>
                <w:szCs w:val="20"/>
                <w:lang w:eastAsia="zh-CN"/>
              </w:rPr>
              <w:t>See 2.1.3</w:t>
            </w:r>
          </w:p>
        </w:tc>
        <w:tc>
          <w:tcPr>
            <w:tcW w:w="712" w:type="pct"/>
            <w:tcBorders>
              <w:top w:val="single" w:sz="4" w:space="0" w:color="auto"/>
              <w:left w:val="single" w:sz="4" w:space="0" w:color="auto"/>
              <w:bottom w:val="single" w:sz="4" w:space="0" w:color="auto"/>
              <w:right w:val="single" w:sz="8" w:space="0" w:color="auto"/>
            </w:tcBorders>
            <w:shd w:val="clear" w:color="000000" w:fill="FFFFFF"/>
          </w:tcPr>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General theme of Cluster II has remained the same.</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2.2. (PD) the target of forest and peatland fire management (2.2.3 PD) has been added to the original PIF plans, to better meet today reality in this respect and reduce C emissions from bad land-use.</w:t>
            </w:r>
          </w:p>
        </w:tc>
      </w:tr>
      <w:tr w:rsidR="007949E1" w:rsidRPr="00D81CF3" w:rsidTr="00302D4A">
        <w:trPr>
          <w:trHeight w:val="1072"/>
        </w:trPr>
        <w:tc>
          <w:tcPr>
            <w:tcW w:w="716" w:type="pct"/>
            <w:tcBorders>
              <w:top w:val="single" w:sz="4" w:space="0" w:color="auto"/>
              <w:left w:val="single" w:sz="8" w:space="0" w:color="auto"/>
              <w:bottom w:val="single" w:sz="4" w:space="0" w:color="auto"/>
              <w:right w:val="single" w:sz="4" w:space="0" w:color="auto"/>
            </w:tcBorders>
            <w:shd w:val="clear" w:color="000000" w:fill="FFFFFF"/>
          </w:tcPr>
          <w:p w:rsidR="007949E1" w:rsidRPr="003D3CDF" w:rsidRDefault="007949E1" w:rsidP="00BB4003">
            <w:pPr>
              <w:spacing w:after="0" w:line="240" w:lineRule="auto"/>
              <w:rPr>
                <w:rFonts w:ascii="Times New Roman" w:hAnsi="Times New Roman"/>
                <w:b/>
                <w:sz w:val="20"/>
                <w:szCs w:val="20"/>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8B5632" w:rsidRDefault="007949E1" w:rsidP="00BB4003">
            <w:pPr>
              <w:spacing w:after="0" w:line="240" w:lineRule="auto"/>
              <w:rPr>
                <w:rFonts w:ascii="Times New Roman" w:hAnsi="Times New Roman"/>
                <w:b/>
                <w:sz w:val="20"/>
                <w:szCs w:val="20"/>
              </w:rPr>
            </w:pPr>
            <w:r w:rsidRPr="008B5632">
              <w:rPr>
                <w:rFonts w:ascii="Times New Roman" w:hAnsi="Times New Roman"/>
                <w:b/>
                <w:sz w:val="20"/>
                <w:szCs w:val="20"/>
              </w:rPr>
              <w:t>2.</w:t>
            </w:r>
            <w:r w:rsidRPr="00B65341">
              <w:rPr>
                <w:rFonts w:ascii="Times New Roman" w:hAnsi="Times New Roman"/>
                <w:b/>
                <w:sz w:val="20"/>
                <w:szCs w:val="20"/>
              </w:rPr>
              <w:t xml:space="preserve">3 </w:t>
            </w:r>
            <w:r w:rsidRPr="0015230E">
              <w:rPr>
                <w:rFonts w:ascii="Times New Roman" w:hAnsi="Times New Roman"/>
                <w:b/>
                <w:sz w:val="20"/>
                <w:szCs w:val="20"/>
              </w:rPr>
              <w:t>Investment in basic human services and local economic assistance in two sub-catchments in the Merangin District in Cluster 3 has removed the drivers of upland deforestation, creating the conditions for sustainability of environmental services, especially water for human consumption and the generation of power.</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nil"/>
              <w:bottom w:val="single" w:sz="4" w:space="0" w:color="auto"/>
              <w:right w:val="single" w:sz="8" w:space="0" w:color="auto"/>
            </w:tcBorders>
            <w:shd w:val="clear" w:color="000000" w:fill="FFFFFF"/>
          </w:tcPr>
          <w:p w:rsidR="007949E1" w:rsidRPr="00A000D7"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2.3.1 </w:t>
            </w:r>
            <w:r w:rsidRPr="00A000D7">
              <w:rPr>
                <w:rFonts w:ascii="Times New Roman" w:hAnsi="Times New Roman"/>
                <w:color w:val="000000"/>
                <w:sz w:val="20"/>
                <w:szCs w:val="20"/>
                <w:lang w:eastAsia="zh-CN"/>
              </w:rPr>
              <w:t xml:space="preserve">The Forest Management Units KPHP V and KPHP VII have been established. </w:t>
            </w:r>
          </w:p>
          <w:p w:rsidR="007949E1" w:rsidRDefault="007949E1" w:rsidP="00BB4003">
            <w:pPr>
              <w:spacing w:after="0" w:line="240" w:lineRule="auto"/>
              <w:rPr>
                <w:rFonts w:ascii="Times New Roman" w:hAnsi="Times New Roman"/>
                <w:color w:val="000000"/>
                <w:sz w:val="20"/>
                <w:szCs w:val="20"/>
                <w:lang w:eastAsia="zh-CN"/>
              </w:rPr>
            </w:pPr>
          </w:p>
          <w:p w:rsidR="007949E1" w:rsidRPr="00A000D7"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2.3.2 </w:t>
            </w:r>
            <w:r w:rsidRPr="00A000D7">
              <w:rPr>
                <w:rFonts w:ascii="Times New Roman" w:hAnsi="Times New Roman"/>
                <w:color w:val="000000"/>
                <w:sz w:val="20"/>
                <w:szCs w:val="20"/>
                <w:lang w:eastAsia="zh-CN"/>
              </w:rPr>
              <w:t>PLUP approaches have been incorporated into the operational/business planning activities of each FMU.</w:t>
            </w:r>
          </w:p>
          <w:p w:rsidR="007949E1" w:rsidRDefault="007949E1" w:rsidP="00BB4003">
            <w:pPr>
              <w:spacing w:after="0" w:line="240" w:lineRule="auto"/>
              <w:rPr>
                <w:rFonts w:ascii="Times New Roman" w:hAnsi="Times New Roman"/>
                <w:color w:val="000000"/>
                <w:sz w:val="20"/>
                <w:szCs w:val="20"/>
                <w:lang w:eastAsia="zh-CN"/>
              </w:rPr>
            </w:pPr>
          </w:p>
          <w:p w:rsidR="007949E1" w:rsidRPr="00A000D7"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2.3.3 </w:t>
            </w:r>
            <w:r w:rsidRPr="00A000D7">
              <w:rPr>
                <w:rFonts w:ascii="Times New Roman" w:hAnsi="Times New Roman"/>
                <w:color w:val="000000"/>
                <w:sz w:val="20"/>
                <w:szCs w:val="20"/>
                <w:lang w:eastAsia="zh-CN"/>
              </w:rPr>
              <w:t>In sub-catchment 1 enhanced access to electricity has incentivised the stabilization of land use in 4000 ha by stopping National Park encroachment, engaging in reforestation and supporting sustainable agro-forestry production systems.</w:t>
            </w:r>
          </w:p>
          <w:p w:rsidR="007949E1" w:rsidRDefault="007949E1" w:rsidP="00BB4003">
            <w:pPr>
              <w:spacing w:after="0" w:line="240" w:lineRule="auto"/>
              <w:rPr>
                <w:rFonts w:ascii="Times New Roman" w:hAnsi="Times New Roman"/>
                <w:color w:val="000000"/>
                <w:sz w:val="20"/>
                <w:szCs w:val="20"/>
                <w:lang w:eastAsia="zh-CN"/>
              </w:rPr>
            </w:pPr>
          </w:p>
          <w:p w:rsidR="007949E1" w:rsidRPr="00A000D7"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2.3.4 </w:t>
            </w:r>
            <w:r w:rsidRPr="00A000D7">
              <w:rPr>
                <w:rFonts w:ascii="Times New Roman" w:hAnsi="Times New Roman"/>
                <w:color w:val="000000"/>
                <w:sz w:val="20"/>
                <w:szCs w:val="20"/>
                <w:lang w:eastAsia="zh-CN"/>
              </w:rPr>
              <w:t xml:space="preserve">A Water Services Payment scheme, as part of the Business Planning for FMU 5, (PWS) has been established within the Merangin Government, providing incentives for sustainable forest management and improved agricultural practices. </w:t>
            </w:r>
          </w:p>
          <w:p w:rsidR="007949E1" w:rsidRDefault="007949E1" w:rsidP="00BB4003">
            <w:pPr>
              <w:spacing w:after="0" w:line="240" w:lineRule="auto"/>
              <w:rPr>
                <w:rFonts w:ascii="Times New Roman" w:hAnsi="Times New Roman"/>
                <w:color w:val="000000"/>
                <w:sz w:val="20"/>
                <w:szCs w:val="20"/>
                <w:lang w:eastAsia="zh-CN"/>
              </w:rPr>
            </w:pPr>
          </w:p>
          <w:p w:rsidR="007949E1" w:rsidRPr="00A000D7"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2.3.5 </w:t>
            </w:r>
            <w:r w:rsidRPr="00A000D7">
              <w:rPr>
                <w:rFonts w:ascii="Times New Roman" w:hAnsi="Times New Roman"/>
                <w:color w:val="000000"/>
                <w:sz w:val="20"/>
                <w:szCs w:val="20"/>
                <w:lang w:eastAsia="zh-CN"/>
              </w:rPr>
              <w:t>Livelihood focused incentives improving access to and benefits from markets for timber and non-timber forest products have been established that improve sustainability of community land practices.</w:t>
            </w:r>
          </w:p>
        </w:tc>
        <w:tc>
          <w:tcPr>
            <w:tcW w:w="708" w:type="pct"/>
            <w:tcBorders>
              <w:top w:val="single" w:sz="4" w:space="0" w:color="auto"/>
              <w:left w:val="single" w:sz="4" w:space="0" w:color="auto"/>
              <w:bottom w:val="single" w:sz="4" w:space="0" w:color="auto"/>
              <w:right w:val="single" w:sz="8"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r w:rsidRPr="008B5632">
              <w:rPr>
                <w:rFonts w:ascii="Times New Roman" w:hAnsi="Times New Roman"/>
                <w:color w:val="000000"/>
                <w:sz w:val="20"/>
                <w:szCs w:val="20"/>
                <w:lang w:eastAsia="zh-CN"/>
              </w:rPr>
              <w:t>See 2.1.4</w:t>
            </w:r>
          </w:p>
        </w:tc>
        <w:tc>
          <w:tcPr>
            <w:tcW w:w="712" w:type="pct"/>
            <w:tcBorders>
              <w:top w:val="single" w:sz="4" w:space="0" w:color="auto"/>
              <w:left w:val="single" w:sz="4" w:space="0" w:color="auto"/>
              <w:bottom w:val="single" w:sz="4" w:space="0" w:color="auto"/>
              <w:right w:val="single" w:sz="8" w:space="0" w:color="auto"/>
            </w:tcBorders>
            <w:shd w:val="clear" w:color="000000" w:fill="FFFFFF"/>
          </w:tcPr>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General theme of Cluster III has remained the same.</w:t>
            </w:r>
          </w:p>
          <w:p w:rsidR="007949E1" w:rsidRPr="00F65994" w:rsidRDefault="007949E1" w:rsidP="00BB4003">
            <w:pPr>
              <w:spacing w:after="0" w:line="240" w:lineRule="auto"/>
              <w:rPr>
                <w:rFonts w:ascii="Times New Roman" w:hAnsi="Times New Roman"/>
                <w:sz w:val="20"/>
                <w:szCs w:val="20"/>
                <w:lang w:eastAsia="zh-CN"/>
              </w:rPr>
            </w:pPr>
          </w:p>
        </w:tc>
      </w:tr>
      <w:tr w:rsidR="007949E1" w:rsidRPr="00D81CF3" w:rsidTr="00302D4A">
        <w:trPr>
          <w:trHeight w:val="3280"/>
        </w:trPr>
        <w:tc>
          <w:tcPr>
            <w:tcW w:w="716" w:type="pct"/>
            <w:tcBorders>
              <w:top w:val="single" w:sz="4" w:space="0" w:color="auto"/>
              <w:left w:val="single" w:sz="8" w:space="0" w:color="auto"/>
              <w:bottom w:val="single" w:sz="4" w:space="0" w:color="auto"/>
              <w:right w:val="single" w:sz="4" w:space="0" w:color="auto"/>
            </w:tcBorders>
            <w:shd w:val="clear" w:color="000000" w:fill="FFFFFF"/>
          </w:tcPr>
          <w:p w:rsidR="007949E1" w:rsidRPr="003D3CDF" w:rsidRDefault="007949E1" w:rsidP="00BB4003">
            <w:pPr>
              <w:spacing w:after="0" w:line="240" w:lineRule="auto"/>
              <w:rPr>
                <w:rFonts w:ascii="Times New Roman" w:hAnsi="Times New Roman"/>
                <w:b/>
                <w:sz w:val="20"/>
                <w:szCs w:val="20"/>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8B5632" w:rsidRDefault="007949E1" w:rsidP="00BB4003">
            <w:pPr>
              <w:spacing w:after="0" w:line="240" w:lineRule="auto"/>
              <w:rPr>
                <w:rFonts w:ascii="Times New Roman" w:hAnsi="Times New Roman"/>
                <w:b/>
                <w:sz w:val="20"/>
                <w:szCs w:val="20"/>
              </w:rPr>
            </w:pPr>
            <w:r w:rsidRPr="008B5632">
              <w:rPr>
                <w:rFonts w:ascii="Times New Roman" w:hAnsi="Times New Roman"/>
                <w:b/>
                <w:sz w:val="20"/>
                <w:szCs w:val="20"/>
              </w:rPr>
              <w:t>2.4 The RIMBA Project experience of Green Economy principles and practice has been integrated into the institutions of government, civil society and private sector in the six target Districts of the Corridor.</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nil"/>
              <w:bottom w:val="single" w:sz="4" w:space="0" w:color="auto"/>
              <w:right w:val="single" w:sz="8" w:space="0" w:color="auto"/>
            </w:tcBorders>
            <w:shd w:val="clear" w:color="000000" w:fill="FFFFFF"/>
          </w:tcPr>
          <w:p w:rsidR="007949E1" w:rsidRPr="00CB1F38"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2.4.1 </w:t>
            </w:r>
            <w:r w:rsidRPr="00CB1F38">
              <w:rPr>
                <w:rFonts w:ascii="Times New Roman" w:hAnsi="Times New Roman"/>
                <w:color w:val="000000"/>
                <w:sz w:val="20"/>
                <w:szCs w:val="20"/>
                <w:lang w:eastAsia="zh-CN"/>
              </w:rPr>
              <w:t xml:space="preserve">Routine practices among government project partners at all levels, reflect adoption of lessons learnt through legislation, policy frameworks, strategic and spatial planning, and budget priority setting. </w:t>
            </w:r>
          </w:p>
          <w:p w:rsidR="007949E1" w:rsidRDefault="007949E1" w:rsidP="00BB4003">
            <w:pPr>
              <w:spacing w:after="0" w:line="240" w:lineRule="auto"/>
              <w:rPr>
                <w:rFonts w:ascii="Times New Roman" w:hAnsi="Times New Roman"/>
                <w:color w:val="000000"/>
                <w:sz w:val="20"/>
                <w:szCs w:val="20"/>
                <w:lang w:eastAsia="zh-CN"/>
              </w:rPr>
            </w:pPr>
          </w:p>
          <w:p w:rsidR="007949E1" w:rsidRPr="00CB1F38"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2.4.2 </w:t>
            </w:r>
            <w:r w:rsidRPr="00CB1F38">
              <w:rPr>
                <w:rFonts w:ascii="Times New Roman" w:hAnsi="Times New Roman"/>
                <w:color w:val="000000"/>
                <w:sz w:val="20"/>
                <w:szCs w:val="20"/>
                <w:lang w:eastAsia="zh-CN"/>
              </w:rPr>
              <w:t>Sustainable Production and Consumptions (SPC) agreements have been established and institutionalized for the RIMBA Corridor for the Industrial Forest Plantation and Mining sectors.</w:t>
            </w:r>
          </w:p>
          <w:p w:rsidR="007949E1" w:rsidRDefault="007949E1" w:rsidP="00BB4003">
            <w:pPr>
              <w:spacing w:after="0" w:line="240" w:lineRule="auto"/>
              <w:rPr>
                <w:rFonts w:ascii="Times New Roman" w:hAnsi="Times New Roman"/>
                <w:color w:val="000000"/>
                <w:sz w:val="20"/>
                <w:szCs w:val="20"/>
                <w:lang w:eastAsia="zh-CN"/>
              </w:rPr>
            </w:pPr>
          </w:p>
          <w:p w:rsidR="007949E1" w:rsidRPr="00CB1F38"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2.4.3 </w:t>
            </w:r>
            <w:r w:rsidRPr="00CB1F38">
              <w:rPr>
                <w:rFonts w:ascii="Times New Roman" w:hAnsi="Times New Roman"/>
                <w:color w:val="000000"/>
                <w:sz w:val="20"/>
                <w:szCs w:val="20"/>
                <w:lang w:eastAsia="zh-CN"/>
              </w:rPr>
              <w:t>The values of natural capital and a green economy have been understood in civil society and mechanisms have been entrenched through which this understanding is being perpetuated</w:t>
            </w:r>
          </w:p>
        </w:tc>
        <w:tc>
          <w:tcPr>
            <w:tcW w:w="708" w:type="pct"/>
            <w:tcBorders>
              <w:top w:val="single" w:sz="4" w:space="0" w:color="auto"/>
              <w:left w:val="single" w:sz="4" w:space="0" w:color="auto"/>
              <w:bottom w:val="single" w:sz="4" w:space="0" w:color="auto"/>
              <w:right w:val="single" w:sz="8"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2" w:type="pct"/>
            <w:tcBorders>
              <w:top w:val="single" w:sz="4" w:space="0" w:color="auto"/>
              <w:left w:val="single" w:sz="4" w:space="0" w:color="auto"/>
              <w:bottom w:val="single" w:sz="4" w:space="0" w:color="auto"/>
              <w:right w:val="single" w:sz="8" w:space="0" w:color="auto"/>
            </w:tcBorders>
            <w:shd w:val="clear" w:color="000000" w:fill="FFFFFF"/>
          </w:tcPr>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 xml:space="preserve">2.4 (PD) is a new Outcome, combining PIF outputs from 1.1.4 (on SPC) &amp; 1.2.1 (spatial plans) as well as having one new output 2.4.3 (PD) targeting adoption of GE by CSO. </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lang w:eastAsia="zh-CN"/>
              </w:rPr>
            </w:pPr>
            <w:r w:rsidRPr="00F65994">
              <w:rPr>
                <w:rFonts w:ascii="Times New Roman" w:hAnsi="Times New Roman"/>
                <w:sz w:val="20"/>
                <w:szCs w:val="20"/>
                <w:lang w:eastAsia="zh-CN"/>
              </w:rPr>
              <w:t>This is meant to enable a  better focus implementation to mainstream GE practises with government, corporate sector (x) as well as CSO, specifically in the six Districts of the three targeted Clusters. Its closely linked to the outreach and social marketing work of 1.1.2 (PD).</w:t>
            </w:r>
          </w:p>
        </w:tc>
      </w:tr>
      <w:tr w:rsidR="007949E1" w:rsidRPr="00D81CF3" w:rsidTr="00302D4A">
        <w:trPr>
          <w:trHeight w:val="1120"/>
        </w:trPr>
        <w:tc>
          <w:tcPr>
            <w:tcW w:w="716" w:type="pct"/>
            <w:tcBorders>
              <w:top w:val="single" w:sz="4" w:space="0" w:color="auto"/>
              <w:left w:val="single" w:sz="8" w:space="0" w:color="auto"/>
              <w:bottom w:val="single" w:sz="4" w:space="0" w:color="auto"/>
              <w:right w:val="single" w:sz="4" w:space="0" w:color="auto"/>
            </w:tcBorders>
            <w:shd w:val="clear" w:color="000000" w:fill="FFFFFF"/>
          </w:tcPr>
          <w:p w:rsidR="007949E1" w:rsidRPr="004F4C97" w:rsidRDefault="007949E1" w:rsidP="004F4C97">
            <w:pPr>
              <w:spacing w:after="0" w:line="240" w:lineRule="auto"/>
              <w:rPr>
                <w:rFonts w:ascii="Times New Roman" w:hAnsi="Times New Roman"/>
                <w:b/>
                <w:sz w:val="20"/>
                <w:szCs w:val="20"/>
                <w:lang w:val="id-ID"/>
              </w:rPr>
            </w:pPr>
            <w:r w:rsidRPr="00C07A11">
              <w:rPr>
                <w:rFonts w:ascii="Times New Roman" w:hAnsi="Times New Roman"/>
                <w:b/>
                <w:sz w:val="20"/>
                <w:szCs w:val="20"/>
              </w:rPr>
              <w:t>3. Monitoring, evaluation and dissemination of Green Economy practices in the RIMBA Corridor</w:t>
            </w:r>
            <w:r>
              <w:rPr>
                <w:rFonts w:ascii="Times New Roman" w:hAnsi="Times New Roman"/>
                <w:b/>
                <w:sz w:val="20"/>
                <w:szCs w:val="20"/>
                <w:lang w:val="id-ID"/>
              </w:rPr>
              <w:t xml:space="preserve"> </w:t>
            </w:r>
            <w:r w:rsidRPr="0015230E">
              <w:rPr>
                <w:rFonts w:ascii="Times New Roman" w:hAnsi="Times New Roman"/>
                <w:b/>
                <w:bCs/>
                <w:sz w:val="20"/>
                <w:szCs w:val="20"/>
              </w:rPr>
              <w:t>and sharing of lessons learnt</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6701B6" w:rsidRDefault="007949E1" w:rsidP="00BB4003">
            <w:pPr>
              <w:spacing w:after="0" w:line="240" w:lineRule="auto"/>
              <w:rPr>
                <w:rFonts w:ascii="Times New Roman" w:hAnsi="Times New Roman"/>
                <w:bCs/>
                <w:sz w:val="20"/>
                <w:szCs w:val="20"/>
              </w:rPr>
            </w:pPr>
            <w:r>
              <w:rPr>
                <w:rFonts w:ascii="Times New Roman" w:hAnsi="Times New Roman"/>
                <w:bCs/>
                <w:sz w:val="20"/>
                <w:szCs w:val="20"/>
              </w:rPr>
              <w:t>3.</w:t>
            </w:r>
            <w:r w:rsidRPr="006701B6">
              <w:rPr>
                <w:rFonts w:ascii="Times New Roman" w:hAnsi="Times New Roman"/>
                <w:bCs/>
                <w:sz w:val="20"/>
                <w:szCs w:val="20"/>
              </w:rPr>
              <w:t xml:space="preserve"> Landscape-wide monitoring  and evaluation of GE practices in RIMBA</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C07A11" w:rsidRDefault="007949E1" w:rsidP="00BB4003">
            <w:pPr>
              <w:spacing w:after="0" w:line="240" w:lineRule="auto"/>
              <w:rPr>
                <w:rFonts w:ascii="Times New Roman" w:hAnsi="Times New Roman"/>
                <w:b/>
                <w:sz w:val="20"/>
                <w:szCs w:val="20"/>
              </w:rPr>
            </w:pPr>
            <w:r w:rsidRPr="00C07A11">
              <w:rPr>
                <w:rFonts w:ascii="Times New Roman" w:hAnsi="Times New Roman"/>
                <w:b/>
                <w:sz w:val="20"/>
                <w:szCs w:val="20"/>
              </w:rPr>
              <w:t>3.1 Effective project impact monitoring and reporting system used by partners for adaptive management and GE compliance monitoring.</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08314A" w:rsidRDefault="007949E1" w:rsidP="00BB4003">
            <w:pPr>
              <w:spacing w:after="0" w:line="240" w:lineRule="auto"/>
              <w:rPr>
                <w:rFonts w:ascii="Times New Roman" w:hAnsi="Times New Roman"/>
                <w:bCs/>
                <w:sz w:val="20"/>
                <w:szCs w:val="20"/>
              </w:rPr>
            </w:pPr>
            <w:r w:rsidRPr="0008314A">
              <w:rPr>
                <w:rFonts w:ascii="Times New Roman" w:hAnsi="Times New Roman"/>
                <w:bCs/>
                <w:sz w:val="20"/>
                <w:szCs w:val="20"/>
              </w:rPr>
              <w:t>3.1 Effective project impact and GE program monitoring system established.</w:t>
            </w:r>
          </w:p>
        </w:tc>
        <w:tc>
          <w:tcPr>
            <w:tcW w:w="716" w:type="pct"/>
            <w:tcBorders>
              <w:top w:val="single" w:sz="4" w:space="0" w:color="auto"/>
              <w:left w:val="nil"/>
              <w:bottom w:val="single" w:sz="4" w:space="0" w:color="auto"/>
              <w:right w:val="single" w:sz="8" w:space="0" w:color="auto"/>
            </w:tcBorders>
            <w:shd w:val="clear" w:color="000000" w:fill="FFFFFF"/>
          </w:tcPr>
          <w:p w:rsidR="007949E1" w:rsidRPr="00A656D8"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3.1.1 </w:t>
            </w:r>
            <w:r w:rsidRPr="0015230E">
              <w:rPr>
                <w:rFonts w:ascii="Times New Roman" w:eastAsia="Times New Roman" w:hAnsi="Times New Roman"/>
                <w:sz w:val="20"/>
                <w:szCs w:val="20"/>
              </w:rPr>
              <w:t>The RIMBA Secretariat monitoring facility is operational and working with all key Government and Non-Government stakeholders to monitor and report compliance with agreed RIMBA GE Roadmap, Cluster development scenarios, spatial plans and economic development decrees.</w:t>
            </w:r>
          </w:p>
          <w:p w:rsidR="007949E1" w:rsidRDefault="007949E1" w:rsidP="00BB4003">
            <w:pPr>
              <w:spacing w:after="0" w:line="240" w:lineRule="auto"/>
              <w:rPr>
                <w:rFonts w:ascii="Times New Roman" w:hAnsi="Times New Roman"/>
                <w:color w:val="000000"/>
                <w:sz w:val="20"/>
                <w:szCs w:val="20"/>
                <w:lang w:eastAsia="zh-CN"/>
              </w:rPr>
            </w:pPr>
          </w:p>
          <w:p w:rsidR="007949E1" w:rsidRPr="00A656D8" w:rsidRDefault="007949E1" w:rsidP="00BB4003">
            <w:pPr>
              <w:spacing w:after="0" w:line="240" w:lineRule="auto"/>
              <w:rPr>
                <w:rFonts w:ascii="Times New Roman" w:hAnsi="Times New Roman"/>
                <w:color w:val="000000"/>
                <w:sz w:val="20"/>
                <w:szCs w:val="20"/>
                <w:lang w:eastAsia="zh-CN"/>
              </w:rPr>
            </w:pPr>
            <w:r>
              <w:rPr>
                <w:rFonts w:ascii="Times New Roman" w:hAnsi="Times New Roman"/>
                <w:color w:val="000000"/>
                <w:sz w:val="20"/>
                <w:szCs w:val="20"/>
                <w:lang w:eastAsia="zh-CN"/>
              </w:rPr>
              <w:t xml:space="preserve">3.1.2 </w:t>
            </w:r>
            <w:r w:rsidRPr="00A656D8">
              <w:rPr>
                <w:rFonts w:ascii="Times New Roman" w:hAnsi="Times New Roman"/>
                <w:color w:val="000000"/>
                <w:sz w:val="20"/>
                <w:szCs w:val="20"/>
                <w:lang w:eastAsia="zh-CN"/>
              </w:rPr>
              <w:t xml:space="preserve">M&amp;E system </w:t>
            </w:r>
            <w:r>
              <w:rPr>
                <w:rFonts w:ascii="Times New Roman" w:hAnsi="Times New Roman"/>
                <w:color w:val="000000"/>
                <w:sz w:val="20"/>
                <w:szCs w:val="20"/>
                <w:lang w:val="id-ID" w:eastAsia="zh-CN"/>
              </w:rPr>
              <w:t xml:space="preserve">to </w:t>
            </w:r>
            <w:r w:rsidRPr="00A656D8">
              <w:rPr>
                <w:rFonts w:ascii="Times New Roman" w:hAnsi="Times New Roman"/>
                <w:color w:val="000000"/>
                <w:sz w:val="20"/>
                <w:szCs w:val="20"/>
                <w:lang w:eastAsia="zh-CN"/>
              </w:rPr>
              <w:t>tracks and reports project performance and impact.</w:t>
            </w:r>
          </w:p>
        </w:tc>
        <w:tc>
          <w:tcPr>
            <w:tcW w:w="708" w:type="pct"/>
            <w:tcBorders>
              <w:top w:val="single" w:sz="4" w:space="0" w:color="auto"/>
              <w:left w:val="single" w:sz="4" w:space="0" w:color="auto"/>
              <w:bottom w:val="single" w:sz="4" w:space="0" w:color="auto"/>
              <w:right w:val="single" w:sz="8" w:space="0" w:color="auto"/>
            </w:tcBorders>
            <w:shd w:val="clear" w:color="000000" w:fill="FFFFFF"/>
          </w:tcPr>
          <w:p w:rsidR="007949E1" w:rsidRPr="0008314A" w:rsidRDefault="007949E1" w:rsidP="00BB4003">
            <w:pPr>
              <w:spacing w:after="0" w:line="240" w:lineRule="auto"/>
              <w:rPr>
                <w:rFonts w:ascii="Times New Roman" w:hAnsi="Times New Roman"/>
                <w:color w:val="000000"/>
                <w:sz w:val="20"/>
                <w:szCs w:val="20"/>
                <w:lang w:eastAsia="zh-CN"/>
              </w:rPr>
            </w:pPr>
            <w:r w:rsidRPr="0008314A">
              <w:rPr>
                <w:rFonts w:ascii="Times New Roman" w:hAnsi="Times New Roman"/>
                <w:color w:val="000000"/>
                <w:sz w:val="20"/>
                <w:szCs w:val="20"/>
                <w:lang w:eastAsia="zh-CN"/>
              </w:rPr>
              <w:t>3.1.1 Comprehensive M&amp;E  system and database on: (i) project performance, (ii) changes in forest  resources &amp; connectivity, and (iii) changes in GE-based investments, programs and policies at district and provincial levels (</w:t>
            </w:r>
            <w:r>
              <w:rPr>
                <w:rFonts w:ascii="Times New Roman" w:hAnsi="Times New Roman"/>
                <w:color w:val="000000"/>
                <w:sz w:val="20"/>
                <w:szCs w:val="20"/>
                <w:lang w:eastAsia="zh-CN"/>
              </w:rPr>
              <w:t>both government and corporate).</w:t>
            </w:r>
          </w:p>
          <w:p w:rsidR="007949E1" w:rsidRPr="0008314A" w:rsidRDefault="007949E1" w:rsidP="00BB4003">
            <w:pPr>
              <w:spacing w:after="0" w:line="240" w:lineRule="auto"/>
              <w:rPr>
                <w:rFonts w:ascii="Times New Roman" w:hAnsi="Times New Roman"/>
                <w:color w:val="000000"/>
                <w:sz w:val="20"/>
                <w:szCs w:val="20"/>
                <w:lang w:eastAsia="zh-CN"/>
              </w:rPr>
            </w:pPr>
            <w:r w:rsidRPr="0008314A">
              <w:rPr>
                <w:rFonts w:ascii="Times New Roman" w:hAnsi="Times New Roman"/>
                <w:color w:val="000000"/>
                <w:sz w:val="20"/>
                <w:szCs w:val="20"/>
                <w:lang w:eastAsia="zh-CN"/>
              </w:rPr>
              <w:t>3.1.2 Evaluation and national dissemination of best practices of Green Economy for forests -  water, carbon and biodiversity (in collaboration with e.g. BAPPENAS, Min of Finance, presidential Reform Taskforce - UKP4)</w:t>
            </w:r>
          </w:p>
          <w:p w:rsidR="007949E1" w:rsidRPr="0008314A" w:rsidRDefault="007949E1" w:rsidP="00BB4003">
            <w:pPr>
              <w:spacing w:after="0" w:line="240" w:lineRule="auto"/>
              <w:rPr>
                <w:rFonts w:ascii="Times New Roman" w:hAnsi="Times New Roman"/>
                <w:color w:val="000000"/>
                <w:sz w:val="20"/>
                <w:szCs w:val="20"/>
                <w:lang w:eastAsia="zh-CN"/>
              </w:rPr>
            </w:pPr>
            <w:r w:rsidRPr="0008314A">
              <w:rPr>
                <w:rFonts w:ascii="Times New Roman" w:hAnsi="Times New Roman"/>
                <w:color w:val="000000"/>
                <w:sz w:val="20"/>
                <w:szCs w:val="20"/>
                <w:lang w:eastAsia="zh-CN"/>
              </w:rPr>
              <w:t>3.1.3</w:t>
            </w:r>
            <w:r>
              <w:rPr>
                <w:rFonts w:ascii="Times New Roman" w:hAnsi="Times New Roman"/>
                <w:color w:val="000000"/>
                <w:sz w:val="20"/>
                <w:szCs w:val="20"/>
                <w:lang w:eastAsia="zh-CN"/>
              </w:rPr>
              <w:t xml:space="preserve"> A Designated </w:t>
            </w:r>
            <w:r w:rsidRPr="0008314A">
              <w:rPr>
                <w:rFonts w:ascii="Times New Roman" w:hAnsi="Times New Roman"/>
                <w:color w:val="000000"/>
                <w:sz w:val="20"/>
                <w:szCs w:val="20"/>
                <w:lang w:eastAsia="zh-CN"/>
              </w:rPr>
              <w:t>Monitoring Authority established to monitor compliance with formal spatial plans and economic development decrees.</w:t>
            </w:r>
          </w:p>
        </w:tc>
        <w:tc>
          <w:tcPr>
            <w:tcW w:w="712" w:type="pct"/>
            <w:tcBorders>
              <w:top w:val="single" w:sz="4" w:space="0" w:color="auto"/>
              <w:left w:val="single" w:sz="4" w:space="0" w:color="auto"/>
              <w:bottom w:val="single" w:sz="4" w:space="0" w:color="auto"/>
              <w:right w:val="single" w:sz="8" w:space="0" w:color="auto"/>
            </w:tcBorders>
            <w:shd w:val="clear" w:color="000000" w:fill="FFFFFF"/>
          </w:tcPr>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Outcome 3.1 (PIF) has been split into two 3.1 (PD) dealing with ‘project &amp; GE impact monitoring, as well as 3.2 (PD) ‘capturing lessons and dissemination. This allows for better project implementation; clarity on responsibilities and measurable targets.</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Output 3.1.1 (PIF) has been redistributed over 3.1..1 (PD) on establishing the M&amp;E authority, system, and capacity, whilst 3.1.2 (PD) will implement to actual M&amp;E for e.g. GE targets, forests, BD, water, GEF TT and logframe indicators.</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3.1.3 (PIF) ‘compliance monitoring’ is now under 3.1.1 (PD).</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3.1.2 (PIF) has been moved under the new 3.2.1 (PD).</w:t>
            </w: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 xml:space="preserve"> </w:t>
            </w:r>
          </w:p>
          <w:p w:rsidR="007949E1" w:rsidRPr="00F65994" w:rsidRDefault="007949E1" w:rsidP="00BB4003">
            <w:pPr>
              <w:spacing w:after="0" w:line="240" w:lineRule="auto"/>
              <w:rPr>
                <w:rFonts w:ascii="Times New Roman" w:hAnsi="Times New Roman"/>
                <w:sz w:val="20"/>
                <w:szCs w:val="20"/>
                <w:lang w:eastAsia="zh-CN"/>
              </w:rPr>
            </w:pPr>
          </w:p>
        </w:tc>
      </w:tr>
      <w:tr w:rsidR="007949E1" w:rsidRPr="00D81CF3" w:rsidTr="00302D4A">
        <w:trPr>
          <w:trHeight w:val="1120"/>
        </w:trPr>
        <w:tc>
          <w:tcPr>
            <w:tcW w:w="716" w:type="pct"/>
            <w:tcBorders>
              <w:top w:val="single" w:sz="4" w:space="0" w:color="auto"/>
              <w:left w:val="single" w:sz="8" w:space="0" w:color="auto"/>
              <w:bottom w:val="single" w:sz="4" w:space="0" w:color="auto"/>
              <w:right w:val="single" w:sz="4" w:space="0" w:color="auto"/>
            </w:tcBorders>
            <w:shd w:val="clear" w:color="000000" w:fill="FFFFFF"/>
          </w:tcPr>
          <w:p w:rsidR="007949E1" w:rsidRPr="00754EA5" w:rsidRDefault="007949E1" w:rsidP="00BB4003">
            <w:pPr>
              <w:spacing w:after="0" w:line="240" w:lineRule="auto"/>
              <w:rPr>
                <w:rFonts w:ascii="Times New Roman" w:hAnsi="Times New Roman"/>
                <w:b/>
                <w:sz w:val="20"/>
                <w:szCs w:val="20"/>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C07A11" w:rsidRDefault="007949E1" w:rsidP="004F4C97">
            <w:pPr>
              <w:spacing w:after="0" w:line="240" w:lineRule="auto"/>
              <w:rPr>
                <w:rFonts w:ascii="Times New Roman" w:hAnsi="Times New Roman"/>
                <w:b/>
                <w:sz w:val="20"/>
                <w:szCs w:val="20"/>
              </w:rPr>
            </w:pPr>
            <w:r w:rsidRPr="00C07A11">
              <w:rPr>
                <w:rFonts w:ascii="Times New Roman" w:hAnsi="Times New Roman"/>
                <w:b/>
                <w:sz w:val="20"/>
                <w:szCs w:val="20"/>
              </w:rPr>
              <w:t xml:space="preserve">3.2 Lessons in Green Economy and </w:t>
            </w:r>
            <w:r>
              <w:rPr>
                <w:rFonts w:ascii="Times New Roman" w:hAnsi="Times New Roman"/>
                <w:b/>
                <w:sz w:val="20"/>
                <w:szCs w:val="20"/>
                <w:lang w:val="id-ID"/>
              </w:rPr>
              <w:t>S</w:t>
            </w:r>
            <w:r w:rsidRPr="00C07A11">
              <w:rPr>
                <w:rFonts w:ascii="Times New Roman" w:hAnsi="Times New Roman"/>
                <w:b/>
                <w:sz w:val="20"/>
                <w:szCs w:val="20"/>
              </w:rPr>
              <w:t xml:space="preserve">ustainable </w:t>
            </w:r>
            <w:r>
              <w:rPr>
                <w:rFonts w:ascii="Times New Roman" w:hAnsi="Times New Roman"/>
                <w:b/>
                <w:sz w:val="20"/>
                <w:szCs w:val="20"/>
                <w:lang w:val="id-ID"/>
              </w:rPr>
              <w:t>D</w:t>
            </w:r>
            <w:r w:rsidRPr="00C07A11">
              <w:rPr>
                <w:rFonts w:ascii="Times New Roman" w:hAnsi="Times New Roman"/>
                <w:b/>
                <w:sz w:val="20"/>
                <w:szCs w:val="20"/>
              </w:rPr>
              <w:t>evelopment from the RIMBA Corridor Project are disseminated widely and embodied in an international GE best practice knowledge management system</w:t>
            </w:r>
          </w:p>
        </w:tc>
        <w:tc>
          <w:tcPr>
            <w:tcW w:w="716" w:type="pct"/>
            <w:tcBorders>
              <w:top w:val="single" w:sz="4" w:space="0" w:color="auto"/>
              <w:left w:val="single" w:sz="4" w:space="0" w:color="auto"/>
              <w:bottom w:val="single" w:sz="4" w:space="0" w:color="auto"/>
              <w:right w:val="single" w:sz="4"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6" w:type="pct"/>
            <w:tcBorders>
              <w:top w:val="single" w:sz="4" w:space="0" w:color="auto"/>
              <w:left w:val="nil"/>
              <w:bottom w:val="single" w:sz="4" w:space="0" w:color="auto"/>
              <w:right w:val="single" w:sz="8" w:space="0" w:color="auto"/>
            </w:tcBorders>
            <w:shd w:val="clear" w:color="000000" w:fill="FFFFFF"/>
          </w:tcPr>
          <w:p w:rsidR="007949E1" w:rsidRPr="00754EA5" w:rsidRDefault="007949E1" w:rsidP="00BB4003">
            <w:pPr>
              <w:spacing w:after="0" w:line="240" w:lineRule="auto"/>
              <w:rPr>
                <w:rFonts w:ascii="Times New Roman" w:hAnsi="Times New Roman"/>
                <w:b/>
                <w:sz w:val="20"/>
                <w:szCs w:val="20"/>
              </w:rPr>
            </w:pPr>
            <w:r>
              <w:rPr>
                <w:rFonts w:ascii="Times New Roman" w:hAnsi="Times New Roman"/>
                <w:bCs/>
                <w:sz w:val="20"/>
                <w:szCs w:val="20"/>
              </w:rPr>
              <w:t xml:space="preserve">3.2.1 </w:t>
            </w:r>
            <w:r w:rsidRPr="00754EA5">
              <w:rPr>
                <w:rFonts w:ascii="Times New Roman" w:hAnsi="Times New Roman"/>
                <w:bCs/>
                <w:sz w:val="20"/>
                <w:szCs w:val="20"/>
              </w:rPr>
              <w:t xml:space="preserve">Best practices in relation to the sustainable use of forests and targeted ecosystem services - water, carbon and biodiversity have been evaluated, in collaboration with government and non-government partners, in relation to their incorporation into Green Economy practices. </w:t>
            </w:r>
          </w:p>
          <w:p w:rsidR="007949E1" w:rsidRDefault="007949E1" w:rsidP="00BB4003">
            <w:pPr>
              <w:spacing w:after="0" w:line="240" w:lineRule="auto"/>
              <w:rPr>
                <w:rFonts w:ascii="Times New Roman" w:hAnsi="Times New Roman"/>
                <w:bCs/>
                <w:sz w:val="20"/>
                <w:szCs w:val="20"/>
              </w:rPr>
            </w:pPr>
          </w:p>
          <w:p w:rsidR="007949E1" w:rsidRPr="00754EA5" w:rsidRDefault="007949E1" w:rsidP="00BB4003">
            <w:pPr>
              <w:spacing w:after="0" w:line="240" w:lineRule="auto"/>
              <w:rPr>
                <w:rFonts w:ascii="Times New Roman" w:hAnsi="Times New Roman"/>
                <w:bCs/>
                <w:sz w:val="20"/>
                <w:szCs w:val="20"/>
              </w:rPr>
            </w:pPr>
            <w:r>
              <w:rPr>
                <w:rFonts w:ascii="Times New Roman" w:hAnsi="Times New Roman"/>
                <w:bCs/>
                <w:sz w:val="20"/>
                <w:szCs w:val="20"/>
              </w:rPr>
              <w:t xml:space="preserve">3.2.2 </w:t>
            </w:r>
            <w:r w:rsidRPr="00754EA5">
              <w:rPr>
                <w:rFonts w:ascii="Times New Roman" w:hAnsi="Times New Roman"/>
                <w:bCs/>
                <w:sz w:val="20"/>
                <w:szCs w:val="20"/>
              </w:rPr>
              <w:t xml:space="preserve">A national GE Knowledge Management Information System (KMIS) managed by the monitoring facility within the RIMBA management authority in collaboration with BAPPENAS, the Ministry of Finance and Ministry of Environment and Forestry distributes interactively GE best practice information nationally and internationally. </w:t>
            </w:r>
          </w:p>
          <w:p w:rsidR="007949E1" w:rsidRDefault="007949E1" w:rsidP="00BB4003">
            <w:pPr>
              <w:spacing w:after="0" w:line="240" w:lineRule="auto"/>
              <w:rPr>
                <w:rFonts w:ascii="Times New Roman" w:hAnsi="Times New Roman"/>
                <w:bCs/>
                <w:sz w:val="20"/>
                <w:szCs w:val="20"/>
              </w:rPr>
            </w:pPr>
          </w:p>
          <w:p w:rsidR="007949E1" w:rsidRPr="00754EA5" w:rsidRDefault="007949E1" w:rsidP="00BB4003">
            <w:pPr>
              <w:spacing w:after="0" w:line="240" w:lineRule="auto"/>
              <w:rPr>
                <w:rFonts w:ascii="Times New Roman" w:hAnsi="Times New Roman"/>
                <w:b/>
                <w:sz w:val="20"/>
                <w:szCs w:val="20"/>
              </w:rPr>
            </w:pPr>
            <w:r>
              <w:rPr>
                <w:rFonts w:ascii="Times New Roman" w:hAnsi="Times New Roman"/>
                <w:bCs/>
                <w:sz w:val="20"/>
                <w:szCs w:val="20"/>
              </w:rPr>
              <w:t xml:space="preserve">3.2.3 </w:t>
            </w:r>
            <w:r w:rsidRPr="00754EA5">
              <w:rPr>
                <w:rFonts w:ascii="Times New Roman" w:hAnsi="Times New Roman"/>
                <w:bCs/>
                <w:sz w:val="20"/>
                <w:szCs w:val="20"/>
              </w:rPr>
              <w:t>The RIMBA management agency has facilitated at least 4 national and international professional publications, 50 outreach and best practice products, as well as made active monthly contributions to national social-media platforms annually (including seminars and conference papers).</w:t>
            </w:r>
          </w:p>
        </w:tc>
        <w:tc>
          <w:tcPr>
            <w:tcW w:w="708" w:type="pct"/>
            <w:tcBorders>
              <w:top w:val="single" w:sz="4" w:space="0" w:color="auto"/>
              <w:left w:val="single" w:sz="4" w:space="0" w:color="auto"/>
              <w:bottom w:val="single" w:sz="4" w:space="0" w:color="auto"/>
              <w:right w:val="single" w:sz="8" w:space="0" w:color="auto"/>
            </w:tcBorders>
            <w:shd w:val="clear" w:color="000000" w:fill="FFFFFF"/>
          </w:tcPr>
          <w:p w:rsidR="007949E1" w:rsidRPr="00D81CF3" w:rsidRDefault="007949E1" w:rsidP="00BB4003">
            <w:pPr>
              <w:spacing w:after="0" w:line="240" w:lineRule="auto"/>
              <w:rPr>
                <w:rFonts w:ascii="Times New Roman" w:hAnsi="Times New Roman"/>
                <w:color w:val="000000"/>
                <w:lang w:eastAsia="zh-CN"/>
              </w:rPr>
            </w:pPr>
          </w:p>
        </w:tc>
        <w:tc>
          <w:tcPr>
            <w:tcW w:w="712" w:type="pct"/>
            <w:tcBorders>
              <w:top w:val="single" w:sz="4" w:space="0" w:color="auto"/>
              <w:left w:val="single" w:sz="4" w:space="0" w:color="auto"/>
              <w:bottom w:val="single" w:sz="4" w:space="0" w:color="auto"/>
              <w:right w:val="single" w:sz="8" w:space="0" w:color="auto"/>
            </w:tcBorders>
            <w:shd w:val="clear" w:color="000000" w:fill="FFFFFF"/>
          </w:tcPr>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Outcome 3.2 (PD) has been added to enable the best practise of RIMBA to be better captured and disseminated, nationally via output 3.2.1., 3.2.2 &amp;  3.2.3; as well as internationally 3.2.2.</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sz w:val="20"/>
                <w:szCs w:val="20"/>
                <w:lang w:eastAsia="zh-CN"/>
              </w:rPr>
            </w:pPr>
            <w:r w:rsidRPr="00F65994">
              <w:rPr>
                <w:rFonts w:ascii="Times New Roman" w:hAnsi="Times New Roman"/>
                <w:sz w:val="20"/>
                <w:szCs w:val="20"/>
                <w:lang w:eastAsia="zh-CN"/>
              </w:rPr>
              <w:t>This is important because RIMBA is one of the first true GE programs the government would implement and its results should be used widely for replication and e.g. guiding the next Medium Term Economic Development Plan of the national government in partnership with BAPPENAS and the NEA RIMBA (CMEA).</w:t>
            </w:r>
          </w:p>
          <w:p w:rsidR="007949E1" w:rsidRPr="00F65994" w:rsidRDefault="007949E1" w:rsidP="007949E1">
            <w:pPr>
              <w:spacing w:after="0" w:line="240" w:lineRule="auto"/>
              <w:rPr>
                <w:rFonts w:ascii="Times New Roman" w:hAnsi="Times New Roman"/>
                <w:sz w:val="20"/>
                <w:szCs w:val="20"/>
                <w:lang w:eastAsia="zh-CN"/>
              </w:rPr>
            </w:pPr>
          </w:p>
          <w:p w:rsidR="007949E1" w:rsidRPr="00F65994" w:rsidRDefault="007949E1" w:rsidP="007949E1">
            <w:pPr>
              <w:spacing w:after="0" w:line="240" w:lineRule="auto"/>
              <w:rPr>
                <w:rFonts w:ascii="Times New Roman" w:hAnsi="Times New Roman"/>
                <w:lang w:eastAsia="zh-CN"/>
              </w:rPr>
            </w:pPr>
            <w:r w:rsidRPr="00F65994">
              <w:rPr>
                <w:rFonts w:ascii="Times New Roman" w:hAnsi="Times New Roman"/>
                <w:sz w:val="20"/>
                <w:szCs w:val="20"/>
                <w:lang w:eastAsia="zh-CN"/>
              </w:rPr>
              <w:t xml:space="preserve">New Output 3.2.3 will establish the link through the outreach/ communications program of  1.1. in further building the national and international GE partnership &amp; conflict management, through  using the M&amp;E information on  best practise in the process.   </w:t>
            </w:r>
          </w:p>
        </w:tc>
      </w:tr>
    </w:tbl>
    <w:p w:rsidR="00EC63C7" w:rsidRPr="0035107A" w:rsidRDefault="00EC63C7" w:rsidP="0035107A">
      <w:pPr>
        <w:spacing w:after="0" w:line="240" w:lineRule="auto"/>
        <w:rPr>
          <w:rFonts w:ascii="Times New Roman" w:eastAsia="Times New Roman" w:hAnsi="Times New Roman"/>
        </w:rPr>
      </w:pPr>
    </w:p>
    <w:p w:rsid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Pr>
        <w:spacing w:after="0" w:line="240" w:lineRule="auto"/>
        <w:rPr>
          <w:rFonts w:ascii="Times New Roman" w:eastAsia="Times New Roman" w:hAnsi="Times New Roman"/>
        </w:rPr>
      </w:pPr>
    </w:p>
    <w:p w:rsidR="0035107A" w:rsidRPr="0035107A" w:rsidRDefault="0035107A" w:rsidP="0035107A"/>
    <w:p w:rsidR="00591870" w:rsidRPr="0035107A" w:rsidRDefault="00591870" w:rsidP="00591870"/>
    <w:sectPr w:rsidR="00591870" w:rsidRPr="0035107A" w:rsidSect="00EC63C7">
      <w:pgSz w:w="15840" w:h="12240" w:orient="landscape"/>
      <w:pgMar w:top="720" w:right="720" w:bottom="90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5E6" w:rsidRDefault="00B225E6" w:rsidP="00591870">
      <w:pPr>
        <w:spacing w:after="0" w:line="240" w:lineRule="auto"/>
      </w:pPr>
      <w:r>
        <w:separator/>
      </w:r>
    </w:p>
  </w:endnote>
  <w:endnote w:type="continuationSeparator" w:id="0">
    <w:p w:rsidR="00B225E6" w:rsidRDefault="00B225E6"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fornian FB">
    <w:panose1 w:val="0207040306080B03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F96" w:rsidRPr="0009139C" w:rsidRDefault="00D52F96" w:rsidP="00591870">
    <w:pPr>
      <w:pStyle w:val="Footer"/>
      <w:tabs>
        <w:tab w:val="clear" w:pos="4320"/>
        <w:tab w:val="clear" w:pos="8640"/>
      </w:tabs>
      <w:jc w:val="center"/>
      <w:rPr>
        <w:sz w:val="20"/>
        <w:szCs w:val="20"/>
      </w:rPr>
    </w:pPr>
    <w:r w:rsidRPr="00DB6681">
      <w:rPr>
        <w:sz w:val="16"/>
        <w:szCs w:val="16"/>
      </w:rPr>
      <w:t>G</w:t>
    </w:r>
    <w:r>
      <w:rPr>
        <w:sz w:val="16"/>
        <w:szCs w:val="16"/>
      </w:rPr>
      <w:t>EF5 CEO Endorsement Template-December 2012</w:t>
    </w:r>
    <w:r w:rsidRPr="00DB6681">
      <w:rPr>
        <w:sz w:val="16"/>
        <w:szCs w:val="16"/>
      </w:rPr>
      <w:t xml:space="preserve">.doc                                                                                                                                   </w:t>
    </w:r>
    <w:r>
      <w:rPr>
        <w:sz w:val="16"/>
        <w:szCs w:val="16"/>
      </w:rPr>
      <w:tab/>
    </w:r>
    <w:r>
      <w:rPr>
        <w:sz w:val="16"/>
        <w:szCs w:val="16"/>
      </w:rPr>
      <w:tab/>
    </w:r>
    <w:r>
      <w:rPr>
        <w:sz w:val="16"/>
        <w:szCs w:val="16"/>
      </w:rPr>
      <w:tab/>
    </w:r>
    <w:r w:rsidRPr="00DB6681">
      <w:rPr>
        <w:sz w:val="16"/>
        <w:szCs w:val="16"/>
      </w:rPr>
      <w:t xml:space="preserve"> </w:t>
    </w:r>
    <w:r w:rsidR="00985A96" w:rsidRPr="0009139C">
      <w:rPr>
        <w:sz w:val="20"/>
        <w:szCs w:val="20"/>
      </w:rPr>
      <w:fldChar w:fldCharType="begin"/>
    </w:r>
    <w:r w:rsidRPr="0009139C">
      <w:rPr>
        <w:sz w:val="20"/>
        <w:szCs w:val="20"/>
      </w:rPr>
      <w:instrText xml:space="preserve"> PAGE   \* MERGEFORMAT </w:instrText>
    </w:r>
    <w:r w:rsidR="00985A96" w:rsidRPr="0009139C">
      <w:rPr>
        <w:sz w:val="20"/>
        <w:szCs w:val="20"/>
      </w:rPr>
      <w:fldChar w:fldCharType="separate"/>
    </w:r>
    <w:r w:rsidR="00854B34">
      <w:rPr>
        <w:noProof/>
        <w:sz w:val="20"/>
        <w:szCs w:val="20"/>
      </w:rPr>
      <w:t>1</w:t>
    </w:r>
    <w:r w:rsidR="00985A96" w:rsidRPr="0009139C">
      <w:rPr>
        <w:sz w:val="20"/>
        <w:szCs w:val="20"/>
      </w:rPr>
      <w:fldChar w:fldCharType="end"/>
    </w:r>
  </w:p>
  <w:p w:rsidR="00D52F96" w:rsidRPr="00591870" w:rsidRDefault="00D52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5E6" w:rsidRDefault="00B225E6" w:rsidP="00591870">
      <w:pPr>
        <w:spacing w:after="0" w:line="240" w:lineRule="auto"/>
      </w:pPr>
      <w:r>
        <w:separator/>
      </w:r>
    </w:p>
  </w:footnote>
  <w:footnote w:type="continuationSeparator" w:id="0">
    <w:p w:rsidR="00B225E6" w:rsidRDefault="00B225E6" w:rsidP="00591870">
      <w:pPr>
        <w:spacing w:after="0" w:line="240" w:lineRule="auto"/>
      </w:pPr>
      <w:r>
        <w:continuationSeparator/>
      </w:r>
    </w:p>
  </w:footnote>
  <w:footnote w:id="1">
    <w:p w:rsidR="00D52F96" w:rsidRPr="005C3002" w:rsidRDefault="00D52F96" w:rsidP="00591870">
      <w:pPr>
        <w:pStyle w:val="FootnoteText"/>
        <w:rPr>
          <w:sz w:val="18"/>
          <w:szCs w:val="18"/>
        </w:rPr>
      </w:pPr>
      <w:r w:rsidRPr="00946BF4">
        <w:rPr>
          <w:rStyle w:val="FootnoteReference"/>
          <w:sz w:val="16"/>
          <w:szCs w:val="16"/>
        </w:rPr>
        <w:footnoteRef/>
      </w:r>
      <w:r w:rsidRPr="00946BF4">
        <w:rPr>
          <w:sz w:val="16"/>
          <w:szCs w:val="16"/>
        </w:rPr>
        <w:t xml:space="preserve"> </w:t>
      </w:r>
      <w:r w:rsidRPr="005C3002">
        <w:rPr>
          <w:color w:val="000000"/>
          <w:sz w:val="18"/>
          <w:szCs w:val="18"/>
        </w:rPr>
        <w:t>Project ID number will be assigned by GEFSEC.</w:t>
      </w:r>
    </w:p>
  </w:footnote>
  <w:footnote w:id="2">
    <w:p w:rsidR="00D52F96" w:rsidRPr="005C3002" w:rsidRDefault="00D52F96" w:rsidP="00591870">
      <w:pPr>
        <w:pStyle w:val="FootnoteText"/>
        <w:rPr>
          <w:sz w:val="18"/>
          <w:szCs w:val="18"/>
        </w:rPr>
      </w:pPr>
      <w:r w:rsidRPr="005C3002">
        <w:rPr>
          <w:rStyle w:val="FootnoteReference"/>
          <w:sz w:val="18"/>
          <w:szCs w:val="18"/>
        </w:rPr>
        <w:footnoteRef/>
      </w:r>
      <w:r w:rsidRPr="005C3002">
        <w:rPr>
          <w:sz w:val="18"/>
          <w:szCs w:val="18"/>
        </w:rPr>
        <w:t xml:space="preserve"> Refer to the </w:t>
      </w:r>
      <w:hyperlink r:id="rId1" w:history="1">
        <w:r w:rsidRPr="005C3002">
          <w:rPr>
            <w:rStyle w:val="Hyperlink"/>
            <w:sz w:val="18"/>
            <w:szCs w:val="18"/>
          </w:rPr>
          <w:t>Focal Area/LDCF/SCCF Results Framework</w:t>
        </w:r>
      </w:hyperlink>
      <w:r w:rsidRPr="005C3002">
        <w:rPr>
          <w:sz w:val="18"/>
          <w:szCs w:val="18"/>
        </w:rPr>
        <w:t xml:space="preserve"> when </w:t>
      </w:r>
      <w:r>
        <w:rPr>
          <w:sz w:val="18"/>
          <w:szCs w:val="18"/>
        </w:rPr>
        <w:t>completing</w:t>
      </w:r>
      <w:r w:rsidRPr="005C3002">
        <w:rPr>
          <w:sz w:val="18"/>
          <w:szCs w:val="18"/>
        </w:rPr>
        <w:t xml:space="preserve"> Table A.</w:t>
      </w:r>
    </w:p>
  </w:footnote>
  <w:footnote w:id="3">
    <w:p w:rsidR="00D52F96" w:rsidRPr="00BC519A" w:rsidRDefault="00D52F96" w:rsidP="00591870">
      <w:pPr>
        <w:pStyle w:val="FootnoteText"/>
      </w:pPr>
      <w:r w:rsidRPr="005C3002">
        <w:rPr>
          <w:rStyle w:val="FootnoteReference"/>
          <w:sz w:val="18"/>
          <w:szCs w:val="18"/>
        </w:rPr>
        <w:footnoteRef/>
      </w:r>
      <w:r w:rsidRPr="005C3002">
        <w:rPr>
          <w:sz w:val="18"/>
          <w:szCs w:val="18"/>
        </w:rPr>
        <w:t xml:space="preserve"> </w:t>
      </w:r>
      <w:r>
        <w:rPr>
          <w:sz w:val="18"/>
          <w:szCs w:val="18"/>
        </w:rPr>
        <w:t>PMC should be charged proportionately to focal areas based on focal area project grant amount in Table D below.</w:t>
      </w:r>
      <w:r>
        <w:rPr>
          <w:sz w:val="18"/>
          <w:szCs w:val="18"/>
        </w:rPr>
        <w:br/>
      </w:r>
    </w:p>
  </w:footnote>
  <w:footnote w:id="4">
    <w:p w:rsidR="00D52F96" w:rsidRDefault="00D52F96" w:rsidP="00591870">
      <w:pPr>
        <w:pStyle w:val="FootnoteText"/>
      </w:pPr>
      <w:r>
        <w:rPr>
          <w:rStyle w:val="FootnoteReference"/>
        </w:rPr>
        <w:footnoteRef/>
      </w:r>
      <w:r>
        <w:t xml:space="preserve">  For questions A.1 –A.7 in Part II, if there are no changes since PIF and if not specifically requested in the review sheet at PIF </w:t>
      </w:r>
      <w:r>
        <w:br/>
        <w:t xml:space="preserve">    stage, then no need to respond, please enter “NA” after the respective question</w:t>
      </w:r>
    </w:p>
  </w:footnote>
  <w:footnote w:id="5">
    <w:p w:rsidR="00D52F96" w:rsidRPr="003604C0" w:rsidRDefault="00D52F96" w:rsidP="00DD5E43">
      <w:pPr>
        <w:pStyle w:val="FootnoteText"/>
        <w:rPr>
          <w:sz w:val="18"/>
          <w:szCs w:val="18"/>
        </w:rPr>
      </w:pPr>
      <w:r w:rsidRPr="003604C0">
        <w:rPr>
          <w:rStyle w:val="FootnoteReference"/>
          <w:sz w:val="18"/>
          <w:szCs w:val="18"/>
        </w:rPr>
        <w:footnoteRef/>
      </w:r>
      <w:r w:rsidRPr="003604C0">
        <w:rPr>
          <w:sz w:val="18"/>
          <w:szCs w:val="18"/>
        </w:rPr>
        <w:t xml:space="preserve"> Activities claiming REDD credits must show that reduced deforestation rates would not have occurred in the absence of the carbon reduction intervention.</w:t>
      </w:r>
    </w:p>
  </w:footnote>
  <w:footnote w:id="6">
    <w:p w:rsidR="00D52F96" w:rsidRPr="003604C0" w:rsidRDefault="00D52F96" w:rsidP="00DD5E43">
      <w:pPr>
        <w:pStyle w:val="FootnoteText"/>
        <w:rPr>
          <w:sz w:val="18"/>
          <w:szCs w:val="18"/>
        </w:rPr>
      </w:pPr>
      <w:r w:rsidRPr="003604C0">
        <w:rPr>
          <w:rStyle w:val="FootnoteReference"/>
          <w:sz w:val="18"/>
          <w:szCs w:val="18"/>
        </w:rPr>
        <w:footnoteRef/>
      </w:r>
      <w:r w:rsidRPr="003604C0">
        <w:rPr>
          <w:sz w:val="18"/>
          <w:szCs w:val="18"/>
        </w:rPr>
        <w:t xml:space="preserve"> Leakage occurs when there is an increase in emissions in an area outside the boundaries of the REDD activity. This can result from the REDD intervention causing activity shifting or by market affects that change supply and demand. </w:t>
      </w:r>
    </w:p>
  </w:footnote>
  <w:footnote w:id="7">
    <w:p w:rsidR="00D52F96" w:rsidRPr="003604C0" w:rsidRDefault="00D52F96" w:rsidP="00DD5E43">
      <w:pPr>
        <w:pStyle w:val="FootnoteText"/>
        <w:rPr>
          <w:sz w:val="18"/>
          <w:szCs w:val="18"/>
        </w:rPr>
      </w:pPr>
      <w:r>
        <w:rPr>
          <w:sz w:val="18"/>
          <w:szCs w:val="18"/>
        </w:rPr>
        <w:t xml:space="preserve">Bgg,mbm </w:t>
      </w:r>
      <w:r w:rsidRPr="003604C0">
        <w:rPr>
          <w:rStyle w:val="FootnoteReference"/>
          <w:sz w:val="18"/>
          <w:szCs w:val="18"/>
        </w:rPr>
        <w:footnoteRef/>
      </w:r>
      <w:r w:rsidRPr="003604C0">
        <w:rPr>
          <w:sz w:val="18"/>
          <w:szCs w:val="18"/>
        </w:rPr>
        <w:t xml:space="preserve"> MoFor 2008.IFCA 2007 Consolidation Report: </w:t>
      </w:r>
      <w:r>
        <w:rPr>
          <w:sz w:val="18"/>
          <w:szCs w:val="18"/>
        </w:rPr>
        <w:t>Reducing Emissions from Deforestation and Forest Degradation in Indonesia. FORDA:MoFor: Bogor: 188 pp.</w:t>
      </w:r>
    </w:p>
  </w:footnote>
  <w:footnote w:id="8">
    <w:p w:rsidR="00D52F96" w:rsidRDefault="00D52F96" w:rsidP="001414B0">
      <w:pPr>
        <w:pStyle w:val="FootnoteText"/>
        <w:ind w:left="180" w:hanging="180"/>
      </w:pPr>
      <w:r>
        <w:rPr>
          <w:rStyle w:val="FootnoteReference"/>
        </w:rPr>
        <w:footnoteRef/>
      </w:r>
      <w:r>
        <w:t xml:space="preserve">   </w:t>
      </w:r>
      <w:r w:rsidRPr="001414B0">
        <w:rPr>
          <w:sz w:val="18"/>
          <w:szCs w:val="18"/>
        </w:rPr>
        <w:t>If at CEO Endorsement, the PPG activities have not been completed and there is a balance of unspent fund, Agencies can continue undertake the activities up to one year of project start.  No later than one year from start of project implementation, Agencies should report this table to the GEF Secretariat on the completion of PPG activities and the amount spent for the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5369"/>
    <w:multiLevelType w:val="hybridMultilevel"/>
    <w:tmpl w:val="4D1207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C659B"/>
    <w:multiLevelType w:val="hybridMultilevel"/>
    <w:tmpl w:val="0D26D6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0E5C0068"/>
    <w:multiLevelType w:val="hybridMultilevel"/>
    <w:tmpl w:val="8A12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E61031"/>
    <w:multiLevelType w:val="hybridMultilevel"/>
    <w:tmpl w:val="A074F6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600FE4"/>
    <w:multiLevelType w:val="hybridMultilevel"/>
    <w:tmpl w:val="35DCC2BE"/>
    <w:lvl w:ilvl="0" w:tplc="79FE8A3A">
      <w:start w:val="1"/>
      <w:numFmt w:val="decimal"/>
      <w:pStyle w:val="NumberedParas"/>
      <w:lvlText w:val="%1."/>
      <w:lvlJc w:val="left"/>
      <w:pPr>
        <w:ind w:left="360" w:hanging="360"/>
      </w:pPr>
      <w:rPr>
        <w:rFonts w:ascii="Times New Roman" w:hAnsi="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1107D"/>
    <w:multiLevelType w:val="hybridMultilevel"/>
    <w:tmpl w:val="E650433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A02B9"/>
    <w:multiLevelType w:val="hybridMultilevel"/>
    <w:tmpl w:val="BF5A675C"/>
    <w:lvl w:ilvl="0" w:tplc="4512399E">
      <w:start w:val="1"/>
      <w:numFmt w:val="upp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15BD0"/>
    <w:multiLevelType w:val="hybridMultilevel"/>
    <w:tmpl w:val="151E85EE"/>
    <w:lvl w:ilvl="0" w:tplc="79FE8A3A">
      <w:start w:val="1"/>
      <w:numFmt w:val="decimal"/>
      <w:lvlText w:val="%1."/>
      <w:lvlJc w:val="left"/>
      <w:pPr>
        <w:ind w:left="360" w:hanging="360"/>
      </w:pPr>
      <w:rPr>
        <w:rFonts w:ascii="Times New Roman" w:hAnsi="Times New Roman" w:hint="default"/>
        <w:b w:val="0"/>
        <w:i w:val="0"/>
      </w:rPr>
    </w:lvl>
    <w:lvl w:ilvl="1" w:tplc="04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03050B"/>
    <w:multiLevelType w:val="hybridMultilevel"/>
    <w:tmpl w:val="BD8C1C9C"/>
    <w:lvl w:ilvl="0" w:tplc="04090017">
      <w:start w:val="1"/>
      <w:numFmt w:val="lowerLetter"/>
      <w:lvlText w:val="%1)"/>
      <w:lvlJc w:val="left"/>
      <w:pPr>
        <w:ind w:left="720" w:hanging="360"/>
      </w:pPr>
    </w:lvl>
    <w:lvl w:ilvl="1" w:tplc="D654D40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A1F13"/>
    <w:multiLevelType w:val="hybridMultilevel"/>
    <w:tmpl w:val="B0ECC2F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FA3C68"/>
    <w:multiLevelType w:val="hybridMultilevel"/>
    <w:tmpl w:val="1F28A6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BC7DFC"/>
    <w:multiLevelType w:val="hybridMultilevel"/>
    <w:tmpl w:val="F33A79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A5CB8"/>
    <w:multiLevelType w:val="hybridMultilevel"/>
    <w:tmpl w:val="9CBA3B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9716E5"/>
    <w:multiLevelType w:val="hybridMultilevel"/>
    <w:tmpl w:val="B27A9FA2"/>
    <w:lvl w:ilvl="0" w:tplc="90D6D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E6AD9"/>
    <w:multiLevelType w:val="hybridMultilevel"/>
    <w:tmpl w:val="261C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D72E0"/>
    <w:multiLevelType w:val="hybridMultilevel"/>
    <w:tmpl w:val="AC6E627C"/>
    <w:lvl w:ilvl="0" w:tplc="A30EC778">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941A6"/>
    <w:multiLevelType w:val="hybridMultilevel"/>
    <w:tmpl w:val="85429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421F79"/>
    <w:multiLevelType w:val="hybridMultilevel"/>
    <w:tmpl w:val="72886E4E"/>
    <w:lvl w:ilvl="0" w:tplc="19A2C3D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B853E1"/>
    <w:multiLevelType w:val="hybridMultilevel"/>
    <w:tmpl w:val="561CC2E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3F2245"/>
    <w:multiLevelType w:val="hybridMultilevel"/>
    <w:tmpl w:val="E0C6C8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
  </w:num>
  <w:num w:numId="3">
    <w:abstractNumId w:val="17"/>
  </w:num>
  <w:num w:numId="4">
    <w:abstractNumId w:val="7"/>
  </w:num>
  <w:num w:numId="5">
    <w:abstractNumId w:val="6"/>
  </w:num>
  <w:num w:numId="6">
    <w:abstractNumId w:val="5"/>
  </w:num>
  <w:num w:numId="7">
    <w:abstractNumId w:val="9"/>
  </w:num>
  <w:num w:numId="8">
    <w:abstractNumId w:val="2"/>
  </w:num>
  <w:num w:numId="9">
    <w:abstractNumId w:val="15"/>
  </w:num>
  <w:num w:numId="10">
    <w:abstractNumId w:val="8"/>
  </w:num>
  <w:num w:numId="11">
    <w:abstractNumId w:val="16"/>
  </w:num>
  <w:num w:numId="12">
    <w:abstractNumId w:val="14"/>
  </w:num>
  <w:num w:numId="13">
    <w:abstractNumId w:val="14"/>
    <w:lvlOverride w:ilvl="0">
      <w:startOverride w:val="1"/>
    </w:lvlOverride>
  </w:num>
  <w:num w:numId="14">
    <w:abstractNumId w:val="11"/>
  </w:num>
  <w:num w:numId="15">
    <w:abstractNumId w:val="12"/>
  </w:num>
  <w:num w:numId="16">
    <w:abstractNumId w:val="13"/>
  </w:num>
  <w:num w:numId="17">
    <w:abstractNumId w:val="18"/>
  </w:num>
  <w:num w:numId="18">
    <w:abstractNumId w:val="4"/>
  </w:num>
  <w:num w:numId="19">
    <w:abstractNumId w:val="0"/>
  </w:num>
  <w:num w:numId="20">
    <w:abstractNumId w:val="21"/>
  </w:num>
  <w:num w:numId="21">
    <w:abstractNumId w:val="10"/>
  </w:num>
  <w:num w:numId="22">
    <w:abstractNumId w:val="19"/>
  </w:num>
  <w:num w:numId="23">
    <w:abstractNumId w:val="19"/>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70"/>
    <w:rsid w:val="00000EAE"/>
    <w:rsid w:val="00001416"/>
    <w:rsid w:val="000020A9"/>
    <w:rsid w:val="000020C5"/>
    <w:rsid w:val="0001353E"/>
    <w:rsid w:val="0001431D"/>
    <w:rsid w:val="00024F71"/>
    <w:rsid w:val="00026EC4"/>
    <w:rsid w:val="00040B4B"/>
    <w:rsid w:val="0004620F"/>
    <w:rsid w:val="000470D9"/>
    <w:rsid w:val="00047193"/>
    <w:rsid w:val="00060159"/>
    <w:rsid w:val="00066229"/>
    <w:rsid w:val="000667D8"/>
    <w:rsid w:val="00067964"/>
    <w:rsid w:val="00070168"/>
    <w:rsid w:val="000716CE"/>
    <w:rsid w:val="000729C2"/>
    <w:rsid w:val="00086550"/>
    <w:rsid w:val="00086AC7"/>
    <w:rsid w:val="00086CD5"/>
    <w:rsid w:val="00087F8E"/>
    <w:rsid w:val="000930D8"/>
    <w:rsid w:val="000971FB"/>
    <w:rsid w:val="0009732C"/>
    <w:rsid w:val="000B17F0"/>
    <w:rsid w:val="000B1D64"/>
    <w:rsid w:val="000B2D82"/>
    <w:rsid w:val="000B67D8"/>
    <w:rsid w:val="000B7167"/>
    <w:rsid w:val="000B7E49"/>
    <w:rsid w:val="000C4DDA"/>
    <w:rsid w:val="000C56DB"/>
    <w:rsid w:val="000D13DB"/>
    <w:rsid w:val="000D1E7F"/>
    <w:rsid w:val="000D682F"/>
    <w:rsid w:val="000E6939"/>
    <w:rsid w:val="000E69FF"/>
    <w:rsid w:val="000E6D85"/>
    <w:rsid w:val="000F4EEE"/>
    <w:rsid w:val="000F6EE8"/>
    <w:rsid w:val="0010572A"/>
    <w:rsid w:val="00111B5E"/>
    <w:rsid w:val="0011510D"/>
    <w:rsid w:val="00121F75"/>
    <w:rsid w:val="00125D50"/>
    <w:rsid w:val="0012769D"/>
    <w:rsid w:val="0013170A"/>
    <w:rsid w:val="00135DBE"/>
    <w:rsid w:val="00136BB9"/>
    <w:rsid w:val="00137268"/>
    <w:rsid w:val="001413FF"/>
    <w:rsid w:val="001414B0"/>
    <w:rsid w:val="001452CF"/>
    <w:rsid w:val="00146EC8"/>
    <w:rsid w:val="001511BF"/>
    <w:rsid w:val="0015230E"/>
    <w:rsid w:val="00160021"/>
    <w:rsid w:val="00160569"/>
    <w:rsid w:val="00161048"/>
    <w:rsid w:val="00161521"/>
    <w:rsid w:val="00161860"/>
    <w:rsid w:val="001641CA"/>
    <w:rsid w:val="00180CFF"/>
    <w:rsid w:val="00181347"/>
    <w:rsid w:val="00181A50"/>
    <w:rsid w:val="00190C0A"/>
    <w:rsid w:val="0019231F"/>
    <w:rsid w:val="00195DEC"/>
    <w:rsid w:val="001A02C6"/>
    <w:rsid w:val="001A27A1"/>
    <w:rsid w:val="001B6EC9"/>
    <w:rsid w:val="001C28A7"/>
    <w:rsid w:val="001D28D9"/>
    <w:rsid w:val="001D3185"/>
    <w:rsid w:val="001E054A"/>
    <w:rsid w:val="001F13B9"/>
    <w:rsid w:val="001F74D5"/>
    <w:rsid w:val="001F7F4E"/>
    <w:rsid w:val="00202A1B"/>
    <w:rsid w:val="00205722"/>
    <w:rsid w:val="002119A4"/>
    <w:rsid w:val="002263AA"/>
    <w:rsid w:val="00230EE4"/>
    <w:rsid w:val="00231C5D"/>
    <w:rsid w:val="00250EF4"/>
    <w:rsid w:val="002627FF"/>
    <w:rsid w:val="00271D84"/>
    <w:rsid w:val="00272BD9"/>
    <w:rsid w:val="0027526C"/>
    <w:rsid w:val="00281B92"/>
    <w:rsid w:val="002859CA"/>
    <w:rsid w:val="002A2C27"/>
    <w:rsid w:val="002A6C5B"/>
    <w:rsid w:val="002A7A2A"/>
    <w:rsid w:val="002B0529"/>
    <w:rsid w:val="002B7749"/>
    <w:rsid w:val="002C010F"/>
    <w:rsid w:val="002C30AC"/>
    <w:rsid w:val="002C7335"/>
    <w:rsid w:val="002D3922"/>
    <w:rsid w:val="002D5BB5"/>
    <w:rsid w:val="002D5E48"/>
    <w:rsid w:val="002E25F7"/>
    <w:rsid w:val="002E3EEC"/>
    <w:rsid w:val="002E43BF"/>
    <w:rsid w:val="002E4A63"/>
    <w:rsid w:val="002E65B6"/>
    <w:rsid w:val="002E7E71"/>
    <w:rsid w:val="002F1433"/>
    <w:rsid w:val="002F15F6"/>
    <w:rsid w:val="002F1D0C"/>
    <w:rsid w:val="002F2901"/>
    <w:rsid w:val="002F3E00"/>
    <w:rsid w:val="00302D4A"/>
    <w:rsid w:val="0030797E"/>
    <w:rsid w:val="00310A6A"/>
    <w:rsid w:val="003129DD"/>
    <w:rsid w:val="003167AC"/>
    <w:rsid w:val="0031680B"/>
    <w:rsid w:val="00317491"/>
    <w:rsid w:val="00321679"/>
    <w:rsid w:val="003366AB"/>
    <w:rsid w:val="00337A1A"/>
    <w:rsid w:val="0035107A"/>
    <w:rsid w:val="003512E4"/>
    <w:rsid w:val="00352050"/>
    <w:rsid w:val="00353343"/>
    <w:rsid w:val="0036022A"/>
    <w:rsid w:val="003603A1"/>
    <w:rsid w:val="00363292"/>
    <w:rsid w:val="003659F4"/>
    <w:rsid w:val="00365C2E"/>
    <w:rsid w:val="00366B7D"/>
    <w:rsid w:val="00370243"/>
    <w:rsid w:val="00371376"/>
    <w:rsid w:val="003728CC"/>
    <w:rsid w:val="003748BD"/>
    <w:rsid w:val="00391530"/>
    <w:rsid w:val="00397F3A"/>
    <w:rsid w:val="003A66F1"/>
    <w:rsid w:val="003B1AE3"/>
    <w:rsid w:val="003B239B"/>
    <w:rsid w:val="003B319D"/>
    <w:rsid w:val="003B4D4C"/>
    <w:rsid w:val="003C6C69"/>
    <w:rsid w:val="003D35E7"/>
    <w:rsid w:val="003F10B1"/>
    <w:rsid w:val="003F1F16"/>
    <w:rsid w:val="003F6BF8"/>
    <w:rsid w:val="00401148"/>
    <w:rsid w:val="004041EA"/>
    <w:rsid w:val="00411807"/>
    <w:rsid w:val="00411FBD"/>
    <w:rsid w:val="00412C26"/>
    <w:rsid w:val="0041731E"/>
    <w:rsid w:val="004211E7"/>
    <w:rsid w:val="00422197"/>
    <w:rsid w:val="0042407D"/>
    <w:rsid w:val="004274F0"/>
    <w:rsid w:val="00430C25"/>
    <w:rsid w:val="004346FC"/>
    <w:rsid w:val="0043753E"/>
    <w:rsid w:val="0044110E"/>
    <w:rsid w:val="0044463E"/>
    <w:rsid w:val="004511BC"/>
    <w:rsid w:val="00461D1E"/>
    <w:rsid w:val="00464493"/>
    <w:rsid w:val="004670BD"/>
    <w:rsid w:val="00467E69"/>
    <w:rsid w:val="00470821"/>
    <w:rsid w:val="004739E8"/>
    <w:rsid w:val="0047422F"/>
    <w:rsid w:val="004769B4"/>
    <w:rsid w:val="00482B57"/>
    <w:rsid w:val="00483F58"/>
    <w:rsid w:val="00493B60"/>
    <w:rsid w:val="004A1EE3"/>
    <w:rsid w:val="004A3563"/>
    <w:rsid w:val="004A3C2F"/>
    <w:rsid w:val="004A6125"/>
    <w:rsid w:val="004B0894"/>
    <w:rsid w:val="004B4A77"/>
    <w:rsid w:val="004B5B24"/>
    <w:rsid w:val="004B6F35"/>
    <w:rsid w:val="004B7022"/>
    <w:rsid w:val="004C660D"/>
    <w:rsid w:val="004C71B6"/>
    <w:rsid w:val="004D14FE"/>
    <w:rsid w:val="004D2E3B"/>
    <w:rsid w:val="004D4656"/>
    <w:rsid w:val="004E4C23"/>
    <w:rsid w:val="004E6371"/>
    <w:rsid w:val="004F4C97"/>
    <w:rsid w:val="004F762F"/>
    <w:rsid w:val="0050202F"/>
    <w:rsid w:val="00510C63"/>
    <w:rsid w:val="0051222A"/>
    <w:rsid w:val="00512BE7"/>
    <w:rsid w:val="00513259"/>
    <w:rsid w:val="00513D3D"/>
    <w:rsid w:val="00515402"/>
    <w:rsid w:val="00523AA2"/>
    <w:rsid w:val="00524B1F"/>
    <w:rsid w:val="00526220"/>
    <w:rsid w:val="00530528"/>
    <w:rsid w:val="00553792"/>
    <w:rsid w:val="00553E0B"/>
    <w:rsid w:val="00565C5B"/>
    <w:rsid w:val="0056663E"/>
    <w:rsid w:val="00567EA3"/>
    <w:rsid w:val="005709D5"/>
    <w:rsid w:val="00572DC3"/>
    <w:rsid w:val="005733E1"/>
    <w:rsid w:val="005765AB"/>
    <w:rsid w:val="00577106"/>
    <w:rsid w:val="00580843"/>
    <w:rsid w:val="00581A27"/>
    <w:rsid w:val="005874E9"/>
    <w:rsid w:val="00591870"/>
    <w:rsid w:val="005960F0"/>
    <w:rsid w:val="00597979"/>
    <w:rsid w:val="005A2699"/>
    <w:rsid w:val="005A3957"/>
    <w:rsid w:val="005A3EE8"/>
    <w:rsid w:val="005A4109"/>
    <w:rsid w:val="005A50E5"/>
    <w:rsid w:val="005B1B40"/>
    <w:rsid w:val="005B6FD4"/>
    <w:rsid w:val="005C2CC9"/>
    <w:rsid w:val="005C2EC1"/>
    <w:rsid w:val="005C5B5B"/>
    <w:rsid w:val="005C603E"/>
    <w:rsid w:val="005D1BE4"/>
    <w:rsid w:val="005D5575"/>
    <w:rsid w:val="005D6724"/>
    <w:rsid w:val="005D6CCB"/>
    <w:rsid w:val="005D7120"/>
    <w:rsid w:val="005E6E94"/>
    <w:rsid w:val="005F0687"/>
    <w:rsid w:val="005F634D"/>
    <w:rsid w:val="005F7EC6"/>
    <w:rsid w:val="006105A5"/>
    <w:rsid w:val="0061724D"/>
    <w:rsid w:val="006414DD"/>
    <w:rsid w:val="00643515"/>
    <w:rsid w:val="00652350"/>
    <w:rsid w:val="0065243D"/>
    <w:rsid w:val="006548EA"/>
    <w:rsid w:val="00661138"/>
    <w:rsid w:val="00661B52"/>
    <w:rsid w:val="006630F2"/>
    <w:rsid w:val="00665A90"/>
    <w:rsid w:val="006668F2"/>
    <w:rsid w:val="00671153"/>
    <w:rsid w:val="0067676C"/>
    <w:rsid w:val="00680447"/>
    <w:rsid w:val="006903BB"/>
    <w:rsid w:val="00692D88"/>
    <w:rsid w:val="006939D0"/>
    <w:rsid w:val="006A7C43"/>
    <w:rsid w:val="006B03FA"/>
    <w:rsid w:val="006C1A32"/>
    <w:rsid w:val="006C4297"/>
    <w:rsid w:val="006D23CD"/>
    <w:rsid w:val="006D3D7C"/>
    <w:rsid w:val="006F0504"/>
    <w:rsid w:val="0070069C"/>
    <w:rsid w:val="00705C29"/>
    <w:rsid w:val="00710652"/>
    <w:rsid w:val="0071100E"/>
    <w:rsid w:val="00716384"/>
    <w:rsid w:val="00716F1B"/>
    <w:rsid w:val="00720F92"/>
    <w:rsid w:val="007224AD"/>
    <w:rsid w:val="00726EB3"/>
    <w:rsid w:val="00733EAB"/>
    <w:rsid w:val="00734995"/>
    <w:rsid w:val="007370B4"/>
    <w:rsid w:val="007370E4"/>
    <w:rsid w:val="00737B33"/>
    <w:rsid w:val="007410B5"/>
    <w:rsid w:val="00751A56"/>
    <w:rsid w:val="00756365"/>
    <w:rsid w:val="00761180"/>
    <w:rsid w:val="00772BA4"/>
    <w:rsid w:val="00777023"/>
    <w:rsid w:val="00777093"/>
    <w:rsid w:val="00785D12"/>
    <w:rsid w:val="0079240C"/>
    <w:rsid w:val="007935A3"/>
    <w:rsid w:val="007949E1"/>
    <w:rsid w:val="00796D00"/>
    <w:rsid w:val="00797E7A"/>
    <w:rsid w:val="007A4707"/>
    <w:rsid w:val="007A5BDD"/>
    <w:rsid w:val="007A7DCF"/>
    <w:rsid w:val="007B102D"/>
    <w:rsid w:val="007B28A1"/>
    <w:rsid w:val="007B42BB"/>
    <w:rsid w:val="007B5403"/>
    <w:rsid w:val="007B71A7"/>
    <w:rsid w:val="007C36DF"/>
    <w:rsid w:val="007C3BCB"/>
    <w:rsid w:val="007C70BD"/>
    <w:rsid w:val="007D0D7F"/>
    <w:rsid w:val="007D3FD5"/>
    <w:rsid w:val="007D4FAE"/>
    <w:rsid w:val="007F10CD"/>
    <w:rsid w:val="007F12E8"/>
    <w:rsid w:val="007F368A"/>
    <w:rsid w:val="007F6536"/>
    <w:rsid w:val="007F7BEA"/>
    <w:rsid w:val="00800D27"/>
    <w:rsid w:val="00802016"/>
    <w:rsid w:val="00802BC6"/>
    <w:rsid w:val="00803F47"/>
    <w:rsid w:val="00804C43"/>
    <w:rsid w:val="008214C3"/>
    <w:rsid w:val="00822781"/>
    <w:rsid w:val="00823305"/>
    <w:rsid w:val="00825470"/>
    <w:rsid w:val="00830EC9"/>
    <w:rsid w:val="00832478"/>
    <w:rsid w:val="00832AAD"/>
    <w:rsid w:val="00834C35"/>
    <w:rsid w:val="00835B1B"/>
    <w:rsid w:val="00835F39"/>
    <w:rsid w:val="00836D41"/>
    <w:rsid w:val="008376ED"/>
    <w:rsid w:val="00842266"/>
    <w:rsid w:val="00843639"/>
    <w:rsid w:val="00846A58"/>
    <w:rsid w:val="00846F3E"/>
    <w:rsid w:val="00847A43"/>
    <w:rsid w:val="00854B34"/>
    <w:rsid w:val="00856E9A"/>
    <w:rsid w:val="00857647"/>
    <w:rsid w:val="0086408A"/>
    <w:rsid w:val="00875F3B"/>
    <w:rsid w:val="0088634D"/>
    <w:rsid w:val="0088640D"/>
    <w:rsid w:val="00892132"/>
    <w:rsid w:val="0089580B"/>
    <w:rsid w:val="008A1A18"/>
    <w:rsid w:val="008A78F3"/>
    <w:rsid w:val="008A7C81"/>
    <w:rsid w:val="008B1C09"/>
    <w:rsid w:val="008B3782"/>
    <w:rsid w:val="008C31A5"/>
    <w:rsid w:val="008E1ED2"/>
    <w:rsid w:val="008F4CB0"/>
    <w:rsid w:val="008F641C"/>
    <w:rsid w:val="008F73D5"/>
    <w:rsid w:val="0090170D"/>
    <w:rsid w:val="0090530A"/>
    <w:rsid w:val="009156AF"/>
    <w:rsid w:val="00916B09"/>
    <w:rsid w:val="00921B05"/>
    <w:rsid w:val="00922621"/>
    <w:rsid w:val="00922809"/>
    <w:rsid w:val="00923E41"/>
    <w:rsid w:val="00933982"/>
    <w:rsid w:val="00934E16"/>
    <w:rsid w:val="00945672"/>
    <w:rsid w:val="00954B3D"/>
    <w:rsid w:val="00957A98"/>
    <w:rsid w:val="009631E4"/>
    <w:rsid w:val="009655E9"/>
    <w:rsid w:val="00967B46"/>
    <w:rsid w:val="00974BBA"/>
    <w:rsid w:val="00977945"/>
    <w:rsid w:val="00977ACE"/>
    <w:rsid w:val="00980B4D"/>
    <w:rsid w:val="00983EE6"/>
    <w:rsid w:val="00985466"/>
    <w:rsid w:val="00985A96"/>
    <w:rsid w:val="00986A6E"/>
    <w:rsid w:val="00986F49"/>
    <w:rsid w:val="00990090"/>
    <w:rsid w:val="009947EA"/>
    <w:rsid w:val="009B008F"/>
    <w:rsid w:val="009B3583"/>
    <w:rsid w:val="009B7F2E"/>
    <w:rsid w:val="009C00FD"/>
    <w:rsid w:val="009C2329"/>
    <w:rsid w:val="009D0631"/>
    <w:rsid w:val="009D381C"/>
    <w:rsid w:val="009D62A1"/>
    <w:rsid w:val="009E5B5D"/>
    <w:rsid w:val="009F499A"/>
    <w:rsid w:val="009F4DF8"/>
    <w:rsid w:val="009F5984"/>
    <w:rsid w:val="00A1136E"/>
    <w:rsid w:val="00A1387A"/>
    <w:rsid w:val="00A16954"/>
    <w:rsid w:val="00A26A95"/>
    <w:rsid w:val="00A2743F"/>
    <w:rsid w:val="00A305FC"/>
    <w:rsid w:val="00A30A0A"/>
    <w:rsid w:val="00A3360A"/>
    <w:rsid w:val="00A3415F"/>
    <w:rsid w:val="00A45126"/>
    <w:rsid w:val="00A64DA7"/>
    <w:rsid w:val="00A65051"/>
    <w:rsid w:val="00A65A23"/>
    <w:rsid w:val="00A76B08"/>
    <w:rsid w:val="00A81259"/>
    <w:rsid w:val="00A9041F"/>
    <w:rsid w:val="00A92DB5"/>
    <w:rsid w:val="00A93F32"/>
    <w:rsid w:val="00A93F69"/>
    <w:rsid w:val="00A9446B"/>
    <w:rsid w:val="00A95A5D"/>
    <w:rsid w:val="00AA1C6F"/>
    <w:rsid w:val="00AB4AF2"/>
    <w:rsid w:val="00AB5B9A"/>
    <w:rsid w:val="00AC6F7F"/>
    <w:rsid w:val="00AD0B6B"/>
    <w:rsid w:val="00AD5B53"/>
    <w:rsid w:val="00AD6B97"/>
    <w:rsid w:val="00AE27DE"/>
    <w:rsid w:val="00AE2DE0"/>
    <w:rsid w:val="00AE3CB2"/>
    <w:rsid w:val="00AF165C"/>
    <w:rsid w:val="00AF28E7"/>
    <w:rsid w:val="00AF2FE3"/>
    <w:rsid w:val="00B064D3"/>
    <w:rsid w:val="00B12D3F"/>
    <w:rsid w:val="00B1335F"/>
    <w:rsid w:val="00B145D1"/>
    <w:rsid w:val="00B1702D"/>
    <w:rsid w:val="00B17434"/>
    <w:rsid w:val="00B225E6"/>
    <w:rsid w:val="00B22899"/>
    <w:rsid w:val="00B255B1"/>
    <w:rsid w:val="00B2563C"/>
    <w:rsid w:val="00B34830"/>
    <w:rsid w:val="00B36745"/>
    <w:rsid w:val="00B3685B"/>
    <w:rsid w:val="00B37EA5"/>
    <w:rsid w:val="00B4158C"/>
    <w:rsid w:val="00B424B9"/>
    <w:rsid w:val="00B439E5"/>
    <w:rsid w:val="00B51089"/>
    <w:rsid w:val="00B55E27"/>
    <w:rsid w:val="00B55E67"/>
    <w:rsid w:val="00B57503"/>
    <w:rsid w:val="00B6017C"/>
    <w:rsid w:val="00B603D5"/>
    <w:rsid w:val="00B6455A"/>
    <w:rsid w:val="00B65341"/>
    <w:rsid w:val="00B7208D"/>
    <w:rsid w:val="00B73769"/>
    <w:rsid w:val="00B752F0"/>
    <w:rsid w:val="00B770C3"/>
    <w:rsid w:val="00B77732"/>
    <w:rsid w:val="00B81B60"/>
    <w:rsid w:val="00B858FE"/>
    <w:rsid w:val="00B863E7"/>
    <w:rsid w:val="00B9046A"/>
    <w:rsid w:val="00B9262C"/>
    <w:rsid w:val="00B93262"/>
    <w:rsid w:val="00B96C5D"/>
    <w:rsid w:val="00B96E76"/>
    <w:rsid w:val="00B97BF1"/>
    <w:rsid w:val="00BA11E2"/>
    <w:rsid w:val="00BA1C6A"/>
    <w:rsid w:val="00BA397E"/>
    <w:rsid w:val="00BA4AA3"/>
    <w:rsid w:val="00BB33A8"/>
    <w:rsid w:val="00BB4003"/>
    <w:rsid w:val="00BB4679"/>
    <w:rsid w:val="00BB7124"/>
    <w:rsid w:val="00BB7EF3"/>
    <w:rsid w:val="00BD2CC0"/>
    <w:rsid w:val="00BF093B"/>
    <w:rsid w:val="00BF20E1"/>
    <w:rsid w:val="00C0015E"/>
    <w:rsid w:val="00C00D54"/>
    <w:rsid w:val="00C03FEE"/>
    <w:rsid w:val="00C06425"/>
    <w:rsid w:val="00C10798"/>
    <w:rsid w:val="00C24B97"/>
    <w:rsid w:val="00C31505"/>
    <w:rsid w:val="00C351F4"/>
    <w:rsid w:val="00C419EA"/>
    <w:rsid w:val="00C5060A"/>
    <w:rsid w:val="00C52662"/>
    <w:rsid w:val="00C5361A"/>
    <w:rsid w:val="00C5442B"/>
    <w:rsid w:val="00C623E7"/>
    <w:rsid w:val="00C64AED"/>
    <w:rsid w:val="00C651F6"/>
    <w:rsid w:val="00C67457"/>
    <w:rsid w:val="00C674F4"/>
    <w:rsid w:val="00C70A58"/>
    <w:rsid w:val="00C850BA"/>
    <w:rsid w:val="00C8666A"/>
    <w:rsid w:val="00C8779C"/>
    <w:rsid w:val="00C939B9"/>
    <w:rsid w:val="00C960BE"/>
    <w:rsid w:val="00CA0C77"/>
    <w:rsid w:val="00CA3355"/>
    <w:rsid w:val="00CA3937"/>
    <w:rsid w:val="00CB1994"/>
    <w:rsid w:val="00CB3A60"/>
    <w:rsid w:val="00CB4482"/>
    <w:rsid w:val="00CB6291"/>
    <w:rsid w:val="00CC54B8"/>
    <w:rsid w:val="00CC5CF1"/>
    <w:rsid w:val="00CD064C"/>
    <w:rsid w:val="00CD4568"/>
    <w:rsid w:val="00CD5986"/>
    <w:rsid w:val="00CE5A3E"/>
    <w:rsid w:val="00CE66FD"/>
    <w:rsid w:val="00CE68D6"/>
    <w:rsid w:val="00CF0301"/>
    <w:rsid w:val="00CF10E5"/>
    <w:rsid w:val="00D013B9"/>
    <w:rsid w:val="00D07C80"/>
    <w:rsid w:val="00D1075B"/>
    <w:rsid w:val="00D258E4"/>
    <w:rsid w:val="00D32AC2"/>
    <w:rsid w:val="00D36625"/>
    <w:rsid w:val="00D36E65"/>
    <w:rsid w:val="00D3731F"/>
    <w:rsid w:val="00D423FB"/>
    <w:rsid w:val="00D42A47"/>
    <w:rsid w:val="00D468A8"/>
    <w:rsid w:val="00D46C78"/>
    <w:rsid w:val="00D52F96"/>
    <w:rsid w:val="00D603EC"/>
    <w:rsid w:val="00D62197"/>
    <w:rsid w:val="00D629D4"/>
    <w:rsid w:val="00D71158"/>
    <w:rsid w:val="00D7359E"/>
    <w:rsid w:val="00D82541"/>
    <w:rsid w:val="00D830AA"/>
    <w:rsid w:val="00D90983"/>
    <w:rsid w:val="00D957A7"/>
    <w:rsid w:val="00DA1338"/>
    <w:rsid w:val="00DA139A"/>
    <w:rsid w:val="00DA5AB5"/>
    <w:rsid w:val="00DA661E"/>
    <w:rsid w:val="00DA7686"/>
    <w:rsid w:val="00DB015A"/>
    <w:rsid w:val="00DB0A2D"/>
    <w:rsid w:val="00DB4215"/>
    <w:rsid w:val="00DB68F6"/>
    <w:rsid w:val="00DC16C7"/>
    <w:rsid w:val="00DC2C10"/>
    <w:rsid w:val="00DC2CBB"/>
    <w:rsid w:val="00DD2D30"/>
    <w:rsid w:val="00DD3144"/>
    <w:rsid w:val="00DD3F4A"/>
    <w:rsid w:val="00DD5E43"/>
    <w:rsid w:val="00DD63CE"/>
    <w:rsid w:val="00DE3516"/>
    <w:rsid w:val="00DE3613"/>
    <w:rsid w:val="00DF1609"/>
    <w:rsid w:val="00DF1884"/>
    <w:rsid w:val="00DF4453"/>
    <w:rsid w:val="00DF52B1"/>
    <w:rsid w:val="00E034C6"/>
    <w:rsid w:val="00E054C5"/>
    <w:rsid w:val="00E103CB"/>
    <w:rsid w:val="00E11378"/>
    <w:rsid w:val="00E169C1"/>
    <w:rsid w:val="00E16F7C"/>
    <w:rsid w:val="00E26A08"/>
    <w:rsid w:val="00E30EE0"/>
    <w:rsid w:val="00E32174"/>
    <w:rsid w:val="00E3305D"/>
    <w:rsid w:val="00E34F93"/>
    <w:rsid w:val="00E4241F"/>
    <w:rsid w:val="00E4291E"/>
    <w:rsid w:val="00E4475F"/>
    <w:rsid w:val="00E47DDF"/>
    <w:rsid w:val="00E47F53"/>
    <w:rsid w:val="00E53223"/>
    <w:rsid w:val="00E5485B"/>
    <w:rsid w:val="00E57D0B"/>
    <w:rsid w:val="00E625A6"/>
    <w:rsid w:val="00E62F7A"/>
    <w:rsid w:val="00E64865"/>
    <w:rsid w:val="00E72740"/>
    <w:rsid w:val="00E766AF"/>
    <w:rsid w:val="00E772FF"/>
    <w:rsid w:val="00E81480"/>
    <w:rsid w:val="00E8235A"/>
    <w:rsid w:val="00EA242C"/>
    <w:rsid w:val="00EA2BE2"/>
    <w:rsid w:val="00EB15A1"/>
    <w:rsid w:val="00EB4FA4"/>
    <w:rsid w:val="00EC1EB7"/>
    <w:rsid w:val="00EC3278"/>
    <w:rsid w:val="00EC63AE"/>
    <w:rsid w:val="00EC63C7"/>
    <w:rsid w:val="00EC6C71"/>
    <w:rsid w:val="00EE05D2"/>
    <w:rsid w:val="00EE0A54"/>
    <w:rsid w:val="00EF21AA"/>
    <w:rsid w:val="00EF3B34"/>
    <w:rsid w:val="00EF51E2"/>
    <w:rsid w:val="00EF592E"/>
    <w:rsid w:val="00F04B84"/>
    <w:rsid w:val="00F07AFA"/>
    <w:rsid w:val="00F14C17"/>
    <w:rsid w:val="00F15257"/>
    <w:rsid w:val="00F242FC"/>
    <w:rsid w:val="00F268CB"/>
    <w:rsid w:val="00F277C4"/>
    <w:rsid w:val="00F346B2"/>
    <w:rsid w:val="00F42946"/>
    <w:rsid w:val="00F44F65"/>
    <w:rsid w:val="00F51DEB"/>
    <w:rsid w:val="00F52B0A"/>
    <w:rsid w:val="00F554A5"/>
    <w:rsid w:val="00F5711B"/>
    <w:rsid w:val="00F62C83"/>
    <w:rsid w:val="00F638BE"/>
    <w:rsid w:val="00F64968"/>
    <w:rsid w:val="00F65084"/>
    <w:rsid w:val="00F65994"/>
    <w:rsid w:val="00F816E3"/>
    <w:rsid w:val="00F83D07"/>
    <w:rsid w:val="00F83F9F"/>
    <w:rsid w:val="00F850F1"/>
    <w:rsid w:val="00F87445"/>
    <w:rsid w:val="00FB2B09"/>
    <w:rsid w:val="00FC1FBF"/>
    <w:rsid w:val="00FC599D"/>
    <w:rsid w:val="00FD2AFD"/>
    <w:rsid w:val="00FD2BF9"/>
    <w:rsid w:val="00FD6CFE"/>
    <w:rsid w:val="00FD7171"/>
    <w:rsid w:val="00FE18A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D75A85-7E4B-4DD4-8C20-62594576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870"/>
    <w:pPr>
      <w:spacing w:after="200" w:line="276" w:lineRule="auto"/>
    </w:pPr>
    <w:rPr>
      <w:sz w:val="22"/>
      <w:szCs w:val="22"/>
      <w:lang w:val="en-GB" w:bidi="ar-SA"/>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link w:val="CaptionChar"/>
    <w:uiPriority w:val="35"/>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uiPriority w:val="99"/>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uiPriority w:val="39"/>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otnote Text,Footnote,ft,single space,footnote text,Footnote Text Char1,Footnote Text Char Char,Footnote Text Char1 Char Char,Footnote Text Char Char Char Char,Char Char Char Char Char,Char Char Char,fn"/>
    <w:basedOn w:val="Normal"/>
    <w:link w:val="FootnoteTextChar"/>
    <w:uiPriority w:val="99"/>
    <w:rsid w:val="00591870"/>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otnote Text Char,Footnote Char,ft Char,single space Char,footnote text Char,Footnote Text Char1 Char,Footnote Text Char Char Char,Footnote Text Char1 Char Char Char,fn Char"/>
    <w:link w:val="FootnoteText"/>
    <w:uiPriority w:val="99"/>
    <w:rsid w:val="00591870"/>
    <w:rPr>
      <w:rFonts w:ascii="Times New Roman" w:eastAsia="Times New Roman" w:hAnsi="Times New Roman" w:cs="Times New Roman"/>
      <w:sz w:val="20"/>
      <w:szCs w:val="20"/>
    </w:rPr>
  </w:style>
  <w:style w:type="character" w:styleId="FootnoteReference">
    <w:name w:val="footnote reference"/>
    <w:aliases w:val="16 Point,Superscript 6 Point,ftref,(NECG) Footnote Reference,Fußnotenzeichen DISS,fr,de nota al pie,Ref,Footnote Ref in FtNote,SUPERS,FnR-ANZDEC,Superscript 6 Point + 11 pt, Car Car Char Car Char Car Car Char Car Char Char"/>
    <w:uiPriority w:val="99"/>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2"/>
      </w:numPr>
      <w:spacing w:before="120" w:after="240" w:line="240" w:lineRule="auto"/>
      <w:ind w:left="0" w:firstLine="0"/>
      <w:outlineLvl w:val="1"/>
    </w:pPr>
    <w:rPr>
      <w:rFonts w:ascii="Times New Roman" w:eastAsia="Times New Roman" w:hAnsi="Times New Roman"/>
      <w:color w:val="000000"/>
      <w:sz w:val="24"/>
      <w:szCs w:val="24"/>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aliases w:val="Akapit z listą BS,123 List Paragraph,Main numbered paragraph,List Paragraph (numbered (a)),Bullets,Body,References,List_Paragraph,Multilevel para_II,List Paragraph1,Normal 2 DC,Numbered List Paragraph,Liste 1,ReferencesCxSpLast"/>
    <w:basedOn w:val="Normal"/>
    <w:link w:val="ListParagraphChar"/>
    <w:autoRedefine/>
    <w:uiPriority w:val="34"/>
    <w:qFormat/>
    <w:rsid w:val="00AD6B97"/>
    <w:pPr>
      <w:numPr>
        <w:numId w:val="22"/>
      </w:numPr>
      <w:shd w:val="clear" w:color="auto" w:fill="BFBFBF" w:themeFill="background1" w:themeFillShade="BF"/>
      <w:tabs>
        <w:tab w:val="left" w:pos="1350"/>
      </w:tabs>
      <w:spacing w:after="0" w:line="240" w:lineRule="auto"/>
      <w:contextualSpacing/>
      <w:jc w:val="both"/>
    </w:pPr>
    <w:rPr>
      <w:rFonts w:ascii="Times New Roman" w:eastAsia="Times New Roman" w:hAnsi="Times New Roman"/>
      <w:szCs w:val="18"/>
    </w:rPr>
  </w:style>
  <w:style w:type="character" w:customStyle="1" w:styleId="MainParanoChapterChar">
    <w:name w:val="Main Para no Chapter # Char"/>
    <w:link w:val="MainParanoChapter"/>
    <w:uiPriority w:val="99"/>
    <w:locked/>
    <w:rsid w:val="00591870"/>
    <w:rPr>
      <w:rFonts w:ascii="Times New Roman" w:eastAsia="Times New Roman" w:hAnsi="Times New Roman"/>
      <w:color w:val="000000"/>
      <w:sz w:val="24"/>
      <w:szCs w:val="24"/>
      <w:lang w:bidi="ar-SA"/>
    </w:rPr>
  </w:style>
  <w:style w:type="paragraph" w:styleId="NoSpacing">
    <w:name w:val="No Spacing"/>
    <w:uiPriority w:val="1"/>
    <w:qFormat/>
    <w:rsid w:val="00591870"/>
    <w:rPr>
      <w:rFonts w:eastAsia="Times New Roman"/>
      <w:sz w:val="22"/>
      <w:szCs w:val="22"/>
      <w:lang w:bidi="ar-SA"/>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uiPriority w:val="99"/>
    <w:rsid w:val="00591870"/>
    <w:rPr>
      <w:sz w:val="16"/>
      <w:szCs w:val="16"/>
    </w:rPr>
  </w:style>
  <w:style w:type="paragraph" w:styleId="CommentText">
    <w:name w:val="annotation text"/>
    <w:basedOn w:val="Normal"/>
    <w:link w:val="CommentTextChar"/>
    <w:uiPriority w:val="99"/>
    <w:rsid w:val="00591870"/>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123 List Paragraph Char,Main numbered paragraph Char,List Paragraph (numbered (a)) Char,Bullets Char,Body Char,References Char,List_Paragraph Char,Multilevel para_II Char,List Paragraph1 Char,Normal 2 DC Char"/>
    <w:basedOn w:val="DefaultParagraphFont"/>
    <w:link w:val="ListParagraph"/>
    <w:uiPriority w:val="34"/>
    <w:qFormat/>
    <w:rsid w:val="00AD6B97"/>
    <w:rPr>
      <w:rFonts w:ascii="Times New Roman" w:eastAsia="Times New Roman" w:hAnsi="Times New Roman"/>
      <w:sz w:val="22"/>
      <w:szCs w:val="18"/>
      <w:shd w:val="clear" w:color="auto" w:fill="BFBFBF" w:themeFill="background1" w:themeFillShade="BF"/>
      <w:lang w:val="en-GB" w:bidi="ar-SA"/>
    </w:rPr>
  </w:style>
  <w:style w:type="character" w:customStyle="1" w:styleId="CaptionChar">
    <w:name w:val="Caption Char"/>
    <w:link w:val="Caption"/>
    <w:uiPriority w:val="35"/>
    <w:rsid w:val="00B36745"/>
    <w:rPr>
      <w:rFonts w:ascii="Times New Roman Bold" w:eastAsia="Times New Roman" w:hAnsi="Times New Roman Bold"/>
      <w:b/>
      <w:bCs/>
      <w:caps/>
      <w:sz w:val="24"/>
      <w:szCs w:val="24"/>
      <w:lang w:bidi="ar-SA"/>
    </w:rPr>
  </w:style>
  <w:style w:type="paragraph" w:customStyle="1" w:styleId="NumberedParas">
    <w:name w:val="Numbered Paras"/>
    <w:basedOn w:val="Normal"/>
    <w:qFormat/>
    <w:rsid w:val="00B36745"/>
    <w:pPr>
      <w:numPr>
        <w:numId w:val="6"/>
      </w:numPr>
      <w:spacing w:after="0" w:line="240" w:lineRule="auto"/>
      <w:jc w:val="both"/>
    </w:pPr>
    <w:rPr>
      <w:rFonts w:ascii="Times New Roman" w:eastAsia="Times New Roman" w:hAnsi="Times New Roman"/>
      <w:sz w:val="24"/>
    </w:rPr>
  </w:style>
  <w:style w:type="paragraph" w:customStyle="1" w:styleId="BodyText23">
    <w:name w:val="Body Text 23"/>
    <w:basedOn w:val="Normal"/>
    <w:rsid w:val="00B36745"/>
    <w:pPr>
      <w:widowControl w:val="0"/>
      <w:tabs>
        <w:tab w:val="left" w:pos="547"/>
      </w:tabs>
      <w:spacing w:after="0" w:line="240" w:lineRule="auto"/>
      <w:jc w:val="both"/>
    </w:pPr>
    <w:rPr>
      <w:rFonts w:ascii="Times New Roman" w:eastAsia="Times New Roman" w:hAnsi="Times New Roman"/>
      <w:snapToGrid w:val="0"/>
      <w:szCs w:val="20"/>
    </w:rPr>
  </w:style>
  <w:style w:type="paragraph" w:styleId="Revision">
    <w:name w:val="Revision"/>
    <w:hidden/>
    <w:uiPriority w:val="99"/>
    <w:semiHidden/>
    <w:rsid w:val="00A26A95"/>
    <w:rPr>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960502">
      <w:bodyDiv w:val="1"/>
      <w:marLeft w:val="0"/>
      <w:marRight w:val="0"/>
      <w:marTop w:val="0"/>
      <w:marBottom w:val="0"/>
      <w:divBdr>
        <w:top w:val="none" w:sz="0" w:space="0" w:color="auto"/>
        <w:left w:val="none" w:sz="0" w:space="0" w:color="auto"/>
        <w:bottom w:val="none" w:sz="0" w:space="0" w:color="auto"/>
        <w:right w:val="none" w:sz="0" w:space="0" w:color="auto"/>
      </w:divBdr>
    </w:div>
    <w:div w:id="19857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gef.org/gef/node/1325"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thegef.org/gef/node/1890" TargetMode="External"/><Relationship Id="rId17" Type="http://schemas.openxmlformats.org/officeDocument/2006/relationships/hyperlink" Target="http://www.thegef.org/gef/sites/thegef.org/files/documents/OFP%20Endorsement%20Letter%20Template%20for%20SGP%2009-08-2010.doc" TargetMode="External"/><Relationship Id="rId2" Type="http://schemas.openxmlformats.org/officeDocument/2006/relationships/numbering" Target="numbering.xml"/><Relationship Id="rId16" Type="http://schemas.openxmlformats.org/officeDocument/2006/relationships/hyperlink" Target="http://www.thegef.org/gef/sites/thegef.org/files/documents/OFP%20Endorsement%20Letter%20Template%2011-1-11_0.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fweb.org/Documents/Council_Documents/GEF_C21/C.20.6.Rev.1.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thegef.org/gef/sites/thegef.org/files/documents/document/GEF5-Template%20Reference%20Guide%209-14-10rev11-18-2010.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gef.org/gef/home" TargetMode="External"/><Relationship Id="rId14" Type="http://schemas.openxmlformats.org/officeDocument/2006/relationships/hyperlink" Target="http://www.thegef.org/gef/sites/thegef.org/files/documents/CPE-Global_Environmental_Benefits_Assessment_Outline.pdf"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sites/thegef.org/files/documents/document/GEF5-Template%20Reference%20Guide%209-14-10rev11-18-20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610EF-D712-4210-9D19-AE247F1EE374}">
  <ds:schemaRefs>
    <ds:schemaRef ds:uri="http://schemas.openxmlformats.org/officeDocument/2006/bibliography"/>
  </ds:schemaRefs>
</ds:datastoreItem>
</file>

<file path=customXml/itemProps2.xml><?xml version="1.0" encoding="utf-8"?>
<ds:datastoreItem xmlns:ds="http://schemas.openxmlformats.org/officeDocument/2006/customXml" ds:itemID="{C08FF441-4EF5-47DD-8630-98BF5E622800}"/>
</file>

<file path=customXml/itemProps3.xml><?xml version="1.0" encoding="utf-8"?>
<ds:datastoreItem xmlns:ds="http://schemas.openxmlformats.org/officeDocument/2006/customXml" ds:itemID="{ACC6C1CA-BFA4-4B32-B8A7-23465729EAB1}"/>
</file>

<file path=customXml/itemProps4.xml><?xml version="1.0" encoding="utf-8"?>
<ds:datastoreItem xmlns:ds="http://schemas.openxmlformats.org/officeDocument/2006/customXml" ds:itemID="{BB80430C-C1C3-4A0C-8C41-6BE32003E133}"/>
</file>

<file path=docProps/app.xml><?xml version="1.0" encoding="utf-8"?>
<Properties xmlns="http://schemas.openxmlformats.org/officeDocument/2006/extended-properties" xmlns:vt="http://schemas.openxmlformats.org/officeDocument/2006/docPropsVTypes">
  <Template>Normal.dotm</Template>
  <TotalTime>1</TotalTime>
  <Pages>53</Pages>
  <Words>19575</Words>
  <Characters>111581</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REQUEST FOR  (select decision sought)</vt:lpstr>
    </vt:vector>
  </TitlesOfParts>
  <Company>The World Bank Group</Company>
  <LinksUpToDate>false</LinksUpToDate>
  <CharactersWithSpaces>130895</CharactersWithSpaces>
  <SharedDoc>false</SharedDoc>
  <HLinks>
    <vt:vector size="54" baseType="variant">
      <vt:variant>
        <vt:i4>917593</vt:i4>
      </vt:variant>
      <vt:variant>
        <vt:i4>811</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808</vt:i4>
      </vt:variant>
      <vt:variant>
        <vt:i4>0</vt:i4>
      </vt:variant>
      <vt:variant>
        <vt:i4>5</vt:i4>
      </vt:variant>
      <vt:variant>
        <vt:lpwstr>http://www.thegef.org/gef/sites/thegef.org/files/documents/OFP Endorsement Letter Template 11-1-11_0.doc</vt:lpwstr>
      </vt:variant>
      <vt:variant>
        <vt:lpwstr/>
      </vt:variant>
      <vt:variant>
        <vt:i4>5570651</vt:i4>
      </vt:variant>
      <vt:variant>
        <vt:i4>784</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781</vt:i4>
      </vt:variant>
      <vt:variant>
        <vt:i4>0</vt:i4>
      </vt:variant>
      <vt:variant>
        <vt:i4>5</vt:i4>
      </vt:variant>
      <vt:variant>
        <vt:lpwstr>http://www.thegef.org/gef/node/1325</vt:lpwstr>
      </vt:variant>
      <vt:variant>
        <vt:lpwstr/>
      </vt:variant>
      <vt:variant>
        <vt:i4>6553645</vt:i4>
      </vt:variant>
      <vt:variant>
        <vt:i4>778</vt:i4>
      </vt:variant>
      <vt:variant>
        <vt:i4>0</vt:i4>
      </vt:variant>
      <vt:variant>
        <vt:i4>5</vt:i4>
      </vt:variant>
      <vt:variant>
        <vt:lpwstr>http://www.thegef.org/gef/node/1890</vt:lpwstr>
      </vt:variant>
      <vt:variant>
        <vt:lpwstr/>
      </vt:variant>
      <vt:variant>
        <vt:i4>2556011</vt:i4>
      </vt:variant>
      <vt:variant>
        <vt:i4>413</vt:i4>
      </vt:variant>
      <vt:variant>
        <vt:i4>0</vt:i4>
      </vt:variant>
      <vt:variant>
        <vt:i4>5</vt:i4>
      </vt:variant>
      <vt:variant>
        <vt:lpwstr>http://gefweb.org/Documents/Council_Documents/GEF_C21/C.20.6.Rev.1.pdf</vt:lpwstr>
      </vt:variant>
      <vt:variant>
        <vt:lpwstr/>
      </vt:variant>
      <vt:variant>
        <vt:i4>6357090</vt:i4>
      </vt:variant>
      <vt:variant>
        <vt:i4>48</vt:i4>
      </vt:variant>
      <vt:variant>
        <vt:i4>0</vt:i4>
      </vt:variant>
      <vt:variant>
        <vt:i4>5</vt:i4>
      </vt:variant>
      <vt:variant>
        <vt:lpwstr>http://www.thegef.org/gef/sites/thegef.org/files/documents/document/GEF5-Template Reference Guide 9-14-10rev11-18-2010.doc</vt:lpwstr>
      </vt:variant>
      <vt:variant>
        <vt:lpwstr/>
      </vt:variant>
      <vt:variant>
        <vt:i4>7077941</vt:i4>
      </vt:variant>
      <vt:variant>
        <vt:i4>6</vt:i4>
      </vt:variant>
      <vt:variant>
        <vt:i4>0</vt:i4>
      </vt:variant>
      <vt:variant>
        <vt:i4>5</vt:i4>
      </vt:variant>
      <vt:variant>
        <vt:lpwstr>http://www.thegef.org/gef/home</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(select decision sought)</dc:title>
  <dc:creator>Aileen</dc:creator>
  <cp:lastModifiedBy>Nhu Quynh Phan</cp:lastModifiedBy>
  <cp:revision>2</cp:revision>
  <cp:lastPrinted>2016-07-05T18:11:00Z</cp:lastPrinted>
  <dcterms:created xsi:type="dcterms:W3CDTF">2016-07-05T18:12:00Z</dcterms:created>
  <dcterms:modified xsi:type="dcterms:W3CDTF">2016-07-05T18:12:00Z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