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9A" w:rsidRPr="000C2C2B" w:rsidRDefault="00A9399A" w:rsidP="00195DD1">
      <w:pPr>
        <w:framePr w:w="6841" w:h="898" w:hSpace="180" w:wrap="around" w:vAnchor="text" w:hAnchor="page" w:x="3203" w:y="-193"/>
        <w:autoSpaceDE w:val="0"/>
        <w:autoSpaceDN w:val="0"/>
        <w:adjustRightInd w:val="0"/>
        <w:spacing w:after="0" w:line="240" w:lineRule="auto"/>
        <w:ind w:right="-900"/>
        <w:rPr>
          <w:rFonts w:ascii="Times New Roman" w:hAnsi="Times New Roman"/>
          <w:b/>
          <w:bCs/>
          <w:caps/>
          <w:color w:val="000000"/>
          <w:sz w:val="28"/>
          <w:szCs w:val="28"/>
        </w:rPr>
      </w:pPr>
      <w:r w:rsidRPr="000C2C2B">
        <w:rPr>
          <w:rFonts w:ascii="Times New Roman" w:hAnsi="Times New Roman"/>
          <w:b/>
          <w:bCs/>
          <w:caps/>
          <w:color w:val="000000"/>
          <w:sz w:val="28"/>
          <w:szCs w:val="28"/>
        </w:rPr>
        <w:t>Project Identification Form (PIF)</w:t>
      </w:r>
      <w:r w:rsidRPr="000C2C2B">
        <w:rPr>
          <w:rStyle w:val="FootnoteReference"/>
          <w:rFonts w:ascii="Times New Roman" w:hAnsi="Times New Roman"/>
          <w:b/>
          <w:bCs/>
          <w:caps/>
          <w:color w:val="000000"/>
          <w:sz w:val="28"/>
          <w:szCs w:val="28"/>
        </w:rPr>
        <w:t xml:space="preserve"> </w:t>
      </w:r>
    </w:p>
    <w:p w:rsidR="00A9399A" w:rsidRPr="000C2C2B" w:rsidRDefault="00A9399A" w:rsidP="00195DD1">
      <w:pPr>
        <w:framePr w:w="6841" w:h="898" w:hSpace="180" w:wrap="around" w:vAnchor="text" w:hAnchor="page" w:x="3203" w:y="-193"/>
        <w:autoSpaceDE w:val="0"/>
        <w:autoSpaceDN w:val="0"/>
        <w:adjustRightInd w:val="0"/>
        <w:spacing w:after="0" w:line="240" w:lineRule="auto"/>
        <w:rPr>
          <w:rFonts w:ascii="Times New Roman" w:hAnsi="Times New Roman"/>
          <w:bCs/>
          <w:color w:val="000000"/>
          <w:sz w:val="28"/>
          <w:szCs w:val="28"/>
        </w:rPr>
      </w:pPr>
      <w:bookmarkStart w:id="0" w:name="Dropdown7"/>
      <w:r w:rsidRPr="000C2C2B">
        <w:rPr>
          <w:rFonts w:ascii="Times New Roman" w:hAnsi="Times New Roman"/>
          <w:b/>
          <w:bCs/>
          <w:smallCaps/>
          <w:color w:val="000000"/>
          <w:sz w:val="28"/>
          <w:szCs w:val="28"/>
        </w:rPr>
        <w:t xml:space="preserve">Project Type: </w:t>
      </w:r>
      <w:bookmarkStart w:id="1" w:name="projectType"/>
      <w:bookmarkEnd w:id="0"/>
      <w:r w:rsidR="00B2404B" w:rsidRPr="000C2C2B">
        <w:rPr>
          <w:rFonts w:ascii="Times New Roman" w:hAnsi="Times New Roman"/>
          <w:b/>
          <w:bCs/>
          <w:smallCaps/>
          <w:color w:val="000000"/>
          <w:sz w:val="28"/>
          <w:szCs w:val="28"/>
        </w:rPr>
        <w:fldChar w:fldCharType="begin">
          <w:ffData>
            <w:name w:val="projectType"/>
            <w:enabled/>
            <w:calcOnExit w:val="0"/>
            <w:ddList>
              <w:result w:val="1"/>
              <w:listEntry w:val="(choose project type)"/>
              <w:listEntry w:val="Full-sized Project"/>
              <w:listEntry w:val="Medium-sized Project"/>
            </w:ddList>
          </w:ffData>
        </w:fldChar>
      </w:r>
      <w:r w:rsidRPr="000C2C2B">
        <w:rPr>
          <w:rFonts w:ascii="Times New Roman" w:hAnsi="Times New Roman"/>
          <w:b/>
          <w:bCs/>
          <w:smallCaps/>
          <w:color w:val="000000"/>
          <w:sz w:val="28"/>
          <w:szCs w:val="28"/>
        </w:rPr>
        <w:instrText xml:space="preserve"> FORMDROPDOWN </w:instrText>
      </w:r>
      <w:r w:rsidR="00B2404B" w:rsidRPr="000C2C2B">
        <w:rPr>
          <w:rFonts w:ascii="Times New Roman" w:hAnsi="Times New Roman"/>
          <w:b/>
          <w:bCs/>
          <w:smallCaps/>
          <w:color w:val="000000"/>
          <w:sz w:val="28"/>
          <w:szCs w:val="28"/>
        </w:rPr>
      </w:r>
      <w:r w:rsidR="00B2404B" w:rsidRPr="000C2C2B">
        <w:rPr>
          <w:rFonts w:ascii="Times New Roman" w:hAnsi="Times New Roman"/>
          <w:b/>
          <w:bCs/>
          <w:smallCaps/>
          <w:color w:val="000000"/>
          <w:sz w:val="28"/>
          <w:szCs w:val="28"/>
        </w:rPr>
        <w:fldChar w:fldCharType="end"/>
      </w:r>
      <w:bookmarkEnd w:id="1"/>
      <w:r w:rsidRPr="000C2C2B">
        <w:rPr>
          <w:rFonts w:ascii="Times New Roman" w:hAnsi="Times New Roman"/>
          <w:bCs/>
          <w:smallCaps/>
          <w:color w:val="000000"/>
          <w:sz w:val="28"/>
          <w:szCs w:val="28"/>
        </w:rPr>
        <w:t xml:space="preserve"> </w:t>
      </w:r>
    </w:p>
    <w:p w:rsidR="00A9399A" w:rsidRPr="000C2C2B" w:rsidRDefault="00A9399A" w:rsidP="00195DD1">
      <w:pPr>
        <w:framePr w:w="6841" w:h="898" w:hSpace="180" w:wrap="around" w:vAnchor="text" w:hAnchor="page" w:x="3203" w:y="-193"/>
        <w:autoSpaceDE w:val="0"/>
        <w:autoSpaceDN w:val="0"/>
        <w:adjustRightInd w:val="0"/>
        <w:spacing w:after="0" w:line="240" w:lineRule="auto"/>
        <w:rPr>
          <w:rFonts w:ascii="Times New Roman" w:hAnsi="Times New Roman"/>
          <w:b/>
          <w:bCs/>
          <w:sz w:val="28"/>
          <w:szCs w:val="28"/>
        </w:rPr>
      </w:pPr>
      <w:r w:rsidRPr="000C2C2B">
        <w:rPr>
          <w:rFonts w:ascii="Times New Roman" w:hAnsi="Times New Roman"/>
          <w:b/>
          <w:bCs/>
          <w:smallCaps/>
          <w:sz w:val="28"/>
          <w:szCs w:val="28"/>
        </w:rPr>
        <w:t>Type of Trust Fund:</w:t>
      </w:r>
      <w:r w:rsidR="00B2404B" w:rsidRPr="000C2C2B">
        <w:rPr>
          <w:rFonts w:ascii="Times New Roman" w:hAnsi="Times New Roman"/>
          <w:b/>
          <w:bCs/>
          <w:smallCaps/>
          <w:sz w:val="28"/>
          <w:szCs w:val="28"/>
        </w:rPr>
        <w:fldChar w:fldCharType="begin">
          <w:ffData>
            <w:name w:val=""/>
            <w:enabled/>
            <w:calcOnExit w:val="0"/>
            <w:ddList>
              <w:result w:val="1"/>
              <w:listEntry w:val="(choose fund type)"/>
              <w:listEntry w:val="GEF Trust Fund"/>
              <w:listEntry w:val="LDCF"/>
              <w:listEntry w:val="SCCF"/>
              <w:listEntry w:val="Multi-Trust Fund"/>
            </w:ddList>
          </w:ffData>
        </w:fldChar>
      </w:r>
      <w:r w:rsidRPr="000C2C2B">
        <w:rPr>
          <w:rFonts w:ascii="Times New Roman" w:hAnsi="Times New Roman"/>
          <w:b/>
          <w:bCs/>
          <w:smallCaps/>
          <w:sz w:val="28"/>
          <w:szCs w:val="28"/>
        </w:rPr>
        <w:instrText xml:space="preserve"> FORMDROPDOWN </w:instrText>
      </w:r>
      <w:r w:rsidR="00B2404B" w:rsidRPr="000C2C2B">
        <w:rPr>
          <w:rFonts w:ascii="Times New Roman" w:hAnsi="Times New Roman"/>
          <w:b/>
          <w:bCs/>
          <w:smallCaps/>
          <w:sz w:val="28"/>
          <w:szCs w:val="28"/>
        </w:rPr>
      </w:r>
      <w:r w:rsidR="00B2404B" w:rsidRPr="000C2C2B">
        <w:rPr>
          <w:rFonts w:ascii="Times New Roman" w:hAnsi="Times New Roman"/>
          <w:b/>
          <w:bCs/>
          <w:smallCaps/>
          <w:sz w:val="28"/>
          <w:szCs w:val="28"/>
        </w:rPr>
        <w:fldChar w:fldCharType="end"/>
      </w:r>
    </w:p>
    <w:p w:rsidR="00A9399A" w:rsidRPr="000C2C2B" w:rsidRDefault="00221B8A" w:rsidP="00417ACA">
      <w:pPr>
        <w:pStyle w:val="Footer"/>
        <w:tabs>
          <w:tab w:val="clear" w:pos="4320"/>
          <w:tab w:val="clear" w:pos="8640"/>
        </w:tabs>
        <w:rPr>
          <w:sz w:val="22"/>
          <w:szCs w:val="22"/>
        </w:rPr>
      </w:pPr>
      <w:r w:rsidRPr="000C2C2B">
        <w:rPr>
          <w:noProof/>
        </w:rPr>
        <w:drawing>
          <wp:anchor distT="0" distB="0" distL="114300" distR="114300" simplePos="0" relativeHeight="251658240" behindDoc="0" locked="0" layoutInCell="1" allowOverlap="1">
            <wp:simplePos x="0" y="0"/>
            <wp:positionH relativeFrom="column">
              <wp:posOffset>342265</wp:posOffset>
            </wp:positionH>
            <wp:positionV relativeFrom="paragraph">
              <wp:posOffset>-346075</wp:posOffset>
            </wp:positionV>
            <wp:extent cx="72390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742950"/>
                    </a:xfrm>
                    <a:prstGeom prst="rect">
                      <a:avLst/>
                    </a:prstGeom>
                    <a:noFill/>
                  </pic:spPr>
                </pic:pic>
              </a:graphicData>
            </a:graphic>
          </wp:anchor>
        </w:drawing>
      </w:r>
    </w:p>
    <w:p w:rsidR="00A9399A" w:rsidRPr="000C2C2B" w:rsidRDefault="00A9399A" w:rsidP="00417ACA">
      <w:pPr>
        <w:pStyle w:val="Footer"/>
        <w:tabs>
          <w:tab w:val="clear" w:pos="4320"/>
          <w:tab w:val="clear" w:pos="8640"/>
        </w:tabs>
        <w:rPr>
          <w:sz w:val="22"/>
          <w:szCs w:val="22"/>
        </w:rPr>
      </w:pPr>
    </w:p>
    <w:p w:rsidR="00A9399A" w:rsidRPr="000C2C2B" w:rsidRDefault="00A9399A" w:rsidP="00417ACA">
      <w:pPr>
        <w:pStyle w:val="Footer"/>
        <w:tabs>
          <w:tab w:val="clear" w:pos="4320"/>
          <w:tab w:val="clear" w:pos="8640"/>
        </w:tabs>
        <w:rPr>
          <w:sz w:val="22"/>
          <w:szCs w:val="22"/>
        </w:rPr>
      </w:pPr>
    </w:p>
    <w:p w:rsidR="00A9399A" w:rsidRPr="000C2C2B" w:rsidRDefault="00A9399A" w:rsidP="00417ACA">
      <w:pPr>
        <w:pStyle w:val="Footer"/>
        <w:tabs>
          <w:tab w:val="clear" w:pos="4320"/>
          <w:tab w:val="clear" w:pos="8640"/>
        </w:tabs>
        <w:rPr>
          <w:sz w:val="22"/>
          <w:szCs w:val="22"/>
        </w:rPr>
      </w:pPr>
    </w:p>
    <w:p w:rsidR="00A9399A" w:rsidRPr="000C2C2B" w:rsidRDefault="00A9399A" w:rsidP="00417ACA">
      <w:pPr>
        <w:spacing w:after="0" w:line="240" w:lineRule="auto"/>
        <w:ind w:right="-187"/>
        <w:rPr>
          <w:rFonts w:ascii="Times New Roman" w:hAnsi="Times New Roman"/>
          <w:b/>
          <w:caps/>
          <w:u w:val="single"/>
        </w:rPr>
      </w:pPr>
      <w:r w:rsidRPr="000C2C2B">
        <w:rPr>
          <w:rFonts w:ascii="Times New Roman" w:hAnsi="Times New Roman"/>
          <w:b/>
          <w:caps/>
          <w:u w:val="single"/>
        </w:rPr>
        <w:t>PART I: Project Identification</w:t>
      </w:r>
    </w:p>
    <w:tbl>
      <w:tblPr>
        <w:tblW w:w="4945"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9"/>
        <w:gridCol w:w="4497"/>
        <w:gridCol w:w="2343"/>
        <w:gridCol w:w="1801"/>
      </w:tblGrid>
      <w:tr w:rsidR="00A9399A" w:rsidRPr="000C2C2B" w:rsidTr="00195DD1">
        <w:tc>
          <w:tcPr>
            <w:tcW w:w="1190"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Project Title:</w:t>
            </w:r>
          </w:p>
        </w:tc>
        <w:tc>
          <w:tcPr>
            <w:tcW w:w="3810" w:type="pct"/>
            <w:gridSpan w:val="3"/>
          </w:tcPr>
          <w:p w:rsidR="00A9399A" w:rsidRPr="000C2C2B" w:rsidRDefault="00A9399A" w:rsidP="00AE6C0C">
            <w:pPr>
              <w:spacing w:after="0" w:line="240" w:lineRule="auto"/>
              <w:rPr>
                <w:rFonts w:ascii="Times New Roman" w:hAnsi="Times New Roman"/>
                <w:sz w:val="20"/>
                <w:szCs w:val="20"/>
              </w:rPr>
            </w:pPr>
            <w:r w:rsidRPr="000C2C2B">
              <w:rPr>
                <w:rFonts w:ascii="Times New Roman" w:hAnsi="Times New Roman"/>
                <w:sz w:val="20"/>
                <w:szCs w:val="20"/>
              </w:rPr>
              <w:t xml:space="preserve">Landscape approach to management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aiming at multiple ecological benefits</w:t>
            </w:r>
          </w:p>
        </w:tc>
      </w:tr>
      <w:tr w:rsidR="00A9399A" w:rsidRPr="000C2C2B" w:rsidTr="00195DD1">
        <w:tc>
          <w:tcPr>
            <w:tcW w:w="1190"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Country(</w:t>
            </w:r>
            <w:proofErr w:type="spellStart"/>
            <w:r w:rsidRPr="000C2C2B">
              <w:rPr>
                <w:rFonts w:ascii="Times New Roman" w:hAnsi="Times New Roman"/>
                <w:b/>
                <w:sz w:val="20"/>
                <w:szCs w:val="20"/>
              </w:rPr>
              <w:t>ies</w:t>
            </w:r>
            <w:proofErr w:type="spellEnd"/>
            <w:r w:rsidRPr="000C2C2B">
              <w:rPr>
                <w:rFonts w:ascii="Times New Roman" w:hAnsi="Times New Roman"/>
                <w:b/>
                <w:sz w:val="20"/>
                <w:szCs w:val="20"/>
              </w:rPr>
              <w:t>):</w:t>
            </w:r>
          </w:p>
        </w:tc>
        <w:tc>
          <w:tcPr>
            <w:tcW w:w="1983" w:type="pct"/>
          </w:tcPr>
          <w:p w:rsidR="00A9399A" w:rsidRPr="000C2C2B" w:rsidRDefault="00A9399A" w:rsidP="00E81338">
            <w:pPr>
              <w:spacing w:after="0" w:line="240" w:lineRule="auto"/>
              <w:rPr>
                <w:rFonts w:ascii="Times New Roman" w:hAnsi="Times New Roman"/>
                <w:sz w:val="20"/>
                <w:szCs w:val="20"/>
              </w:rPr>
            </w:pPr>
            <w:smartTag w:uri="urn:schemas-microsoft-com:office:smarttags" w:element="country-region">
              <w:smartTag w:uri="urn:schemas-microsoft-com:office:smarttags" w:element="place">
                <w:r w:rsidRPr="000C2C2B">
                  <w:rPr>
                    <w:rFonts w:ascii="Times New Roman" w:hAnsi="Times New Roman"/>
                    <w:sz w:val="20"/>
                    <w:szCs w:val="20"/>
                  </w:rPr>
                  <w:t>Belarus</w:t>
                </w:r>
              </w:smartTag>
            </w:smartTag>
          </w:p>
        </w:tc>
        <w:tc>
          <w:tcPr>
            <w:tcW w:w="1033" w:type="pct"/>
          </w:tcPr>
          <w:p w:rsidR="00A9399A" w:rsidRPr="000C2C2B" w:rsidRDefault="00A9399A" w:rsidP="007A1652">
            <w:pPr>
              <w:spacing w:after="0" w:line="240" w:lineRule="auto"/>
              <w:rPr>
                <w:rFonts w:ascii="Times New Roman" w:hAnsi="Times New Roman"/>
                <w:b/>
                <w:sz w:val="20"/>
                <w:szCs w:val="20"/>
              </w:rPr>
            </w:pPr>
            <w:r w:rsidRPr="000C2C2B">
              <w:rPr>
                <w:rFonts w:ascii="Times New Roman" w:hAnsi="Times New Roman"/>
                <w:b/>
                <w:sz w:val="20"/>
                <w:szCs w:val="20"/>
              </w:rPr>
              <w:t>GEF Project ID:</w:t>
            </w:r>
          </w:p>
        </w:tc>
        <w:tc>
          <w:tcPr>
            <w:tcW w:w="793" w:type="pct"/>
          </w:tcPr>
          <w:p w:rsidR="00A9399A" w:rsidRPr="000C2C2B" w:rsidRDefault="00A9399A" w:rsidP="00417ACA">
            <w:pPr>
              <w:spacing w:after="0" w:line="240" w:lineRule="auto"/>
              <w:rPr>
                <w:rFonts w:ascii="Times New Roman" w:hAnsi="Times New Roman"/>
                <w:sz w:val="20"/>
                <w:szCs w:val="20"/>
              </w:rPr>
            </w:pPr>
          </w:p>
        </w:tc>
      </w:tr>
      <w:tr w:rsidR="00A9399A" w:rsidRPr="000C2C2B" w:rsidTr="00195DD1">
        <w:tc>
          <w:tcPr>
            <w:tcW w:w="1190"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GEF Agency(</w:t>
            </w:r>
            <w:proofErr w:type="spellStart"/>
            <w:r w:rsidRPr="000C2C2B">
              <w:rPr>
                <w:rFonts w:ascii="Times New Roman" w:hAnsi="Times New Roman"/>
                <w:b/>
                <w:sz w:val="20"/>
                <w:szCs w:val="20"/>
              </w:rPr>
              <w:t>ies</w:t>
            </w:r>
            <w:proofErr w:type="spellEnd"/>
            <w:r w:rsidRPr="000C2C2B">
              <w:rPr>
                <w:rFonts w:ascii="Times New Roman" w:hAnsi="Times New Roman"/>
                <w:b/>
                <w:sz w:val="20"/>
                <w:szCs w:val="20"/>
              </w:rPr>
              <w:t>):</w:t>
            </w:r>
          </w:p>
        </w:tc>
        <w:tc>
          <w:tcPr>
            <w:tcW w:w="1983" w:type="pct"/>
          </w:tcPr>
          <w:p w:rsidR="00A9399A" w:rsidRPr="000C2C2B" w:rsidRDefault="00A9399A" w:rsidP="0029050B">
            <w:pPr>
              <w:spacing w:after="0" w:line="240" w:lineRule="auto"/>
              <w:rPr>
                <w:rFonts w:ascii="Times New Roman" w:hAnsi="Times New Roman"/>
                <w:sz w:val="20"/>
                <w:szCs w:val="20"/>
              </w:rPr>
            </w:pPr>
            <w:bookmarkStart w:id="2" w:name="GEF_IA_01"/>
            <w:r w:rsidRPr="000C2C2B">
              <w:rPr>
                <w:rFonts w:ascii="Times New Roman" w:hAnsi="Times New Roman"/>
                <w:sz w:val="20"/>
                <w:szCs w:val="20"/>
              </w:rPr>
              <w:t>UNDP</w:t>
            </w:r>
            <w:bookmarkEnd w:id="2"/>
          </w:p>
        </w:tc>
        <w:tc>
          <w:tcPr>
            <w:tcW w:w="1033"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GEF Agency Project ID:</w:t>
            </w:r>
          </w:p>
        </w:tc>
        <w:tc>
          <w:tcPr>
            <w:tcW w:w="793" w:type="pct"/>
          </w:tcPr>
          <w:p w:rsidR="00A9399A" w:rsidRPr="000C2C2B" w:rsidRDefault="00A9399A" w:rsidP="00F94CCE">
            <w:pPr>
              <w:spacing w:after="0" w:line="240" w:lineRule="auto"/>
              <w:jc w:val="center"/>
              <w:rPr>
                <w:rFonts w:ascii="Times New Roman" w:hAnsi="Times New Roman"/>
                <w:sz w:val="20"/>
                <w:szCs w:val="20"/>
              </w:rPr>
            </w:pPr>
            <w:r w:rsidRPr="000C2C2B">
              <w:rPr>
                <w:rFonts w:ascii="Times New Roman" w:hAnsi="Times New Roman"/>
                <w:sz w:val="20"/>
                <w:szCs w:val="20"/>
              </w:rPr>
              <w:t>4419</w:t>
            </w:r>
          </w:p>
        </w:tc>
      </w:tr>
      <w:tr w:rsidR="00A9399A" w:rsidRPr="000C2C2B" w:rsidTr="00195DD1">
        <w:tc>
          <w:tcPr>
            <w:tcW w:w="1190"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Other Executing Partner(s):</w:t>
            </w:r>
          </w:p>
        </w:tc>
        <w:tc>
          <w:tcPr>
            <w:tcW w:w="1983" w:type="pct"/>
          </w:tcPr>
          <w:p w:rsidR="00A9399A" w:rsidRPr="000C2C2B" w:rsidRDefault="00A9399A" w:rsidP="00AB2C34">
            <w:pPr>
              <w:spacing w:after="0" w:line="240" w:lineRule="auto"/>
              <w:rPr>
                <w:rFonts w:ascii="Times New Roman" w:hAnsi="Times New Roman"/>
                <w:sz w:val="20"/>
                <w:szCs w:val="20"/>
              </w:rPr>
            </w:pPr>
            <w:r w:rsidRPr="000C2C2B">
              <w:rPr>
                <w:rFonts w:ascii="Times New Roman" w:hAnsi="Times New Roman"/>
                <w:sz w:val="20"/>
                <w:szCs w:val="20"/>
              </w:rPr>
              <w:t xml:space="preserve">Ministry of Environment and Natural Resources, </w:t>
            </w:r>
            <w:proofErr w:type="spellStart"/>
            <w:r w:rsidRPr="000C2C2B">
              <w:rPr>
                <w:rFonts w:ascii="Times New Roman" w:hAnsi="Times New Roman"/>
                <w:sz w:val="20"/>
                <w:szCs w:val="20"/>
              </w:rPr>
              <w:t>Belmeliovodkhoz</w:t>
            </w:r>
            <w:proofErr w:type="spellEnd"/>
            <w:r w:rsidRPr="000C2C2B">
              <w:rPr>
                <w:rFonts w:ascii="Times New Roman" w:hAnsi="Times New Roman"/>
                <w:sz w:val="20"/>
                <w:szCs w:val="20"/>
              </w:rPr>
              <w:t xml:space="preserve"> (enterprise under the Ministry of Agriculture), National Academy of Sciences, Ministry of Forestry</w:t>
            </w:r>
          </w:p>
        </w:tc>
        <w:tc>
          <w:tcPr>
            <w:tcW w:w="1033"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Submission Date:</w:t>
            </w:r>
          </w:p>
        </w:tc>
        <w:tc>
          <w:tcPr>
            <w:tcW w:w="793" w:type="pct"/>
          </w:tcPr>
          <w:p w:rsidR="00A9399A" w:rsidRPr="000C2C2B" w:rsidRDefault="00221B8A" w:rsidP="00BA447F">
            <w:pPr>
              <w:spacing w:after="0" w:line="240" w:lineRule="auto"/>
              <w:jc w:val="center"/>
              <w:rPr>
                <w:rFonts w:ascii="Times New Roman" w:hAnsi="Times New Roman"/>
                <w:sz w:val="20"/>
                <w:szCs w:val="20"/>
              </w:rPr>
            </w:pPr>
            <w:r w:rsidRPr="000C2C2B">
              <w:rPr>
                <w:rFonts w:ascii="Times New Roman" w:hAnsi="Times New Roman"/>
                <w:sz w:val="20"/>
                <w:szCs w:val="20"/>
              </w:rPr>
              <w:t>10 March 2011</w:t>
            </w:r>
          </w:p>
        </w:tc>
      </w:tr>
      <w:tr w:rsidR="00A9399A" w:rsidRPr="000C2C2B" w:rsidTr="00195DD1">
        <w:tc>
          <w:tcPr>
            <w:tcW w:w="1190"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GEF Focal Area (s):</w:t>
            </w:r>
          </w:p>
        </w:tc>
        <w:bookmarkStart w:id="3" w:name="focalArea"/>
        <w:tc>
          <w:tcPr>
            <w:tcW w:w="1983" w:type="pct"/>
          </w:tcPr>
          <w:p w:rsidR="00A9399A" w:rsidRPr="000C2C2B" w:rsidRDefault="00B2404B" w:rsidP="00417ACA">
            <w:pPr>
              <w:spacing w:after="0" w:line="240" w:lineRule="auto"/>
              <w:rPr>
                <w:rFonts w:ascii="Times New Roman" w:hAnsi="Times New Roman"/>
                <w:sz w:val="20"/>
                <w:szCs w:val="20"/>
              </w:rPr>
            </w:pPr>
            <w:r w:rsidRPr="000C2C2B">
              <w:rPr>
                <w:rFonts w:ascii="Times New Roman" w:hAnsi="Times New Roman"/>
                <w:sz w:val="20"/>
                <w:szCs w:val="20"/>
              </w:rPr>
              <w:fldChar w:fldCharType="begin">
                <w:ffData>
                  <w:name w:val="focalArea"/>
                  <w:enabled/>
                  <w:calcOnExit w:val="0"/>
                  <w:exitMacro w:val="depDropFA"/>
                  <w:ddList>
                    <w:result w:val="7"/>
                    <w:listEntry w:val="(Select)"/>
                    <w:listEntry w:val="Bio Diversity"/>
                    <w:listEntry w:val="Climate Change"/>
                    <w:listEntry w:val="International Waters"/>
                    <w:listEntry w:val="Land Degradation"/>
                    <w:listEntry w:val="Ozone Depletion Substances"/>
                    <w:listEntry w:val="Persistent Organic Pollutants"/>
                    <w:listEntry w:val="MULTI FOCAL AREA"/>
                  </w:ddList>
                </w:ffData>
              </w:fldChar>
            </w:r>
            <w:r w:rsidR="00A9399A" w:rsidRPr="000C2C2B">
              <w:rPr>
                <w:rFonts w:ascii="Times New Roman" w:hAnsi="Times New Roman"/>
                <w:sz w:val="20"/>
                <w:szCs w:val="20"/>
              </w:rPr>
              <w:instrText xml:space="preserve"> FORMDROPDOWN </w:instrText>
            </w:r>
            <w:r w:rsidRPr="000C2C2B">
              <w:rPr>
                <w:rFonts w:ascii="Times New Roman" w:hAnsi="Times New Roman"/>
                <w:sz w:val="20"/>
                <w:szCs w:val="20"/>
              </w:rPr>
            </w:r>
            <w:r w:rsidRPr="000C2C2B">
              <w:rPr>
                <w:rFonts w:ascii="Times New Roman" w:hAnsi="Times New Roman"/>
                <w:sz w:val="20"/>
                <w:szCs w:val="20"/>
              </w:rPr>
              <w:fldChar w:fldCharType="end"/>
            </w:r>
            <w:bookmarkEnd w:id="3"/>
          </w:p>
        </w:tc>
        <w:tc>
          <w:tcPr>
            <w:tcW w:w="1033"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Project Duration:</w:t>
            </w:r>
          </w:p>
        </w:tc>
        <w:tc>
          <w:tcPr>
            <w:tcW w:w="793" w:type="pct"/>
          </w:tcPr>
          <w:p w:rsidR="00A9399A" w:rsidRPr="000C2C2B" w:rsidRDefault="00A9399A" w:rsidP="00BA447F">
            <w:pPr>
              <w:spacing w:after="0" w:line="240" w:lineRule="auto"/>
              <w:jc w:val="center"/>
              <w:rPr>
                <w:rFonts w:ascii="Times New Roman" w:hAnsi="Times New Roman"/>
                <w:sz w:val="20"/>
                <w:szCs w:val="20"/>
              </w:rPr>
            </w:pPr>
            <w:r w:rsidRPr="000C2C2B">
              <w:rPr>
                <w:rFonts w:ascii="Times New Roman" w:hAnsi="Times New Roman"/>
                <w:sz w:val="20"/>
                <w:szCs w:val="20"/>
              </w:rPr>
              <w:t>60 months</w:t>
            </w:r>
          </w:p>
        </w:tc>
      </w:tr>
      <w:tr w:rsidR="00A9399A" w:rsidRPr="000C2C2B" w:rsidTr="00195DD1">
        <w:tc>
          <w:tcPr>
            <w:tcW w:w="1190" w:type="pct"/>
          </w:tcPr>
          <w:p w:rsidR="00A9399A" w:rsidRPr="000C2C2B" w:rsidRDefault="00A9399A" w:rsidP="0029050B">
            <w:pPr>
              <w:spacing w:after="0" w:line="240" w:lineRule="auto"/>
              <w:ind w:right="-109"/>
              <w:rPr>
                <w:rFonts w:ascii="Times New Roman" w:hAnsi="Times New Roman"/>
                <w:b/>
                <w:sz w:val="20"/>
                <w:szCs w:val="20"/>
              </w:rPr>
            </w:pPr>
            <w:r w:rsidRPr="000C2C2B">
              <w:rPr>
                <w:rFonts w:ascii="Times New Roman" w:hAnsi="Times New Roman"/>
                <w:b/>
                <w:sz w:val="20"/>
                <w:szCs w:val="20"/>
              </w:rPr>
              <w:t>Name of parent program:</w:t>
            </w:r>
          </w:p>
          <w:p w:rsidR="00A9399A" w:rsidRPr="000C2C2B" w:rsidRDefault="00A9399A" w:rsidP="003D1A61">
            <w:pPr>
              <w:spacing w:after="0" w:line="240" w:lineRule="auto"/>
              <w:rPr>
                <w:rFonts w:ascii="Times New Roman" w:hAnsi="Times New Roman"/>
                <w:b/>
                <w:sz w:val="20"/>
                <w:szCs w:val="20"/>
              </w:rPr>
            </w:pPr>
            <w:r w:rsidRPr="000C2C2B">
              <w:rPr>
                <w:rFonts w:ascii="Times New Roman" w:hAnsi="Times New Roman"/>
                <w:b/>
                <w:sz w:val="20"/>
                <w:szCs w:val="20"/>
              </w:rPr>
              <w:t xml:space="preserve">For SFM/REDD+ </w:t>
            </w:r>
            <w:bookmarkStart w:id="4" w:name="CheckSFM"/>
            <w:r w:rsidR="00B2404B" w:rsidRPr="000C2C2B">
              <w:rPr>
                <w:rFonts w:ascii="Times New Roman" w:hAnsi="Times New Roman"/>
                <w:b/>
                <w:sz w:val="20"/>
                <w:szCs w:val="20"/>
              </w:rPr>
              <w:fldChar w:fldCharType="begin">
                <w:ffData>
                  <w:name w:val="CheckSFM"/>
                  <w:enabled/>
                  <w:calcOnExit w:val="0"/>
                  <w:checkBox>
                    <w:size w:val="20"/>
                    <w:default w:val="1"/>
                  </w:checkBox>
                </w:ffData>
              </w:fldChar>
            </w:r>
            <w:r w:rsidRPr="000C2C2B">
              <w:rPr>
                <w:rFonts w:ascii="Times New Roman" w:hAnsi="Times New Roman"/>
                <w:b/>
                <w:sz w:val="20"/>
                <w:szCs w:val="20"/>
              </w:rPr>
              <w:instrText xml:space="preserve"> FORMCHECKBOX </w:instrText>
            </w:r>
            <w:r w:rsidR="00B2404B" w:rsidRPr="000C2C2B">
              <w:rPr>
                <w:rFonts w:ascii="Times New Roman" w:hAnsi="Times New Roman"/>
                <w:b/>
                <w:sz w:val="20"/>
                <w:szCs w:val="20"/>
              </w:rPr>
            </w:r>
            <w:r w:rsidR="00B2404B" w:rsidRPr="000C2C2B">
              <w:rPr>
                <w:rFonts w:ascii="Times New Roman" w:hAnsi="Times New Roman"/>
                <w:b/>
                <w:sz w:val="20"/>
                <w:szCs w:val="20"/>
              </w:rPr>
              <w:fldChar w:fldCharType="end"/>
            </w:r>
            <w:bookmarkEnd w:id="4"/>
          </w:p>
        </w:tc>
        <w:tc>
          <w:tcPr>
            <w:tcW w:w="1983" w:type="pct"/>
          </w:tcPr>
          <w:p w:rsidR="00A9399A" w:rsidRPr="000C2C2B" w:rsidRDefault="00A9399A" w:rsidP="00417ACA">
            <w:pPr>
              <w:spacing w:after="0" w:line="240" w:lineRule="auto"/>
              <w:rPr>
                <w:rFonts w:ascii="Times New Roman" w:hAnsi="Times New Roman"/>
                <w:sz w:val="20"/>
                <w:szCs w:val="20"/>
              </w:rPr>
            </w:pPr>
          </w:p>
        </w:tc>
        <w:tc>
          <w:tcPr>
            <w:tcW w:w="1033" w:type="pct"/>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Agency Fee:</w:t>
            </w:r>
          </w:p>
        </w:tc>
        <w:tc>
          <w:tcPr>
            <w:tcW w:w="793" w:type="pct"/>
          </w:tcPr>
          <w:p w:rsidR="00A9399A" w:rsidRPr="000C2C2B" w:rsidRDefault="00A9399A" w:rsidP="00BE3B6B">
            <w:pPr>
              <w:spacing w:after="0" w:line="240" w:lineRule="auto"/>
              <w:jc w:val="center"/>
              <w:rPr>
                <w:rFonts w:ascii="Times New Roman" w:hAnsi="Times New Roman"/>
                <w:sz w:val="20"/>
                <w:szCs w:val="20"/>
              </w:rPr>
            </w:pPr>
            <w:r w:rsidRPr="000C2C2B">
              <w:rPr>
                <w:rFonts w:ascii="Times New Roman" w:hAnsi="Times New Roman"/>
                <w:sz w:val="20"/>
                <w:szCs w:val="20"/>
              </w:rPr>
              <w:t>US$ 270,090</w:t>
            </w:r>
          </w:p>
        </w:tc>
      </w:tr>
    </w:tbl>
    <w:p w:rsidR="00A9399A" w:rsidRPr="000C2C2B" w:rsidRDefault="00A9399A" w:rsidP="00AB2C34">
      <w:pPr>
        <w:pStyle w:val="Footer"/>
        <w:numPr>
          <w:ilvl w:val="0"/>
          <w:numId w:val="1"/>
        </w:numPr>
        <w:tabs>
          <w:tab w:val="clear" w:pos="720"/>
          <w:tab w:val="clear" w:pos="4320"/>
          <w:tab w:val="clear" w:pos="8640"/>
          <w:tab w:val="num" w:pos="-90"/>
          <w:tab w:val="left" w:pos="270"/>
        </w:tabs>
        <w:spacing w:before="120"/>
        <w:ind w:left="0" w:firstLine="0"/>
        <w:rPr>
          <w:b/>
          <w:smallCaps/>
          <w:sz w:val="22"/>
          <w:szCs w:val="22"/>
        </w:rPr>
      </w:pPr>
      <w:r w:rsidRPr="000C2C2B">
        <w:rPr>
          <w:b/>
          <w:smallCaps/>
          <w:sz w:val="22"/>
          <w:szCs w:val="22"/>
        </w:rPr>
        <w:t xml:space="preserve"> Focal Area  strategy Framework:</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43"/>
        <w:gridCol w:w="1204"/>
        <w:gridCol w:w="1052"/>
        <w:gridCol w:w="2386"/>
        <w:gridCol w:w="2281"/>
      </w:tblGrid>
      <w:tr w:rsidR="00A9399A" w:rsidRPr="000C2C2B" w:rsidTr="00F066F0">
        <w:trPr>
          <w:trHeight w:val="260"/>
        </w:trPr>
        <w:tc>
          <w:tcPr>
            <w:tcW w:w="0" w:type="auto"/>
            <w:shd w:val="clear" w:color="auto" w:fill="FFFFFF"/>
          </w:tcPr>
          <w:p w:rsidR="00A9399A" w:rsidRPr="000C2C2B" w:rsidRDefault="00A9399A" w:rsidP="00070D90">
            <w:pPr>
              <w:pStyle w:val="Heading3"/>
              <w:ind w:left="72" w:right="-144"/>
              <w:rPr>
                <w:bCs w:val="0"/>
                <w:iCs/>
                <w:color w:val="000000"/>
                <w:sz w:val="18"/>
                <w:szCs w:val="18"/>
              </w:rPr>
            </w:pPr>
            <w:r w:rsidRPr="000C2C2B">
              <w:rPr>
                <w:bCs w:val="0"/>
                <w:iCs/>
                <w:color w:val="000000"/>
                <w:sz w:val="18"/>
                <w:szCs w:val="18"/>
              </w:rPr>
              <w:t>Focal Area Objectives</w:t>
            </w:r>
          </w:p>
        </w:tc>
        <w:tc>
          <w:tcPr>
            <w:tcW w:w="0" w:type="auto"/>
            <w:shd w:val="clear" w:color="auto" w:fill="FFFFFF"/>
          </w:tcPr>
          <w:p w:rsidR="00A9399A" w:rsidRPr="000C2C2B" w:rsidRDefault="00A9399A" w:rsidP="00417ACA">
            <w:pPr>
              <w:pStyle w:val="Heading3"/>
              <w:ind w:left="72"/>
              <w:jc w:val="center"/>
              <w:rPr>
                <w:bCs w:val="0"/>
                <w:iCs/>
                <w:color w:val="000000"/>
                <w:sz w:val="18"/>
                <w:szCs w:val="18"/>
              </w:rPr>
            </w:pPr>
            <w:r w:rsidRPr="000C2C2B">
              <w:rPr>
                <w:bCs w:val="0"/>
                <w:iCs/>
                <w:color w:val="000000"/>
                <w:sz w:val="18"/>
                <w:szCs w:val="18"/>
              </w:rPr>
              <w:t>FA Outcomes</w:t>
            </w:r>
          </w:p>
        </w:tc>
        <w:tc>
          <w:tcPr>
            <w:tcW w:w="0" w:type="auto"/>
            <w:shd w:val="clear" w:color="auto" w:fill="FFFFFF"/>
          </w:tcPr>
          <w:p w:rsidR="00A9399A" w:rsidRPr="000C2C2B" w:rsidRDefault="00A9399A" w:rsidP="00417ACA">
            <w:pPr>
              <w:pStyle w:val="Heading3"/>
              <w:ind w:left="72"/>
              <w:rPr>
                <w:bCs w:val="0"/>
                <w:iCs/>
                <w:color w:val="000000"/>
                <w:sz w:val="18"/>
                <w:szCs w:val="18"/>
              </w:rPr>
            </w:pPr>
            <w:r w:rsidRPr="000C2C2B">
              <w:rPr>
                <w:bCs w:val="0"/>
                <w:iCs/>
                <w:color w:val="000000"/>
                <w:sz w:val="18"/>
                <w:szCs w:val="18"/>
              </w:rPr>
              <w:t>FA Outputs</w:t>
            </w:r>
          </w:p>
        </w:tc>
        <w:tc>
          <w:tcPr>
            <w:tcW w:w="0" w:type="auto"/>
            <w:shd w:val="clear" w:color="auto" w:fill="FFFFFF"/>
          </w:tcPr>
          <w:p w:rsidR="00A9399A" w:rsidRPr="000C2C2B" w:rsidRDefault="00A9399A" w:rsidP="0029050B">
            <w:pPr>
              <w:pStyle w:val="Heading3"/>
              <w:jc w:val="center"/>
              <w:rPr>
                <w:bCs w:val="0"/>
                <w:iCs/>
                <w:color w:val="000000"/>
                <w:sz w:val="18"/>
                <w:szCs w:val="18"/>
              </w:rPr>
            </w:pPr>
            <w:r w:rsidRPr="000C2C2B">
              <w:rPr>
                <w:bCs w:val="0"/>
                <w:iCs/>
                <w:color w:val="000000"/>
                <w:sz w:val="18"/>
                <w:szCs w:val="18"/>
              </w:rPr>
              <w:t>Trust fund</w:t>
            </w:r>
          </w:p>
        </w:tc>
        <w:tc>
          <w:tcPr>
            <w:tcW w:w="0" w:type="auto"/>
            <w:shd w:val="clear" w:color="auto" w:fill="FFFFFF"/>
          </w:tcPr>
          <w:p w:rsidR="00A9399A" w:rsidRPr="000C2C2B" w:rsidRDefault="00A9399A" w:rsidP="00DA2105">
            <w:pPr>
              <w:pStyle w:val="Heading3"/>
              <w:jc w:val="center"/>
              <w:rPr>
                <w:bCs w:val="0"/>
                <w:iCs/>
                <w:color w:val="000000"/>
                <w:sz w:val="18"/>
                <w:szCs w:val="18"/>
              </w:rPr>
            </w:pPr>
            <w:r w:rsidRPr="000C2C2B">
              <w:rPr>
                <w:bCs w:val="0"/>
                <w:iCs/>
                <w:color w:val="000000"/>
                <w:sz w:val="18"/>
                <w:szCs w:val="18"/>
              </w:rPr>
              <w:t xml:space="preserve">Indicative grant amount, ($) </w:t>
            </w:r>
          </w:p>
        </w:tc>
        <w:tc>
          <w:tcPr>
            <w:tcW w:w="0" w:type="auto"/>
            <w:shd w:val="clear" w:color="auto" w:fill="FFFFFF"/>
          </w:tcPr>
          <w:p w:rsidR="00A9399A" w:rsidRPr="000C2C2B" w:rsidRDefault="00A9399A" w:rsidP="0029050B">
            <w:pPr>
              <w:pStyle w:val="Heading3"/>
              <w:jc w:val="center"/>
              <w:rPr>
                <w:bCs w:val="0"/>
                <w:iCs/>
                <w:color w:val="000000"/>
                <w:sz w:val="18"/>
                <w:szCs w:val="18"/>
              </w:rPr>
            </w:pPr>
            <w:r w:rsidRPr="000C2C2B">
              <w:rPr>
                <w:bCs w:val="0"/>
                <w:iCs/>
                <w:color w:val="000000"/>
                <w:sz w:val="18"/>
                <w:szCs w:val="18"/>
              </w:rPr>
              <w:t>Indicative co-financing, ($)</w:t>
            </w:r>
          </w:p>
        </w:tc>
      </w:tr>
      <w:tr w:rsidR="00A9399A" w:rsidRPr="000C2C2B" w:rsidTr="00F066F0">
        <w:tc>
          <w:tcPr>
            <w:tcW w:w="0" w:type="auto"/>
            <w:shd w:val="clear" w:color="auto" w:fill="FFFFFF"/>
          </w:tcPr>
          <w:p w:rsidR="00A9399A" w:rsidRPr="000C2C2B" w:rsidRDefault="00A9399A" w:rsidP="00070D90">
            <w:pPr>
              <w:spacing w:after="0" w:line="240" w:lineRule="auto"/>
              <w:ind w:right="-144"/>
              <w:rPr>
                <w:rFonts w:ascii="Times New Roman" w:hAnsi="Times New Roman"/>
                <w:sz w:val="18"/>
                <w:szCs w:val="18"/>
              </w:rPr>
            </w:pPr>
            <w:bookmarkStart w:id="5" w:name="_Hlk285554306"/>
            <w:r w:rsidRPr="000C2C2B">
              <w:rPr>
                <w:rFonts w:ascii="Times New Roman" w:hAnsi="Times New Roman"/>
                <w:sz w:val="18"/>
                <w:szCs w:val="18"/>
              </w:rPr>
              <w:t>BD-1</w:t>
            </w:r>
          </w:p>
        </w:tc>
        <w:tc>
          <w:tcPr>
            <w:tcW w:w="0" w:type="auto"/>
            <w:shd w:val="clear" w:color="auto" w:fill="FFFFFF"/>
          </w:tcPr>
          <w:p w:rsidR="00A9399A" w:rsidRPr="000C2C2B" w:rsidRDefault="00A9399A" w:rsidP="00991F43">
            <w:pPr>
              <w:spacing w:after="0" w:line="240" w:lineRule="auto"/>
              <w:rPr>
                <w:rFonts w:ascii="Times New Roman" w:hAnsi="Times New Roman"/>
                <w:sz w:val="18"/>
                <w:szCs w:val="18"/>
              </w:rPr>
            </w:pPr>
            <w:r w:rsidRPr="000C2C2B">
              <w:rPr>
                <w:rFonts w:ascii="Times New Roman" w:hAnsi="Times New Roman"/>
                <w:sz w:val="18"/>
                <w:szCs w:val="18"/>
              </w:rPr>
              <w:t>Outcome 1.1</w:t>
            </w:r>
          </w:p>
        </w:tc>
        <w:tc>
          <w:tcPr>
            <w:tcW w:w="0" w:type="auto"/>
            <w:shd w:val="clear" w:color="auto" w:fill="FFFFFF"/>
          </w:tcPr>
          <w:p w:rsidR="00A9399A" w:rsidRPr="000C2C2B" w:rsidRDefault="00A9399A" w:rsidP="00991F43">
            <w:pPr>
              <w:spacing w:after="0" w:line="240" w:lineRule="auto"/>
              <w:rPr>
                <w:rFonts w:ascii="Times New Roman" w:hAnsi="Times New Roman"/>
                <w:sz w:val="18"/>
                <w:szCs w:val="18"/>
              </w:rPr>
            </w:pPr>
            <w:r w:rsidRPr="000C2C2B">
              <w:rPr>
                <w:rFonts w:ascii="Times New Roman" w:hAnsi="Times New Roman"/>
                <w:sz w:val="18"/>
                <w:szCs w:val="18"/>
              </w:rPr>
              <w:t>Output 1.1</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sz w:val="18"/>
                <w:szCs w:val="18"/>
              </w:rPr>
              <w:t>1,055,056</w:t>
            </w:r>
          </w:p>
        </w:tc>
        <w:tc>
          <w:tcPr>
            <w:tcW w:w="0" w:type="auto"/>
            <w:shd w:val="clear" w:color="auto" w:fill="FFFFFF"/>
          </w:tcPr>
          <w:p w:rsidR="00A9399A" w:rsidRPr="000C2C2B" w:rsidRDefault="00A9399A" w:rsidP="00991F43">
            <w:pPr>
              <w:spacing w:after="0" w:line="240" w:lineRule="auto"/>
              <w:jc w:val="right"/>
              <w:rPr>
                <w:rFonts w:ascii="Times New Roman" w:hAnsi="Times New Roman"/>
                <w:sz w:val="18"/>
                <w:szCs w:val="18"/>
              </w:rPr>
            </w:pPr>
            <w:r w:rsidRPr="000C2C2B">
              <w:rPr>
                <w:rFonts w:ascii="Times New Roman" w:hAnsi="Times New Roman"/>
                <w:noProof/>
                <w:sz w:val="18"/>
                <w:szCs w:val="18"/>
              </w:rPr>
              <w:t>4,624,000</w:t>
            </w:r>
          </w:p>
        </w:tc>
      </w:tr>
      <w:tr w:rsidR="00A9399A" w:rsidRPr="000C2C2B" w:rsidTr="00F066F0">
        <w:tc>
          <w:tcPr>
            <w:tcW w:w="0" w:type="auto"/>
            <w:shd w:val="clear" w:color="auto" w:fill="FFFFFF"/>
          </w:tcPr>
          <w:p w:rsidR="00A9399A" w:rsidRPr="000C2C2B" w:rsidRDefault="00A9399A" w:rsidP="00E81338">
            <w:pPr>
              <w:spacing w:after="0" w:line="240" w:lineRule="auto"/>
              <w:rPr>
                <w:rFonts w:ascii="Times New Roman" w:hAnsi="Times New Roman"/>
                <w:sz w:val="18"/>
                <w:szCs w:val="18"/>
              </w:rPr>
            </w:pPr>
            <w:bookmarkStart w:id="6" w:name="focalAreaObj_02"/>
            <w:r w:rsidRPr="000C2C2B">
              <w:rPr>
                <w:rFonts w:ascii="Times New Roman" w:hAnsi="Times New Roman"/>
                <w:sz w:val="18"/>
                <w:szCs w:val="18"/>
              </w:rPr>
              <w:t>CCM-5</w:t>
            </w:r>
          </w:p>
        </w:tc>
        <w:tc>
          <w:tcPr>
            <w:tcW w:w="0" w:type="auto"/>
            <w:shd w:val="clear" w:color="auto" w:fill="FFFFFF"/>
          </w:tcPr>
          <w:p w:rsidR="00A9399A" w:rsidRPr="000C2C2B" w:rsidRDefault="00A9399A" w:rsidP="00417ACA">
            <w:pPr>
              <w:spacing w:after="0" w:line="240" w:lineRule="auto"/>
              <w:rPr>
                <w:rFonts w:ascii="Times New Roman" w:hAnsi="Times New Roman"/>
                <w:sz w:val="18"/>
                <w:szCs w:val="18"/>
              </w:rPr>
            </w:pPr>
            <w:r w:rsidRPr="000C2C2B">
              <w:rPr>
                <w:rFonts w:ascii="Times New Roman" w:hAnsi="Times New Roman"/>
                <w:sz w:val="18"/>
                <w:szCs w:val="18"/>
              </w:rPr>
              <w:t>Outcome 5.2</w:t>
            </w:r>
          </w:p>
        </w:tc>
        <w:tc>
          <w:tcPr>
            <w:tcW w:w="0" w:type="auto"/>
            <w:shd w:val="clear" w:color="auto" w:fill="FFFFFF"/>
          </w:tcPr>
          <w:p w:rsidR="00A9399A" w:rsidRPr="000C2C2B" w:rsidRDefault="00A9399A" w:rsidP="00417ACA">
            <w:pPr>
              <w:spacing w:after="0" w:line="240" w:lineRule="auto"/>
              <w:rPr>
                <w:rFonts w:ascii="Times New Roman" w:hAnsi="Times New Roman"/>
                <w:sz w:val="18"/>
                <w:szCs w:val="18"/>
              </w:rPr>
            </w:pPr>
            <w:r w:rsidRPr="000C2C2B">
              <w:rPr>
                <w:rFonts w:ascii="Times New Roman" w:hAnsi="Times New Roman"/>
                <w:sz w:val="18"/>
                <w:szCs w:val="18"/>
              </w:rPr>
              <w:t>Output 5.2</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noProof/>
                <w:sz w:val="18"/>
                <w:szCs w:val="18"/>
              </w:rPr>
              <w:t>451,596</w:t>
            </w:r>
          </w:p>
        </w:tc>
        <w:tc>
          <w:tcPr>
            <w:tcW w:w="0" w:type="auto"/>
            <w:shd w:val="clear" w:color="auto" w:fill="FFFFFF"/>
          </w:tcPr>
          <w:p w:rsidR="00A9399A" w:rsidRPr="000C2C2B" w:rsidRDefault="00A9399A" w:rsidP="009D7AEC">
            <w:pPr>
              <w:spacing w:after="0" w:line="240" w:lineRule="auto"/>
              <w:jc w:val="right"/>
              <w:rPr>
                <w:rFonts w:ascii="Times New Roman" w:hAnsi="Times New Roman"/>
                <w:sz w:val="18"/>
                <w:szCs w:val="18"/>
              </w:rPr>
            </w:pPr>
            <w:r w:rsidRPr="000C2C2B">
              <w:rPr>
                <w:rFonts w:ascii="Times New Roman" w:hAnsi="Times New Roman"/>
                <w:noProof/>
                <w:sz w:val="18"/>
                <w:szCs w:val="18"/>
              </w:rPr>
              <w:t>867,000</w:t>
            </w:r>
          </w:p>
        </w:tc>
      </w:tr>
      <w:tr w:rsidR="00A9399A" w:rsidRPr="000C2C2B" w:rsidTr="00F066F0">
        <w:tc>
          <w:tcPr>
            <w:tcW w:w="0" w:type="auto"/>
            <w:shd w:val="clear" w:color="auto" w:fill="FFFFFF"/>
          </w:tcPr>
          <w:p w:rsidR="00A9399A" w:rsidRPr="000C2C2B" w:rsidRDefault="00A9399A" w:rsidP="00E81338">
            <w:pPr>
              <w:spacing w:after="0" w:line="240" w:lineRule="auto"/>
              <w:rPr>
                <w:rFonts w:ascii="Times New Roman" w:hAnsi="Times New Roman"/>
                <w:sz w:val="18"/>
                <w:szCs w:val="18"/>
              </w:rPr>
            </w:pPr>
            <w:r w:rsidRPr="000C2C2B">
              <w:rPr>
                <w:rFonts w:ascii="Times New Roman" w:hAnsi="Times New Roman"/>
                <w:sz w:val="18"/>
                <w:szCs w:val="18"/>
              </w:rPr>
              <w:t>CCM-5</w:t>
            </w:r>
          </w:p>
        </w:tc>
        <w:tc>
          <w:tcPr>
            <w:tcW w:w="0" w:type="auto"/>
            <w:shd w:val="clear" w:color="auto" w:fill="FFFFFF"/>
          </w:tcPr>
          <w:p w:rsidR="00A9399A" w:rsidRPr="000C2C2B" w:rsidRDefault="00A9399A" w:rsidP="00417ACA">
            <w:pPr>
              <w:spacing w:after="0" w:line="240" w:lineRule="auto"/>
              <w:rPr>
                <w:rFonts w:ascii="Times New Roman" w:hAnsi="Times New Roman"/>
                <w:sz w:val="18"/>
                <w:szCs w:val="18"/>
              </w:rPr>
            </w:pPr>
            <w:r w:rsidRPr="000C2C2B">
              <w:rPr>
                <w:rFonts w:ascii="Times New Roman" w:hAnsi="Times New Roman"/>
                <w:sz w:val="18"/>
                <w:szCs w:val="18"/>
              </w:rPr>
              <w:t>Outcome 5.1</w:t>
            </w:r>
          </w:p>
        </w:tc>
        <w:tc>
          <w:tcPr>
            <w:tcW w:w="0" w:type="auto"/>
            <w:shd w:val="clear" w:color="auto" w:fill="FFFFFF"/>
          </w:tcPr>
          <w:p w:rsidR="00A9399A" w:rsidRPr="000C2C2B" w:rsidRDefault="00A9399A" w:rsidP="00417ACA">
            <w:pPr>
              <w:spacing w:after="0" w:line="240" w:lineRule="auto"/>
              <w:rPr>
                <w:rFonts w:ascii="Times New Roman" w:hAnsi="Times New Roman"/>
                <w:sz w:val="18"/>
                <w:szCs w:val="18"/>
              </w:rPr>
            </w:pPr>
            <w:r w:rsidRPr="000C2C2B">
              <w:rPr>
                <w:rFonts w:ascii="Times New Roman" w:hAnsi="Times New Roman"/>
                <w:sz w:val="18"/>
                <w:szCs w:val="18"/>
              </w:rPr>
              <w:t>Output 5.1</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9D7AEC">
            <w:pPr>
              <w:spacing w:after="0" w:line="240" w:lineRule="auto"/>
              <w:jc w:val="right"/>
              <w:rPr>
                <w:rFonts w:ascii="Times New Roman" w:hAnsi="Times New Roman"/>
                <w:noProof/>
                <w:sz w:val="18"/>
                <w:szCs w:val="18"/>
              </w:rPr>
            </w:pPr>
            <w:r w:rsidRPr="000C2C2B">
              <w:rPr>
                <w:rFonts w:ascii="Times New Roman" w:hAnsi="Times New Roman"/>
                <w:noProof/>
                <w:sz w:val="18"/>
                <w:szCs w:val="18"/>
              </w:rPr>
              <w:t>120,000</w:t>
            </w:r>
          </w:p>
        </w:tc>
        <w:tc>
          <w:tcPr>
            <w:tcW w:w="0" w:type="auto"/>
            <w:shd w:val="clear" w:color="auto" w:fill="FFFFFF"/>
          </w:tcPr>
          <w:p w:rsidR="00A9399A" w:rsidRPr="000C2C2B" w:rsidRDefault="00A9399A" w:rsidP="002411CC">
            <w:pPr>
              <w:spacing w:after="0" w:line="240" w:lineRule="auto"/>
              <w:jc w:val="right"/>
              <w:rPr>
                <w:rFonts w:ascii="Times New Roman" w:hAnsi="Times New Roman"/>
                <w:noProof/>
                <w:sz w:val="18"/>
                <w:szCs w:val="18"/>
              </w:rPr>
            </w:pPr>
            <w:r w:rsidRPr="000C2C2B">
              <w:rPr>
                <w:rFonts w:ascii="Times New Roman" w:hAnsi="Times New Roman"/>
                <w:noProof/>
                <w:sz w:val="18"/>
                <w:szCs w:val="18"/>
              </w:rPr>
              <w:t>1,100,000</w:t>
            </w:r>
          </w:p>
        </w:tc>
      </w:tr>
      <w:tr w:rsidR="00A9399A" w:rsidRPr="000C2C2B" w:rsidTr="00F066F0">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LD-3</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noProof/>
                <w:sz w:val="18"/>
                <w:szCs w:val="18"/>
              </w:rPr>
              <w:t>Outcome 3.1</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noProof/>
                <w:sz w:val="18"/>
                <w:szCs w:val="18"/>
              </w:rPr>
              <w:t>Output 3.1</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noProof/>
                <w:sz w:val="18"/>
                <w:szCs w:val="18"/>
              </w:rPr>
              <w:t>241,684</w:t>
            </w:r>
          </w:p>
        </w:tc>
        <w:tc>
          <w:tcPr>
            <w:tcW w:w="0" w:type="auto"/>
            <w:shd w:val="clear" w:color="auto" w:fill="FFFFFF"/>
          </w:tcPr>
          <w:p w:rsidR="00A9399A" w:rsidRPr="000C2C2B" w:rsidRDefault="00A9399A" w:rsidP="00CE1AF1">
            <w:pPr>
              <w:spacing w:after="0" w:line="240" w:lineRule="auto"/>
              <w:jc w:val="right"/>
              <w:rPr>
                <w:rFonts w:ascii="Times New Roman" w:hAnsi="Times New Roman"/>
                <w:sz w:val="18"/>
                <w:szCs w:val="18"/>
              </w:rPr>
            </w:pPr>
            <w:r w:rsidRPr="000C2C2B">
              <w:rPr>
                <w:rFonts w:ascii="Times New Roman" w:hAnsi="Times New Roman"/>
                <w:noProof/>
                <w:sz w:val="18"/>
                <w:szCs w:val="18"/>
              </w:rPr>
              <w:t>2,635,000</w:t>
            </w:r>
          </w:p>
        </w:tc>
      </w:tr>
      <w:tr w:rsidR="00A9399A" w:rsidRPr="000C2C2B" w:rsidTr="00F066F0">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SFM-REDD 1</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Outcome 1.3</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Output 1.3</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noProof/>
                <w:sz w:val="18"/>
                <w:szCs w:val="18"/>
              </w:rPr>
              <w:t>316,492</w:t>
            </w:r>
          </w:p>
        </w:tc>
        <w:tc>
          <w:tcPr>
            <w:tcW w:w="0" w:type="auto"/>
            <w:shd w:val="clear" w:color="auto" w:fill="FFFFFF"/>
          </w:tcPr>
          <w:p w:rsidR="00A9399A" w:rsidRPr="000C2C2B" w:rsidRDefault="00A9399A" w:rsidP="00CE1AF1">
            <w:pPr>
              <w:spacing w:after="0" w:line="240" w:lineRule="auto"/>
              <w:jc w:val="right"/>
              <w:rPr>
                <w:rFonts w:ascii="Times New Roman" w:hAnsi="Times New Roman"/>
                <w:sz w:val="18"/>
                <w:szCs w:val="18"/>
              </w:rPr>
            </w:pPr>
            <w:r w:rsidRPr="000C2C2B">
              <w:rPr>
                <w:rFonts w:ascii="Times New Roman" w:hAnsi="Times New Roman"/>
                <w:noProof/>
                <w:sz w:val="18"/>
                <w:szCs w:val="18"/>
              </w:rPr>
              <w:t>200,000</w:t>
            </w:r>
          </w:p>
        </w:tc>
      </w:tr>
      <w:tr w:rsidR="00A9399A" w:rsidRPr="000C2C2B" w:rsidTr="00F066F0">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SFM REDD 2</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Outcome 2.1</w:t>
            </w:r>
          </w:p>
        </w:tc>
        <w:tc>
          <w:tcPr>
            <w:tcW w:w="0" w:type="auto"/>
            <w:shd w:val="clear" w:color="auto" w:fill="FFFFFF"/>
          </w:tcPr>
          <w:p w:rsidR="00A9399A" w:rsidRPr="000C2C2B" w:rsidRDefault="00A9399A" w:rsidP="00CE1AF1">
            <w:pPr>
              <w:spacing w:after="0" w:line="240" w:lineRule="auto"/>
              <w:rPr>
                <w:rFonts w:ascii="Times New Roman" w:hAnsi="Times New Roman"/>
                <w:sz w:val="18"/>
                <w:szCs w:val="18"/>
              </w:rPr>
            </w:pPr>
            <w:r w:rsidRPr="000C2C2B">
              <w:rPr>
                <w:rFonts w:ascii="Times New Roman" w:hAnsi="Times New Roman"/>
                <w:sz w:val="18"/>
                <w:szCs w:val="18"/>
              </w:rPr>
              <w:t>Output 2.2</w:t>
            </w:r>
          </w:p>
        </w:tc>
        <w:tc>
          <w:tcPr>
            <w:tcW w:w="0" w:type="auto"/>
            <w:shd w:val="clear" w:color="auto" w:fill="FFFFFF"/>
          </w:tcPr>
          <w:p w:rsidR="00A9399A" w:rsidRPr="000C2C2B" w:rsidRDefault="00A9399A" w:rsidP="00DA2105">
            <w:pPr>
              <w:spacing w:after="0" w:line="240" w:lineRule="auto"/>
              <w:jc w:val="center"/>
              <w:rPr>
                <w:rFonts w:ascii="Times New Roman" w:hAnsi="Times New Roman"/>
                <w:noProof/>
                <w:sz w:val="18"/>
                <w:szCs w:val="18"/>
              </w:rPr>
            </w:pPr>
            <w:r w:rsidRPr="000C2C2B">
              <w:rPr>
                <w:rFonts w:ascii="Times New Roman" w:hAnsi="Times New Roman"/>
                <w:noProof/>
                <w:sz w:val="18"/>
                <w:szCs w:val="18"/>
              </w:rPr>
              <w:t>GEFTF</w:t>
            </w:r>
          </w:p>
        </w:tc>
        <w:tc>
          <w:tcPr>
            <w:tcW w:w="0" w:type="auto"/>
            <w:shd w:val="clear" w:color="auto" w:fill="FFFFFF"/>
          </w:tcPr>
          <w:p w:rsidR="00A9399A" w:rsidRPr="000C2C2B" w:rsidRDefault="00A9399A" w:rsidP="00E229C4">
            <w:pPr>
              <w:spacing w:after="0" w:line="240" w:lineRule="auto"/>
              <w:jc w:val="right"/>
              <w:rPr>
                <w:rFonts w:ascii="Times New Roman" w:hAnsi="Times New Roman"/>
                <w:noProof/>
                <w:sz w:val="18"/>
                <w:szCs w:val="18"/>
              </w:rPr>
            </w:pPr>
            <w:r w:rsidRPr="000C2C2B">
              <w:rPr>
                <w:rFonts w:ascii="Times New Roman" w:hAnsi="Times New Roman"/>
                <w:noProof/>
                <w:sz w:val="18"/>
                <w:szCs w:val="18"/>
              </w:rPr>
              <w:t>300,000</w:t>
            </w:r>
          </w:p>
        </w:tc>
        <w:tc>
          <w:tcPr>
            <w:tcW w:w="0" w:type="auto"/>
            <w:shd w:val="clear" w:color="auto" w:fill="FFFFFF"/>
          </w:tcPr>
          <w:p w:rsidR="00A9399A" w:rsidRPr="000C2C2B" w:rsidRDefault="00A9399A" w:rsidP="00CE1AF1">
            <w:pPr>
              <w:spacing w:after="0" w:line="240" w:lineRule="auto"/>
              <w:jc w:val="right"/>
              <w:rPr>
                <w:rFonts w:ascii="Times New Roman" w:hAnsi="Times New Roman"/>
                <w:noProof/>
                <w:sz w:val="18"/>
                <w:szCs w:val="18"/>
              </w:rPr>
            </w:pPr>
            <w:r w:rsidRPr="000C2C2B">
              <w:rPr>
                <w:rFonts w:ascii="Times New Roman" w:hAnsi="Times New Roman"/>
                <w:noProof/>
                <w:sz w:val="18"/>
                <w:szCs w:val="18"/>
              </w:rPr>
              <w:t>100,000</w:t>
            </w:r>
          </w:p>
        </w:tc>
      </w:tr>
      <w:bookmarkEnd w:id="6"/>
      <w:tr w:rsidR="00A9399A" w:rsidRPr="000C2C2B" w:rsidTr="00F066F0">
        <w:tc>
          <w:tcPr>
            <w:tcW w:w="0" w:type="auto"/>
            <w:gridSpan w:val="3"/>
            <w:tcBorders>
              <w:top w:val="double" w:sz="4" w:space="0" w:color="auto"/>
              <w:bottom w:val="double" w:sz="4" w:space="0" w:color="auto"/>
            </w:tcBorders>
            <w:shd w:val="clear" w:color="auto" w:fill="FFFFFF"/>
          </w:tcPr>
          <w:p w:rsidR="00A9399A" w:rsidRPr="000C2C2B" w:rsidRDefault="00A9399A" w:rsidP="007A1652">
            <w:pPr>
              <w:spacing w:after="0" w:line="240" w:lineRule="auto"/>
              <w:rPr>
                <w:rFonts w:ascii="Times New Roman" w:hAnsi="Times New Roman"/>
                <w:sz w:val="18"/>
                <w:szCs w:val="18"/>
              </w:rPr>
            </w:pPr>
            <w:r w:rsidRPr="000C2C2B">
              <w:rPr>
                <w:rFonts w:ascii="Times New Roman" w:hAnsi="Times New Roman"/>
                <w:sz w:val="18"/>
                <w:szCs w:val="18"/>
              </w:rPr>
              <w:t>Project management cost</w:t>
            </w:r>
          </w:p>
        </w:tc>
        <w:tc>
          <w:tcPr>
            <w:tcW w:w="0" w:type="auto"/>
            <w:tcBorders>
              <w:bottom w:val="double" w:sz="4" w:space="0" w:color="auto"/>
            </w:tcBorders>
            <w:shd w:val="clear" w:color="auto" w:fill="FFFFFF"/>
          </w:tcPr>
          <w:p w:rsidR="00A9399A" w:rsidRPr="000C2C2B" w:rsidRDefault="00A9399A" w:rsidP="009D7AEC">
            <w:pPr>
              <w:spacing w:after="0" w:line="240" w:lineRule="auto"/>
              <w:ind w:left="-108"/>
              <w:jc w:val="right"/>
              <w:rPr>
                <w:rFonts w:ascii="Times New Roman" w:hAnsi="Times New Roman"/>
                <w:b/>
                <w:noProof/>
                <w:sz w:val="18"/>
                <w:szCs w:val="18"/>
              </w:rPr>
            </w:pPr>
          </w:p>
        </w:tc>
        <w:tc>
          <w:tcPr>
            <w:tcW w:w="0" w:type="auto"/>
            <w:tcBorders>
              <w:bottom w:val="double" w:sz="4" w:space="0" w:color="auto"/>
            </w:tcBorders>
            <w:shd w:val="clear" w:color="auto" w:fill="FFFFFF"/>
            <w:vAlign w:val="center"/>
          </w:tcPr>
          <w:p w:rsidR="00A9399A" w:rsidRPr="000C2C2B" w:rsidRDefault="00A9399A" w:rsidP="004C2754">
            <w:pPr>
              <w:spacing w:after="0" w:line="240" w:lineRule="auto"/>
              <w:ind w:left="-108"/>
              <w:jc w:val="right"/>
              <w:rPr>
                <w:rFonts w:ascii="Times New Roman" w:hAnsi="Times New Roman"/>
                <w:sz w:val="18"/>
                <w:szCs w:val="18"/>
              </w:rPr>
            </w:pPr>
            <w:r w:rsidRPr="000C2C2B">
              <w:rPr>
                <w:rFonts w:ascii="Times New Roman" w:hAnsi="Times New Roman"/>
                <w:b/>
                <w:noProof/>
                <w:sz w:val="18"/>
                <w:szCs w:val="18"/>
              </w:rPr>
              <w:t>216,072</w:t>
            </w:r>
          </w:p>
        </w:tc>
        <w:tc>
          <w:tcPr>
            <w:tcW w:w="0" w:type="auto"/>
            <w:tcBorders>
              <w:bottom w:val="double" w:sz="4" w:space="0" w:color="auto"/>
            </w:tcBorders>
            <w:shd w:val="clear" w:color="auto" w:fill="FFFFFF"/>
            <w:vAlign w:val="center"/>
          </w:tcPr>
          <w:p w:rsidR="00A9399A" w:rsidRPr="000C2C2B" w:rsidRDefault="00A9399A" w:rsidP="009D7AEC">
            <w:pPr>
              <w:spacing w:after="0" w:line="240" w:lineRule="auto"/>
              <w:ind w:left="-108"/>
              <w:jc w:val="right"/>
              <w:rPr>
                <w:rFonts w:ascii="Times New Roman" w:hAnsi="Times New Roman"/>
                <w:sz w:val="18"/>
                <w:szCs w:val="18"/>
              </w:rPr>
            </w:pPr>
            <w:r w:rsidRPr="000C2C2B">
              <w:rPr>
                <w:rFonts w:ascii="Times New Roman" w:hAnsi="Times New Roman"/>
                <w:noProof/>
                <w:sz w:val="18"/>
                <w:szCs w:val="18"/>
              </w:rPr>
              <w:t>958,400</w:t>
            </w:r>
          </w:p>
        </w:tc>
      </w:tr>
      <w:tr w:rsidR="00A9399A" w:rsidRPr="000C2C2B" w:rsidTr="00F066F0">
        <w:tc>
          <w:tcPr>
            <w:tcW w:w="0" w:type="auto"/>
            <w:gridSpan w:val="3"/>
            <w:tcBorders>
              <w:top w:val="double" w:sz="4" w:space="0" w:color="auto"/>
              <w:bottom w:val="double" w:sz="4" w:space="0" w:color="auto"/>
            </w:tcBorders>
            <w:shd w:val="clear" w:color="auto" w:fill="FFFFFF"/>
          </w:tcPr>
          <w:p w:rsidR="00A9399A" w:rsidRPr="000C2C2B" w:rsidRDefault="00A9399A" w:rsidP="00417ACA">
            <w:pPr>
              <w:spacing w:after="0" w:line="240" w:lineRule="auto"/>
              <w:rPr>
                <w:rFonts w:ascii="Times New Roman" w:hAnsi="Times New Roman"/>
                <w:b/>
                <w:sz w:val="18"/>
                <w:szCs w:val="18"/>
              </w:rPr>
            </w:pPr>
            <w:r w:rsidRPr="000C2C2B">
              <w:rPr>
                <w:rFonts w:ascii="Times New Roman" w:hAnsi="Times New Roman"/>
                <w:b/>
                <w:sz w:val="18"/>
                <w:szCs w:val="18"/>
              </w:rPr>
              <w:t>Total project costs</w:t>
            </w:r>
          </w:p>
        </w:tc>
        <w:tc>
          <w:tcPr>
            <w:tcW w:w="0" w:type="auto"/>
            <w:tcBorders>
              <w:top w:val="double" w:sz="4" w:space="0" w:color="auto"/>
              <w:bottom w:val="double" w:sz="4" w:space="0" w:color="auto"/>
            </w:tcBorders>
            <w:shd w:val="clear" w:color="auto" w:fill="FFFFFF"/>
          </w:tcPr>
          <w:p w:rsidR="00A9399A" w:rsidRPr="000C2C2B" w:rsidRDefault="00A9399A" w:rsidP="00F07E9F">
            <w:pPr>
              <w:spacing w:after="0" w:line="240" w:lineRule="auto"/>
              <w:jc w:val="right"/>
              <w:rPr>
                <w:rFonts w:ascii="Times New Roman" w:hAnsi="Times New Roman"/>
                <w:b/>
                <w:sz w:val="18"/>
                <w:szCs w:val="18"/>
              </w:rPr>
            </w:pPr>
          </w:p>
        </w:tc>
        <w:tc>
          <w:tcPr>
            <w:tcW w:w="0" w:type="auto"/>
            <w:tcBorders>
              <w:top w:val="double" w:sz="4" w:space="0" w:color="auto"/>
              <w:bottom w:val="double" w:sz="4" w:space="0" w:color="auto"/>
            </w:tcBorders>
            <w:shd w:val="clear" w:color="auto" w:fill="FFFFFF"/>
          </w:tcPr>
          <w:p w:rsidR="00A9399A" w:rsidRPr="000C2C2B" w:rsidRDefault="00A9399A" w:rsidP="00F07E9F">
            <w:pPr>
              <w:spacing w:after="0" w:line="240" w:lineRule="auto"/>
              <w:jc w:val="right"/>
              <w:rPr>
                <w:rFonts w:ascii="Times New Roman" w:hAnsi="Times New Roman"/>
                <w:b/>
                <w:sz w:val="18"/>
                <w:szCs w:val="18"/>
              </w:rPr>
            </w:pPr>
            <w:r w:rsidRPr="000C2C2B">
              <w:rPr>
                <w:rFonts w:ascii="Times New Roman" w:hAnsi="Times New Roman"/>
                <w:b/>
                <w:sz w:val="18"/>
                <w:szCs w:val="18"/>
              </w:rPr>
              <w:t>2,700,900</w:t>
            </w:r>
          </w:p>
        </w:tc>
        <w:tc>
          <w:tcPr>
            <w:tcW w:w="0" w:type="auto"/>
            <w:tcBorders>
              <w:top w:val="double" w:sz="4" w:space="0" w:color="auto"/>
              <w:bottom w:val="double" w:sz="4" w:space="0" w:color="auto"/>
            </w:tcBorders>
            <w:shd w:val="clear" w:color="auto" w:fill="FFFFFF"/>
          </w:tcPr>
          <w:p w:rsidR="00A9399A" w:rsidRPr="000C2C2B" w:rsidRDefault="00A9399A" w:rsidP="002411CC">
            <w:pPr>
              <w:spacing w:after="0" w:line="240" w:lineRule="auto"/>
              <w:jc w:val="right"/>
              <w:rPr>
                <w:rFonts w:ascii="Times New Roman" w:hAnsi="Times New Roman"/>
                <w:b/>
                <w:sz w:val="18"/>
                <w:szCs w:val="18"/>
              </w:rPr>
            </w:pPr>
            <w:r w:rsidRPr="000C2C2B">
              <w:rPr>
                <w:rFonts w:ascii="Times New Roman" w:hAnsi="Times New Roman"/>
                <w:b/>
                <w:sz w:val="18"/>
                <w:szCs w:val="18"/>
              </w:rPr>
              <w:t>10,484,400</w:t>
            </w:r>
          </w:p>
        </w:tc>
      </w:tr>
    </w:tbl>
    <w:bookmarkEnd w:id="5"/>
    <w:p w:rsidR="00A9399A" w:rsidRPr="000C2C2B" w:rsidRDefault="00A9399A" w:rsidP="00AB2C34">
      <w:pPr>
        <w:pStyle w:val="Footer"/>
        <w:numPr>
          <w:ilvl w:val="0"/>
          <w:numId w:val="1"/>
        </w:numPr>
        <w:tabs>
          <w:tab w:val="clear" w:pos="720"/>
          <w:tab w:val="clear" w:pos="4320"/>
          <w:tab w:val="clear" w:pos="8640"/>
          <w:tab w:val="num" w:pos="-90"/>
          <w:tab w:val="left" w:pos="270"/>
        </w:tabs>
        <w:spacing w:before="120"/>
        <w:ind w:left="0" w:firstLine="0"/>
        <w:rPr>
          <w:b/>
          <w:smallCaps/>
          <w:sz w:val="22"/>
          <w:szCs w:val="22"/>
        </w:rPr>
      </w:pPr>
      <w:r w:rsidRPr="000C2C2B">
        <w:rPr>
          <w:b/>
          <w:smallCaps/>
          <w:sz w:val="22"/>
          <w:szCs w:val="22"/>
        </w:rPr>
        <w:t>Project Framework:</w:t>
      </w: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450"/>
        <w:gridCol w:w="2790"/>
        <w:gridCol w:w="4680"/>
        <w:gridCol w:w="1350"/>
        <w:gridCol w:w="1080"/>
      </w:tblGrid>
      <w:tr w:rsidR="00A9399A" w:rsidRPr="000C2C2B" w:rsidTr="002411CC">
        <w:trPr>
          <w:trHeight w:val="413"/>
          <w:tblHeader/>
        </w:trPr>
        <w:tc>
          <w:tcPr>
            <w:tcW w:w="11520" w:type="dxa"/>
            <w:gridSpan w:val="6"/>
          </w:tcPr>
          <w:p w:rsidR="00A9399A" w:rsidRPr="000C2C2B" w:rsidRDefault="00A9399A" w:rsidP="005722AC">
            <w:pPr>
              <w:pStyle w:val="Footer"/>
              <w:keepNext/>
              <w:tabs>
                <w:tab w:val="clear" w:pos="4320"/>
                <w:tab w:val="clear" w:pos="8640"/>
              </w:tabs>
              <w:spacing w:after="80"/>
              <w:rPr>
                <w:rFonts w:hAnsi="Times New Roman Bold"/>
                <w:sz w:val="20"/>
                <w:szCs w:val="20"/>
              </w:rPr>
            </w:pPr>
            <w:bookmarkStart w:id="7" w:name="OLE_LINK5"/>
            <w:bookmarkStart w:id="8" w:name="OLE_LINK6"/>
            <w:r w:rsidRPr="000C2C2B">
              <w:rPr>
                <w:rFonts w:hAnsi="Times New Roman Bold"/>
                <w:b/>
                <w:sz w:val="20"/>
                <w:szCs w:val="20"/>
              </w:rPr>
              <w:t>Project Objective</w:t>
            </w:r>
            <w:r w:rsidRPr="000C2C2B">
              <w:rPr>
                <w:rFonts w:hAnsi="Times New Roman Bold"/>
                <w:sz w:val="20"/>
                <w:szCs w:val="20"/>
              </w:rPr>
              <w:t xml:space="preserve">: </w:t>
            </w:r>
            <w:r w:rsidRPr="000C2C2B">
              <w:rPr>
                <w:sz w:val="18"/>
                <w:szCs w:val="18"/>
              </w:rPr>
              <w:t xml:space="preserve">To promote integrated management of </w:t>
            </w:r>
            <w:proofErr w:type="spellStart"/>
            <w:r w:rsidRPr="000C2C2B">
              <w:rPr>
                <w:sz w:val="18"/>
                <w:szCs w:val="18"/>
              </w:rPr>
              <w:t>peatlands</w:t>
            </w:r>
            <w:proofErr w:type="spellEnd"/>
            <w:r w:rsidRPr="000C2C2B">
              <w:rPr>
                <w:sz w:val="18"/>
                <w:szCs w:val="18"/>
              </w:rPr>
              <w:t xml:space="preserve"> at landscape level, with a demonstration in the </w:t>
            </w:r>
            <w:proofErr w:type="spellStart"/>
            <w:r w:rsidRPr="000C2C2B">
              <w:rPr>
                <w:sz w:val="18"/>
                <w:szCs w:val="18"/>
              </w:rPr>
              <w:t>Poozerie</w:t>
            </w:r>
            <w:proofErr w:type="spellEnd"/>
            <w:r w:rsidRPr="000C2C2B">
              <w:rPr>
                <w:sz w:val="18"/>
                <w:szCs w:val="18"/>
              </w:rPr>
              <w:t xml:space="preserve"> landscape, to conserve biodiversity, enhance carbon stocks, and secure multiple ecosystem services</w:t>
            </w:r>
          </w:p>
        </w:tc>
      </w:tr>
      <w:tr w:rsidR="00A9399A" w:rsidRPr="000C2C2B" w:rsidTr="002411CC">
        <w:trPr>
          <w:trHeight w:val="485"/>
          <w:tblHeader/>
        </w:trPr>
        <w:tc>
          <w:tcPr>
            <w:tcW w:w="1170" w:type="dxa"/>
            <w:shd w:val="clear" w:color="auto" w:fill="FFFFFF"/>
            <w:vAlign w:val="center"/>
          </w:tcPr>
          <w:p w:rsidR="00A9399A" w:rsidRPr="000C2C2B" w:rsidRDefault="00A9399A" w:rsidP="00D729B5">
            <w:pPr>
              <w:keepNext/>
              <w:spacing w:after="0" w:line="200" w:lineRule="exact"/>
              <w:ind w:left="-108" w:right="-108"/>
              <w:jc w:val="center"/>
              <w:outlineLvl w:val="2"/>
              <w:rPr>
                <w:rFonts w:ascii="Times New Roman" w:hAnsi="Times New Roman"/>
                <w:b/>
                <w:iCs/>
                <w:color w:val="000000"/>
                <w:sz w:val="18"/>
                <w:szCs w:val="18"/>
              </w:rPr>
            </w:pPr>
            <w:r w:rsidRPr="000C2C2B">
              <w:rPr>
                <w:rFonts w:ascii="Times New Roman" w:hAnsi="Times New Roman"/>
                <w:b/>
                <w:iCs/>
                <w:color w:val="000000"/>
                <w:sz w:val="18"/>
                <w:szCs w:val="18"/>
              </w:rPr>
              <w:t>Project Component</w:t>
            </w:r>
          </w:p>
        </w:tc>
        <w:tc>
          <w:tcPr>
            <w:tcW w:w="450" w:type="dxa"/>
            <w:shd w:val="clear" w:color="auto" w:fill="FFFFFF"/>
            <w:vAlign w:val="center"/>
          </w:tcPr>
          <w:p w:rsidR="00A9399A" w:rsidRPr="000C2C2B" w:rsidRDefault="00A9399A" w:rsidP="00D729B5">
            <w:pPr>
              <w:keepNext/>
              <w:spacing w:after="0" w:line="200" w:lineRule="exact"/>
              <w:ind w:left="-108" w:right="-108"/>
              <w:jc w:val="center"/>
              <w:outlineLvl w:val="2"/>
              <w:rPr>
                <w:rFonts w:ascii="Times New Roman" w:hAnsi="Times New Roman"/>
                <w:b/>
                <w:iCs/>
                <w:color w:val="000000"/>
                <w:sz w:val="16"/>
                <w:szCs w:val="16"/>
              </w:rPr>
            </w:pPr>
            <w:r w:rsidRPr="000C2C2B">
              <w:rPr>
                <w:rFonts w:ascii="Times New Roman" w:hAnsi="Times New Roman"/>
                <w:b/>
                <w:iCs/>
                <w:color w:val="000000"/>
                <w:sz w:val="16"/>
                <w:szCs w:val="16"/>
              </w:rPr>
              <w:t>Grant type</w:t>
            </w:r>
          </w:p>
        </w:tc>
        <w:tc>
          <w:tcPr>
            <w:tcW w:w="2790" w:type="dxa"/>
            <w:shd w:val="clear" w:color="auto" w:fill="FFFFFF"/>
            <w:vAlign w:val="center"/>
          </w:tcPr>
          <w:p w:rsidR="00A9399A" w:rsidRPr="000C2C2B" w:rsidRDefault="00A9399A" w:rsidP="00D729B5">
            <w:pPr>
              <w:spacing w:after="0" w:line="200" w:lineRule="exact"/>
              <w:jc w:val="center"/>
              <w:rPr>
                <w:rFonts w:ascii="Times New Roman" w:hAnsi="Times New Roman"/>
                <w:b/>
                <w:sz w:val="18"/>
                <w:szCs w:val="18"/>
              </w:rPr>
            </w:pPr>
            <w:r w:rsidRPr="000C2C2B">
              <w:rPr>
                <w:rFonts w:ascii="Times New Roman" w:hAnsi="Times New Roman"/>
                <w:b/>
                <w:sz w:val="18"/>
                <w:szCs w:val="18"/>
              </w:rPr>
              <w:t>Expected Outcomes</w:t>
            </w:r>
          </w:p>
        </w:tc>
        <w:tc>
          <w:tcPr>
            <w:tcW w:w="4680" w:type="dxa"/>
            <w:shd w:val="clear" w:color="auto" w:fill="FFFFFF"/>
            <w:vAlign w:val="center"/>
          </w:tcPr>
          <w:p w:rsidR="00A9399A" w:rsidRPr="000C2C2B" w:rsidRDefault="00A9399A" w:rsidP="00D729B5">
            <w:pPr>
              <w:keepNext/>
              <w:spacing w:after="0" w:line="200" w:lineRule="exact"/>
              <w:jc w:val="center"/>
              <w:outlineLvl w:val="2"/>
              <w:rPr>
                <w:rFonts w:ascii="Times New Roman" w:hAnsi="Times New Roman"/>
                <w:iCs/>
                <w:color w:val="000000"/>
                <w:sz w:val="18"/>
                <w:szCs w:val="18"/>
              </w:rPr>
            </w:pPr>
            <w:r w:rsidRPr="000C2C2B">
              <w:rPr>
                <w:rFonts w:ascii="Times New Roman" w:hAnsi="Times New Roman"/>
                <w:b/>
                <w:iCs/>
                <w:color w:val="000000"/>
                <w:sz w:val="18"/>
                <w:szCs w:val="18"/>
              </w:rPr>
              <w:t>Expected Outputs</w:t>
            </w:r>
          </w:p>
        </w:tc>
        <w:tc>
          <w:tcPr>
            <w:tcW w:w="1350" w:type="dxa"/>
            <w:shd w:val="clear" w:color="auto" w:fill="FFFFFF"/>
          </w:tcPr>
          <w:p w:rsidR="00A9399A" w:rsidRPr="000C2C2B" w:rsidRDefault="00A9399A" w:rsidP="00AB2C34">
            <w:pPr>
              <w:keepNext/>
              <w:spacing w:after="0" w:line="200" w:lineRule="exact"/>
              <w:ind w:left="-102" w:right="-108"/>
              <w:jc w:val="center"/>
              <w:outlineLvl w:val="2"/>
              <w:rPr>
                <w:rFonts w:ascii="Times New Roman" w:hAnsi="Times New Roman"/>
                <w:b/>
                <w:iCs/>
                <w:color w:val="000000"/>
                <w:sz w:val="18"/>
                <w:szCs w:val="18"/>
              </w:rPr>
            </w:pPr>
            <w:r w:rsidRPr="000C2C2B">
              <w:rPr>
                <w:rFonts w:ascii="Times New Roman" w:hAnsi="Times New Roman"/>
                <w:b/>
                <w:iCs/>
                <w:color w:val="000000"/>
                <w:sz w:val="18"/>
                <w:szCs w:val="18"/>
              </w:rPr>
              <w:t>Financing from relevant TF, ($)</w:t>
            </w:r>
          </w:p>
        </w:tc>
        <w:tc>
          <w:tcPr>
            <w:tcW w:w="1080" w:type="dxa"/>
            <w:shd w:val="clear" w:color="auto" w:fill="FFFFFF"/>
          </w:tcPr>
          <w:p w:rsidR="00A9399A" w:rsidRPr="000C2C2B" w:rsidRDefault="00A9399A" w:rsidP="00AB2C34">
            <w:pPr>
              <w:spacing w:after="0" w:line="200" w:lineRule="exact"/>
              <w:ind w:left="-102" w:right="-108"/>
              <w:jc w:val="center"/>
              <w:rPr>
                <w:rFonts w:ascii="Times New Roman" w:hAnsi="Times New Roman"/>
                <w:bCs/>
                <w:iCs/>
                <w:color w:val="000000"/>
                <w:sz w:val="18"/>
                <w:szCs w:val="18"/>
              </w:rPr>
            </w:pPr>
            <w:r w:rsidRPr="000C2C2B">
              <w:rPr>
                <w:rFonts w:ascii="Times New Roman" w:hAnsi="Times New Roman"/>
                <w:b/>
                <w:bCs/>
                <w:iCs/>
                <w:color w:val="000000"/>
                <w:sz w:val="18"/>
                <w:szCs w:val="18"/>
              </w:rPr>
              <w:t xml:space="preserve">Indicative co-financing, ($) </w:t>
            </w:r>
          </w:p>
        </w:tc>
      </w:tr>
      <w:tr w:rsidR="00A9399A" w:rsidRPr="000C2C2B" w:rsidTr="002411CC">
        <w:trPr>
          <w:trHeight w:val="314"/>
        </w:trPr>
        <w:tc>
          <w:tcPr>
            <w:tcW w:w="1170" w:type="dxa"/>
            <w:shd w:val="clear" w:color="auto" w:fill="FFFFFF"/>
          </w:tcPr>
          <w:p w:rsidR="00A9399A" w:rsidRPr="000C2C2B" w:rsidRDefault="00A9399A" w:rsidP="00683F8A">
            <w:pPr>
              <w:autoSpaceDE w:val="0"/>
              <w:autoSpaceDN w:val="0"/>
              <w:spacing w:after="0" w:line="240" w:lineRule="auto"/>
              <w:rPr>
                <w:rFonts w:ascii="Times New Roman" w:hAnsi="Times New Roman"/>
                <w:sz w:val="18"/>
                <w:szCs w:val="18"/>
              </w:rPr>
            </w:pPr>
            <w:r w:rsidRPr="000C2C2B">
              <w:rPr>
                <w:rFonts w:ascii="Times New Roman" w:hAnsi="Times New Roman"/>
                <w:b/>
                <w:sz w:val="18"/>
                <w:szCs w:val="18"/>
              </w:rPr>
              <w:t>Component 1</w:t>
            </w:r>
            <w:r w:rsidRPr="000C2C2B">
              <w:rPr>
                <w:rFonts w:ascii="Times New Roman" w:hAnsi="Times New Roman"/>
                <w:sz w:val="18"/>
                <w:szCs w:val="18"/>
              </w:rPr>
              <w:t xml:space="preserve">. Landscape approach to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management prepared for at the national policy level and implemented at the </w:t>
            </w:r>
            <w:proofErr w:type="spellStart"/>
            <w:r w:rsidRPr="000C2C2B">
              <w:rPr>
                <w:rFonts w:ascii="Times New Roman" w:hAnsi="Times New Roman"/>
                <w:sz w:val="18"/>
                <w:szCs w:val="18"/>
              </w:rPr>
              <w:t>Poozerie</w:t>
            </w:r>
            <w:proofErr w:type="spellEnd"/>
            <w:r w:rsidRPr="000C2C2B">
              <w:rPr>
                <w:rFonts w:ascii="Times New Roman" w:hAnsi="Times New Roman"/>
                <w:sz w:val="18"/>
                <w:szCs w:val="18"/>
              </w:rPr>
              <w:t xml:space="preserve"> landscape</w:t>
            </w:r>
          </w:p>
        </w:tc>
        <w:tc>
          <w:tcPr>
            <w:tcW w:w="450" w:type="dxa"/>
            <w:shd w:val="clear" w:color="auto" w:fill="FFFFFF"/>
          </w:tcPr>
          <w:p w:rsidR="00A9399A" w:rsidRPr="000C2C2B" w:rsidRDefault="00A9399A" w:rsidP="003D1A61">
            <w:pPr>
              <w:spacing w:after="0" w:line="240" w:lineRule="auto"/>
              <w:ind w:left="-108" w:right="-108"/>
              <w:jc w:val="center"/>
              <w:rPr>
                <w:rFonts w:ascii="Times New Roman" w:hAnsi="Times New Roman"/>
                <w:sz w:val="18"/>
                <w:szCs w:val="18"/>
              </w:rPr>
            </w:pPr>
            <w:r w:rsidRPr="000C2C2B">
              <w:rPr>
                <w:rFonts w:ascii="Times New Roman" w:hAnsi="Times New Roman"/>
                <w:sz w:val="18"/>
                <w:szCs w:val="18"/>
              </w:rPr>
              <w:t>TA</w:t>
            </w:r>
          </w:p>
        </w:tc>
        <w:tc>
          <w:tcPr>
            <w:tcW w:w="2790" w:type="dxa"/>
            <w:shd w:val="clear" w:color="auto" w:fill="FFFFFF"/>
          </w:tcPr>
          <w:p w:rsidR="00A9399A" w:rsidRPr="000C2C2B" w:rsidRDefault="00A9399A" w:rsidP="00683F8A">
            <w:pPr>
              <w:spacing w:after="80" w:line="240" w:lineRule="auto"/>
              <w:rPr>
                <w:rFonts w:ascii="Times New Roman" w:hAnsi="Times New Roman"/>
                <w:sz w:val="18"/>
                <w:szCs w:val="18"/>
              </w:rPr>
            </w:pPr>
            <w:r w:rsidRPr="000C2C2B">
              <w:rPr>
                <w:rFonts w:ascii="Times New Roman" w:hAnsi="Times New Roman"/>
                <w:b/>
                <w:sz w:val="18"/>
                <w:szCs w:val="18"/>
              </w:rPr>
              <w:t>Outcome 1.1.</w:t>
            </w:r>
            <w:r w:rsidRPr="000C2C2B">
              <w:rPr>
                <w:rFonts w:ascii="Times New Roman" w:hAnsi="Times New Roman"/>
                <w:sz w:val="18"/>
                <w:szCs w:val="18"/>
              </w:rPr>
              <w:t xml:space="preserve"> Policy framework for the management of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w:t>
            </w:r>
            <w:r w:rsidRPr="000C2C2B">
              <w:rPr>
                <w:rFonts w:ascii="Times New Roman" w:hAnsi="Times New Roman"/>
                <w:i/>
                <w:iCs/>
                <w:sz w:val="18"/>
                <w:szCs w:val="18"/>
              </w:rPr>
              <w:t xml:space="preserve"> National </w:t>
            </w:r>
            <w:proofErr w:type="spellStart"/>
            <w:r w:rsidRPr="000C2C2B">
              <w:rPr>
                <w:rFonts w:ascii="Times New Roman" w:hAnsi="Times New Roman"/>
                <w:i/>
                <w:iCs/>
                <w:sz w:val="18"/>
                <w:szCs w:val="18"/>
              </w:rPr>
              <w:t>Peatland</w:t>
            </w:r>
            <w:proofErr w:type="spellEnd"/>
            <w:r w:rsidRPr="000C2C2B">
              <w:rPr>
                <w:rFonts w:ascii="Times New Roman" w:hAnsi="Times New Roman"/>
                <w:i/>
                <w:iCs/>
                <w:sz w:val="18"/>
                <w:szCs w:val="18"/>
              </w:rPr>
              <w:t xml:space="preserve"> Strategy and Action Plan</w:t>
            </w:r>
            <w:r w:rsidRPr="000C2C2B">
              <w:rPr>
                <w:rFonts w:ascii="Times New Roman" w:hAnsi="Times New Roman"/>
                <w:sz w:val="18"/>
                <w:szCs w:val="18"/>
              </w:rPr>
              <w:t xml:space="preserve"> (NPSAP) approved by Government, which adopts a landscape approach to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management to address threats at landscape level; &amp; stipulates ecologically optimal management regimes for all </w:t>
            </w:r>
            <w:proofErr w:type="spellStart"/>
            <w:r w:rsidRPr="000C2C2B">
              <w:rPr>
                <w:rFonts w:ascii="Times New Roman" w:hAnsi="Times New Roman"/>
                <w:sz w:val="18"/>
                <w:szCs w:val="18"/>
              </w:rPr>
              <w:t>peatland</w:t>
            </w:r>
            <w:proofErr w:type="spellEnd"/>
            <w:r w:rsidRPr="000C2C2B">
              <w:rPr>
                <w:rFonts w:ascii="Times New Roman" w:hAnsi="Times New Roman"/>
                <w:sz w:val="18"/>
                <w:szCs w:val="18"/>
              </w:rPr>
              <w:t xml:space="preserve"> landscapes; &amp; defines institutional roles for planning, financing, and management of </w:t>
            </w:r>
            <w:proofErr w:type="spellStart"/>
            <w:r w:rsidRPr="000C2C2B">
              <w:rPr>
                <w:rFonts w:ascii="Times New Roman" w:hAnsi="Times New Roman"/>
                <w:sz w:val="18"/>
                <w:szCs w:val="18"/>
              </w:rPr>
              <w:t>peatland</w:t>
            </w:r>
            <w:proofErr w:type="spellEnd"/>
            <w:r w:rsidRPr="000C2C2B">
              <w:rPr>
                <w:rFonts w:ascii="Times New Roman" w:hAnsi="Times New Roman"/>
                <w:sz w:val="18"/>
                <w:szCs w:val="18"/>
              </w:rPr>
              <w:t xml:space="preserve"> landscapes</w:t>
            </w: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b/>
                <w:sz w:val="18"/>
                <w:szCs w:val="18"/>
              </w:rPr>
            </w:pPr>
          </w:p>
          <w:p w:rsidR="00A9399A" w:rsidRPr="000C2C2B" w:rsidRDefault="00A9399A" w:rsidP="00FD06FA">
            <w:pPr>
              <w:spacing w:after="80" w:line="240" w:lineRule="auto"/>
              <w:rPr>
                <w:rFonts w:ascii="Times New Roman" w:hAnsi="Times New Roman"/>
                <w:sz w:val="18"/>
                <w:szCs w:val="18"/>
              </w:rPr>
            </w:pPr>
            <w:r w:rsidRPr="000C2C2B">
              <w:rPr>
                <w:rFonts w:ascii="Times New Roman" w:hAnsi="Times New Roman"/>
                <w:b/>
                <w:sz w:val="18"/>
                <w:szCs w:val="18"/>
              </w:rPr>
              <w:t>Outcome 1.2.</w:t>
            </w:r>
            <w:r w:rsidRPr="000C2C2B">
              <w:rPr>
                <w:rFonts w:ascii="Times New Roman" w:hAnsi="Times New Roman"/>
                <w:sz w:val="18"/>
                <w:szCs w:val="18"/>
              </w:rPr>
              <w:t xml:space="preserve"> Landscape approach to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conservation and management piloted in the </w:t>
            </w:r>
            <w:proofErr w:type="spellStart"/>
            <w:r w:rsidRPr="000C2C2B">
              <w:rPr>
                <w:rFonts w:ascii="Times New Roman" w:hAnsi="Times New Roman"/>
                <w:sz w:val="18"/>
                <w:szCs w:val="18"/>
              </w:rPr>
              <w:t>Poozerie</w:t>
            </w:r>
            <w:proofErr w:type="spellEnd"/>
            <w:r w:rsidRPr="000C2C2B">
              <w:rPr>
                <w:rFonts w:ascii="Times New Roman" w:hAnsi="Times New Roman"/>
                <w:sz w:val="18"/>
                <w:szCs w:val="18"/>
              </w:rPr>
              <w:t xml:space="preserve"> landscape (0.5 </w:t>
            </w:r>
            <w:proofErr w:type="spellStart"/>
            <w:r w:rsidRPr="000C2C2B">
              <w:rPr>
                <w:rFonts w:ascii="Times New Roman" w:hAnsi="Times New Roman"/>
                <w:sz w:val="18"/>
                <w:szCs w:val="18"/>
              </w:rPr>
              <w:t>mln</w:t>
            </w:r>
            <w:proofErr w:type="spellEnd"/>
            <w:r w:rsidRPr="000C2C2B">
              <w:rPr>
                <w:rFonts w:ascii="Times New Roman" w:hAnsi="Times New Roman"/>
                <w:sz w:val="18"/>
                <w:szCs w:val="18"/>
              </w:rPr>
              <w:t xml:space="preserve"> ha).</w:t>
            </w:r>
          </w:p>
        </w:tc>
        <w:tc>
          <w:tcPr>
            <w:tcW w:w="4680" w:type="dxa"/>
            <w:shd w:val="clear" w:color="auto" w:fill="FFFFFF"/>
          </w:tcPr>
          <w:p w:rsidR="00A9399A" w:rsidRPr="000C2C2B" w:rsidRDefault="00A9399A" w:rsidP="00B24822">
            <w:pPr>
              <w:pStyle w:val="B"/>
              <w:spacing w:before="0" w:after="80"/>
            </w:pPr>
            <w:r w:rsidRPr="000C2C2B">
              <w:rPr>
                <w:b/>
                <w:i/>
              </w:rPr>
              <w:lastRenderedPageBreak/>
              <w:t>Output 1.1.1.</w:t>
            </w:r>
            <w:r w:rsidRPr="000C2C2B">
              <w:t xml:space="preserve"> Cross-</w:t>
            </w:r>
            <w:proofErr w:type="spellStart"/>
            <w:r w:rsidRPr="000C2C2B">
              <w:t>sectoral</w:t>
            </w:r>
            <w:proofErr w:type="spellEnd"/>
            <w:r w:rsidRPr="000C2C2B">
              <w:t xml:space="preserve"> Working Group (WG) set up incl. key stakeholders from state and non-government sectors. Capacities of stakeholders built via establishment of working long-term partnerships with renowned </w:t>
            </w:r>
            <w:proofErr w:type="spellStart"/>
            <w:r w:rsidRPr="000C2C2B">
              <w:t>peatland</w:t>
            </w:r>
            <w:proofErr w:type="spellEnd"/>
            <w:r w:rsidRPr="000C2C2B">
              <w:t xml:space="preserve"> international expert organizations (Wetlands International and  International Mire Conservation Group), who will: (a) conduct a series of capacity building workshops at the beginning, and (b) will peer-review the Outputs of the WG.</w:t>
            </w:r>
          </w:p>
          <w:p w:rsidR="00A9399A" w:rsidRPr="000C2C2B" w:rsidRDefault="00A9399A" w:rsidP="00B24822">
            <w:pPr>
              <w:pStyle w:val="B"/>
              <w:spacing w:before="0" w:after="80"/>
            </w:pPr>
            <w:r w:rsidRPr="000C2C2B">
              <w:rPr>
                <w:b/>
                <w:i/>
              </w:rPr>
              <w:t>Outcome 1.1.2.</w:t>
            </w:r>
            <w:r w:rsidRPr="000C2C2B">
              <w:t xml:space="preserve"> Specific criteria and methodologies for assessment of </w:t>
            </w:r>
            <w:proofErr w:type="spellStart"/>
            <w:r w:rsidRPr="000C2C2B">
              <w:t>peatland</w:t>
            </w:r>
            <w:proofErr w:type="spellEnd"/>
            <w:r w:rsidRPr="000C2C2B">
              <w:t xml:space="preserve"> state, functions and services (incl. economic potential, habitat support, resilience capacity, carbon sequestration, &amp; soil quality maintenance) developed and approved and applied in the subsequent comprehensive Inventory of </w:t>
            </w:r>
            <w:proofErr w:type="spellStart"/>
            <w:r w:rsidRPr="000C2C2B">
              <w:t>peatlands</w:t>
            </w:r>
            <w:proofErr w:type="spellEnd"/>
            <w:r w:rsidRPr="000C2C2B">
              <w:t xml:space="preserve"> to be undertaken.</w:t>
            </w:r>
          </w:p>
          <w:p w:rsidR="00A9399A" w:rsidRPr="000C2C2B" w:rsidRDefault="00A9399A" w:rsidP="00BD2E2A">
            <w:pPr>
              <w:pStyle w:val="B"/>
              <w:spacing w:before="0" w:after="80"/>
            </w:pPr>
            <w:r w:rsidRPr="000C2C2B">
              <w:rPr>
                <w:b/>
                <w:i/>
              </w:rPr>
              <w:t>Output 1.1.3.</w:t>
            </w:r>
            <w:r w:rsidRPr="000C2C2B">
              <w:t xml:space="preserve"> A comprehensive inventory and database of </w:t>
            </w:r>
            <w:proofErr w:type="spellStart"/>
            <w:r w:rsidRPr="000C2C2B">
              <w:t>peatlands</w:t>
            </w:r>
            <w:proofErr w:type="spellEnd"/>
            <w:r w:rsidRPr="000C2C2B">
              <w:t xml:space="preserve"> completed as an important input for the Strategy. The inventory will cover all formerly and currently used </w:t>
            </w:r>
            <w:proofErr w:type="spellStart"/>
            <w:r w:rsidRPr="000C2C2B">
              <w:t>peatlands</w:t>
            </w:r>
            <w:proofErr w:type="spellEnd"/>
            <w:r w:rsidRPr="000C2C2B">
              <w:t xml:space="preserve"> in agriculture, forestry, mining, as well as protected areas. The funding from SFM will exclusively cover work on forest </w:t>
            </w:r>
            <w:proofErr w:type="spellStart"/>
            <w:r w:rsidRPr="000C2C2B">
              <w:t>peatlands</w:t>
            </w:r>
            <w:proofErr w:type="spellEnd"/>
            <w:r w:rsidRPr="000C2C2B">
              <w:t xml:space="preserve">, not agricultural </w:t>
            </w:r>
            <w:proofErr w:type="spellStart"/>
            <w:r w:rsidRPr="000C2C2B">
              <w:t>peatlands</w:t>
            </w:r>
            <w:proofErr w:type="spellEnd"/>
            <w:r w:rsidRPr="000C2C2B">
              <w:t>.</w:t>
            </w:r>
          </w:p>
          <w:p w:rsidR="00A9399A" w:rsidRPr="000C2C2B" w:rsidRDefault="00A9399A" w:rsidP="00BD2E2A">
            <w:pPr>
              <w:pStyle w:val="B"/>
              <w:spacing w:before="0" w:after="80"/>
            </w:pPr>
            <w:r w:rsidRPr="000C2C2B">
              <w:rPr>
                <w:b/>
                <w:i/>
              </w:rPr>
              <w:t>Output 1.1.4</w:t>
            </w:r>
            <w:r w:rsidRPr="000C2C2B">
              <w:rPr>
                <w:i/>
              </w:rPr>
              <w:t>.</w:t>
            </w:r>
            <w:r w:rsidRPr="000C2C2B">
              <w:t xml:space="preserve"> A procedure for determining best </w:t>
            </w:r>
            <w:proofErr w:type="spellStart"/>
            <w:r w:rsidRPr="000C2C2B">
              <w:t>peatland</w:t>
            </w:r>
            <w:proofErr w:type="spellEnd"/>
            <w:r w:rsidRPr="000C2C2B">
              <w:t xml:space="preserve"> use scenarios based on an analysis of its state, functions and services developed and adopted by the Cross-</w:t>
            </w:r>
            <w:proofErr w:type="spellStart"/>
            <w:r w:rsidRPr="000C2C2B">
              <w:t>Sectoral</w:t>
            </w:r>
            <w:proofErr w:type="spellEnd"/>
            <w:r w:rsidRPr="000C2C2B">
              <w:t xml:space="preserve"> Working group. The procedure will be based on the analysis of all economic and ecological strengths, weaknesses, opportunities and threats for each </w:t>
            </w:r>
            <w:proofErr w:type="spellStart"/>
            <w:r w:rsidRPr="000C2C2B">
              <w:t>peatland</w:t>
            </w:r>
            <w:proofErr w:type="spellEnd"/>
            <w:r w:rsidRPr="000C2C2B">
              <w:t xml:space="preserve"> included in the Inventory.</w:t>
            </w:r>
          </w:p>
          <w:p w:rsidR="00A9399A" w:rsidRPr="000C2C2B" w:rsidRDefault="00A9399A" w:rsidP="00B24822">
            <w:pPr>
              <w:pStyle w:val="B"/>
              <w:spacing w:before="0" w:after="80"/>
            </w:pPr>
            <w:r w:rsidRPr="000C2C2B">
              <w:rPr>
                <w:b/>
                <w:i/>
              </w:rPr>
              <w:t>Output 1.1.5.</w:t>
            </w:r>
            <w:r w:rsidRPr="000C2C2B">
              <w:t xml:space="preserve"> Based on the previous output, draft </w:t>
            </w:r>
            <w:r w:rsidRPr="000C2C2B">
              <w:rPr>
                <w:i/>
              </w:rPr>
              <w:t xml:space="preserve">National </w:t>
            </w:r>
            <w:r w:rsidRPr="000C2C2B">
              <w:rPr>
                <w:i/>
              </w:rPr>
              <w:lastRenderedPageBreak/>
              <w:t xml:space="preserve">Strategy and Action Plan for </w:t>
            </w:r>
            <w:proofErr w:type="spellStart"/>
            <w:r w:rsidRPr="000C2C2B">
              <w:rPr>
                <w:i/>
              </w:rPr>
              <w:t>Peatlands</w:t>
            </w:r>
            <w:proofErr w:type="spellEnd"/>
            <w:r w:rsidRPr="000C2C2B">
              <w:rPr>
                <w:i/>
              </w:rPr>
              <w:t xml:space="preserve"> </w:t>
            </w:r>
            <w:r w:rsidRPr="000C2C2B">
              <w:t>will be designed. It will undergo multiple public consultations, including with non-government communities. After consultations, it will be submitted for adoption by the Government. Important annexes to The NPSAP will include:</w:t>
            </w:r>
          </w:p>
          <w:p w:rsidR="00A9399A" w:rsidRPr="000C2C2B" w:rsidRDefault="00A9399A" w:rsidP="000478FD">
            <w:pPr>
              <w:pStyle w:val="B"/>
              <w:numPr>
                <w:ilvl w:val="2"/>
                <w:numId w:val="7"/>
              </w:numPr>
              <w:spacing w:before="0" w:after="80"/>
              <w:ind w:left="185" w:hanging="180"/>
            </w:pPr>
            <w:r w:rsidRPr="000C2C2B">
              <w:t>Upgrade of the agricultural soil classification system using up-to-date assessment of soil degradation and carbon fluxes; and</w:t>
            </w:r>
          </w:p>
          <w:p w:rsidR="00A9399A" w:rsidRPr="000C2C2B" w:rsidRDefault="00A9399A" w:rsidP="000478FD">
            <w:pPr>
              <w:pStyle w:val="B"/>
              <w:numPr>
                <w:ilvl w:val="2"/>
                <w:numId w:val="7"/>
              </w:numPr>
              <w:spacing w:before="0" w:after="80"/>
              <w:ind w:left="185" w:hanging="180"/>
            </w:pPr>
            <w:r w:rsidRPr="000C2C2B">
              <w:t xml:space="preserve">Biodiversity and soil productivity standards adopted </w:t>
            </w:r>
            <w:proofErr w:type="gramStart"/>
            <w:r w:rsidRPr="000C2C2B">
              <w:t>for  re</w:t>
            </w:r>
            <w:proofErr w:type="gramEnd"/>
            <w:r w:rsidRPr="000C2C2B">
              <w:t xml:space="preserve">-construction of drainage facilities in agricultural and forest </w:t>
            </w:r>
            <w:proofErr w:type="spellStart"/>
            <w:r w:rsidRPr="000C2C2B">
              <w:t>peatlands</w:t>
            </w:r>
            <w:proofErr w:type="spellEnd"/>
            <w:r w:rsidRPr="000C2C2B">
              <w:t xml:space="preserve">, to prevent habitat degradation and wind erosion. </w:t>
            </w:r>
          </w:p>
          <w:p w:rsidR="00A9399A" w:rsidRPr="000C2C2B" w:rsidRDefault="00A9399A" w:rsidP="009352C3">
            <w:pPr>
              <w:pStyle w:val="B"/>
              <w:spacing w:before="0" w:after="80"/>
              <w:ind w:left="5"/>
            </w:pPr>
          </w:p>
          <w:p w:rsidR="00A9399A" w:rsidRPr="000C2C2B" w:rsidRDefault="00A9399A" w:rsidP="009352C3">
            <w:pPr>
              <w:pStyle w:val="B"/>
              <w:spacing w:before="0" w:after="80"/>
            </w:pPr>
            <w:r w:rsidRPr="000C2C2B">
              <w:rPr>
                <w:b/>
                <w:i/>
                <w:iCs/>
              </w:rPr>
              <w:t>Output 1.2.1.</w:t>
            </w:r>
            <w:r w:rsidRPr="000C2C2B">
              <w:rPr>
                <w:i/>
                <w:iCs/>
              </w:rPr>
              <w:t xml:space="preserve"> Core conservation areas created at </w:t>
            </w:r>
            <w:proofErr w:type="spellStart"/>
            <w:r w:rsidRPr="000C2C2B">
              <w:rPr>
                <w:i/>
                <w:iCs/>
              </w:rPr>
              <w:t>peatlands</w:t>
            </w:r>
            <w:proofErr w:type="spellEnd"/>
            <w:r w:rsidRPr="000C2C2B">
              <w:rPr>
                <w:iCs/>
              </w:rPr>
              <w:t xml:space="preserve">. Strengthened effectiveness of existing and establishment of </w:t>
            </w:r>
            <w:r w:rsidRPr="000C2C2B">
              <w:t>new protected areas: feasibility studies completed; management units and public councils set up and capacitated to undertake planning and management; conservation plans drawn up and set for implementation; alternative income generation activities promoted (cranberry, mushroom picking amateur fishing</w:t>
            </w:r>
            <w:r w:rsidRPr="000C2C2B">
              <w:rPr>
                <w:rStyle w:val="FootnoteReference"/>
              </w:rPr>
              <w:footnoteReference w:customMarkFollows="1" w:id="1"/>
              <w:t>[2]</w:t>
            </w:r>
            <w:r w:rsidRPr="000C2C2B">
              <w:t>);</w:t>
            </w:r>
          </w:p>
          <w:p w:rsidR="00A9399A" w:rsidRPr="000C2C2B" w:rsidRDefault="00A9399A" w:rsidP="00390AAB">
            <w:pPr>
              <w:pStyle w:val="B"/>
              <w:spacing w:before="0" w:after="80"/>
            </w:pPr>
            <w:r w:rsidRPr="000C2C2B">
              <w:rPr>
                <w:b/>
                <w:i/>
                <w:iCs/>
              </w:rPr>
              <w:t>Output 1.2.2.</w:t>
            </w:r>
            <w:r w:rsidRPr="000C2C2B">
              <w:rPr>
                <w:i/>
                <w:iCs/>
              </w:rPr>
              <w:t xml:space="preserve"> Buffer zones and corridors delineated. </w:t>
            </w:r>
            <w:r w:rsidRPr="000C2C2B">
              <w:t xml:space="preserve">Land use restrictions adopted by local authorities, resulting in reduced wind erosion, higher retention of organic content in soil, minimized loss of habitat of wetland bird species [nesting places, and spawning grounds]. </w:t>
            </w:r>
          </w:p>
        </w:tc>
        <w:tc>
          <w:tcPr>
            <w:tcW w:w="1350" w:type="dxa"/>
            <w:shd w:val="clear" w:color="auto" w:fill="FFFFFF"/>
          </w:tcPr>
          <w:p w:rsidR="00A9399A" w:rsidRPr="000C2C2B" w:rsidRDefault="00A9399A" w:rsidP="00B24822">
            <w:pPr>
              <w:spacing w:after="0" w:line="240" w:lineRule="auto"/>
              <w:jc w:val="right"/>
              <w:rPr>
                <w:rFonts w:ascii="Times New Roman" w:hAnsi="Times New Roman"/>
                <w:sz w:val="18"/>
                <w:szCs w:val="18"/>
              </w:rPr>
            </w:pPr>
            <w:r w:rsidRPr="000C2C2B">
              <w:rPr>
                <w:rFonts w:ascii="Times New Roman" w:hAnsi="Times New Roman"/>
                <w:sz w:val="18"/>
                <w:szCs w:val="18"/>
              </w:rPr>
              <w:lastRenderedPageBreak/>
              <w:t>LD: 241,684</w:t>
            </w:r>
          </w:p>
          <w:p w:rsidR="00A9399A" w:rsidRPr="000C2C2B" w:rsidRDefault="00A9399A" w:rsidP="00F066F0">
            <w:pPr>
              <w:spacing w:after="0" w:line="240" w:lineRule="auto"/>
              <w:jc w:val="right"/>
              <w:rPr>
                <w:rFonts w:ascii="Times New Roman" w:hAnsi="Times New Roman"/>
                <w:sz w:val="18"/>
                <w:szCs w:val="18"/>
              </w:rPr>
            </w:pPr>
            <w:r w:rsidRPr="000C2C2B">
              <w:rPr>
                <w:rFonts w:ascii="Times New Roman" w:hAnsi="Times New Roman"/>
                <w:sz w:val="18"/>
                <w:szCs w:val="18"/>
              </w:rPr>
              <w:t>BD: 1,055,056</w:t>
            </w:r>
          </w:p>
          <w:p w:rsidR="00A9399A" w:rsidRPr="000C2C2B" w:rsidRDefault="00A9399A" w:rsidP="00070D90">
            <w:pPr>
              <w:spacing w:after="0" w:line="240" w:lineRule="auto"/>
              <w:jc w:val="right"/>
              <w:rPr>
                <w:rFonts w:ascii="Times New Roman" w:hAnsi="Times New Roman"/>
                <w:sz w:val="18"/>
                <w:szCs w:val="18"/>
              </w:rPr>
            </w:pPr>
            <w:r w:rsidRPr="000C2C2B">
              <w:rPr>
                <w:rFonts w:ascii="Times New Roman" w:hAnsi="Times New Roman"/>
                <w:sz w:val="18"/>
                <w:szCs w:val="18"/>
              </w:rPr>
              <w:t>SFM:316,492</w:t>
            </w:r>
          </w:p>
          <w:p w:rsidR="00A9399A" w:rsidRPr="000C2C2B" w:rsidRDefault="00A9399A" w:rsidP="00070D90">
            <w:pPr>
              <w:spacing w:after="0" w:line="240" w:lineRule="auto"/>
              <w:jc w:val="right"/>
              <w:rPr>
                <w:rFonts w:ascii="Times New Roman" w:hAnsi="Times New Roman"/>
                <w:sz w:val="18"/>
                <w:szCs w:val="18"/>
              </w:rPr>
            </w:pPr>
          </w:p>
        </w:tc>
        <w:tc>
          <w:tcPr>
            <w:tcW w:w="1080" w:type="dxa"/>
            <w:shd w:val="clear" w:color="auto" w:fill="FFFFFF"/>
          </w:tcPr>
          <w:p w:rsidR="00A9399A" w:rsidRPr="000C2C2B" w:rsidRDefault="00A9399A" w:rsidP="00B24822">
            <w:pPr>
              <w:spacing w:after="0" w:line="240" w:lineRule="auto"/>
              <w:jc w:val="right"/>
              <w:rPr>
                <w:rFonts w:ascii="Times New Roman" w:hAnsi="Times New Roman"/>
                <w:sz w:val="18"/>
                <w:szCs w:val="18"/>
              </w:rPr>
            </w:pPr>
            <w:r w:rsidRPr="000C2C2B">
              <w:rPr>
                <w:rFonts w:ascii="Times New Roman" w:hAnsi="Times New Roman"/>
                <w:sz w:val="18"/>
                <w:szCs w:val="18"/>
              </w:rPr>
              <w:t>3,950,000</w:t>
            </w:r>
          </w:p>
        </w:tc>
      </w:tr>
      <w:tr w:rsidR="00A9399A" w:rsidRPr="000C2C2B" w:rsidTr="002411CC">
        <w:trPr>
          <w:trHeight w:val="584"/>
        </w:trPr>
        <w:tc>
          <w:tcPr>
            <w:tcW w:w="1170" w:type="dxa"/>
            <w:shd w:val="clear" w:color="auto" w:fill="FFFFFF"/>
          </w:tcPr>
          <w:p w:rsidR="00A9399A" w:rsidRPr="000C2C2B" w:rsidRDefault="00A9399A" w:rsidP="00B24822">
            <w:pPr>
              <w:spacing w:after="0" w:line="240" w:lineRule="auto"/>
              <w:rPr>
                <w:rFonts w:ascii="Times New Roman" w:hAnsi="Times New Roman"/>
                <w:sz w:val="18"/>
                <w:szCs w:val="18"/>
              </w:rPr>
            </w:pPr>
            <w:r w:rsidRPr="000C2C2B">
              <w:rPr>
                <w:rFonts w:ascii="Times New Roman" w:hAnsi="Times New Roman"/>
                <w:sz w:val="18"/>
                <w:szCs w:val="18"/>
              </w:rPr>
              <w:lastRenderedPageBreak/>
              <w:t xml:space="preserve">Component 2. Restoration of degraded farmland and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within landscapes</w:t>
            </w:r>
          </w:p>
        </w:tc>
        <w:tc>
          <w:tcPr>
            <w:tcW w:w="450" w:type="dxa"/>
            <w:shd w:val="clear" w:color="auto" w:fill="FFFFFF"/>
          </w:tcPr>
          <w:p w:rsidR="00A9399A" w:rsidRPr="000C2C2B" w:rsidRDefault="00A9399A" w:rsidP="003D1A61">
            <w:pPr>
              <w:spacing w:after="0" w:line="240" w:lineRule="auto"/>
              <w:ind w:left="-108" w:right="-108"/>
              <w:jc w:val="center"/>
              <w:rPr>
                <w:rFonts w:ascii="Times New Roman" w:hAnsi="Times New Roman"/>
                <w:sz w:val="18"/>
                <w:szCs w:val="18"/>
              </w:rPr>
            </w:pPr>
            <w:r w:rsidRPr="000C2C2B">
              <w:rPr>
                <w:rFonts w:ascii="Times New Roman" w:hAnsi="Times New Roman"/>
                <w:sz w:val="18"/>
                <w:szCs w:val="18"/>
              </w:rPr>
              <w:t>Inv</w:t>
            </w:r>
          </w:p>
        </w:tc>
        <w:tc>
          <w:tcPr>
            <w:tcW w:w="2790" w:type="dxa"/>
            <w:shd w:val="clear" w:color="auto" w:fill="FFFFFF"/>
          </w:tcPr>
          <w:p w:rsidR="00A9399A" w:rsidRPr="000C2C2B" w:rsidRDefault="00A9399A" w:rsidP="00040668">
            <w:pPr>
              <w:spacing w:after="80" w:line="240" w:lineRule="auto"/>
              <w:ind w:right="-108"/>
              <w:rPr>
                <w:rFonts w:ascii="Times New Roman" w:hAnsi="Times New Roman"/>
                <w:sz w:val="18"/>
                <w:szCs w:val="18"/>
              </w:rPr>
            </w:pPr>
            <w:r w:rsidRPr="000C2C2B">
              <w:rPr>
                <w:rFonts w:ascii="Times New Roman" w:hAnsi="Times New Roman"/>
                <w:b/>
                <w:sz w:val="18"/>
                <w:szCs w:val="18"/>
              </w:rPr>
              <w:t>Outcome 2.1.</w:t>
            </w:r>
            <w:r w:rsidRPr="000C2C2B">
              <w:rPr>
                <w:rFonts w:ascii="Times New Roman" w:hAnsi="Times New Roman"/>
                <w:sz w:val="18"/>
                <w:szCs w:val="18"/>
              </w:rPr>
              <w:t xml:space="preserve"> </w:t>
            </w:r>
            <w:r w:rsidRPr="000C2C2B">
              <w:rPr>
                <w:rFonts w:ascii="Times New Roman" w:hAnsi="Times New Roman"/>
                <w:iCs/>
                <w:sz w:val="18"/>
                <w:szCs w:val="18"/>
              </w:rPr>
              <w:t>Restoration project completed</w:t>
            </w:r>
            <w:r w:rsidRPr="000C2C2B">
              <w:rPr>
                <w:rFonts w:ascii="Times New Roman" w:hAnsi="Times New Roman"/>
                <w:sz w:val="18"/>
                <w:szCs w:val="18"/>
              </w:rPr>
              <w:t xml:space="preserve"> in </w:t>
            </w:r>
            <w:proofErr w:type="spellStart"/>
            <w:r w:rsidRPr="000C2C2B">
              <w:rPr>
                <w:rFonts w:ascii="Times New Roman" w:hAnsi="Times New Roman"/>
                <w:sz w:val="18"/>
                <w:szCs w:val="18"/>
              </w:rPr>
              <w:t>Poozerie</w:t>
            </w:r>
            <w:proofErr w:type="spellEnd"/>
            <w:r w:rsidRPr="000C2C2B">
              <w:rPr>
                <w:rFonts w:ascii="Times New Roman" w:hAnsi="Times New Roman"/>
                <w:sz w:val="18"/>
                <w:szCs w:val="18"/>
              </w:rPr>
              <w:t xml:space="preserve"> landscape (the same districts as in Component I), in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formerly used in agriculture: app. 3,000 ha of degraded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previously used in agriculture are restored.</w:t>
            </w: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sz w:val="18"/>
                <w:szCs w:val="18"/>
              </w:rPr>
            </w:pPr>
            <w:r w:rsidRPr="000C2C2B">
              <w:rPr>
                <w:rFonts w:ascii="Times New Roman" w:hAnsi="Times New Roman"/>
                <w:b/>
                <w:sz w:val="18"/>
                <w:szCs w:val="18"/>
              </w:rPr>
              <w:t>Outcome 2.2.</w:t>
            </w:r>
            <w:r w:rsidRPr="000C2C2B">
              <w:rPr>
                <w:rFonts w:ascii="Times New Roman" w:hAnsi="Times New Roman"/>
                <w:sz w:val="18"/>
                <w:szCs w:val="18"/>
              </w:rPr>
              <w:t xml:space="preserve"> </w:t>
            </w:r>
            <w:r w:rsidRPr="000C2C2B">
              <w:rPr>
                <w:rFonts w:ascii="Times New Roman" w:hAnsi="Times New Roman"/>
                <w:iCs/>
                <w:sz w:val="18"/>
                <w:szCs w:val="18"/>
              </w:rPr>
              <w:t xml:space="preserve">Restoration projects completed in forest </w:t>
            </w:r>
            <w:proofErr w:type="spellStart"/>
            <w:r w:rsidRPr="000C2C2B">
              <w:rPr>
                <w:rFonts w:ascii="Times New Roman" w:hAnsi="Times New Roman"/>
                <w:iCs/>
                <w:sz w:val="18"/>
                <w:szCs w:val="18"/>
              </w:rPr>
              <w:t>peatlands</w:t>
            </w:r>
            <w:proofErr w:type="spellEnd"/>
            <w:r w:rsidRPr="000C2C2B">
              <w:rPr>
                <w:rFonts w:ascii="Times New Roman" w:hAnsi="Times New Roman"/>
                <w:iCs/>
                <w:sz w:val="18"/>
                <w:szCs w:val="18"/>
              </w:rPr>
              <w:t xml:space="preserve"> in </w:t>
            </w:r>
            <w:proofErr w:type="spellStart"/>
            <w:r w:rsidRPr="000C2C2B">
              <w:rPr>
                <w:rFonts w:ascii="Times New Roman" w:hAnsi="Times New Roman"/>
                <w:iCs/>
                <w:sz w:val="18"/>
                <w:szCs w:val="18"/>
              </w:rPr>
              <w:t>Poozerie</w:t>
            </w:r>
            <w:proofErr w:type="spellEnd"/>
            <w:r w:rsidRPr="000C2C2B">
              <w:rPr>
                <w:rFonts w:ascii="Times New Roman" w:hAnsi="Times New Roman"/>
                <w:iCs/>
                <w:sz w:val="18"/>
                <w:szCs w:val="18"/>
              </w:rPr>
              <w:t xml:space="preserve"> landscape: a</w:t>
            </w:r>
            <w:r w:rsidRPr="000C2C2B">
              <w:rPr>
                <w:rFonts w:ascii="Times New Roman" w:hAnsi="Times New Roman"/>
                <w:sz w:val="18"/>
                <w:szCs w:val="18"/>
              </w:rPr>
              <w:t xml:space="preserve">pp. 2,000 ha of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restored in the vicinity of protected areas (buffer zones).</w:t>
            </w: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b/>
                <w:sz w:val="18"/>
                <w:szCs w:val="18"/>
              </w:rPr>
            </w:pPr>
          </w:p>
          <w:p w:rsidR="00A9399A" w:rsidRPr="000C2C2B" w:rsidRDefault="00A9399A" w:rsidP="00FD06FA">
            <w:pPr>
              <w:spacing w:after="80" w:line="240" w:lineRule="auto"/>
              <w:ind w:right="-108"/>
              <w:rPr>
                <w:rFonts w:ascii="Times New Roman" w:hAnsi="Times New Roman"/>
                <w:sz w:val="18"/>
                <w:szCs w:val="18"/>
              </w:rPr>
            </w:pPr>
            <w:r w:rsidRPr="000C2C2B">
              <w:rPr>
                <w:rFonts w:ascii="Times New Roman" w:hAnsi="Times New Roman"/>
                <w:b/>
                <w:sz w:val="18"/>
                <w:szCs w:val="18"/>
              </w:rPr>
              <w:lastRenderedPageBreak/>
              <w:t>Outcome 2.3</w:t>
            </w:r>
            <w:r w:rsidRPr="000C2C2B">
              <w:rPr>
                <w:rFonts w:ascii="Times New Roman" w:hAnsi="Times New Roman"/>
                <w:sz w:val="18"/>
                <w:szCs w:val="18"/>
              </w:rPr>
              <w:t xml:space="preserve">. </w:t>
            </w:r>
            <w:r w:rsidRPr="000C2C2B">
              <w:rPr>
                <w:rFonts w:ascii="Times New Roman" w:hAnsi="Times New Roman"/>
                <w:iCs/>
                <w:sz w:val="18"/>
                <w:szCs w:val="18"/>
              </w:rPr>
              <w:t xml:space="preserve">Readiness of government for implementation of carbon projects in agricultural and forest </w:t>
            </w:r>
            <w:proofErr w:type="spellStart"/>
            <w:r w:rsidRPr="000C2C2B">
              <w:rPr>
                <w:rFonts w:ascii="Times New Roman" w:hAnsi="Times New Roman"/>
                <w:iCs/>
                <w:sz w:val="18"/>
                <w:szCs w:val="18"/>
              </w:rPr>
              <w:t>peatlands</w:t>
            </w:r>
            <w:proofErr w:type="spellEnd"/>
            <w:r w:rsidRPr="000C2C2B">
              <w:rPr>
                <w:rFonts w:ascii="Times New Roman" w:hAnsi="Times New Roman"/>
                <w:iCs/>
                <w:sz w:val="18"/>
                <w:szCs w:val="18"/>
              </w:rPr>
              <w:t xml:space="preserve"> </w:t>
            </w:r>
            <w:proofErr w:type="gramStart"/>
            <w:r w:rsidRPr="000C2C2B">
              <w:rPr>
                <w:rFonts w:ascii="Times New Roman" w:hAnsi="Times New Roman"/>
                <w:iCs/>
                <w:sz w:val="18"/>
                <w:szCs w:val="18"/>
              </w:rPr>
              <w:t>raised</w:t>
            </w:r>
            <w:proofErr w:type="gramEnd"/>
            <w:r w:rsidRPr="000C2C2B">
              <w:rPr>
                <w:rFonts w:ascii="Times New Roman" w:hAnsi="Times New Roman"/>
                <w:iCs/>
                <w:sz w:val="18"/>
                <w:szCs w:val="18"/>
              </w:rPr>
              <w:t xml:space="preserve">. </w:t>
            </w:r>
          </w:p>
        </w:tc>
        <w:tc>
          <w:tcPr>
            <w:tcW w:w="4680" w:type="dxa"/>
            <w:shd w:val="clear" w:color="auto" w:fill="FFFFFF"/>
          </w:tcPr>
          <w:p w:rsidR="00A9399A" w:rsidRPr="000C2C2B" w:rsidRDefault="00A9399A" w:rsidP="00FA77B2">
            <w:pPr>
              <w:pStyle w:val="B"/>
              <w:spacing w:before="0" w:after="80"/>
            </w:pPr>
            <w:r w:rsidRPr="000C2C2B">
              <w:rPr>
                <w:b/>
                <w:i/>
                <w:iCs/>
              </w:rPr>
              <w:lastRenderedPageBreak/>
              <w:t>Output 2.1.1</w:t>
            </w:r>
            <w:r w:rsidRPr="000C2C2B">
              <w:rPr>
                <w:iCs/>
              </w:rPr>
              <w:t>.</w:t>
            </w:r>
            <w:r w:rsidRPr="000C2C2B">
              <w:t xml:space="preserve"> Soil and vegetation degradation and carbon fluxes assessed and management measures designed in full technical and scientific detail: spatial, temporal and carbon boundaries defined, carbon pools defined, historic emissions documented, methodological annex prepared, size of degradation and emissions under baseline fixed (CO2 and non-CO2), actual carbon stock assessed, carbon value derived. </w:t>
            </w:r>
          </w:p>
          <w:p w:rsidR="00A9399A" w:rsidRPr="000C2C2B" w:rsidRDefault="00A9399A" w:rsidP="00FA77B2">
            <w:pPr>
              <w:pStyle w:val="B"/>
              <w:spacing w:before="0" w:after="80"/>
              <w:rPr>
                <w:iCs/>
              </w:rPr>
            </w:pPr>
            <w:r w:rsidRPr="000C2C2B">
              <w:rPr>
                <w:b/>
                <w:i/>
              </w:rPr>
              <w:t>Output 2.1.2</w:t>
            </w:r>
            <w:r w:rsidRPr="000C2C2B">
              <w:t>. Soil management practices implemented to minimize soil degradation and carbon emissions</w:t>
            </w:r>
            <w:r w:rsidRPr="000C2C2B">
              <w:rPr>
                <w:rStyle w:val="FootnoteReference"/>
              </w:rPr>
              <w:footnoteReference w:customMarkFollows="1" w:id="2"/>
              <w:t>[3]</w:t>
            </w:r>
            <w:r w:rsidRPr="000C2C2B">
              <w:t>:</w:t>
            </w:r>
            <w:r w:rsidRPr="000C2C2B">
              <w:rPr>
                <w:iCs/>
              </w:rPr>
              <w:t xml:space="preserve"> modified crop rotation, withdrawal of arable lands and replacement by pastures and hay-fields; re-wetting of </w:t>
            </w:r>
            <w:proofErr w:type="spellStart"/>
            <w:r w:rsidRPr="000C2C2B">
              <w:rPr>
                <w:iCs/>
              </w:rPr>
              <w:t>peatland</w:t>
            </w:r>
            <w:proofErr w:type="spellEnd"/>
            <w:r w:rsidRPr="000C2C2B">
              <w:rPr>
                <w:iCs/>
              </w:rPr>
              <w:t xml:space="preserve"> parcels to prevent soil mineralization and fires; </w:t>
            </w:r>
          </w:p>
          <w:p w:rsidR="00A9399A" w:rsidRPr="000C2C2B" w:rsidRDefault="00A9399A" w:rsidP="00FA77B2">
            <w:pPr>
              <w:pStyle w:val="B"/>
              <w:spacing w:before="0" w:after="80"/>
            </w:pPr>
            <w:r w:rsidRPr="000C2C2B">
              <w:rPr>
                <w:b/>
                <w:i/>
                <w:iCs/>
              </w:rPr>
              <w:t>Output 2.1.3</w:t>
            </w:r>
            <w:r w:rsidRPr="000C2C2B">
              <w:rPr>
                <w:iCs/>
              </w:rPr>
              <w:t xml:space="preserve">. Restored </w:t>
            </w:r>
            <w:r w:rsidRPr="000C2C2B">
              <w:t>land re-classified as pastures or protected areas and transferred to a new owner where appropriate.</w:t>
            </w:r>
          </w:p>
          <w:p w:rsidR="00A9399A" w:rsidRPr="000C2C2B" w:rsidRDefault="00A9399A" w:rsidP="00390AAB">
            <w:pPr>
              <w:pStyle w:val="B"/>
              <w:spacing w:before="0" w:after="80"/>
              <w:rPr>
                <w:b/>
                <w:i/>
                <w:iCs/>
              </w:rPr>
            </w:pPr>
          </w:p>
          <w:p w:rsidR="00A9399A" w:rsidRPr="000C2C2B" w:rsidRDefault="00A9399A" w:rsidP="00390AAB">
            <w:pPr>
              <w:pStyle w:val="B"/>
              <w:spacing w:before="0" w:after="80"/>
              <w:rPr>
                <w:iCs/>
              </w:rPr>
            </w:pPr>
            <w:r w:rsidRPr="000C2C2B">
              <w:rPr>
                <w:b/>
                <w:i/>
                <w:iCs/>
              </w:rPr>
              <w:t>Output 2.2.1</w:t>
            </w:r>
            <w:r w:rsidRPr="000C2C2B">
              <w:rPr>
                <w:iCs/>
              </w:rPr>
              <w:t>. Carbon fluxes assessed and carbon management projects designed in detail (cf. Output 2.1.2).</w:t>
            </w:r>
          </w:p>
          <w:p w:rsidR="00A9399A" w:rsidRPr="000C2C2B" w:rsidRDefault="00A9399A" w:rsidP="00390AAB">
            <w:pPr>
              <w:pStyle w:val="B"/>
              <w:spacing w:before="0" w:after="80"/>
              <w:rPr>
                <w:iCs/>
              </w:rPr>
            </w:pPr>
            <w:r w:rsidRPr="000C2C2B">
              <w:rPr>
                <w:b/>
                <w:i/>
                <w:iCs/>
              </w:rPr>
              <w:t>Output 2.2.2</w:t>
            </w:r>
            <w:r w:rsidRPr="000C2C2B">
              <w:rPr>
                <w:iCs/>
              </w:rPr>
              <w:t xml:space="preserve">. Carbon management implemented: rewetting of degraded dry black-alder forests to restore hydrological regime; promotion of natural regeneration at forest </w:t>
            </w:r>
            <w:proofErr w:type="spellStart"/>
            <w:r w:rsidRPr="000C2C2B">
              <w:rPr>
                <w:iCs/>
              </w:rPr>
              <w:t>peatlands</w:t>
            </w:r>
            <w:proofErr w:type="spellEnd"/>
          </w:p>
          <w:p w:rsidR="00A9399A" w:rsidRPr="000C2C2B" w:rsidRDefault="00A9399A" w:rsidP="00390AAB">
            <w:pPr>
              <w:pStyle w:val="B"/>
              <w:spacing w:before="0" w:after="80"/>
            </w:pPr>
            <w:r w:rsidRPr="000C2C2B">
              <w:rPr>
                <w:b/>
                <w:i/>
                <w:iCs/>
              </w:rPr>
              <w:t>Output 2.2.3</w:t>
            </w:r>
            <w:r w:rsidRPr="000C2C2B">
              <w:rPr>
                <w:iCs/>
              </w:rPr>
              <w:t xml:space="preserve">. Restored </w:t>
            </w:r>
            <w:proofErr w:type="spellStart"/>
            <w:r w:rsidRPr="000C2C2B">
              <w:t>peatland</w:t>
            </w:r>
            <w:proofErr w:type="spellEnd"/>
            <w:r w:rsidRPr="000C2C2B">
              <w:t xml:space="preserve"> forests previously designated for logging will be withdrawn from logging, designated as conservation areas and hunting reserves, and registered as such in Land </w:t>
            </w:r>
            <w:proofErr w:type="spellStart"/>
            <w:r w:rsidRPr="000C2C2B">
              <w:t>Cadaster</w:t>
            </w:r>
            <w:proofErr w:type="spellEnd"/>
            <w:r w:rsidRPr="000C2C2B">
              <w:t xml:space="preserve"> ensuring permanence; </w:t>
            </w:r>
          </w:p>
          <w:p w:rsidR="00A9399A" w:rsidRPr="000C2C2B" w:rsidRDefault="00A9399A" w:rsidP="00390AAB">
            <w:pPr>
              <w:pStyle w:val="B"/>
              <w:spacing w:before="0" w:after="80"/>
            </w:pPr>
          </w:p>
          <w:p w:rsidR="00A9399A" w:rsidRPr="000C2C2B" w:rsidRDefault="00A9399A" w:rsidP="008B1CE4">
            <w:pPr>
              <w:pStyle w:val="B"/>
              <w:spacing w:before="0" w:after="80"/>
            </w:pPr>
            <w:r w:rsidRPr="000C2C2B">
              <w:rPr>
                <w:b/>
                <w:i/>
                <w:iCs/>
              </w:rPr>
              <w:t>Output 2.3.1</w:t>
            </w:r>
            <w:r w:rsidRPr="000C2C2B">
              <w:rPr>
                <w:iCs/>
              </w:rPr>
              <w:t xml:space="preserve">. The existing </w:t>
            </w:r>
            <w:proofErr w:type="spellStart"/>
            <w:r w:rsidRPr="000C2C2B">
              <w:rPr>
                <w:iCs/>
              </w:rPr>
              <w:t>peatland</w:t>
            </w:r>
            <w:proofErr w:type="spellEnd"/>
            <w:r w:rsidRPr="000C2C2B">
              <w:rPr>
                <w:iCs/>
              </w:rPr>
              <w:t xml:space="preserve"> </w:t>
            </w:r>
            <w:r w:rsidRPr="000C2C2B">
              <w:t xml:space="preserve">MRV (developed by the ICI project) will be adjusted to incorporate the protocols for previously unaccounted biotopes at open agricultural peat lands (see further details in the text on the MRV) and </w:t>
            </w:r>
            <w:proofErr w:type="spellStart"/>
            <w:r w:rsidRPr="000C2C2B">
              <w:t>operationalised</w:t>
            </w:r>
            <w:proofErr w:type="spellEnd"/>
            <w:r w:rsidRPr="000C2C2B">
              <w:t>. Field-based monitoring and measurements of GHG, water table, communities, using the vegetation-proxy method.</w:t>
            </w:r>
          </w:p>
          <w:p w:rsidR="00A9399A" w:rsidRPr="000C2C2B" w:rsidRDefault="00A9399A" w:rsidP="008B1CE4">
            <w:pPr>
              <w:pStyle w:val="B"/>
              <w:spacing w:before="0" w:after="80"/>
            </w:pPr>
            <w:r w:rsidRPr="000C2C2B">
              <w:rPr>
                <w:b/>
                <w:i/>
              </w:rPr>
              <w:t>Output 2.3.2</w:t>
            </w:r>
            <w:r w:rsidRPr="000C2C2B">
              <w:t xml:space="preserve">. The existing MRV will be improved to encompass forest </w:t>
            </w:r>
            <w:proofErr w:type="spellStart"/>
            <w:r w:rsidRPr="000C2C2B">
              <w:t>peatland</w:t>
            </w:r>
            <w:proofErr w:type="spellEnd"/>
            <w:r w:rsidRPr="000C2C2B">
              <w:t xml:space="preserve"> biotopes, and </w:t>
            </w:r>
            <w:proofErr w:type="spellStart"/>
            <w:r w:rsidRPr="000C2C2B">
              <w:t>operationalised</w:t>
            </w:r>
            <w:proofErr w:type="spellEnd"/>
            <w:r w:rsidRPr="000C2C2B">
              <w:t xml:space="preserve">. For forest </w:t>
            </w:r>
            <w:proofErr w:type="spellStart"/>
            <w:r w:rsidRPr="000C2C2B">
              <w:t>peatlands</w:t>
            </w:r>
            <w:proofErr w:type="spellEnd"/>
            <w:r w:rsidRPr="000C2C2B">
              <w:t xml:space="preserve"> the measurements will be based on a combination of vegetation-proxy and </w:t>
            </w:r>
            <w:proofErr w:type="spellStart"/>
            <w:r w:rsidRPr="000C2C2B">
              <w:t>Eddi</w:t>
            </w:r>
            <w:proofErr w:type="spellEnd"/>
            <w:r w:rsidRPr="000C2C2B">
              <w:t>-Covariance methods. [Laboratory equipment provided from co-financing; SFM funding mainly for national experts and travel will be used only for this Output of Outcome 2.3]</w:t>
            </w:r>
          </w:p>
          <w:p w:rsidR="00A9399A" w:rsidRPr="000C2C2B" w:rsidRDefault="00A9399A" w:rsidP="00390AAB">
            <w:pPr>
              <w:pStyle w:val="B"/>
              <w:spacing w:before="0" w:after="80"/>
              <w:rPr>
                <w:iCs/>
              </w:rPr>
            </w:pPr>
            <w:r w:rsidRPr="000C2C2B">
              <w:rPr>
                <w:b/>
                <w:i/>
                <w:iCs/>
              </w:rPr>
              <w:t>Output 2.3.3</w:t>
            </w:r>
            <w:r w:rsidRPr="000C2C2B">
              <w:rPr>
                <w:iCs/>
              </w:rPr>
              <w:t xml:space="preserve">. Results of measurements fed into </w:t>
            </w:r>
            <w:smartTag w:uri="urn:schemas-microsoft-com:office:smarttags" w:element="country-region">
              <w:r w:rsidRPr="000C2C2B">
                <w:rPr>
                  <w:iCs/>
                </w:rPr>
                <w:t>Belarus</w:t>
              </w:r>
            </w:smartTag>
            <w:r w:rsidRPr="000C2C2B">
              <w:rPr>
                <w:iCs/>
              </w:rPr>
              <w:t xml:space="preserve"> </w:t>
            </w:r>
            <w:proofErr w:type="spellStart"/>
            <w:r w:rsidRPr="000C2C2B">
              <w:rPr>
                <w:iCs/>
              </w:rPr>
              <w:t>peatlands</w:t>
            </w:r>
            <w:proofErr w:type="spellEnd"/>
            <w:r w:rsidRPr="000C2C2B">
              <w:rPr>
                <w:iCs/>
              </w:rPr>
              <w:t xml:space="preserve"> carbon trading mechanism [established under a parallel project funded by the German Government – please see notes in the text on Component 2 for further detail]. </w:t>
            </w:r>
          </w:p>
          <w:p w:rsidR="00A9399A" w:rsidRPr="000C2C2B" w:rsidRDefault="00A9399A" w:rsidP="00390AAB">
            <w:pPr>
              <w:pStyle w:val="B"/>
              <w:spacing w:before="0" w:after="80"/>
            </w:pPr>
            <w:r w:rsidRPr="000C2C2B">
              <w:rPr>
                <w:b/>
                <w:i/>
              </w:rPr>
              <w:t>Output 2.3.4</w:t>
            </w:r>
            <w:r w:rsidRPr="000C2C2B">
              <w:t xml:space="preserve">. Land-users capacitated to implement and maintain the new land-use regimes, and undertake monitoring and reporting on the state of soil and vegetation and carbon fluxes. </w:t>
            </w:r>
          </w:p>
        </w:tc>
        <w:tc>
          <w:tcPr>
            <w:tcW w:w="1350" w:type="dxa"/>
            <w:shd w:val="clear" w:color="auto" w:fill="FFFFFF"/>
          </w:tcPr>
          <w:p w:rsidR="00A9399A" w:rsidRPr="000C2C2B" w:rsidRDefault="00A9399A" w:rsidP="00B24822">
            <w:pPr>
              <w:spacing w:after="0" w:line="240" w:lineRule="auto"/>
              <w:jc w:val="right"/>
              <w:rPr>
                <w:rFonts w:ascii="Times New Roman" w:hAnsi="Times New Roman"/>
                <w:sz w:val="18"/>
                <w:szCs w:val="18"/>
              </w:rPr>
            </w:pPr>
            <w:r w:rsidRPr="000C2C2B">
              <w:rPr>
                <w:rFonts w:ascii="Times New Roman" w:hAnsi="Times New Roman"/>
                <w:sz w:val="18"/>
                <w:szCs w:val="18"/>
              </w:rPr>
              <w:lastRenderedPageBreak/>
              <w:t>CC: 571,596</w:t>
            </w:r>
          </w:p>
          <w:p w:rsidR="00A9399A" w:rsidRPr="000C2C2B" w:rsidRDefault="00A9399A" w:rsidP="00B24822">
            <w:pPr>
              <w:spacing w:after="0" w:line="240" w:lineRule="auto"/>
              <w:jc w:val="right"/>
              <w:rPr>
                <w:rFonts w:ascii="Times New Roman" w:hAnsi="Times New Roman"/>
                <w:sz w:val="18"/>
                <w:szCs w:val="18"/>
              </w:rPr>
            </w:pPr>
            <w:r w:rsidRPr="000C2C2B">
              <w:rPr>
                <w:rFonts w:ascii="Times New Roman" w:hAnsi="Times New Roman"/>
                <w:sz w:val="18"/>
                <w:szCs w:val="18"/>
              </w:rPr>
              <w:t xml:space="preserve">SFM: 300,000 </w:t>
            </w:r>
          </w:p>
          <w:p w:rsidR="00A9399A" w:rsidRPr="000C2C2B" w:rsidRDefault="00A9399A" w:rsidP="00B24822">
            <w:pPr>
              <w:spacing w:after="0" w:line="240" w:lineRule="auto"/>
              <w:jc w:val="right"/>
              <w:rPr>
                <w:rFonts w:ascii="Times New Roman" w:hAnsi="Times New Roman"/>
                <w:sz w:val="18"/>
                <w:szCs w:val="18"/>
              </w:rPr>
            </w:pPr>
          </w:p>
        </w:tc>
        <w:tc>
          <w:tcPr>
            <w:tcW w:w="1080" w:type="dxa"/>
            <w:shd w:val="clear" w:color="auto" w:fill="FFFFFF"/>
          </w:tcPr>
          <w:p w:rsidR="00A9399A" w:rsidRPr="000C2C2B" w:rsidRDefault="00A9399A" w:rsidP="002411CC">
            <w:pPr>
              <w:spacing w:after="0" w:line="240" w:lineRule="auto"/>
              <w:jc w:val="right"/>
              <w:rPr>
                <w:rFonts w:ascii="Times New Roman" w:hAnsi="Times New Roman"/>
                <w:sz w:val="18"/>
                <w:szCs w:val="18"/>
              </w:rPr>
            </w:pPr>
            <w:r w:rsidRPr="000C2C2B">
              <w:rPr>
                <w:rFonts w:ascii="Times New Roman" w:hAnsi="Times New Roman"/>
                <w:noProof/>
                <w:sz w:val="18"/>
                <w:szCs w:val="18"/>
              </w:rPr>
              <w:t>5,576,000</w:t>
            </w:r>
          </w:p>
        </w:tc>
      </w:tr>
      <w:tr w:rsidR="00A9399A" w:rsidRPr="000C2C2B" w:rsidTr="002411CC">
        <w:trPr>
          <w:trHeight w:val="188"/>
        </w:trPr>
        <w:tc>
          <w:tcPr>
            <w:tcW w:w="9090" w:type="dxa"/>
            <w:gridSpan w:val="4"/>
            <w:shd w:val="clear" w:color="auto" w:fill="FFFFFF"/>
          </w:tcPr>
          <w:p w:rsidR="00A9399A" w:rsidRPr="000C2C2B" w:rsidRDefault="00A9399A" w:rsidP="00070D90">
            <w:pPr>
              <w:pStyle w:val="B"/>
              <w:spacing w:before="0"/>
              <w:rPr>
                <w:iCs/>
              </w:rPr>
            </w:pPr>
            <w:r w:rsidRPr="000C2C2B">
              <w:rPr>
                <w:iCs/>
              </w:rPr>
              <w:lastRenderedPageBreak/>
              <w:t>Sub-total</w:t>
            </w:r>
          </w:p>
        </w:tc>
        <w:tc>
          <w:tcPr>
            <w:tcW w:w="1350" w:type="dxa"/>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sz w:val="18"/>
                <w:szCs w:val="18"/>
              </w:rPr>
              <w:t>2,484,828</w:t>
            </w:r>
          </w:p>
        </w:tc>
        <w:tc>
          <w:tcPr>
            <w:tcW w:w="1080" w:type="dxa"/>
            <w:shd w:val="clear" w:color="auto" w:fill="FFFFFF"/>
          </w:tcPr>
          <w:p w:rsidR="00A9399A" w:rsidRPr="000C2C2B" w:rsidRDefault="00A9399A" w:rsidP="00B24822">
            <w:pPr>
              <w:spacing w:after="0" w:line="240" w:lineRule="auto"/>
              <w:jc w:val="right"/>
              <w:rPr>
                <w:rFonts w:ascii="Times New Roman" w:hAnsi="Times New Roman"/>
                <w:noProof/>
                <w:sz w:val="18"/>
                <w:szCs w:val="18"/>
              </w:rPr>
            </w:pPr>
            <w:r w:rsidRPr="000C2C2B">
              <w:rPr>
                <w:rFonts w:ascii="Times New Roman" w:hAnsi="Times New Roman"/>
                <w:noProof/>
                <w:sz w:val="18"/>
                <w:szCs w:val="18"/>
              </w:rPr>
              <w:t>9,526,000</w:t>
            </w:r>
          </w:p>
        </w:tc>
      </w:tr>
      <w:tr w:rsidR="00A9399A" w:rsidRPr="000C2C2B" w:rsidTr="002411CC">
        <w:trPr>
          <w:trHeight w:val="150"/>
        </w:trPr>
        <w:tc>
          <w:tcPr>
            <w:tcW w:w="9090" w:type="dxa"/>
            <w:gridSpan w:val="4"/>
            <w:tcBorders>
              <w:top w:val="double" w:sz="4" w:space="0" w:color="auto"/>
              <w:bottom w:val="double" w:sz="4" w:space="0" w:color="auto"/>
            </w:tcBorders>
            <w:shd w:val="clear" w:color="auto" w:fill="FFFFFF"/>
          </w:tcPr>
          <w:p w:rsidR="00A9399A" w:rsidRPr="000C2C2B" w:rsidRDefault="00A9399A" w:rsidP="004C2754">
            <w:pPr>
              <w:spacing w:after="0" w:line="240" w:lineRule="auto"/>
              <w:rPr>
                <w:rFonts w:ascii="Times New Roman" w:hAnsi="Times New Roman"/>
                <w:sz w:val="18"/>
                <w:szCs w:val="18"/>
              </w:rPr>
            </w:pPr>
            <w:r w:rsidRPr="000C2C2B">
              <w:rPr>
                <w:rFonts w:ascii="Times New Roman" w:hAnsi="Times New Roman"/>
                <w:sz w:val="18"/>
                <w:szCs w:val="18"/>
              </w:rPr>
              <w:t>Project management (drawing 8% from each of the 4 focal areas)</w:t>
            </w:r>
          </w:p>
        </w:tc>
        <w:tc>
          <w:tcPr>
            <w:tcW w:w="1350" w:type="dxa"/>
            <w:tcBorders>
              <w:bottom w:val="double" w:sz="4" w:space="0" w:color="auto"/>
            </w:tcBorders>
            <w:shd w:val="clear" w:color="auto" w:fill="FFFFFF"/>
          </w:tcPr>
          <w:p w:rsidR="00A9399A" w:rsidRPr="000C2C2B" w:rsidRDefault="00A9399A" w:rsidP="004C2754">
            <w:pPr>
              <w:spacing w:after="0" w:line="240" w:lineRule="auto"/>
              <w:jc w:val="right"/>
              <w:rPr>
                <w:rFonts w:ascii="Times New Roman" w:hAnsi="Times New Roman"/>
                <w:sz w:val="18"/>
                <w:szCs w:val="18"/>
              </w:rPr>
            </w:pPr>
            <w:r w:rsidRPr="000C2C2B">
              <w:rPr>
                <w:rFonts w:ascii="Times New Roman" w:hAnsi="Times New Roman"/>
                <w:sz w:val="18"/>
                <w:szCs w:val="18"/>
              </w:rPr>
              <w:t>216,072</w:t>
            </w:r>
          </w:p>
        </w:tc>
        <w:tc>
          <w:tcPr>
            <w:tcW w:w="1080" w:type="dxa"/>
            <w:tcBorders>
              <w:bottom w:val="double" w:sz="4" w:space="0" w:color="auto"/>
            </w:tcBorders>
            <w:shd w:val="clear" w:color="auto" w:fill="FFFFFF"/>
          </w:tcPr>
          <w:p w:rsidR="00A9399A" w:rsidRPr="000C2C2B" w:rsidRDefault="00A9399A" w:rsidP="00B24822">
            <w:pPr>
              <w:spacing w:after="0" w:line="240" w:lineRule="auto"/>
              <w:jc w:val="right"/>
              <w:rPr>
                <w:rFonts w:ascii="Times New Roman" w:hAnsi="Times New Roman"/>
                <w:sz w:val="18"/>
                <w:szCs w:val="18"/>
              </w:rPr>
            </w:pPr>
            <w:r w:rsidRPr="000C2C2B">
              <w:rPr>
                <w:rFonts w:ascii="Times New Roman" w:hAnsi="Times New Roman"/>
                <w:sz w:val="18"/>
                <w:szCs w:val="18"/>
              </w:rPr>
              <w:t>958,400</w:t>
            </w:r>
          </w:p>
        </w:tc>
      </w:tr>
      <w:tr w:rsidR="00A9399A" w:rsidRPr="000C2C2B" w:rsidTr="002411CC">
        <w:tc>
          <w:tcPr>
            <w:tcW w:w="9090" w:type="dxa"/>
            <w:gridSpan w:val="4"/>
            <w:tcBorders>
              <w:top w:val="double" w:sz="4" w:space="0" w:color="auto"/>
            </w:tcBorders>
            <w:shd w:val="clear" w:color="auto" w:fill="FFFFFF"/>
          </w:tcPr>
          <w:p w:rsidR="00A9399A" w:rsidRPr="000C2C2B" w:rsidRDefault="00A9399A" w:rsidP="00D729B5">
            <w:pPr>
              <w:spacing w:after="0" w:line="200" w:lineRule="exact"/>
              <w:rPr>
                <w:rFonts w:ascii="Times New Roman" w:hAnsi="Times New Roman"/>
                <w:b/>
                <w:sz w:val="18"/>
                <w:szCs w:val="18"/>
              </w:rPr>
            </w:pPr>
            <w:r w:rsidRPr="000C2C2B">
              <w:rPr>
                <w:rFonts w:ascii="Times New Roman" w:hAnsi="Times New Roman"/>
                <w:b/>
                <w:sz w:val="18"/>
                <w:szCs w:val="18"/>
              </w:rPr>
              <w:t>Total project costs</w:t>
            </w:r>
          </w:p>
        </w:tc>
        <w:tc>
          <w:tcPr>
            <w:tcW w:w="1350" w:type="dxa"/>
            <w:tcBorders>
              <w:top w:val="double" w:sz="4" w:space="0" w:color="auto"/>
            </w:tcBorders>
            <w:shd w:val="clear" w:color="auto" w:fill="FFFFFF"/>
          </w:tcPr>
          <w:p w:rsidR="00A9399A" w:rsidRPr="000C2C2B" w:rsidRDefault="00A9399A" w:rsidP="00B24822">
            <w:pPr>
              <w:spacing w:after="0" w:line="240" w:lineRule="auto"/>
              <w:jc w:val="right"/>
              <w:rPr>
                <w:rFonts w:ascii="Times New Roman" w:hAnsi="Times New Roman"/>
                <w:b/>
                <w:bCs/>
                <w:sz w:val="18"/>
                <w:szCs w:val="18"/>
              </w:rPr>
            </w:pPr>
            <w:r w:rsidRPr="000C2C2B">
              <w:rPr>
                <w:rFonts w:ascii="Times New Roman" w:hAnsi="Times New Roman"/>
                <w:b/>
                <w:bCs/>
                <w:sz w:val="18"/>
                <w:szCs w:val="18"/>
              </w:rPr>
              <w:t>2,700,900</w:t>
            </w:r>
          </w:p>
        </w:tc>
        <w:tc>
          <w:tcPr>
            <w:tcW w:w="1080" w:type="dxa"/>
            <w:tcBorders>
              <w:top w:val="double" w:sz="4" w:space="0" w:color="auto"/>
            </w:tcBorders>
            <w:shd w:val="clear" w:color="auto" w:fill="FFFFFF"/>
          </w:tcPr>
          <w:p w:rsidR="00A9399A" w:rsidRPr="000C2C2B" w:rsidRDefault="00A9399A" w:rsidP="002411CC">
            <w:pPr>
              <w:spacing w:after="0" w:line="240" w:lineRule="auto"/>
              <w:rPr>
                <w:rFonts w:ascii="Times New Roman" w:hAnsi="Times New Roman"/>
                <w:b/>
                <w:bCs/>
                <w:sz w:val="18"/>
                <w:szCs w:val="18"/>
              </w:rPr>
            </w:pPr>
            <w:r w:rsidRPr="000C2C2B">
              <w:rPr>
                <w:rFonts w:ascii="Times New Roman" w:hAnsi="Times New Roman"/>
                <w:b/>
                <w:bCs/>
                <w:sz w:val="18"/>
                <w:szCs w:val="18"/>
              </w:rPr>
              <w:t>10,484,400</w:t>
            </w:r>
          </w:p>
        </w:tc>
      </w:tr>
    </w:tbl>
    <w:bookmarkEnd w:id="7"/>
    <w:bookmarkEnd w:id="8"/>
    <w:p w:rsidR="00A9399A" w:rsidRPr="000C2C2B" w:rsidRDefault="00A9399A" w:rsidP="00742505">
      <w:pPr>
        <w:pStyle w:val="Footer"/>
        <w:keepNext/>
        <w:numPr>
          <w:ilvl w:val="0"/>
          <w:numId w:val="1"/>
        </w:numPr>
        <w:tabs>
          <w:tab w:val="clear" w:pos="720"/>
          <w:tab w:val="clear" w:pos="4320"/>
          <w:tab w:val="clear" w:pos="8640"/>
          <w:tab w:val="num" w:pos="-90"/>
          <w:tab w:val="left" w:pos="270"/>
        </w:tabs>
        <w:spacing w:before="120"/>
        <w:ind w:left="0" w:firstLine="0"/>
        <w:rPr>
          <w:b/>
          <w:smallCaps/>
          <w:sz w:val="22"/>
          <w:szCs w:val="22"/>
        </w:rPr>
      </w:pPr>
      <w:r w:rsidRPr="000C2C2B">
        <w:rPr>
          <w:b/>
          <w:smallCaps/>
          <w:sz w:val="22"/>
          <w:szCs w:val="22"/>
        </w:rPr>
        <w:t xml:space="preserve">Indicative </w:t>
      </w:r>
      <w:hyperlink r:id="rId8" w:history="1">
        <w:r w:rsidRPr="000C2C2B">
          <w:rPr>
            <w:b/>
            <w:smallCaps/>
            <w:sz w:val="22"/>
            <w:szCs w:val="22"/>
          </w:rPr>
          <w:t>Co-financing</w:t>
        </w:r>
      </w:hyperlink>
      <w:r w:rsidRPr="000C2C2B">
        <w:rPr>
          <w:b/>
          <w:smallCaps/>
          <w:sz w:val="22"/>
          <w:szCs w:val="22"/>
        </w:rPr>
        <w:t xml:space="preserve"> for the project by source and by name if available,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4647"/>
        <w:gridCol w:w="2401"/>
        <w:gridCol w:w="1681"/>
      </w:tblGrid>
      <w:tr w:rsidR="00A9399A" w:rsidRPr="000C2C2B" w:rsidTr="00323BC4">
        <w:trPr>
          <w:cantSplit/>
          <w:tblHeader/>
        </w:trPr>
        <w:tc>
          <w:tcPr>
            <w:tcW w:w="1095" w:type="pct"/>
            <w:vAlign w:val="center"/>
          </w:tcPr>
          <w:p w:rsidR="00A9399A" w:rsidRPr="000C2C2B" w:rsidRDefault="00A9399A" w:rsidP="00742505">
            <w:pPr>
              <w:keepNext/>
              <w:spacing w:after="0" w:line="240" w:lineRule="auto"/>
              <w:jc w:val="center"/>
              <w:rPr>
                <w:rFonts w:ascii="Times New Roman" w:hAnsi="Times New Roman"/>
                <w:b/>
                <w:sz w:val="20"/>
                <w:szCs w:val="20"/>
              </w:rPr>
            </w:pPr>
            <w:r w:rsidRPr="000C2C2B">
              <w:rPr>
                <w:rFonts w:ascii="Times New Roman" w:hAnsi="Times New Roman"/>
                <w:b/>
                <w:sz w:val="20"/>
                <w:szCs w:val="20"/>
              </w:rPr>
              <w:t>Sources of Co-financing</w:t>
            </w:r>
          </w:p>
        </w:tc>
        <w:tc>
          <w:tcPr>
            <w:tcW w:w="2079" w:type="pct"/>
            <w:vAlign w:val="center"/>
          </w:tcPr>
          <w:p w:rsidR="00A9399A" w:rsidRPr="000C2C2B" w:rsidRDefault="00A9399A" w:rsidP="00417ACA">
            <w:pPr>
              <w:spacing w:after="0" w:line="240" w:lineRule="auto"/>
              <w:jc w:val="center"/>
              <w:rPr>
                <w:rFonts w:ascii="Times New Roman" w:hAnsi="Times New Roman"/>
                <w:b/>
                <w:sz w:val="20"/>
                <w:szCs w:val="20"/>
              </w:rPr>
            </w:pPr>
            <w:r w:rsidRPr="000C2C2B">
              <w:rPr>
                <w:rFonts w:ascii="Times New Roman" w:hAnsi="Times New Roman"/>
                <w:b/>
                <w:sz w:val="20"/>
                <w:szCs w:val="20"/>
              </w:rPr>
              <w:t>Name of Co-financier</w:t>
            </w:r>
          </w:p>
        </w:tc>
        <w:tc>
          <w:tcPr>
            <w:tcW w:w="1074" w:type="pct"/>
            <w:vAlign w:val="center"/>
          </w:tcPr>
          <w:p w:rsidR="00A9399A" w:rsidRPr="000C2C2B" w:rsidRDefault="00A9399A" w:rsidP="00417ACA">
            <w:pPr>
              <w:spacing w:after="0" w:line="240" w:lineRule="auto"/>
              <w:ind w:left="5"/>
              <w:jc w:val="center"/>
              <w:rPr>
                <w:rFonts w:ascii="Times New Roman" w:hAnsi="Times New Roman"/>
                <w:b/>
                <w:sz w:val="20"/>
                <w:szCs w:val="20"/>
              </w:rPr>
            </w:pPr>
            <w:r w:rsidRPr="000C2C2B">
              <w:rPr>
                <w:rFonts w:ascii="Times New Roman" w:hAnsi="Times New Roman"/>
                <w:b/>
                <w:sz w:val="20"/>
                <w:szCs w:val="20"/>
              </w:rPr>
              <w:t>Type of Co-financing</w:t>
            </w:r>
          </w:p>
        </w:tc>
        <w:tc>
          <w:tcPr>
            <w:tcW w:w="752" w:type="pct"/>
            <w:vAlign w:val="center"/>
          </w:tcPr>
          <w:p w:rsidR="00A9399A" w:rsidRPr="000C2C2B" w:rsidRDefault="00A9399A" w:rsidP="00417ACA">
            <w:pPr>
              <w:spacing w:after="0" w:line="240" w:lineRule="auto"/>
              <w:ind w:left="-6"/>
              <w:jc w:val="center"/>
              <w:rPr>
                <w:rFonts w:ascii="Times New Roman" w:hAnsi="Times New Roman"/>
                <w:b/>
                <w:sz w:val="20"/>
                <w:szCs w:val="20"/>
              </w:rPr>
            </w:pPr>
            <w:r w:rsidRPr="000C2C2B">
              <w:rPr>
                <w:rFonts w:ascii="Times New Roman" w:hAnsi="Times New Roman"/>
                <w:b/>
                <w:sz w:val="20"/>
                <w:szCs w:val="20"/>
              </w:rPr>
              <w:t>Amount ($)</w:t>
            </w:r>
          </w:p>
        </w:tc>
      </w:tr>
      <w:tr w:rsidR="00A9399A" w:rsidRPr="000C2C2B" w:rsidTr="00323BC4">
        <w:trPr>
          <w:cantSplit/>
        </w:trPr>
        <w:tc>
          <w:tcPr>
            <w:tcW w:w="1095"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National Government</w:t>
            </w:r>
          </w:p>
        </w:tc>
        <w:tc>
          <w:tcPr>
            <w:tcW w:w="2079"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Ministry of Forestry</w:t>
            </w:r>
          </w:p>
        </w:tc>
        <w:tc>
          <w:tcPr>
            <w:tcW w:w="1074" w:type="pct"/>
          </w:tcPr>
          <w:p w:rsidR="00A9399A" w:rsidRPr="000C2C2B" w:rsidRDefault="00A9399A" w:rsidP="00991F43">
            <w:pPr>
              <w:spacing w:after="0" w:line="240" w:lineRule="auto"/>
              <w:ind w:left="5"/>
              <w:rPr>
                <w:rFonts w:ascii="Times New Roman" w:hAnsi="Times New Roman"/>
                <w:sz w:val="20"/>
                <w:szCs w:val="20"/>
              </w:rPr>
            </w:pPr>
            <w:r w:rsidRPr="000C2C2B">
              <w:rPr>
                <w:rFonts w:ascii="Times New Roman" w:hAnsi="Times New Roman"/>
                <w:sz w:val="20"/>
                <w:szCs w:val="20"/>
              </w:rPr>
              <w:t>Grant</w:t>
            </w:r>
          </w:p>
        </w:tc>
        <w:tc>
          <w:tcPr>
            <w:tcW w:w="752" w:type="pct"/>
          </w:tcPr>
          <w:p w:rsidR="00A9399A" w:rsidRPr="000C2C2B" w:rsidRDefault="00A9399A" w:rsidP="004C2754">
            <w:pPr>
              <w:spacing w:after="0" w:line="240" w:lineRule="auto"/>
              <w:ind w:left="-6"/>
              <w:jc w:val="right"/>
              <w:rPr>
                <w:rFonts w:ascii="Times New Roman" w:hAnsi="Times New Roman"/>
                <w:sz w:val="20"/>
                <w:szCs w:val="20"/>
              </w:rPr>
            </w:pPr>
            <w:r w:rsidRPr="000C2C2B">
              <w:rPr>
                <w:rFonts w:ascii="Times New Roman" w:hAnsi="Times New Roman"/>
                <w:noProof/>
                <w:sz w:val="20"/>
                <w:szCs w:val="20"/>
              </w:rPr>
              <w:t>1,317,000</w:t>
            </w:r>
          </w:p>
        </w:tc>
      </w:tr>
      <w:tr w:rsidR="00A9399A" w:rsidRPr="000C2C2B" w:rsidTr="00323BC4">
        <w:trPr>
          <w:cantSplit/>
        </w:trPr>
        <w:tc>
          <w:tcPr>
            <w:tcW w:w="1095"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GEF Agency</w:t>
            </w:r>
          </w:p>
        </w:tc>
        <w:tc>
          <w:tcPr>
            <w:tcW w:w="2079"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UNDP</w:t>
            </w:r>
          </w:p>
        </w:tc>
        <w:tc>
          <w:tcPr>
            <w:tcW w:w="1074" w:type="pct"/>
          </w:tcPr>
          <w:p w:rsidR="00A9399A" w:rsidRPr="000C2C2B" w:rsidRDefault="00A9399A" w:rsidP="00991F43">
            <w:pPr>
              <w:spacing w:after="0" w:line="240" w:lineRule="auto"/>
              <w:ind w:left="5"/>
              <w:rPr>
                <w:rFonts w:ascii="Times New Roman" w:hAnsi="Times New Roman"/>
                <w:sz w:val="20"/>
                <w:szCs w:val="20"/>
              </w:rPr>
            </w:pPr>
            <w:r w:rsidRPr="000C2C2B">
              <w:rPr>
                <w:rFonts w:ascii="Times New Roman" w:hAnsi="Times New Roman"/>
                <w:sz w:val="20"/>
                <w:szCs w:val="20"/>
              </w:rPr>
              <w:t>Grant</w:t>
            </w:r>
          </w:p>
        </w:tc>
        <w:tc>
          <w:tcPr>
            <w:tcW w:w="752" w:type="pct"/>
          </w:tcPr>
          <w:p w:rsidR="00A9399A" w:rsidRPr="000C2C2B" w:rsidRDefault="00A9399A" w:rsidP="00991F43">
            <w:pPr>
              <w:spacing w:after="0" w:line="240" w:lineRule="auto"/>
              <w:ind w:left="-6"/>
              <w:jc w:val="right"/>
              <w:rPr>
                <w:rFonts w:ascii="Times New Roman" w:hAnsi="Times New Roman"/>
                <w:noProof/>
                <w:sz w:val="20"/>
                <w:szCs w:val="20"/>
              </w:rPr>
            </w:pPr>
            <w:r w:rsidRPr="000C2C2B">
              <w:rPr>
                <w:rFonts w:ascii="Times New Roman" w:hAnsi="Times New Roman"/>
                <w:noProof/>
                <w:sz w:val="20"/>
                <w:szCs w:val="20"/>
              </w:rPr>
              <w:t>390,000</w:t>
            </w:r>
          </w:p>
        </w:tc>
      </w:tr>
      <w:tr w:rsidR="00A9399A" w:rsidRPr="000C2C2B" w:rsidTr="00323BC4">
        <w:trPr>
          <w:cantSplit/>
        </w:trPr>
        <w:tc>
          <w:tcPr>
            <w:tcW w:w="1095"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National Government</w:t>
            </w:r>
          </w:p>
        </w:tc>
        <w:tc>
          <w:tcPr>
            <w:tcW w:w="2079"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Ministry of Environment</w:t>
            </w:r>
          </w:p>
        </w:tc>
        <w:tc>
          <w:tcPr>
            <w:tcW w:w="1074" w:type="pct"/>
          </w:tcPr>
          <w:p w:rsidR="00A9399A" w:rsidRPr="000C2C2B" w:rsidRDefault="00A9399A" w:rsidP="00991F43">
            <w:pPr>
              <w:spacing w:after="0" w:line="240" w:lineRule="auto"/>
              <w:ind w:left="5"/>
              <w:rPr>
                <w:rFonts w:ascii="Times New Roman" w:hAnsi="Times New Roman"/>
                <w:sz w:val="20"/>
                <w:szCs w:val="20"/>
              </w:rPr>
            </w:pPr>
            <w:r w:rsidRPr="000C2C2B">
              <w:rPr>
                <w:rFonts w:ascii="Times New Roman" w:hAnsi="Times New Roman"/>
                <w:sz w:val="20"/>
                <w:szCs w:val="20"/>
              </w:rPr>
              <w:t>Grant</w:t>
            </w:r>
          </w:p>
        </w:tc>
        <w:tc>
          <w:tcPr>
            <w:tcW w:w="752" w:type="pct"/>
          </w:tcPr>
          <w:p w:rsidR="00A9399A" w:rsidRPr="000C2C2B" w:rsidRDefault="00A9399A" w:rsidP="004C2754">
            <w:pPr>
              <w:spacing w:after="0" w:line="240" w:lineRule="auto"/>
              <w:ind w:left="-6"/>
              <w:jc w:val="right"/>
              <w:rPr>
                <w:rFonts w:ascii="Times New Roman" w:hAnsi="Times New Roman"/>
                <w:noProof/>
                <w:sz w:val="20"/>
                <w:szCs w:val="20"/>
              </w:rPr>
            </w:pPr>
            <w:r w:rsidRPr="000C2C2B">
              <w:rPr>
                <w:rFonts w:ascii="Times New Roman" w:hAnsi="Times New Roman"/>
                <w:noProof/>
                <w:sz w:val="20"/>
                <w:szCs w:val="20"/>
              </w:rPr>
              <w:t>250,000</w:t>
            </w:r>
          </w:p>
        </w:tc>
      </w:tr>
      <w:bookmarkStart w:id="9" w:name="srcCofin_01"/>
      <w:tr w:rsidR="00A9399A" w:rsidRPr="000C2C2B" w:rsidTr="00323BC4">
        <w:trPr>
          <w:cantSplit/>
        </w:trPr>
        <w:tc>
          <w:tcPr>
            <w:tcW w:w="1095" w:type="pct"/>
          </w:tcPr>
          <w:p w:rsidR="00A9399A" w:rsidRPr="000C2C2B" w:rsidRDefault="00B2404B" w:rsidP="00417ACA">
            <w:pPr>
              <w:spacing w:after="0" w:line="240" w:lineRule="auto"/>
              <w:rPr>
                <w:rFonts w:ascii="Times New Roman" w:hAnsi="Times New Roman"/>
                <w:sz w:val="20"/>
                <w:szCs w:val="20"/>
              </w:rPr>
            </w:pPr>
            <w:r w:rsidRPr="000C2C2B">
              <w:rPr>
                <w:rFonts w:ascii="Times New Roman" w:hAnsi="Times New Roman"/>
                <w:sz w:val="20"/>
                <w:szCs w:val="20"/>
              </w:rPr>
              <w:fldChar w:fldCharType="begin">
                <w:ffData>
                  <w:name w:val="srcCofin_01"/>
                  <w:enabled/>
                  <w:calcOnExit w:val="0"/>
                  <w:ddList>
                    <w:listEntry w:val="National Government"/>
                    <w:listEntry w:val="(select)"/>
                    <w:listEntry w:val="Bilateral Aid Agency (ies)"/>
                    <w:listEntry w:val="Foundation"/>
                    <w:listEntry w:val="Local Government"/>
                    <w:listEntry w:val="Multilateral Agency (ies)"/>
                    <w:listEntry w:val="NGO"/>
                    <w:listEntry w:val="Private Sector"/>
                    <w:listEntry w:val="Others"/>
                  </w:ddList>
                </w:ffData>
              </w:fldChar>
            </w:r>
            <w:r w:rsidR="00A9399A" w:rsidRPr="000C2C2B">
              <w:rPr>
                <w:rFonts w:ascii="Times New Roman" w:hAnsi="Times New Roman"/>
                <w:sz w:val="20"/>
                <w:szCs w:val="20"/>
              </w:rPr>
              <w:instrText xml:space="preserve"> FORMDROPDOWN </w:instrText>
            </w:r>
            <w:r w:rsidRPr="000C2C2B">
              <w:rPr>
                <w:rFonts w:ascii="Times New Roman" w:hAnsi="Times New Roman"/>
                <w:sz w:val="20"/>
                <w:szCs w:val="20"/>
              </w:rPr>
            </w:r>
            <w:r w:rsidRPr="000C2C2B">
              <w:rPr>
                <w:rFonts w:ascii="Times New Roman" w:hAnsi="Times New Roman"/>
                <w:sz w:val="20"/>
                <w:szCs w:val="20"/>
              </w:rPr>
              <w:fldChar w:fldCharType="end"/>
            </w:r>
            <w:bookmarkEnd w:id="9"/>
          </w:p>
        </w:tc>
        <w:tc>
          <w:tcPr>
            <w:tcW w:w="2079" w:type="pct"/>
          </w:tcPr>
          <w:p w:rsidR="00A9399A" w:rsidRPr="000C2C2B" w:rsidRDefault="00A9399A" w:rsidP="006828B8">
            <w:pPr>
              <w:spacing w:after="0" w:line="240" w:lineRule="auto"/>
              <w:rPr>
                <w:rFonts w:ascii="Times New Roman" w:hAnsi="Times New Roman"/>
                <w:sz w:val="20"/>
                <w:szCs w:val="20"/>
              </w:rPr>
            </w:pPr>
            <w:r w:rsidRPr="000C2C2B">
              <w:rPr>
                <w:rFonts w:ascii="Times New Roman" w:hAnsi="Times New Roman"/>
                <w:sz w:val="20"/>
                <w:szCs w:val="20"/>
              </w:rPr>
              <w:t>Ministry of Agriculture (</w:t>
            </w:r>
            <w:proofErr w:type="spellStart"/>
            <w:r w:rsidRPr="000C2C2B">
              <w:rPr>
                <w:rFonts w:ascii="Times New Roman" w:hAnsi="Times New Roman"/>
                <w:sz w:val="20"/>
                <w:szCs w:val="20"/>
              </w:rPr>
              <w:t>Belmeliovodkhoz</w:t>
            </w:r>
            <w:proofErr w:type="spellEnd"/>
            <w:r w:rsidRPr="000C2C2B">
              <w:rPr>
                <w:rFonts w:ascii="Times New Roman" w:hAnsi="Times New Roman"/>
                <w:sz w:val="20"/>
                <w:szCs w:val="20"/>
              </w:rPr>
              <w:t>)</w:t>
            </w:r>
          </w:p>
        </w:tc>
        <w:tc>
          <w:tcPr>
            <w:tcW w:w="1074" w:type="pct"/>
          </w:tcPr>
          <w:p w:rsidR="00A9399A" w:rsidRPr="000C2C2B" w:rsidRDefault="00A9399A" w:rsidP="00417ACA">
            <w:pPr>
              <w:spacing w:after="0" w:line="240" w:lineRule="auto"/>
              <w:ind w:left="5"/>
              <w:rPr>
                <w:rFonts w:ascii="Times New Roman" w:hAnsi="Times New Roman"/>
                <w:sz w:val="20"/>
                <w:szCs w:val="20"/>
              </w:rPr>
            </w:pPr>
            <w:r w:rsidRPr="000C2C2B">
              <w:rPr>
                <w:rFonts w:ascii="Times New Roman" w:hAnsi="Times New Roman"/>
                <w:sz w:val="20"/>
                <w:szCs w:val="20"/>
              </w:rPr>
              <w:t>Grant</w:t>
            </w:r>
          </w:p>
        </w:tc>
        <w:tc>
          <w:tcPr>
            <w:tcW w:w="752" w:type="pct"/>
          </w:tcPr>
          <w:p w:rsidR="00A9399A" w:rsidRPr="000C2C2B" w:rsidRDefault="00A9399A" w:rsidP="001A1906">
            <w:pPr>
              <w:spacing w:after="0" w:line="240" w:lineRule="auto"/>
              <w:ind w:left="-6"/>
              <w:jc w:val="right"/>
              <w:rPr>
                <w:rFonts w:ascii="Times New Roman" w:hAnsi="Times New Roman"/>
                <w:sz w:val="20"/>
                <w:szCs w:val="20"/>
              </w:rPr>
            </w:pPr>
            <w:r w:rsidRPr="000C2C2B">
              <w:rPr>
                <w:rFonts w:ascii="Times New Roman" w:hAnsi="Times New Roman"/>
                <w:noProof/>
                <w:sz w:val="20"/>
                <w:szCs w:val="20"/>
              </w:rPr>
              <w:t>6,945,000</w:t>
            </w:r>
          </w:p>
        </w:tc>
      </w:tr>
      <w:tr w:rsidR="00A9399A" w:rsidRPr="000C2C2B" w:rsidTr="00323BC4">
        <w:trPr>
          <w:cantSplit/>
        </w:trPr>
        <w:tc>
          <w:tcPr>
            <w:tcW w:w="1095" w:type="pct"/>
          </w:tcPr>
          <w:p w:rsidR="00A9399A" w:rsidRPr="000C2C2B" w:rsidRDefault="00B2404B" w:rsidP="00991F43">
            <w:pPr>
              <w:spacing w:after="0" w:line="240" w:lineRule="auto"/>
              <w:rPr>
                <w:rFonts w:ascii="Times New Roman" w:hAnsi="Times New Roman"/>
                <w:sz w:val="20"/>
                <w:szCs w:val="20"/>
              </w:rPr>
            </w:pPr>
            <w:r w:rsidRPr="000C2C2B">
              <w:rPr>
                <w:rFonts w:ascii="Times New Roman" w:hAnsi="Times New Roman"/>
                <w:sz w:val="20"/>
                <w:szCs w:val="20"/>
              </w:rPr>
              <w:fldChar w:fldCharType="begin">
                <w:ffData>
                  <w:name w:val=""/>
                  <w:enabled/>
                  <w:calcOnExit w:val="0"/>
                  <w:ddList>
                    <w:listEntry w:val="Others"/>
                    <w:listEntry w:val="National Government"/>
                    <w:listEntry w:val="(select)"/>
                    <w:listEntry w:val="Bilateral Aid Agency (ies)"/>
                    <w:listEntry w:val="Foundation"/>
                    <w:listEntry w:val="Local Government"/>
                    <w:listEntry w:val="Multilateral Agency (ies)"/>
                    <w:listEntry w:val="NGO"/>
                    <w:listEntry w:val="Private Sector"/>
                  </w:ddList>
                </w:ffData>
              </w:fldChar>
            </w:r>
            <w:r w:rsidR="00A9399A" w:rsidRPr="000C2C2B">
              <w:rPr>
                <w:rFonts w:ascii="Times New Roman" w:hAnsi="Times New Roman"/>
                <w:sz w:val="20"/>
                <w:szCs w:val="20"/>
              </w:rPr>
              <w:instrText xml:space="preserve"> FORMDROPDOWN </w:instrText>
            </w:r>
            <w:r w:rsidRPr="000C2C2B">
              <w:rPr>
                <w:rFonts w:ascii="Times New Roman" w:hAnsi="Times New Roman"/>
                <w:sz w:val="20"/>
                <w:szCs w:val="20"/>
              </w:rPr>
            </w:r>
            <w:r w:rsidRPr="000C2C2B">
              <w:rPr>
                <w:rFonts w:ascii="Times New Roman" w:hAnsi="Times New Roman"/>
                <w:sz w:val="20"/>
                <w:szCs w:val="20"/>
              </w:rPr>
              <w:fldChar w:fldCharType="end"/>
            </w:r>
          </w:p>
        </w:tc>
        <w:tc>
          <w:tcPr>
            <w:tcW w:w="2079" w:type="pct"/>
          </w:tcPr>
          <w:p w:rsidR="00A9399A" w:rsidRPr="000C2C2B" w:rsidRDefault="00A9399A" w:rsidP="00991F43">
            <w:pPr>
              <w:spacing w:after="0" w:line="240" w:lineRule="auto"/>
              <w:rPr>
                <w:rFonts w:ascii="Times New Roman" w:hAnsi="Times New Roman"/>
                <w:sz w:val="20"/>
                <w:szCs w:val="20"/>
              </w:rPr>
            </w:pPr>
            <w:r w:rsidRPr="000C2C2B">
              <w:rPr>
                <w:rFonts w:ascii="Times New Roman" w:hAnsi="Times New Roman"/>
                <w:sz w:val="20"/>
                <w:szCs w:val="20"/>
              </w:rPr>
              <w:t>National Academy of Sciences</w:t>
            </w:r>
          </w:p>
        </w:tc>
        <w:tc>
          <w:tcPr>
            <w:tcW w:w="1074" w:type="pct"/>
          </w:tcPr>
          <w:p w:rsidR="00A9399A" w:rsidRPr="000C2C2B" w:rsidRDefault="00A9399A" w:rsidP="00991F43">
            <w:pPr>
              <w:spacing w:after="0" w:line="240" w:lineRule="auto"/>
              <w:ind w:left="5"/>
              <w:rPr>
                <w:rFonts w:ascii="Times New Roman" w:hAnsi="Times New Roman"/>
                <w:sz w:val="20"/>
                <w:szCs w:val="20"/>
              </w:rPr>
            </w:pPr>
            <w:r w:rsidRPr="000C2C2B">
              <w:rPr>
                <w:rFonts w:ascii="Times New Roman" w:hAnsi="Times New Roman"/>
                <w:sz w:val="20"/>
                <w:szCs w:val="20"/>
              </w:rPr>
              <w:t>In-kind</w:t>
            </w:r>
          </w:p>
        </w:tc>
        <w:tc>
          <w:tcPr>
            <w:tcW w:w="752" w:type="pct"/>
          </w:tcPr>
          <w:p w:rsidR="00A9399A" w:rsidRPr="000C2C2B" w:rsidRDefault="00A9399A" w:rsidP="002411CC">
            <w:pPr>
              <w:spacing w:after="0" w:line="240" w:lineRule="auto"/>
              <w:ind w:left="-6"/>
              <w:jc w:val="right"/>
              <w:rPr>
                <w:rFonts w:ascii="Times New Roman" w:hAnsi="Times New Roman"/>
                <w:sz w:val="20"/>
                <w:szCs w:val="20"/>
              </w:rPr>
            </w:pPr>
            <w:r w:rsidRPr="000C2C2B">
              <w:rPr>
                <w:rFonts w:ascii="Times New Roman" w:hAnsi="Times New Roman"/>
                <w:sz w:val="20"/>
                <w:szCs w:val="20"/>
              </w:rPr>
              <w:t>1,480,400</w:t>
            </w:r>
          </w:p>
        </w:tc>
      </w:tr>
      <w:bookmarkStart w:id="10" w:name="srcCofin_03"/>
      <w:tr w:rsidR="00A9399A" w:rsidRPr="000C2C2B" w:rsidTr="00323BC4">
        <w:trPr>
          <w:cantSplit/>
        </w:trPr>
        <w:tc>
          <w:tcPr>
            <w:tcW w:w="1095" w:type="pct"/>
          </w:tcPr>
          <w:p w:rsidR="00A9399A" w:rsidRPr="000C2C2B" w:rsidRDefault="00B2404B" w:rsidP="00417ACA">
            <w:pPr>
              <w:spacing w:after="0" w:line="240" w:lineRule="auto"/>
              <w:rPr>
                <w:rFonts w:ascii="Times New Roman" w:hAnsi="Times New Roman"/>
                <w:sz w:val="20"/>
                <w:szCs w:val="20"/>
              </w:rPr>
            </w:pPr>
            <w:r w:rsidRPr="000C2C2B">
              <w:rPr>
                <w:rFonts w:ascii="Times New Roman" w:hAnsi="Times New Roman"/>
                <w:sz w:val="20"/>
                <w:szCs w:val="20"/>
              </w:rPr>
              <w:fldChar w:fldCharType="begin">
                <w:ffData>
                  <w:name w:val="srcCofin_03"/>
                  <w:enabled/>
                  <w:calcOnExit w:val="0"/>
                  <w:ddList>
                    <w:listEntry w:val="Private Sector"/>
                    <w:listEntry w:val="Others"/>
                    <w:listEntry w:val="(select)"/>
                    <w:listEntry w:val="Bilateral Aid Agency (ies)"/>
                    <w:listEntry w:val="Foundation"/>
                    <w:listEntry w:val="Local Government"/>
                    <w:listEntry w:val="Multilateral Agency (ies)"/>
                    <w:listEntry w:val="National Government"/>
                    <w:listEntry w:val="NGO"/>
                  </w:ddList>
                </w:ffData>
              </w:fldChar>
            </w:r>
            <w:r w:rsidR="00A9399A" w:rsidRPr="000C2C2B">
              <w:rPr>
                <w:rFonts w:ascii="Times New Roman" w:hAnsi="Times New Roman"/>
                <w:sz w:val="20"/>
                <w:szCs w:val="20"/>
              </w:rPr>
              <w:instrText xml:space="preserve"> FORMDROPDOWN </w:instrText>
            </w:r>
            <w:r w:rsidRPr="000C2C2B">
              <w:rPr>
                <w:rFonts w:ascii="Times New Roman" w:hAnsi="Times New Roman"/>
                <w:sz w:val="20"/>
                <w:szCs w:val="20"/>
              </w:rPr>
            </w:r>
            <w:r w:rsidRPr="000C2C2B">
              <w:rPr>
                <w:rFonts w:ascii="Times New Roman" w:hAnsi="Times New Roman"/>
                <w:sz w:val="20"/>
                <w:szCs w:val="20"/>
              </w:rPr>
              <w:fldChar w:fldCharType="end"/>
            </w:r>
            <w:bookmarkEnd w:id="10"/>
          </w:p>
        </w:tc>
        <w:tc>
          <w:tcPr>
            <w:tcW w:w="2079" w:type="pct"/>
          </w:tcPr>
          <w:p w:rsidR="00A9399A" w:rsidRPr="000C2C2B" w:rsidRDefault="00A9399A" w:rsidP="009E7A0D">
            <w:pPr>
              <w:spacing w:after="0" w:line="240" w:lineRule="auto"/>
              <w:rPr>
                <w:rFonts w:ascii="Times New Roman" w:hAnsi="Times New Roman"/>
                <w:sz w:val="20"/>
                <w:szCs w:val="20"/>
              </w:rPr>
            </w:pPr>
            <w:r w:rsidRPr="000C2C2B">
              <w:rPr>
                <w:rFonts w:ascii="Times New Roman" w:hAnsi="Times New Roman"/>
                <w:sz w:val="20"/>
                <w:szCs w:val="20"/>
              </w:rPr>
              <w:t>Agricultural enterprises in demonstration areas</w:t>
            </w:r>
          </w:p>
        </w:tc>
        <w:tc>
          <w:tcPr>
            <w:tcW w:w="1074" w:type="pct"/>
          </w:tcPr>
          <w:p w:rsidR="00A9399A" w:rsidRPr="000C2C2B" w:rsidRDefault="00A9399A" w:rsidP="00DA2105">
            <w:pPr>
              <w:spacing w:after="0" w:line="240" w:lineRule="auto"/>
              <w:rPr>
                <w:rFonts w:ascii="Times New Roman" w:hAnsi="Times New Roman"/>
                <w:sz w:val="20"/>
                <w:szCs w:val="20"/>
              </w:rPr>
            </w:pPr>
            <w:r w:rsidRPr="000C2C2B">
              <w:rPr>
                <w:rFonts w:ascii="Times New Roman" w:hAnsi="Times New Roman"/>
                <w:sz w:val="20"/>
                <w:szCs w:val="20"/>
              </w:rPr>
              <w:t>In-kind</w:t>
            </w:r>
          </w:p>
        </w:tc>
        <w:tc>
          <w:tcPr>
            <w:tcW w:w="752" w:type="pct"/>
          </w:tcPr>
          <w:p w:rsidR="00A9399A" w:rsidRPr="000C2C2B" w:rsidRDefault="00A9399A" w:rsidP="00417ACA">
            <w:pPr>
              <w:spacing w:after="0" w:line="240" w:lineRule="auto"/>
              <w:ind w:left="-6"/>
              <w:jc w:val="right"/>
              <w:rPr>
                <w:rFonts w:ascii="Times New Roman" w:hAnsi="Times New Roman"/>
                <w:sz w:val="20"/>
                <w:szCs w:val="20"/>
              </w:rPr>
            </w:pPr>
            <w:r w:rsidRPr="000C2C2B">
              <w:rPr>
                <w:rFonts w:ascii="Times New Roman" w:hAnsi="Times New Roman"/>
                <w:sz w:val="20"/>
                <w:szCs w:val="20"/>
              </w:rPr>
              <w:t>102,000</w:t>
            </w:r>
          </w:p>
        </w:tc>
      </w:tr>
      <w:tr w:rsidR="00A9399A" w:rsidRPr="000C2C2B" w:rsidTr="00323BC4">
        <w:trPr>
          <w:cantSplit/>
        </w:trPr>
        <w:tc>
          <w:tcPr>
            <w:tcW w:w="1095" w:type="pct"/>
            <w:tcBorders>
              <w:top w:val="double" w:sz="4" w:space="0" w:color="auto"/>
              <w:bottom w:val="double" w:sz="4" w:space="0" w:color="auto"/>
            </w:tcBorders>
          </w:tcPr>
          <w:p w:rsidR="00A9399A" w:rsidRPr="000C2C2B" w:rsidRDefault="00A9399A" w:rsidP="00417ACA">
            <w:pPr>
              <w:spacing w:after="0" w:line="240" w:lineRule="auto"/>
              <w:rPr>
                <w:rFonts w:ascii="Times New Roman" w:hAnsi="Times New Roman"/>
                <w:b/>
                <w:sz w:val="20"/>
                <w:szCs w:val="20"/>
              </w:rPr>
            </w:pPr>
            <w:r w:rsidRPr="000C2C2B">
              <w:rPr>
                <w:rFonts w:ascii="Times New Roman" w:hAnsi="Times New Roman"/>
                <w:b/>
                <w:sz w:val="20"/>
                <w:szCs w:val="20"/>
              </w:rPr>
              <w:t>Total Co-financing</w:t>
            </w:r>
          </w:p>
        </w:tc>
        <w:tc>
          <w:tcPr>
            <w:tcW w:w="2079" w:type="pct"/>
            <w:tcBorders>
              <w:top w:val="double" w:sz="4" w:space="0" w:color="auto"/>
              <w:bottom w:val="double" w:sz="4" w:space="0" w:color="auto"/>
            </w:tcBorders>
            <w:shd w:val="clear" w:color="auto" w:fill="CCCCCC"/>
          </w:tcPr>
          <w:p w:rsidR="00A9399A" w:rsidRPr="000C2C2B" w:rsidRDefault="00A9399A" w:rsidP="00417ACA">
            <w:pPr>
              <w:spacing w:after="0" w:line="240" w:lineRule="auto"/>
              <w:jc w:val="right"/>
              <w:rPr>
                <w:rFonts w:ascii="Times New Roman" w:hAnsi="Times New Roman"/>
                <w:sz w:val="20"/>
                <w:szCs w:val="20"/>
              </w:rPr>
            </w:pPr>
          </w:p>
        </w:tc>
        <w:tc>
          <w:tcPr>
            <w:tcW w:w="1074" w:type="pct"/>
            <w:tcBorders>
              <w:top w:val="double" w:sz="4" w:space="0" w:color="auto"/>
              <w:bottom w:val="double" w:sz="4" w:space="0" w:color="auto"/>
            </w:tcBorders>
            <w:shd w:val="clear" w:color="auto" w:fill="CCCCCC"/>
          </w:tcPr>
          <w:p w:rsidR="00A9399A" w:rsidRPr="000C2C2B" w:rsidRDefault="00A9399A" w:rsidP="00417ACA">
            <w:pPr>
              <w:spacing w:after="0" w:line="240" w:lineRule="auto"/>
              <w:ind w:left="5"/>
              <w:jc w:val="right"/>
              <w:rPr>
                <w:rFonts w:ascii="Times New Roman" w:hAnsi="Times New Roman"/>
                <w:sz w:val="20"/>
                <w:szCs w:val="20"/>
              </w:rPr>
            </w:pPr>
          </w:p>
        </w:tc>
        <w:tc>
          <w:tcPr>
            <w:tcW w:w="752" w:type="pct"/>
            <w:tcBorders>
              <w:top w:val="double" w:sz="4" w:space="0" w:color="auto"/>
              <w:bottom w:val="double" w:sz="4" w:space="0" w:color="auto"/>
            </w:tcBorders>
          </w:tcPr>
          <w:p w:rsidR="00A9399A" w:rsidRPr="000C2C2B" w:rsidRDefault="00A9399A" w:rsidP="002411CC">
            <w:pPr>
              <w:spacing w:after="0" w:line="240" w:lineRule="auto"/>
              <w:ind w:left="-6"/>
              <w:jc w:val="right"/>
              <w:rPr>
                <w:rFonts w:ascii="Times New Roman" w:hAnsi="Times New Roman"/>
                <w:b/>
                <w:sz w:val="20"/>
                <w:szCs w:val="20"/>
              </w:rPr>
            </w:pPr>
            <w:r w:rsidRPr="000C2C2B">
              <w:rPr>
                <w:rFonts w:ascii="Times New Roman" w:hAnsi="Times New Roman"/>
                <w:b/>
                <w:sz w:val="20"/>
                <w:szCs w:val="20"/>
              </w:rPr>
              <w:t>10,484,400</w:t>
            </w:r>
          </w:p>
        </w:tc>
      </w:tr>
    </w:tbl>
    <w:p w:rsidR="00A9399A" w:rsidRPr="000C2C2B" w:rsidRDefault="00A9399A" w:rsidP="009571D3">
      <w:pPr>
        <w:pStyle w:val="Footer"/>
        <w:numPr>
          <w:ilvl w:val="0"/>
          <w:numId w:val="1"/>
        </w:numPr>
        <w:tabs>
          <w:tab w:val="clear" w:pos="720"/>
          <w:tab w:val="clear" w:pos="4320"/>
          <w:tab w:val="clear" w:pos="8640"/>
          <w:tab w:val="num" w:pos="-90"/>
          <w:tab w:val="left" w:pos="270"/>
        </w:tabs>
        <w:spacing w:before="200"/>
        <w:ind w:left="0" w:firstLine="0"/>
        <w:rPr>
          <w:b/>
          <w:smallCaps/>
          <w:sz w:val="22"/>
          <w:szCs w:val="22"/>
        </w:rPr>
      </w:pPr>
      <w:r w:rsidRPr="000C2C2B">
        <w:rPr>
          <w:b/>
          <w:smallCaps/>
          <w:sz w:val="22"/>
          <w:szCs w:val="22"/>
        </w:rPr>
        <w:t>GEF Resources Requested by Agency (</w:t>
      </w:r>
      <w:proofErr w:type="spellStart"/>
      <w:r w:rsidRPr="000C2C2B">
        <w:rPr>
          <w:b/>
          <w:smallCaps/>
          <w:sz w:val="22"/>
          <w:szCs w:val="22"/>
        </w:rPr>
        <w:t>ies</w:t>
      </w:r>
      <w:proofErr w:type="spellEnd"/>
      <w:r w:rsidRPr="000C2C2B">
        <w:rPr>
          <w:b/>
          <w:smallCaps/>
          <w:sz w:val="22"/>
          <w:szCs w:val="22"/>
        </w:rPr>
        <w:t>), Focal Area(s) and Country(</w:t>
      </w:r>
      <w:proofErr w:type="spellStart"/>
      <w:r w:rsidRPr="000C2C2B">
        <w:rPr>
          <w:b/>
          <w:smallCaps/>
          <w:sz w:val="22"/>
          <w:szCs w:val="22"/>
        </w:rPr>
        <w:t>ies</w:t>
      </w:r>
      <w:proofErr w:type="spellEnd"/>
      <w:r w:rsidRPr="000C2C2B">
        <w:rPr>
          <w:b/>
          <w:smallCaps/>
          <w:sz w:val="22"/>
          <w:szCs w:val="22"/>
        </w:rPr>
        <w:t>)</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1542"/>
        <w:gridCol w:w="1538"/>
        <w:gridCol w:w="1801"/>
        <w:gridCol w:w="1620"/>
        <w:gridCol w:w="1620"/>
        <w:gridCol w:w="1620"/>
      </w:tblGrid>
      <w:tr w:rsidR="00A9399A" w:rsidRPr="000C2C2B" w:rsidTr="00323BC4">
        <w:trPr>
          <w:trHeight w:val="260"/>
        </w:trPr>
        <w:tc>
          <w:tcPr>
            <w:tcW w:w="712" w:type="pct"/>
            <w:vAlign w:val="center"/>
          </w:tcPr>
          <w:p w:rsidR="00A9399A" w:rsidRPr="000C2C2B" w:rsidRDefault="00A9399A" w:rsidP="00417ACA">
            <w:pPr>
              <w:spacing w:after="0" w:line="240" w:lineRule="auto"/>
              <w:jc w:val="center"/>
              <w:rPr>
                <w:rFonts w:ascii="Times New Roman Bold" w:hAnsi="Times New Roman Bold"/>
                <w:b/>
                <w:sz w:val="20"/>
                <w:szCs w:val="20"/>
              </w:rPr>
            </w:pPr>
            <w:r w:rsidRPr="000C2C2B">
              <w:rPr>
                <w:rFonts w:ascii="Times New Roman Bold" w:hAnsi="Times New Roman Bold"/>
                <w:b/>
                <w:sz w:val="20"/>
                <w:szCs w:val="20"/>
              </w:rPr>
              <w:t>GEF Agency</w:t>
            </w:r>
          </w:p>
        </w:tc>
        <w:tc>
          <w:tcPr>
            <w:tcW w:w="679" w:type="pct"/>
            <w:vAlign w:val="center"/>
          </w:tcPr>
          <w:p w:rsidR="00A9399A" w:rsidRPr="000C2C2B" w:rsidRDefault="00A9399A" w:rsidP="00417ACA">
            <w:pPr>
              <w:spacing w:after="0" w:line="240" w:lineRule="auto"/>
              <w:jc w:val="center"/>
              <w:rPr>
                <w:rFonts w:ascii="Times New Roman Bold" w:hAnsi="Times New Roman Bold"/>
                <w:b/>
                <w:sz w:val="20"/>
                <w:szCs w:val="20"/>
              </w:rPr>
            </w:pPr>
            <w:r w:rsidRPr="000C2C2B">
              <w:rPr>
                <w:rFonts w:ascii="Times New Roman Bold" w:hAnsi="Times New Roman Bold"/>
                <w:b/>
                <w:sz w:val="20"/>
                <w:szCs w:val="20"/>
              </w:rPr>
              <w:t>Type of Trust Fund</w:t>
            </w:r>
          </w:p>
        </w:tc>
        <w:tc>
          <w:tcPr>
            <w:tcW w:w="677" w:type="pct"/>
            <w:vAlign w:val="center"/>
          </w:tcPr>
          <w:p w:rsidR="00A9399A" w:rsidRPr="000C2C2B" w:rsidRDefault="00A9399A" w:rsidP="00417ACA">
            <w:pPr>
              <w:spacing w:after="0" w:line="240" w:lineRule="auto"/>
              <w:jc w:val="center"/>
              <w:rPr>
                <w:rFonts w:ascii="Times New Roman Bold" w:hAnsi="Times New Roman Bold"/>
                <w:b/>
                <w:sz w:val="20"/>
                <w:szCs w:val="20"/>
              </w:rPr>
            </w:pPr>
            <w:r w:rsidRPr="000C2C2B">
              <w:rPr>
                <w:rFonts w:ascii="Times New Roman Bold" w:hAnsi="Times New Roman Bold"/>
                <w:b/>
                <w:sz w:val="20"/>
                <w:szCs w:val="20"/>
              </w:rPr>
              <w:t>Focal area</w:t>
            </w:r>
          </w:p>
        </w:tc>
        <w:tc>
          <w:tcPr>
            <w:tcW w:w="792" w:type="pct"/>
            <w:vAlign w:val="center"/>
          </w:tcPr>
          <w:p w:rsidR="00A9399A" w:rsidRPr="000C2C2B" w:rsidRDefault="00A9399A" w:rsidP="00417ACA">
            <w:pPr>
              <w:spacing w:after="0" w:line="240" w:lineRule="auto"/>
              <w:jc w:val="center"/>
              <w:rPr>
                <w:rFonts w:ascii="Times New Roman Bold" w:hAnsi="Times New Roman Bold"/>
                <w:b/>
                <w:sz w:val="20"/>
                <w:szCs w:val="20"/>
              </w:rPr>
            </w:pPr>
            <w:r w:rsidRPr="000C2C2B">
              <w:rPr>
                <w:rFonts w:ascii="Times New Roman Bold" w:hAnsi="Times New Roman Bold"/>
                <w:b/>
                <w:sz w:val="20"/>
                <w:szCs w:val="20"/>
              </w:rPr>
              <w:t>Country name/Global</w:t>
            </w:r>
          </w:p>
        </w:tc>
        <w:tc>
          <w:tcPr>
            <w:tcW w:w="713" w:type="pct"/>
            <w:vAlign w:val="center"/>
          </w:tcPr>
          <w:p w:rsidR="00A9399A" w:rsidRPr="000C2C2B" w:rsidRDefault="00A9399A" w:rsidP="00417ACA">
            <w:pPr>
              <w:spacing w:after="0" w:line="240" w:lineRule="auto"/>
              <w:jc w:val="center"/>
              <w:rPr>
                <w:rFonts w:ascii="Times New Roman" w:hAnsi="Times New Roman"/>
                <w:b/>
                <w:sz w:val="20"/>
                <w:szCs w:val="20"/>
              </w:rPr>
            </w:pPr>
            <w:r w:rsidRPr="000C2C2B">
              <w:rPr>
                <w:rFonts w:ascii="Times New Roman" w:hAnsi="Times New Roman"/>
                <w:b/>
                <w:sz w:val="20"/>
                <w:szCs w:val="20"/>
              </w:rPr>
              <w:t>Grant amount</w:t>
            </w:r>
          </w:p>
        </w:tc>
        <w:tc>
          <w:tcPr>
            <w:tcW w:w="713" w:type="pct"/>
            <w:vAlign w:val="center"/>
          </w:tcPr>
          <w:p w:rsidR="00A9399A" w:rsidRPr="000C2C2B" w:rsidRDefault="00A9399A" w:rsidP="00417ACA">
            <w:pPr>
              <w:spacing w:after="0" w:line="240" w:lineRule="auto"/>
              <w:jc w:val="center"/>
              <w:rPr>
                <w:rFonts w:ascii="Times New Roman" w:hAnsi="Times New Roman"/>
                <w:b/>
                <w:sz w:val="20"/>
                <w:szCs w:val="20"/>
              </w:rPr>
            </w:pPr>
            <w:r w:rsidRPr="000C2C2B">
              <w:rPr>
                <w:rFonts w:ascii="Times New Roman" w:hAnsi="Times New Roman"/>
                <w:b/>
                <w:sz w:val="20"/>
                <w:szCs w:val="20"/>
              </w:rPr>
              <w:t>Agency Fee (b)</w:t>
            </w:r>
          </w:p>
        </w:tc>
        <w:tc>
          <w:tcPr>
            <w:tcW w:w="714" w:type="pct"/>
            <w:vAlign w:val="center"/>
          </w:tcPr>
          <w:p w:rsidR="00A9399A" w:rsidRPr="000C2C2B" w:rsidRDefault="00A9399A" w:rsidP="00417ACA">
            <w:pPr>
              <w:spacing w:after="0" w:line="240" w:lineRule="auto"/>
              <w:ind w:firstLine="195"/>
              <w:jc w:val="center"/>
              <w:rPr>
                <w:rFonts w:ascii="Times New Roman" w:hAnsi="Times New Roman"/>
                <w:b/>
                <w:sz w:val="20"/>
                <w:szCs w:val="20"/>
              </w:rPr>
            </w:pPr>
            <w:r w:rsidRPr="000C2C2B">
              <w:rPr>
                <w:rFonts w:ascii="Times New Roman" w:hAnsi="Times New Roman"/>
                <w:b/>
                <w:sz w:val="20"/>
                <w:szCs w:val="20"/>
              </w:rPr>
              <w:t>Total c=</w:t>
            </w:r>
            <w:proofErr w:type="spellStart"/>
            <w:r w:rsidRPr="000C2C2B">
              <w:rPr>
                <w:rFonts w:ascii="Times New Roman" w:hAnsi="Times New Roman"/>
                <w:b/>
                <w:sz w:val="20"/>
                <w:szCs w:val="20"/>
              </w:rPr>
              <w:t>a+b</w:t>
            </w:r>
            <w:proofErr w:type="spellEnd"/>
          </w:p>
        </w:tc>
      </w:tr>
      <w:tr w:rsidR="00A9399A" w:rsidRPr="000C2C2B" w:rsidTr="00323BC4">
        <w:trPr>
          <w:trHeight w:val="152"/>
        </w:trPr>
        <w:tc>
          <w:tcPr>
            <w:tcW w:w="71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UNDP</w:t>
            </w:r>
          </w:p>
        </w:tc>
        <w:bookmarkStart w:id="11" w:name="TFType_01"/>
        <w:tc>
          <w:tcPr>
            <w:tcW w:w="679" w:type="pct"/>
          </w:tcPr>
          <w:p w:rsidR="00A9399A" w:rsidRPr="000C2C2B" w:rsidRDefault="00B2404B" w:rsidP="00323BC4">
            <w:pPr>
              <w:spacing w:after="0" w:line="240" w:lineRule="auto"/>
              <w:rPr>
                <w:rFonts w:ascii="Times New Roman" w:hAnsi="Times New Roman"/>
                <w:sz w:val="18"/>
                <w:szCs w:val="18"/>
              </w:rPr>
            </w:pPr>
            <w:r w:rsidRPr="000C2C2B">
              <w:rPr>
                <w:rFonts w:ascii="Times New Roman" w:hAnsi="Times New Roman"/>
                <w:bCs/>
                <w:smallCaps/>
                <w:sz w:val="18"/>
                <w:szCs w:val="18"/>
              </w:rPr>
              <w:fldChar w:fldCharType="begin">
                <w:ffData>
                  <w:name w:val="TFType_01"/>
                  <w:enabled/>
                  <w:calcOnExit w:val="0"/>
                  <w:ddList>
                    <w:listEntry w:val="GEF TF"/>
                    <w:listEntry w:val="(select)"/>
                    <w:listEntry w:val="LDCF"/>
                    <w:listEntry w:val="SCCF"/>
                    <w:listEntry w:val="Multi-TF"/>
                  </w:ddList>
                </w:ffData>
              </w:fldChar>
            </w:r>
            <w:r w:rsidR="00A9399A" w:rsidRPr="000C2C2B">
              <w:rPr>
                <w:rFonts w:ascii="Times New Roman" w:hAnsi="Times New Roman"/>
                <w:bCs/>
                <w:smallCaps/>
                <w:sz w:val="18"/>
                <w:szCs w:val="18"/>
              </w:rPr>
              <w:instrText xml:space="preserve"> FORMDROPDOWN </w:instrText>
            </w:r>
            <w:r w:rsidRPr="000C2C2B">
              <w:rPr>
                <w:rFonts w:ascii="Times New Roman" w:hAnsi="Times New Roman"/>
                <w:bCs/>
                <w:smallCaps/>
                <w:sz w:val="18"/>
                <w:szCs w:val="18"/>
              </w:rPr>
            </w:r>
            <w:r w:rsidRPr="000C2C2B">
              <w:rPr>
                <w:rFonts w:ascii="Times New Roman" w:hAnsi="Times New Roman"/>
                <w:bCs/>
                <w:smallCaps/>
                <w:sz w:val="18"/>
                <w:szCs w:val="18"/>
              </w:rPr>
              <w:fldChar w:fldCharType="end"/>
            </w:r>
            <w:bookmarkEnd w:id="11"/>
          </w:p>
        </w:tc>
        <w:tc>
          <w:tcPr>
            <w:tcW w:w="677"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Climate change</w:t>
            </w:r>
          </w:p>
        </w:tc>
        <w:tc>
          <w:tcPr>
            <w:tcW w:w="79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Belarus</w:t>
            </w:r>
          </w:p>
        </w:tc>
        <w:tc>
          <w:tcPr>
            <w:tcW w:w="713" w:type="pct"/>
          </w:tcPr>
          <w:p w:rsidR="00A9399A" w:rsidRPr="000C2C2B" w:rsidRDefault="00A9399A" w:rsidP="00323BC4">
            <w:pPr>
              <w:spacing w:after="0" w:line="240" w:lineRule="auto"/>
              <w:jc w:val="right"/>
              <w:rPr>
                <w:rFonts w:ascii="Times New Roman" w:hAnsi="Times New Roman"/>
                <w:sz w:val="18"/>
                <w:szCs w:val="18"/>
              </w:rPr>
            </w:pPr>
            <w:r w:rsidRPr="000C2C2B">
              <w:rPr>
                <w:rFonts w:ascii="Times New Roman" w:hAnsi="Times New Roman"/>
                <w:noProof/>
                <w:sz w:val="20"/>
                <w:szCs w:val="20"/>
              </w:rPr>
              <w:t>621,300</w:t>
            </w:r>
          </w:p>
        </w:tc>
        <w:tc>
          <w:tcPr>
            <w:tcW w:w="713"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noProof/>
                <w:sz w:val="20"/>
                <w:szCs w:val="20"/>
              </w:rPr>
              <w:t>62,130</w:t>
            </w:r>
          </w:p>
        </w:tc>
        <w:tc>
          <w:tcPr>
            <w:tcW w:w="714"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color w:val="000000"/>
                <w:sz w:val="18"/>
                <w:szCs w:val="18"/>
              </w:rPr>
              <w:t>683,430</w:t>
            </w:r>
          </w:p>
        </w:tc>
      </w:tr>
      <w:tr w:rsidR="00A9399A" w:rsidRPr="000C2C2B" w:rsidTr="00323BC4">
        <w:trPr>
          <w:trHeight w:val="143"/>
        </w:trPr>
        <w:tc>
          <w:tcPr>
            <w:tcW w:w="712" w:type="pct"/>
          </w:tcPr>
          <w:p w:rsidR="00A9399A" w:rsidRPr="000C2C2B" w:rsidRDefault="00A9399A" w:rsidP="00323BC4">
            <w:pPr>
              <w:spacing w:after="0" w:line="240" w:lineRule="auto"/>
              <w:rPr>
                <w:rFonts w:ascii="Times New Roman" w:hAnsi="Times New Roman"/>
                <w:sz w:val="18"/>
                <w:szCs w:val="18"/>
              </w:rPr>
            </w:pPr>
            <w:bookmarkStart w:id="12" w:name="BU_Agency_02"/>
            <w:r w:rsidRPr="000C2C2B">
              <w:rPr>
                <w:rFonts w:ascii="Times New Roman" w:hAnsi="Times New Roman"/>
                <w:sz w:val="18"/>
                <w:szCs w:val="18"/>
              </w:rPr>
              <w:t>UNDP</w:t>
            </w:r>
            <w:bookmarkEnd w:id="12"/>
          </w:p>
        </w:tc>
        <w:bookmarkStart w:id="13" w:name="TFType_02"/>
        <w:tc>
          <w:tcPr>
            <w:tcW w:w="679" w:type="pct"/>
          </w:tcPr>
          <w:p w:rsidR="00A9399A" w:rsidRPr="000C2C2B" w:rsidRDefault="00B2404B" w:rsidP="00323BC4">
            <w:pPr>
              <w:spacing w:after="0" w:line="240" w:lineRule="auto"/>
              <w:rPr>
                <w:rFonts w:ascii="Times New Roman" w:hAnsi="Times New Roman"/>
                <w:sz w:val="18"/>
                <w:szCs w:val="18"/>
              </w:rPr>
            </w:pPr>
            <w:r w:rsidRPr="000C2C2B">
              <w:rPr>
                <w:rFonts w:ascii="Times New Roman" w:hAnsi="Times New Roman"/>
                <w:bCs/>
                <w:smallCaps/>
                <w:sz w:val="18"/>
                <w:szCs w:val="18"/>
              </w:rPr>
              <w:fldChar w:fldCharType="begin">
                <w:ffData>
                  <w:name w:val="TFType_02"/>
                  <w:enabled/>
                  <w:calcOnExit w:val="0"/>
                  <w:ddList>
                    <w:listEntry w:val="GEF TF"/>
                    <w:listEntry w:val="(select)"/>
                    <w:listEntry w:val="LDCF"/>
                    <w:listEntry w:val="SCCF"/>
                    <w:listEntry w:val="Multi-TF"/>
                  </w:ddList>
                </w:ffData>
              </w:fldChar>
            </w:r>
            <w:r w:rsidR="00A9399A" w:rsidRPr="000C2C2B">
              <w:rPr>
                <w:rFonts w:ascii="Times New Roman" w:hAnsi="Times New Roman"/>
                <w:bCs/>
                <w:smallCaps/>
                <w:sz w:val="18"/>
                <w:szCs w:val="18"/>
              </w:rPr>
              <w:instrText xml:space="preserve"> FORMDROPDOWN </w:instrText>
            </w:r>
            <w:r w:rsidRPr="000C2C2B">
              <w:rPr>
                <w:rFonts w:ascii="Times New Roman" w:hAnsi="Times New Roman"/>
                <w:bCs/>
                <w:smallCaps/>
                <w:sz w:val="18"/>
                <w:szCs w:val="18"/>
              </w:rPr>
            </w:r>
            <w:r w:rsidRPr="000C2C2B">
              <w:rPr>
                <w:rFonts w:ascii="Times New Roman" w:hAnsi="Times New Roman"/>
                <w:bCs/>
                <w:smallCaps/>
                <w:sz w:val="18"/>
                <w:szCs w:val="18"/>
              </w:rPr>
              <w:fldChar w:fldCharType="end"/>
            </w:r>
            <w:bookmarkEnd w:id="13"/>
          </w:p>
        </w:tc>
        <w:tc>
          <w:tcPr>
            <w:tcW w:w="677"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Biodiversity</w:t>
            </w:r>
          </w:p>
        </w:tc>
        <w:tc>
          <w:tcPr>
            <w:tcW w:w="79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Belarus</w:t>
            </w:r>
          </w:p>
        </w:tc>
        <w:tc>
          <w:tcPr>
            <w:tcW w:w="713" w:type="pct"/>
          </w:tcPr>
          <w:p w:rsidR="00A9399A" w:rsidRPr="000C2C2B" w:rsidRDefault="00A9399A" w:rsidP="00323BC4">
            <w:pPr>
              <w:spacing w:after="0" w:line="240" w:lineRule="auto"/>
              <w:jc w:val="right"/>
              <w:rPr>
                <w:rFonts w:ascii="Times New Roman" w:hAnsi="Times New Roman"/>
                <w:sz w:val="18"/>
                <w:szCs w:val="18"/>
              </w:rPr>
            </w:pPr>
            <w:r w:rsidRPr="000C2C2B">
              <w:rPr>
                <w:rFonts w:ascii="Times New Roman" w:hAnsi="Times New Roman"/>
                <w:noProof/>
                <w:sz w:val="20"/>
                <w:szCs w:val="20"/>
              </w:rPr>
              <w:t>1,146,800</w:t>
            </w:r>
          </w:p>
        </w:tc>
        <w:tc>
          <w:tcPr>
            <w:tcW w:w="713"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noProof/>
                <w:sz w:val="20"/>
                <w:szCs w:val="20"/>
              </w:rPr>
              <w:t>114,680</w:t>
            </w:r>
          </w:p>
        </w:tc>
        <w:tc>
          <w:tcPr>
            <w:tcW w:w="714"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color w:val="000000"/>
                <w:sz w:val="18"/>
                <w:szCs w:val="18"/>
              </w:rPr>
              <w:t>1,261,480</w:t>
            </w:r>
          </w:p>
        </w:tc>
      </w:tr>
      <w:tr w:rsidR="00A9399A" w:rsidRPr="000C2C2B" w:rsidTr="00323BC4">
        <w:trPr>
          <w:trHeight w:val="197"/>
        </w:trPr>
        <w:tc>
          <w:tcPr>
            <w:tcW w:w="71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UNDP</w:t>
            </w:r>
          </w:p>
        </w:tc>
        <w:bookmarkStart w:id="14" w:name="TFType_03"/>
        <w:tc>
          <w:tcPr>
            <w:tcW w:w="679" w:type="pct"/>
          </w:tcPr>
          <w:p w:rsidR="00A9399A" w:rsidRPr="000C2C2B" w:rsidRDefault="00B2404B" w:rsidP="00323BC4">
            <w:pPr>
              <w:spacing w:after="0" w:line="240" w:lineRule="auto"/>
              <w:rPr>
                <w:rFonts w:ascii="Times New Roman" w:hAnsi="Times New Roman"/>
                <w:sz w:val="18"/>
                <w:szCs w:val="18"/>
              </w:rPr>
            </w:pPr>
            <w:r w:rsidRPr="000C2C2B">
              <w:rPr>
                <w:rFonts w:ascii="Times New Roman" w:hAnsi="Times New Roman"/>
                <w:bCs/>
                <w:smallCaps/>
                <w:sz w:val="18"/>
                <w:szCs w:val="18"/>
              </w:rPr>
              <w:fldChar w:fldCharType="begin">
                <w:ffData>
                  <w:name w:val="TFType_03"/>
                  <w:enabled/>
                  <w:calcOnExit w:val="0"/>
                  <w:ddList>
                    <w:listEntry w:val="GEF TF"/>
                    <w:listEntry w:val="(select)"/>
                    <w:listEntry w:val="LDCF"/>
                    <w:listEntry w:val="SCCF"/>
                    <w:listEntry w:val="Multi-TF"/>
                  </w:ddList>
                </w:ffData>
              </w:fldChar>
            </w:r>
            <w:r w:rsidR="00A9399A" w:rsidRPr="000C2C2B">
              <w:rPr>
                <w:rFonts w:ascii="Times New Roman" w:hAnsi="Times New Roman"/>
                <w:bCs/>
                <w:smallCaps/>
                <w:sz w:val="18"/>
                <w:szCs w:val="18"/>
              </w:rPr>
              <w:instrText xml:space="preserve"> FORMDROPDOWN </w:instrText>
            </w:r>
            <w:r w:rsidRPr="000C2C2B">
              <w:rPr>
                <w:rFonts w:ascii="Times New Roman" w:hAnsi="Times New Roman"/>
                <w:bCs/>
                <w:smallCaps/>
                <w:sz w:val="18"/>
                <w:szCs w:val="18"/>
              </w:rPr>
            </w:r>
            <w:r w:rsidRPr="000C2C2B">
              <w:rPr>
                <w:rFonts w:ascii="Times New Roman" w:hAnsi="Times New Roman"/>
                <w:bCs/>
                <w:smallCaps/>
                <w:sz w:val="18"/>
                <w:szCs w:val="18"/>
              </w:rPr>
              <w:fldChar w:fldCharType="end"/>
            </w:r>
            <w:bookmarkEnd w:id="14"/>
          </w:p>
        </w:tc>
        <w:tc>
          <w:tcPr>
            <w:tcW w:w="677"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Multi-focal area</w:t>
            </w:r>
          </w:p>
        </w:tc>
        <w:tc>
          <w:tcPr>
            <w:tcW w:w="79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Belarus</w:t>
            </w:r>
          </w:p>
        </w:tc>
        <w:tc>
          <w:tcPr>
            <w:tcW w:w="713" w:type="pct"/>
          </w:tcPr>
          <w:p w:rsidR="00A9399A" w:rsidRPr="000C2C2B" w:rsidRDefault="00A9399A" w:rsidP="00323BC4">
            <w:pPr>
              <w:spacing w:after="0" w:line="240" w:lineRule="auto"/>
              <w:jc w:val="right"/>
              <w:rPr>
                <w:rFonts w:ascii="Times New Roman" w:hAnsi="Times New Roman"/>
                <w:sz w:val="18"/>
                <w:szCs w:val="18"/>
              </w:rPr>
            </w:pPr>
            <w:r w:rsidRPr="000C2C2B">
              <w:rPr>
                <w:rFonts w:ascii="Times New Roman" w:hAnsi="Times New Roman"/>
                <w:noProof/>
                <w:sz w:val="20"/>
                <w:szCs w:val="20"/>
              </w:rPr>
              <w:t>670,100</w:t>
            </w:r>
          </w:p>
        </w:tc>
        <w:tc>
          <w:tcPr>
            <w:tcW w:w="713"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noProof/>
                <w:sz w:val="20"/>
                <w:szCs w:val="20"/>
              </w:rPr>
              <w:t>67,010</w:t>
            </w:r>
          </w:p>
        </w:tc>
        <w:tc>
          <w:tcPr>
            <w:tcW w:w="714"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color w:val="000000"/>
                <w:sz w:val="18"/>
                <w:szCs w:val="18"/>
              </w:rPr>
              <w:t>737,110</w:t>
            </w:r>
          </w:p>
        </w:tc>
      </w:tr>
      <w:tr w:rsidR="00A9399A" w:rsidRPr="000C2C2B" w:rsidTr="00323BC4">
        <w:trPr>
          <w:trHeight w:val="197"/>
        </w:trPr>
        <w:tc>
          <w:tcPr>
            <w:tcW w:w="71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UNDP</w:t>
            </w:r>
          </w:p>
        </w:tc>
        <w:tc>
          <w:tcPr>
            <w:tcW w:w="679" w:type="pct"/>
          </w:tcPr>
          <w:p w:rsidR="00A9399A" w:rsidRPr="000C2C2B" w:rsidRDefault="00A9399A" w:rsidP="00323BC4">
            <w:pPr>
              <w:spacing w:after="0" w:line="240" w:lineRule="auto"/>
              <w:rPr>
                <w:rFonts w:ascii="Times New Roman" w:hAnsi="Times New Roman"/>
                <w:bCs/>
                <w:smallCaps/>
                <w:sz w:val="18"/>
                <w:szCs w:val="18"/>
              </w:rPr>
            </w:pPr>
            <w:r w:rsidRPr="000C2C2B">
              <w:rPr>
                <w:rFonts w:ascii="Times New Roman" w:hAnsi="Times New Roman"/>
                <w:bCs/>
                <w:smallCaps/>
                <w:sz w:val="18"/>
                <w:szCs w:val="18"/>
              </w:rPr>
              <w:t>GEF TF</w:t>
            </w:r>
          </w:p>
        </w:tc>
        <w:tc>
          <w:tcPr>
            <w:tcW w:w="677"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Land degradation</w:t>
            </w:r>
          </w:p>
        </w:tc>
        <w:tc>
          <w:tcPr>
            <w:tcW w:w="792" w:type="pct"/>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sz w:val="18"/>
                <w:szCs w:val="18"/>
              </w:rPr>
              <w:t>Belarus</w:t>
            </w:r>
          </w:p>
        </w:tc>
        <w:tc>
          <w:tcPr>
            <w:tcW w:w="713" w:type="pct"/>
          </w:tcPr>
          <w:p w:rsidR="00A9399A" w:rsidRPr="000C2C2B" w:rsidRDefault="00A9399A" w:rsidP="00323BC4">
            <w:pPr>
              <w:spacing w:after="0" w:line="240" w:lineRule="auto"/>
              <w:jc w:val="right"/>
              <w:rPr>
                <w:rFonts w:ascii="Times New Roman" w:hAnsi="Times New Roman"/>
                <w:sz w:val="18"/>
                <w:szCs w:val="18"/>
                <w:lang w:val="ru-RU"/>
              </w:rPr>
            </w:pPr>
            <w:r w:rsidRPr="000C2C2B">
              <w:rPr>
                <w:rFonts w:ascii="Times New Roman" w:hAnsi="Times New Roman"/>
                <w:noProof/>
                <w:sz w:val="20"/>
                <w:szCs w:val="20"/>
              </w:rPr>
              <w:t>262,700</w:t>
            </w:r>
          </w:p>
        </w:tc>
        <w:tc>
          <w:tcPr>
            <w:tcW w:w="713"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color w:val="000000"/>
                <w:sz w:val="18"/>
                <w:szCs w:val="18"/>
              </w:rPr>
              <w:t>26,270</w:t>
            </w:r>
          </w:p>
        </w:tc>
        <w:tc>
          <w:tcPr>
            <w:tcW w:w="714" w:type="pct"/>
          </w:tcPr>
          <w:p w:rsidR="00A9399A" w:rsidRPr="000C2C2B" w:rsidRDefault="00A9399A" w:rsidP="00323BC4">
            <w:pPr>
              <w:spacing w:after="0" w:line="240" w:lineRule="auto"/>
              <w:jc w:val="right"/>
              <w:rPr>
                <w:rFonts w:ascii="Times New Roman" w:hAnsi="Times New Roman"/>
                <w:color w:val="000000"/>
                <w:sz w:val="18"/>
                <w:szCs w:val="18"/>
              </w:rPr>
            </w:pPr>
            <w:r w:rsidRPr="000C2C2B">
              <w:rPr>
                <w:rFonts w:ascii="Times New Roman" w:hAnsi="Times New Roman"/>
                <w:color w:val="000000"/>
                <w:sz w:val="18"/>
                <w:szCs w:val="18"/>
              </w:rPr>
              <w:t>288,970</w:t>
            </w:r>
          </w:p>
        </w:tc>
      </w:tr>
      <w:tr w:rsidR="00A9399A" w:rsidRPr="000C2C2B" w:rsidTr="00323BC4">
        <w:trPr>
          <w:trHeight w:val="132"/>
        </w:trPr>
        <w:tc>
          <w:tcPr>
            <w:tcW w:w="2861" w:type="pct"/>
            <w:gridSpan w:val="4"/>
            <w:tcBorders>
              <w:top w:val="double" w:sz="4" w:space="0" w:color="auto"/>
            </w:tcBorders>
          </w:tcPr>
          <w:p w:rsidR="00A9399A" w:rsidRPr="000C2C2B" w:rsidRDefault="00A9399A" w:rsidP="00323BC4">
            <w:pPr>
              <w:spacing w:after="0" w:line="240" w:lineRule="auto"/>
              <w:rPr>
                <w:rFonts w:ascii="Times New Roman" w:hAnsi="Times New Roman"/>
                <w:sz w:val="18"/>
                <w:szCs w:val="18"/>
              </w:rPr>
            </w:pPr>
            <w:r w:rsidRPr="000C2C2B">
              <w:rPr>
                <w:rFonts w:ascii="Times New Roman" w:hAnsi="Times New Roman"/>
                <w:b/>
                <w:sz w:val="18"/>
                <w:szCs w:val="18"/>
              </w:rPr>
              <w:t>Total GEF Resources</w:t>
            </w:r>
          </w:p>
        </w:tc>
        <w:tc>
          <w:tcPr>
            <w:tcW w:w="713" w:type="pct"/>
            <w:tcBorders>
              <w:top w:val="double" w:sz="4" w:space="0" w:color="auto"/>
            </w:tcBorders>
          </w:tcPr>
          <w:p w:rsidR="00A9399A" w:rsidRPr="000C2C2B" w:rsidRDefault="00A9399A" w:rsidP="00323BC4">
            <w:pPr>
              <w:spacing w:after="0" w:line="240" w:lineRule="auto"/>
              <w:jc w:val="right"/>
              <w:rPr>
                <w:rFonts w:ascii="Times New Roman" w:hAnsi="Times New Roman"/>
                <w:b/>
                <w:sz w:val="18"/>
                <w:szCs w:val="18"/>
              </w:rPr>
            </w:pPr>
            <w:r w:rsidRPr="000C2C2B">
              <w:rPr>
                <w:rFonts w:ascii="Times New Roman" w:hAnsi="Times New Roman"/>
                <w:b/>
                <w:sz w:val="18"/>
                <w:szCs w:val="18"/>
              </w:rPr>
              <w:t>2,700,900</w:t>
            </w:r>
          </w:p>
        </w:tc>
        <w:tc>
          <w:tcPr>
            <w:tcW w:w="713" w:type="pct"/>
            <w:tcBorders>
              <w:top w:val="double" w:sz="4" w:space="0" w:color="auto"/>
            </w:tcBorders>
          </w:tcPr>
          <w:p w:rsidR="00A9399A" w:rsidRPr="000C2C2B" w:rsidRDefault="00A9399A" w:rsidP="00323BC4">
            <w:pPr>
              <w:spacing w:after="0" w:line="240" w:lineRule="auto"/>
              <w:jc w:val="right"/>
              <w:rPr>
                <w:rFonts w:ascii="Times New Roman" w:hAnsi="Times New Roman"/>
                <w:b/>
                <w:color w:val="000000"/>
                <w:sz w:val="18"/>
                <w:szCs w:val="18"/>
              </w:rPr>
            </w:pPr>
            <w:r w:rsidRPr="000C2C2B">
              <w:rPr>
                <w:rFonts w:ascii="Times New Roman" w:hAnsi="Times New Roman"/>
                <w:b/>
                <w:color w:val="000000"/>
                <w:sz w:val="18"/>
                <w:szCs w:val="18"/>
              </w:rPr>
              <w:t>270,090</w:t>
            </w:r>
          </w:p>
        </w:tc>
        <w:tc>
          <w:tcPr>
            <w:tcW w:w="714" w:type="pct"/>
            <w:tcBorders>
              <w:top w:val="double" w:sz="4" w:space="0" w:color="auto"/>
            </w:tcBorders>
          </w:tcPr>
          <w:p w:rsidR="00A9399A" w:rsidRPr="000C2C2B" w:rsidRDefault="00A9399A" w:rsidP="00323BC4">
            <w:pPr>
              <w:spacing w:after="0" w:line="240" w:lineRule="auto"/>
              <w:jc w:val="right"/>
              <w:rPr>
                <w:rFonts w:ascii="Times New Roman" w:hAnsi="Times New Roman"/>
                <w:b/>
                <w:color w:val="000000"/>
                <w:sz w:val="18"/>
                <w:szCs w:val="18"/>
              </w:rPr>
            </w:pPr>
            <w:r w:rsidRPr="000C2C2B">
              <w:rPr>
                <w:rFonts w:ascii="Times New Roman" w:hAnsi="Times New Roman"/>
                <w:b/>
                <w:color w:val="000000"/>
                <w:sz w:val="18"/>
                <w:szCs w:val="18"/>
              </w:rPr>
              <w:t>2,970,990</w:t>
            </w:r>
          </w:p>
        </w:tc>
      </w:tr>
    </w:tbl>
    <w:p w:rsidR="00A9399A" w:rsidRPr="000C2C2B" w:rsidRDefault="00A9399A" w:rsidP="00195DD1">
      <w:pPr>
        <w:pStyle w:val="Footer"/>
        <w:spacing w:before="200"/>
        <w:rPr>
          <w:b/>
          <w:caps/>
          <w:sz w:val="21"/>
          <w:szCs w:val="21"/>
          <w:u w:val="single"/>
        </w:rPr>
      </w:pPr>
      <w:r w:rsidRPr="000C2C2B">
        <w:rPr>
          <w:b/>
          <w:caps/>
          <w:sz w:val="21"/>
          <w:szCs w:val="21"/>
          <w:u w:val="single"/>
        </w:rPr>
        <w:t>part ii: project JustiFication</w:t>
      </w:r>
    </w:p>
    <w:p w:rsidR="00A9399A" w:rsidRPr="000C2C2B" w:rsidRDefault="00A9399A" w:rsidP="00195DD1">
      <w:pPr>
        <w:numPr>
          <w:ilvl w:val="0"/>
          <w:numId w:val="2"/>
        </w:numPr>
        <w:tabs>
          <w:tab w:val="clear" w:pos="720"/>
          <w:tab w:val="num" w:pos="450"/>
        </w:tabs>
        <w:spacing w:before="120" w:after="0" w:line="240" w:lineRule="auto"/>
        <w:ind w:left="360" w:right="270"/>
        <w:rPr>
          <w:rFonts w:ascii="Times New Roman" w:hAnsi="Times New Roman"/>
          <w:sz w:val="21"/>
          <w:szCs w:val="21"/>
        </w:rPr>
      </w:pPr>
      <w:r w:rsidRPr="000C2C2B">
        <w:rPr>
          <w:rFonts w:ascii="Times New Roman" w:hAnsi="Times New Roman"/>
          <w:b/>
          <w:smallCaps/>
          <w:sz w:val="21"/>
          <w:szCs w:val="21"/>
        </w:rPr>
        <w:t>Description of the consistency of the</w:t>
      </w:r>
      <w:r w:rsidRPr="000C2C2B">
        <w:rPr>
          <w:rFonts w:ascii="Times New Roman" w:hAnsi="Times New Roman"/>
          <w:smallCaps/>
          <w:sz w:val="21"/>
          <w:szCs w:val="21"/>
        </w:rPr>
        <w:t xml:space="preserve"> </w:t>
      </w:r>
      <w:r w:rsidRPr="000C2C2B">
        <w:rPr>
          <w:rFonts w:ascii="Times New Roman" w:hAnsi="Times New Roman"/>
          <w:b/>
          <w:smallCaps/>
          <w:sz w:val="21"/>
          <w:szCs w:val="21"/>
        </w:rPr>
        <w:t>project with:</w:t>
      </w:r>
    </w:p>
    <w:p w:rsidR="00A9399A" w:rsidRPr="000C2C2B" w:rsidRDefault="00A9399A" w:rsidP="00195DD1">
      <w:pPr>
        <w:pStyle w:val="aaa"/>
        <w:numPr>
          <w:ilvl w:val="0"/>
          <w:numId w:val="0"/>
        </w:numPr>
        <w:spacing w:before="100"/>
        <w:ind w:right="270"/>
        <w:jc w:val="both"/>
        <w:rPr>
          <w:b/>
          <w:smallCaps/>
          <w:sz w:val="21"/>
          <w:szCs w:val="21"/>
        </w:rPr>
      </w:pPr>
      <w:r w:rsidRPr="000C2C2B">
        <w:rPr>
          <w:b/>
          <w:smallCaps/>
          <w:sz w:val="21"/>
          <w:szCs w:val="21"/>
        </w:rPr>
        <w:t xml:space="preserve">A.1. the GEF focal area strategies: </w:t>
      </w:r>
    </w:p>
    <w:p w:rsidR="00A9399A" w:rsidRPr="000C2C2B" w:rsidRDefault="00A9399A" w:rsidP="00195DD1">
      <w:pPr>
        <w:pStyle w:val="aaaa"/>
        <w:tabs>
          <w:tab w:val="clear" w:pos="360"/>
          <w:tab w:val="clear" w:pos="720"/>
        </w:tabs>
        <w:spacing w:after="80"/>
        <w:ind w:right="270"/>
        <w:jc w:val="both"/>
        <w:rPr>
          <w:sz w:val="21"/>
          <w:szCs w:val="21"/>
        </w:rPr>
      </w:pPr>
      <w:r w:rsidRPr="000C2C2B">
        <w:rPr>
          <w:sz w:val="21"/>
          <w:szCs w:val="21"/>
        </w:rPr>
        <w:t xml:space="preserve">The project will generate multiple environmental benefits, demonstrating ways and means of improving </w:t>
      </w:r>
      <w:proofErr w:type="spellStart"/>
      <w:r w:rsidRPr="000C2C2B">
        <w:rPr>
          <w:sz w:val="21"/>
          <w:szCs w:val="21"/>
        </w:rPr>
        <w:t>peatland</w:t>
      </w:r>
      <w:proofErr w:type="spellEnd"/>
      <w:r w:rsidRPr="000C2C2B">
        <w:rPr>
          <w:sz w:val="21"/>
          <w:szCs w:val="21"/>
        </w:rPr>
        <w:t xml:space="preserve"> management in the </w:t>
      </w:r>
      <w:proofErr w:type="spellStart"/>
      <w:r w:rsidRPr="000C2C2B">
        <w:rPr>
          <w:sz w:val="21"/>
          <w:szCs w:val="21"/>
        </w:rPr>
        <w:t>Poozerie</w:t>
      </w:r>
      <w:proofErr w:type="spellEnd"/>
      <w:r w:rsidRPr="000C2C2B">
        <w:rPr>
          <w:sz w:val="21"/>
          <w:szCs w:val="21"/>
        </w:rPr>
        <w:t xml:space="preserve"> landscape, and strengthening national policies governing </w:t>
      </w:r>
      <w:proofErr w:type="spellStart"/>
      <w:r w:rsidRPr="000C2C2B">
        <w:rPr>
          <w:sz w:val="21"/>
          <w:szCs w:val="21"/>
        </w:rPr>
        <w:t>peatland</w:t>
      </w:r>
      <w:proofErr w:type="spellEnd"/>
      <w:r w:rsidRPr="000C2C2B">
        <w:rPr>
          <w:sz w:val="21"/>
          <w:szCs w:val="21"/>
        </w:rPr>
        <w:t xml:space="preserve"> management including </w:t>
      </w:r>
      <w:r w:rsidRPr="000C2C2B">
        <w:rPr>
          <w:i/>
          <w:sz w:val="21"/>
          <w:szCs w:val="21"/>
        </w:rPr>
        <w:t>inter alia</w:t>
      </w:r>
      <w:r w:rsidRPr="000C2C2B">
        <w:rPr>
          <w:sz w:val="21"/>
          <w:szCs w:val="21"/>
        </w:rPr>
        <w:t xml:space="preserve"> sustainable </w:t>
      </w:r>
      <w:proofErr w:type="spellStart"/>
      <w:r w:rsidRPr="000C2C2B">
        <w:rPr>
          <w:sz w:val="21"/>
          <w:szCs w:val="21"/>
        </w:rPr>
        <w:t>peatland</w:t>
      </w:r>
      <w:proofErr w:type="spellEnd"/>
      <w:r w:rsidRPr="000C2C2B">
        <w:rPr>
          <w:sz w:val="21"/>
          <w:szCs w:val="21"/>
        </w:rPr>
        <w:t xml:space="preserve"> forest management. The project generates benefits under the biodiversity focal area, improving the conservation status of </w:t>
      </w:r>
      <w:proofErr w:type="spellStart"/>
      <w:r w:rsidRPr="000C2C2B">
        <w:rPr>
          <w:sz w:val="21"/>
          <w:szCs w:val="21"/>
        </w:rPr>
        <w:t>peatlands</w:t>
      </w:r>
      <w:proofErr w:type="spellEnd"/>
      <w:r w:rsidRPr="000C2C2B">
        <w:rPr>
          <w:sz w:val="21"/>
          <w:szCs w:val="21"/>
        </w:rPr>
        <w:t xml:space="preserve"> by enhancing the management effectiveness of 93,000 ha of existing protected areas and establishing new protected </w:t>
      </w:r>
      <w:r w:rsidRPr="000C2C2B">
        <w:rPr>
          <w:sz w:val="21"/>
          <w:szCs w:val="21"/>
        </w:rPr>
        <w:lastRenderedPageBreak/>
        <w:t xml:space="preserve">areas (covering 20,000 ha) to increase the representation of bog and </w:t>
      </w:r>
      <w:proofErr w:type="spellStart"/>
      <w:r w:rsidRPr="000C2C2B">
        <w:rPr>
          <w:sz w:val="21"/>
          <w:szCs w:val="21"/>
        </w:rPr>
        <w:t>mesotrophic</w:t>
      </w:r>
      <w:proofErr w:type="spellEnd"/>
      <w:r w:rsidRPr="000C2C2B">
        <w:rPr>
          <w:sz w:val="21"/>
          <w:szCs w:val="21"/>
        </w:rPr>
        <w:t xml:space="preserve"> mire ecosystems in the national PA estate. This will be accompanied by efforts to delineate buffer zones and corridors to conserve critical biodiversity areas in the surrounding landscape. The project will trigger a shift from a site-based to a landscape approach to </w:t>
      </w:r>
      <w:proofErr w:type="spellStart"/>
      <w:r w:rsidRPr="000C2C2B">
        <w:rPr>
          <w:sz w:val="21"/>
          <w:szCs w:val="21"/>
        </w:rPr>
        <w:t>peatlands</w:t>
      </w:r>
      <w:proofErr w:type="spellEnd"/>
      <w:r w:rsidRPr="000C2C2B">
        <w:rPr>
          <w:sz w:val="21"/>
          <w:szCs w:val="21"/>
        </w:rPr>
        <w:t xml:space="preserve"> management with a view to reducing pressures on </w:t>
      </w:r>
      <w:proofErr w:type="spellStart"/>
      <w:r w:rsidRPr="000C2C2B">
        <w:rPr>
          <w:sz w:val="21"/>
          <w:szCs w:val="21"/>
        </w:rPr>
        <w:t>peatlands</w:t>
      </w:r>
      <w:proofErr w:type="spellEnd"/>
      <w:r w:rsidRPr="000C2C2B">
        <w:rPr>
          <w:sz w:val="21"/>
          <w:szCs w:val="21"/>
        </w:rPr>
        <w:t xml:space="preserve"> from unsustainable agricultural and forest use practices. This will secure multiple ecosystem benefits, in particular optimizing soil productivity, and sustaining </w:t>
      </w:r>
      <w:proofErr w:type="spellStart"/>
      <w:r w:rsidRPr="000C2C2B">
        <w:rPr>
          <w:sz w:val="21"/>
          <w:szCs w:val="21"/>
        </w:rPr>
        <w:t>peatland</w:t>
      </w:r>
      <w:proofErr w:type="spellEnd"/>
      <w:r w:rsidRPr="000C2C2B">
        <w:rPr>
          <w:sz w:val="21"/>
          <w:szCs w:val="21"/>
        </w:rPr>
        <w:t xml:space="preserve"> hydrology and peat-formation processes, thereby contributing to the outcomes of the GEF Land Degradation focal area. Under the climate change focal area, the project will restore degraded </w:t>
      </w:r>
      <w:proofErr w:type="spellStart"/>
      <w:r w:rsidRPr="000C2C2B">
        <w:rPr>
          <w:sz w:val="21"/>
          <w:szCs w:val="21"/>
        </w:rPr>
        <w:t>peatlands</w:t>
      </w:r>
      <w:proofErr w:type="spellEnd"/>
      <w:r w:rsidRPr="000C2C2B">
        <w:rPr>
          <w:sz w:val="21"/>
          <w:szCs w:val="21"/>
        </w:rPr>
        <w:t xml:space="preserve"> to natural condition, covering 2,000 ha of degraded agricultural land and 3,000 ha of degraded forest </w:t>
      </w:r>
      <w:proofErr w:type="spellStart"/>
      <w:r w:rsidRPr="000C2C2B">
        <w:rPr>
          <w:sz w:val="21"/>
          <w:szCs w:val="21"/>
        </w:rPr>
        <w:t>peatlands</w:t>
      </w:r>
      <w:proofErr w:type="spellEnd"/>
      <w:r w:rsidRPr="000C2C2B">
        <w:rPr>
          <w:sz w:val="21"/>
          <w:szCs w:val="21"/>
        </w:rPr>
        <w:t xml:space="preserve">. This will result in the reduction of carbon emissions by an estimated 69,876 tCO2/y and increase sequestration by 31,929 tCO2/y. [The emission/sequestration factors are based on </w:t>
      </w:r>
      <w:proofErr w:type="spellStart"/>
      <w:r w:rsidRPr="000C2C2B">
        <w:rPr>
          <w:i/>
          <w:sz w:val="21"/>
          <w:szCs w:val="21"/>
        </w:rPr>
        <w:t>Couwenberg</w:t>
      </w:r>
      <w:proofErr w:type="spellEnd"/>
      <w:r w:rsidRPr="000C2C2B">
        <w:rPr>
          <w:i/>
          <w:sz w:val="21"/>
          <w:szCs w:val="21"/>
        </w:rPr>
        <w:t xml:space="preserve">, J. Emission factors for managed peat soils: </w:t>
      </w:r>
      <w:proofErr w:type="gramStart"/>
      <w:r w:rsidRPr="000C2C2B">
        <w:rPr>
          <w:i/>
          <w:sz w:val="21"/>
          <w:szCs w:val="21"/>
        </w:rPr>
        <w:t>an analyses</w:t>
      </w:r>
      <w:proofErr w:type="gramEnd"/>
      <w:r w:rsidRPr="000C2C2B">
        <w:rPr>
          <w:i/>
          <w:sz w:val="21"/>
          <w:szCs w:val="21"/>
        </w:rPr>
        <w:t xml:space="preserve"> of IPCC default values. </w:t>
      </w:r>
      <w:proofErr w:type="gramStart"/>
      <w:r w:rsidRPr="000C2C2B">
        <w:rPr>
          <w:i/>
          <w:sz w:val="21"/>
          <w:szCs w:val="21"/>
        </w:rPr>
        <w:t>Bonn-Ede, 2009</w:t>
      </w:r>
      <w:r w:rsidRPr="000C2C2B">
        <w:rPr>
          <w:sz w:val="21"/>
          <w:szCs w:val="21"/>
        </w:rPr>
        <w:t>.].</w:t>
      </w:r>
      <w:proofErr w:type="gramEnd"/>
      <w:r w:rsidRPr="000C2C2B">
        <w:rPr>
          <w:sz w:val="21"/>
          <w:szCs w:val="21"/>
        </w:rPr>
        <w:t xml:space="preserve"> This is in line with the expected outcomes of GEF CC SO-5 (</w:t>
      </w:r>
      <w:r w:rsidRPr="000C2C2B">
        <w:rPr>
          <w:i/>
          <w:sz w:val="21"/>
          <w:szCs w:val="21"/>
        </w:rPr>
        <w:t xml:space="preserve">Restoration and enhancement of carbon stocks in forests and non-forest lands, including </w:t>
      </w:r>
      <w:proofErr w:type="spellStart"/>
      <w:r w:rsidRPr="000C2C2B">
        <w:rPr>
          <w:i/>
          <w:sz w:val="21"/>
          <w:szCs w:val="21"/>
        </w:rPr>
        <w:t>peatlands</w:t>
      </w:r>
      <w:proofErr w:type="spellEnd"/>
      <w:r w:rsidRPr="000C2C2B">
        <w:rPr>
          <w:sz w:val="21"/>
          <w:szCs w:val="21"/>
        </w:rPr>
        <w:t xml:space="preserve">). </w:t>
      </w:r>
      <w:r w:rsidRPr="000C2C2B">
        <w:rPr>
          <w:sz w:val="21"/>
          <w:szCs w:val="21"/>
          <w:lang w:val="en-GB"/>
        </w:rPr>
        <w:t xml:space="preserve">From a carbon cost-effectiveness perspective, the total project investment of US$12,090,900 will ensure a reduction of CO2 and additional sequestration amounting to 1,001,543 tCO2 over a 10 </w:t>
      </w:r>
      <w:r w:rsidRPr="000C2C2B">
        <w:rPr>
          <w:sz w:val="21"/>
          <w:szCs w:val="21"/>
        </w:rPr>
        <w:t xml:space="preserve">year time horizon (the most conservative horizon adopted by voluntary carbon markets for this type of project), equating to a </w:t>
      </w:r>
      <w:r w:rsidRPr="000C2C2B">
        <w:rPr>
          <w:bCs/>
          <w:iCs/>
          <w:noProof/>
          <w:color w:val="000000"/>
          <w:sz w:val="21"/>
          <w:szCs w:val="21"/>
          <w:lang w:val="en-GB"/>
        </w:rPr>
        <w:t xml:space="preserve">unit cost of US$12.07/tCO2. This is </w:t>
      </w:r>
      <w:r w:rsidRPr="000C2C2B">
        <w:rPr>
          <w:sz w:val="21"/>
          <w:szCs w:val="21"/>
          <w:lang w:val="en-GB" w:eastAsia="de-DE"/>
        </w:rPr>
        <w:t xml:space="preserve">lower than the average cost of other low-cost mitigation approaches that could be applied in Belarus, and is below the IPCC recognized ceiling of US$20/tCO2-eq for low-cost technologies. </w:t>
      </w:r>
      <w:r w:rsidRPr="000C2C2B">
        <w:rPr>
          <w:sz w:val="21"/>
          <w:szCs w:val="21"/>
          <w:lang w:val="en-GB"/>
        </w:rPr>
        <w:t xml:space="preserve">The cost of rewetting the </w:t>
      </w:r>
      <w:proofErr w:type="spellStart"/>
      <w:r w:rsidRPr="000C2C2B">
        <w:rPr>
          <w:sz w:val="21"/>
          <w:szCs w:val="21"/>
          <w:lang w:val="en-GB"/>
        </w:rPr>
        <w:t>peatlands</w:t>
      </w:r>
      <w:proofErr w:type="spellEnd"/>
      <w:r w:rsidRPr="000C2C2B">
        <w:rPr>
          <w:sz w:val="21"/>
          <w:szCs w:val="21"/>
          <w:lang w:val="en-GB"/>
        </w:rPr>
        <w:t xml:space="preserve"> amounts on average to US$ 50/ha, far less than the investments required if the land were to be rehabilitated for agriculture ($2</w:t>
      </w:r>
      <w:r w:rsidRPr="000C2C2B">
        <w:rPr>
          <w:sz w:val="21"/>
          <w:szCs w:val="21"/>
        </w:rPr>
        <w:t>,</w:t>
      </w:r>
      <w:r w:rsidRPr="000C2C2B">
        <w:rPr>
          <w:sz w:val="21"/>
          <w:szCs w:val="21"/>
          <w:lang w:val="en-GB"/>
        </w:rPr>
        <w:t xml:space="preserve">000/ha) or forestry ($1,250/ha), which would require an investment in drainage reconstruction, fertiliser application, and ploughing. Under SFM, </w:t>
      </w:r>
      <w:r w:rsidRPr="000C2C2B">
        <w:rPr>
          <w:sz w:val="21"/>
          <w:szCs w:val="21"/>
        </w:rPr>
        <w:t xml:space="preserve">the project will develop a new model for </w:t>
      </w:r>
      <w:proofErr w:type="spellStart"/>
      <w:r w:rsidRPr="000C2C2B">
        <w:rPr>
          <w:sz w:val="21"/>
          <w:szCs w:val="21"/>
        </w:rPr>
        <w:t>peatland</w:t>
      </w:r>
      <w:proofErr w:type="spellEnd"/>
      <w:r w:rsidRPr="000C2C2B">
        <w:rPr>
          <w:sz w:val="21"/>
          <w:szCs w:val="21"/>
        </w:rPr>
        <w:t xml:space="preserve"> forests management, encouraging sustainable land uses such as wildlife management and the production of non-timber forest resources. The current MRV system for trading </w:t>
      </w:r>
      <w:proofErr w:type="spellStart"/>
      <w:r w:rsidRPr="000C2C2B">
        <w:rPr>
          <w:sz w:val="21"/>
          <w:szCs w:val="21"/>
        </w:rPr>
        <w:t>peatland</w:t>
      </w:r>
      <w:proofErr w:type="spellEnd"/>
      <w:r w:rsidRPr="000C2C2B">
        <w:rPr>
          <w:sz w:val="21"/>
          <w:szCs w:val="21"/>
        </w:rPr>
        <w:t xml:space="preserve"> carbon emissions reductions in Belarus (developed with assistance from ICI funding – please see further detail under Related Projects) will be used and improved on the basis of its application at new biotopes. A pipeline of forest </w:t>
      </w:r>
      <w:proofErr w:type="spellStart"/>
      <w:r w:rsidRPr="000C2C2B">
        <w:rPr>
          <w:sz w:val="21"/>
          <w:szCs w:val="21"/>
        </w:rPr>
        <w:t>peatland</w:t>
      </w:r>
      <w:proofErr w:type="spellEnd"/>
      <w:r w:rsidRPr="000C2C2B">
        <w:rPr>
          <w:sz w:val="21"/>
          <w:szCs w:val="21"/>
        </w:rPr>
        <w:t xml:space="preserve"> restoration projects will be developed for the voluntary and compliance markets through the ecosystem carbon mechanism, created with financing from Germany (please see further details in the text). </w:t>
      </w:r>
    </w:p>
    <w:p w:rsidR="00A9399A" w:rsidRPr="000C2C2B" w:rsidRDefault="00A9399A" w:rsidP="00195DD1">
      <w:pPr>
        <w:pStyle w:val="aaaa"/>
        <w:tabs>
          <w:tab w:val="clear" w:pos="360"/>
          <w:tab w:val="clear" w:pos="720"/>
        </w:tabs>
        <w:spacing w:after="80"/>
        <w:ind w:right="270"/>
        <w:jc w:val="both"/>
        <w:rPr>
          <w:sz w:val="21"/>
          <w:szCs w:val="21"/>
        </w:rPr>
      </w:pPr>
      <w:r w:rsidRPr="000C2C2B">
        <w:rPr>
          <w:b/>
          <w:smallCaps/>
          <w:sz w:val="21"/>
          <w:szCs w:val="21"/>
        </w:rPr>
        <w:t xml:space="preserve">A.2. national strategies and plans or reports and assessments under relevant conventions: </w:t>
      </w:r>
    </w:p>
    <w:p w:rsidR="00A9399A" w:rsidRPr="000C2C2B" w:rsidRDefault="00A9399A" w:rsidP="00195DD1">
      <w:pPr>
        <w:pStyle w:val="aaaa"/>
        <w:tabs>
          <w:tab w:val="clear" w:pos="360"/>
          <w:tab w:val="clear" w:pos="720"/>
        </w:tabs>
        <w:spacing w:after="80"/>
        <w:ind w:right="270"/>
        <w:jc w:val="both"/>
        <w:rPr>
          <w:sz w:val="21"/>
          <w:szCs w:val="21"/>
        </w:rPr>
      </w:pPr>
      <w:r w:rsidRPr="000C2C2B">
        <w:rPr>
          <w:sz w:val="21"/>
          <w:szCs w:val="21"/>
        </w:rPr>
        <w:t xml:space="preserve">The Government of Belarus is formulating a National Strategic Program on </w:t>
      </w:r>
      <w:proofErr w:type="spellStart"/>
      <w:r w:rsidRPr="000C2C2B">
        <w:rPr>
          <w:sz w:val="21"/>
          <w:szCs w:val="21"/>
        </w:rPr>
        <w:t>Peatlands</w:t>
      </w:r>
      <w:proofErr w:type="spellEnd"/>
      <w:r w:rsidRPr="000C2C2B">
        <w:rPr>
          <w:sz w:val="21"/>
          <w:szCs w:val="21"/>
        </w:rPr>
        <w:t xml:space="preserve">, to be implemented over the next twenty years. This builds on the current </w:t>
      </w:r>
      <w:r w:rsidRPr="000C2C2B">
        <w:rPr>
          <w:i/>
          <w:sz w:val="21"/>
          <w:szCs w:val="21"/>
        </w:rPr>
        <w:t xml:space="preserve">Scheme of Rational Use of Peat Resource in Belarus, </w:t>
      </w:r>
      <w:r w:rsidRPr="000C2C2B">
        <w:rPr>
          <w:sz w:val="21"/>
          <w:szCs w:val="21"/>
        </w:rPr>
        <w:t xml:space="preserve">but differs from it, in that it seeks to manage </w:t>
      </w:r>
      <w:proofErr w:type="spellStart"/>
      <w:r w:rsidRPr="000C2C2B">
        <w:rPr>
          <w:sz w:val="21"/>
          <w:szCs w:val="21"/>
        </w:rPr>
        <w:t>peatlands</w:t>
      </w:r>
      <w:proofErr w:type="spellEnd"/>
      <w:r w:rsidRPr="000C2C2B">
        <w:rPr>
          <w:sz w:val="21"/>
          <w:szCs w:val="21"/>
        </w:rPr>
        <w:t xml:space="preserve"> to generate multiple economic benefits, including from consumptive uses of </w:t>
      </w:r>
      <w:proofErr w:type="spellStart"/>
      <w:r w:rsidRPr="000C2C2B">
        <w:rPr>
          <w:sz w:val="21"/>
          <w:szCs w:val="21"/>
        </w:rPr>
        <w:t>peatlands</w:t>
      </w:r>
      <w:proofErr w:type="spellEnd"/>
      <w:r w:rsidRPr="000C2C2B">
        <w:rPr>
          <w:sz w:val="21"/>
          <w:szCs w:val="21"/>
        </w:rPr>
        <w:t xml:space="preserve"> and by enhancing the production of </w:t>
      </w:r>
      <w:proofErr w:type="spellStart"/>
      <w:r w:rsidRPr="000C2C2B">
        <w:rPr>
          <w:sz w:val="21"/>
          <w:szCs w:val="21"/>
        </w:rPr>
        <w:t>peatland</w:t>
      </w:r>
      <w:proofErr w:type="spellEnd"/>
      <w:r w:rsidRPr="000C2C2B">
        <w:rPr>
          <w:sz w:val="21"/>
          <w:szCs w:val="21"/>
        </w:rPr>
        <w:t xml:space="preserve"> ecosystem services such as carbon storage and sequestration and water quality and quantity regulation. The Program also seeks to balance development demands against conservation needs, seeking amongst other things to conserve </w:t>
      </w:r>
      <w:proofErr w:type="spellStart"/>
      <w:r w:rsidRPr="000C2C2B">
        <w:rPr>
          <w:sz w:val="21"/>
          <w:szCs w:val="21"/>
        </w:rPr>
        <w:t>peatland</w:t>
      </w:r>
      <w:proofErr w:type="spellEnd"/>
      <w:r w:rsidRPr="000C2C2B">
        <w:rPr>
          <w:sz w:val="21"/>
          <w:szCs w:val="21"/>
        </w:rPr>
        <w:t xml:space="preserve"> biodiversity. The project also implements priority actions listed under Belarus’ National Communications to UNFCCC, which underscores the need to accurately calculate emissions from land-based sources and design projects to curb emissions and increase carbon sequestration. In this respect the project will further improve the MRV system for </w:t>
      </w:r>
      <w:proofErr w:type="spellStart"/>
      <w:r w:rsidRPr="000C2C2B">
        <w:rPr>
          <w:sz w:val="21"/>
          <w:szCs w:val="21"/>
        </w:rPr>
        <w:t>peatlands</w:t>
      </w:r>
      <w:proofErr w:type="spellEnd"/>
      <w:r w:rsidRPr="000C2C2B">
        <w:rPr>
          <w:sz w:val="21"/>
          <w:szCs w:val="21"/>
        </w:rPr>
        <w:t xml:space="preserve"> trading which was developed under the ICI project, by adding the methodologies for MRV at previously un-accounted biotopes (such as open agricultural degrading </w:t>
      </w:r>
      <w:proofErr w:type="spellStart"/>
      <w:r w:rsidRPr="000C2C2B">
        <w:rPr>
          <w:sz w:val="21"/>
          <w:szCs w:val="21"/>
        </w:rPr>
        <w:t>peatlands</w:t>
      </w:r>
      <w:proofErr w:type="spellEnd"/>
      <w:r w:rsidRPr="000C2C2B">
        <w:rPr>
          <w:sz w:val="21"/>
          <w:szCs w:val="21"/>
        </w:rPr>
        <w:t xml:space="preserve"> and Black Alder </w:t>
      </w:r>
      <w:proofErr w:type="spellStart"/>
      <w:r w:rsidRPr="000C2C2B">
        <w:rPr>
          <w:sz w:val="21"/>
          <w:szCs w:val="21"/>
        </w:rPr>
        <w:t>peatland</w:t>
      </w:r>
      <w:proofErr w:type="spellEnd"/>
      <w:r w:rsidRPr="000C2C2B">
        <w:rPr>
          <w:sz w:val="21"/>
          <w:szCs w:val="21"/>
        </w:rPr>
        <w:t xml:space="preserve"> forest communities. Further, </w:t>
      </w:r>
      <w:proofErr w:type="gramStart"/>
      <w:r w:rsidRPr="000C2C2B">
        <w:rPr>
          <w:sz w:val="21"/>
          <w:szCs w:val="21"/>
        </w:rPr>
        <w:t>The</w:t>
      </w:r>
      <w:proofErr w:type="gramEnd"/>
      <w:r w:rsidRPr="000C2C2B">
        <w:rPr>
          <w:sz w:val="21"/>
          <w:szCs w:val="21"/>
        </w:rPr>
        <w:t xml:space="preserve"> project will help Belarus to implement Strategic Goal B and C of the Global Biodiversity Strategic Plan, 2011-2020. The President recently adopted a Decree (#626) which simplifies the procedure for re-classifying land, allowing local authorities to transfer land from one use category to another. This sets the grounds for expanding </w:t>
      </w:r>
      <w:proofErr w:type="spellStart"/>
      <w:r w:rsidRPr="000C2C2B">
        <w:rPr>
          <w:sz w:val="21"/>
          <w:szCs w:val="21"/>
        </w:rPr>
        <w:t>peatland</w:t>
      </w:r>
      <w:proofErr w:type="spellEnd"/>
      <w:r w:rsidRPr="000C2C2B">
        <w:rPr>
          <w:sz w:val="21"/>
          <w:szCs w:val="21"/>
        </w:rPr>
        <w:t xml:space="preserve"> protected areas. In 2009 the Government passed a new Law on Drainage, which halts the drainage of natural </w:t>
      </w:r>
      <w:proofErr w:type="spellStart"/>
      <w:r w:rsidRPr="000C2C2B">
        <w:rPr>
          <w:sz w:val="21"/>
          <w:szCs w:val="21"/>
        </w:rPr>
        <w:t>peatlands</w:t>
      </w:r>
      <w:proofErr w:type="spellEnd"/>
      <w:r w:rsidRPr="000C2C2B">
        <w:rPr>
          <w:sz w:val="21"/>
          <w:szCs w:val="21"/>
        </w:rPr>
        <w:t xml:space="preserve"> and semi-natural </w:t>
      </w:r>
      <w:proofErr w:type="spellStart"/>
      <w:r w:rsidRPr="000C2C2B">
        <w:rPr>
          <w:sz w:val="21"/>
          <w:szCs w:val="21"/>
        </w:rPr>
        <w:t>peatlands</w:t>
      </w:r>
      <w:proofErr w:type="spellEnd"/>
      <w:r w:rsidRPr="000C2C2B">
        <w:rPr>
          <w:sz w:val="21"/>
          <w:szCs w:val="21"/>
        </w:rPr>
        <w:t xml:space="preserve"> for agriculture. The project will help to render the Law effective. </w:t>
      </w:r>
    </w:p>
    <w:p w:rsidR="00A9399A" w:rsidRPr="000C2C2B" w:rsidRDefault="00A9399A" w:rsidP="00195DD1">
      <w:pPr>
        <w:pStyle w:val="aaaa"/>
        <w:tabs>
          <w:tab w:val="clear" w:pos="360"/>
        </w:tabs>
        <w:spacing w:after="80"/>
        <w:ind w:right="270"/>
        <w:jc w:val="both"/>
        <w:rPr>
          <w:sz w:val="21"/>
          <w:szCs w:val="21"/>
        </w:rPr>
      </w:pPr>
      <w:r w:rsidRPr="000C2C2B">
        <w:rPr>
          <w:b/>
          <w:smallCaps/>
          <w:sz w:val="21"/>
          <w:szCs w:val="21"/>
        </w:rPr>
        <w:t>B.</w:t>
      </w:r>
      <w:r w:rsidRPr="000C2C2B">
        <w:rPr>
          <w:b/>
          <w:smallCaps/>
          <w:sz w:val="21"/>
          <w:szCs w:val="21"/>
        </w:rPr>
        <w:tab/>
        <w:t>Project Overview</w:t>
      </w:r>
    </w:p>
    <w:p w:rsidR="00A9399A" w:rsidRPr="000C2C2B" w:rsidRDefault="00A9399A" w:rsidP="00195DD1">
      <w:pPr>
        <w:pStyle w:val="aaa"/>
        <w:numPr>
          <w:ilvl w:val="0"/>
          <w:numId w:val="0"/>
        </w:numPr>
        <w:spacing w:after="80"/>
        <w:ind w:right="270"/>
        <w:jc w:val="both"/>
        <w:rPr>
          <w:b/>
          <w:smallCaps/>
          <w:sz w:val="21"/>
          <w:szCs w:val="21"/>
        </w:rPr>
      </w:pPr>
      <w:r w:rsidRPr="000C2C2B">
        <w:rPr>
          <w:b/>
          <w:smallCaps/>
          <w:sz w:val="21"/>
          <w:szCs w:val="21"/>
        </w:rPr>
        <w:t xml:space="preserve">B.1. Describe the baseline project and the problem that it seeks to address: </w:t>
      </w:r>
    </w:p>
    <w:p w:rsidR="00A9399A" w:rsidRPr="000C2C2B" w:rsidRDefault="00A9399A" w:rsidP="00195DD1">
      <w:pPr>
        <w:pStyle w:val="A"/>
        <w:numPr>
          <w:ilvl w:val="0"/>
          <w:numId w:val="0"/>
        </w:numPr>
        <w:spacing w:after="120"/>
        <w:ind w:right="270"/>
        <w:rPr>
          <w:sz w:val="21"/>
          <w:szCs w:val="21"/>
          <w:lang w:val="en-GB"/>
        </w:rPr>
      </w:pPr>
      <w:proofErr w:type="gramStart"/>
      <w:r w:rsidRPr="000C2C2B">
        <w:rPr>
          <w:sz w:val="21"/>
          <w:szCs w:val="21"/>
          <w:u w:val="single"/>
        </w:rPr>
        <w:t>Background</w:t>
      </w:r>
      <w:r w:rsidRPr="000C2C2B">
        <w:rPr>
          <w:sz w:val="21"/>
          <w:szCs w:val="21"/>
        </w:rPr>
        <w:t>.</w:t>
      </w:r>
      <w:proofErr w:type="gramEnd"/>
      <w:r w:rsidRPr="000C2C2B">
        <w:rPr>
          <w:sz w:val="21"/>
          <w:szCs w:val="21"/>
          <w:lang w:val="en-GB"/>
        </w:rPr>
        <w:t xml:space="preserve"> </w:t>
      </w:r>
      <w:proofErr w:type="spellStart"/>
      <w:r w:rsidRPr="000C2C2B">
        <w:rPr>
          <w:sz w:val="21"/>
          <w:szCs w:val="21"/>
          <w:lang w:val="en-GB"/>
        </w:rPr>
        <w:t>Peatlands</w:t>
      </w:r>
      <w:proofErr w:type="spellEnd"/>
      <w:r w:rsidRPr="000C2C2B">
        <w:rPr>
          <w:sz w:val="21"/>
          <w:szCs w:val="21"/>
          <w:lang w:val="en-GB"/>
        </w:rPr>
        <w:t xml:space="preserve"> are found all across Belarus, but are most prevalent in two regions (</w:t>
      </w:r>
      <w:proofErr w:type="spellStart"/>
      <w:r w:rsidRPr="000C2C2B">
        <w:rPr>
          <w:sz w:val="21"/>
          <w:szCs w:val="21"/>
          <w:lang w:val="en-GB"/>
        </w:rPr>
        <w:t>Polesie</w:t>
      </w:r>
      <w:proofErr w:type="spellEnd"/>
      <w:r w:rsidRPr="000C2C2B">
        <w:rPr>
          <w:sz w:val="21"/>
          <w:szCs w:val="21"/>
          <w:lang w:val="en-GB"/>
        </w:rPr>
        <w:t xml:space="preserve"> and </w:t>
      </w:r>
      <w:proofErr w:type="spellStart"/>
      <w:r w:rsidRPr="000C2C2B">
        <w:rPr>
          <w:sz w:val="21"/>
          <w:szCs w:val="21"/>
          <w:lang w:val="en-GB"/>
        </w:rPr>
        <w:t>Poozerie</w:t>
      </w:r>
      <w:proofErr w:type="spellEnd"/>
      <w:r w:rsidRPr="000C2C2B">
        <w:rPr>
          <w:sz w:val="21"/>
          <w:szCs w:val="21"/>
          <w:lang w:val="en-GB"/>
        </w:rPr>
        <w:t>).</w:t>
      </w:r>
      <w:r w:rsidRPr="000C2C2B">
        <w:rPr>
          <w:sz w:val="21"/>
          <w:szCs w:val="21"/>
        </w:rPr>
        <w:t xml:space="preserve"> </w:t>
      </w:r>
      <w:r w:rsidRPr="000C2C2B">
        <w:rPr>
          <w:sz w:val="21"/>
          <w:szCs w:val="21"/>
          <w:lang w:val="en-GB"/>
        </w:rPr>
        <w:t xml:space="preserve">Natural </w:t>
      </w:r>
      <w:proofErr w:type="spellStart"/>
      <w:r w:rsidRPr="000C2C2B">
        <w:rPr>
          <w:sz w:val="21"/>
          <w:szCs w:val="21"/>
          <w:lang w:val="en-GB"/>
        </w:rPr>
        <w:t>peatlands</w:t>
      </w:r>
      <w:proofErr w:type="spellEnd"/>
      <w:r w:rsidRPr="000C2C2B">
        <w:rPr>
          <w:sz w:val="21"/>
          <w:szCs w:val="21"/>
          <w:lang w:val="en-GB"/>
        </w:rPr>
        <w:t xml:space="preserve"> in these two regions once covered a considerable area (2,939,000 ha). However 54% of extant </w:t>
      </w:r>
      <w:proofErr w:type="spellStart"/>
      <w:r w:rsidRPr="000C2C2B">
        <w:rPr>
          <w:sz w:val="21"/>
          <w:szCs w:val="21"/>
          <w:lang w:val="en-GB"/>
        </w:rPr>
        <w:t>peatlands</w:t>
      </w:r>
      <w:proofErr w:type="spellEnd"/>
      <w:r w:rsidRPr="000C2C2B">
        <w:rPr>
          <w:sz w:val="21"/>
          <w:szCs w:val="21"/>
          <w:lang w:val="en-GB"/>
        </w:rPr>
        <w:t xml:space="preserve"> have been drained for agriculture, in a land use conversion process that commenced in the 1950s. In </w:t>
      </w:r>
      <w:proofErr w:type="spellStart"/>
      <w:r w:rsidRPr="000C2C2B">
        <w:rPr>
          <w:sz w:val="21"/>
          <w:szCs w:val="21"/>
          <w:lang w:val="en-GB"/>
        </w:rPr>
        <w:t>Poozerie</w:t>
      </w:r>
      <w:proofErr w:type="spellEnd"/>
      <w:r w:rsidRPr="000C2C2B">
        <w:rPr>
          <w:sz w:val="21"/>
          <w:szCs w:val="21"/>
          <w:lang w:val="en-GB"/>
        </w:rPr>
        <w:t xml:space="preserve"> they were </w:t>
      </w:r>
      <w:r w:rsidRPr="000C2C2B">
        <w:rPr>
          <w:sz w:val="21"/>
          <w:szCs w:val="21"/>
        </w:rPr>
        <w:t xml:space="preserve">drained primarily for arable farming and forestry, and to a lesser extent for mining. The biodiversity conservation, soil protection and climate regulation functions of </w:t>
      </w:r>
      <w:proofErr w:type="spellStart"/>
      <w:r w:rsidRPr="000C2C2B">
        <w:rPr>
          <w:sz w:val="21"/>
          <w:szCs w:val="21"/>
        </w:rPr>
        <w:t>peatlands</w:t>
      </w:r>
      <w:proofErr w:type="spellEnd"/>
      <w:r w:rsidRPr="000C2C2B">
        <w:rPr>
          <w:sz w:val="21"/>
          <w:szCs w:val="21"/>
        </w:rPr>
        <w:t xml:space="preserve"> were ignored in the process. As a result of drainage, some 0.8 </w:t>
      </w:r>
      <w:proofErr w:type="spellStart"/>
      <w:r w:rsidRPr="000C2C2B">
        <w:rPr>
          <w:sz w:val="21"/>
          <w:szCs w:val="21"/>
        </w:rPr>
        <w:t>mln</w:t>
      </w:r>
      <w:proofErr w:type="spellEnd"/>
      <w:r w:rsidRPr="000C2C2B">
        <w:rPr>
          <w:sz w:val="21"/>
          <w:szCs w:val="21"/>
        </w:rPr>
        <w:t xml:space="preserve"> ha of drained agricultural </w:t>
      </w:r>
      <w:proofErr w:type="spellStart"/>
      <w:r w:rsidRPr="000C2C2B">
        <w:rPr>
          <w:sz w:val="21"/>
          <w:szCs w:val="21"/>
        </w:rPr>
        <w:t>peatlands</w:t>
      </w:r>
      <w:proofErr w:type="spellEnd"/>
      <w:r w:rsidRPr="000C2C2B">
        <w:rPr>
          <w:sz w:val="21"/>
          <w:szCs w:val="21"/>
        </w:rPr>
        <w:t xml:space="preserve"> have suffered degradation to various degrees. By 2010, some 250,000 ha (including 124,500 ha in the </w:t>
      </w:r>
      <w:proofErr w:type="spellStart"/>
      <w:r w:rsidRPr="000C2C2B">
        <w:rPr>
          <w:sz w:val="21"/>
          <w:szCs w:val="21"/>
        </w:rPr>
        <w:t>Poozerie</w:t>
      </w:r>
      <w:proofErr w:type="spellEnd"/>
      <w:r w:rsidRPr="000C2C2B">
        <w:rPr>
          <w:sz w:val="21"/>
          <w:szCs w:val="21"/>
        </w:rPr>
        <w:t xml:space="preserve"> landscape) of agricultural </w:t>
      </w:r>
      <w:proofErr w:type="spellStart"/>
      <w:r w:rsidRPr="000C2C2B">
        <w:rPr>
          <w:sz w:val="21"/>
          <w:szCs w:val="21"/>
        </w:rPr>
        <w:t>peatlands</w:t>
      </w:r>
      <w:proofErr w:type="spellEnd"/>
      <w:r w:rsidRPr="000C2C2B">
        <w:rPr>
          <w:sz w:val="21"/>
          <w:szCs w:val="21"/>
        </w:rPr>
        <w:t xml:space="preserve"> had a soil organic content of less than 50%</w:t>
      </w:r>
      <w:r w:rsidRPr="000C2C2B">
        <w:rPr>
          <w:sz w:val="21"/>
          <w:szCs w:val="21"/>
          <w:lang w:val="en-GB"/>
        </w:rPr>
        <w:t xml:space="preserve">. Some 31,100 ha of former </w:t>
      </w:r>
      <w:proofErr w:type="spellStart"/>
      <w:r w:rsidRPr="000C2C2B">
        <w:rPr>
          <w:sz w:val="21"/>
          <w:szCs w:val="21"/>
          <w:lang w:val="en-GB"/>
        </w:rPr>
        <w:t>peatlands</w:t>
      </w:r>
      <w:proofErr w:type="spellEnd"/>
      <w:r w:rsidRPr="000C2C2B">
        <w:rPr>
          <w:sz w:val="21"/>
          <w:szCs w:val="21"/>
          <w:lang w:val="en-GB"/>
        </w:rPr>
        <w:t xml:space="preserve"> are now so degraded that they have an organic matter content of less than 5%. About 135,000 ha of drained forest </w:t>
      </w:r>
      <w:proofErr w:type="spellStart"/>
      <w:r w:rsidRPr="000C2C2B">
        <w:rPr>
          <w:sz w:val="21"/>
          <w:szCs w:val="21"/>
          <w:lang w:val="en-GB"/>
        </w:rPr>
        <w:t>peatlands</w:t>
      </w:r>
      <w:proofErr w:type="spellEnd"/>
      <w:r w:rsidRPr="000C2C2B">
        <w:rPr>
          <w:sz w:val="21"/>
          <w:szCs w:val="21"/>
          <w:lang w:val="en-GB"/>
        </w:rPr>
        <w:t xml:space="preserve"> have lost their </w:t>
      </w:r>
      <w:r w:rsidRPr="000C2C2B">
        <w:rPr>
          <w:sz w:val="21"/>
          <w:szCs w:val="21"/>
        </w:rPr>
        <w:t xml:space="preserve">productive capacity and can no longer be used gainfully for forestry. A drop in the water-table by 0.5-0.7 meters as a result of drainage has brought about </w:t>
      </w:r>
      <w:proofErr w:type="spellStart"/>
      <w:r w:rsidRPr="000C2C2B">
        <w:rPr>
          <w:sz w:val="21"/>
          <w:szCs w:val="21"/>
        </w:rPr>
        <w:t>ch</w:t>
      </w:r>
      <w:proofErr w:type="spellEnd"/>
      <w:r w:rsidRPr="000C2C2B">
        <w:rPr>
          <w:bCs/>
          <w:iCs/>
          <w:noProof/>
          <w:color w:val="000000"/>
          <w:sz w:val="21"/>
          <w:szCs w:val="21"/>
          <w:lang w:val="en-GB"/>
        </w:rPr>
        <w:t>anges in vegetation structure and the disappearance of vegetation associations, impoverishm</w:t>
      </w:r>
      <w:proofErr w:type="spellStart"/>
      <w:r w:rsidRPr="000C2C2B">
        <w:rPr>
          <w:sz w:val="21"/>
          <w:szCs w:val="21"/>
          <w:lang w:val="en-GB" w:eastAsia="de-DE"/>
        </w:rPr>
        <w:t>ent</w:t>
      </w:r>
      <w:proofErr w:type="spellEnd"/>
      <w:r w:rsidRPr="000C2C2B">
        <w:rPr>
          <w:sz w:val="21"/>
          <w:szCs w:val="21"/>
          <w:lang w:val="en-GB" w:eastAsia="de-DE"/>
        </w:rPr>
        <w:t xml:space="preserve"> of the species </w:t>
      </w:r>
      <w:r w:rsidRPr="000C2C2B">
        <w:rPr>
          <w:sz w:val="21"/>
          <w:szCs w:val="21"/>
          <w:lang w:val="en-GB" w:eastAsia="de-DE"/>
        </w:rPr>
        <w:lastRenderedPageBreak/>
        <w:t>composition, loss of organic content, and release of carbon through mineralization (5-22 t/C/ha/y</w:t>
      </w:r>
      <w:r w:rsidRPr="000C2C2B">
        <w:rPr>
          <w:sz w:val="21"/>
          <w:szCs w:val="21"/>
          <w:vertAlign w:val="superscript"/>
          <w:lang w:val="en-GB" w:eastAsia="de-DE"/>
        </w:rPr>
        <w:footnoteReference w:id="3"/>
      </w:r>
      <w:r w:rsidRPr="000C2C2B">
        <w:rPr>
          <w:sz w:val="21"/>
          <w:szCs w:val="21"/>
          <w:lang w:val="en-GB" w:eastAsia="de-DE"/>
        </w:rPr>
        <w:t>), loss of local livelihoods (berries, mushrooms, fish nurseries, hunt</w:t>
      </w:r>
      <w:r w:rsidRPr="000C2C2B">
        <w:rPr>
          <w:sz w:val="21"/>
          <w:szCs w:val="21"/>
          <w:lang w:val="en-GB"/>
        </w:rPr>
        <w:t xml:space="preserve">ing), flow reduction in smaller rivers, and the gradual </w:t>
      </w:r>
      <w:proofErr w:type="spellStart"/>
      <w:r w:rsidRPr="000C2C2B">
        <w:rPr>
          <w:sz w:val="21"/>
          <w:szCs w:val="21"/>
          <w:lang w:val="en-GB"/>
        </w:rPr>
        <w:t>eutrophication</w:t>
      </w:r>
      <w:proofErr w:type="spellEnd"/>
      <w:r w:rsidRPr="000C2C2B">
        <w:rPr>
          <w:sz w:val="21"/>
          <w:szCs w:val="21"/>
          <w:lang w:val="en-GB"/>
        </w:rPr>
        <w:t xml:space="preserve"> of rivers and lakes. </w:t>
      </w:r>
    </w:p>
    <w:p w:rsidR="00A9399A" w:rsidRPr="000C2C2B" w:rsidRDefault="00A9399A" w:rsidP="00195DD1">
      <w:pPr>
        <w:pStyle w:val="A"/>
        <w:numPr>
          <w:ilvl w:val="0"/>
          <w:numId w:val="0"/>
        </w:numPr>
        <w:spacing w:after="120"/>
        <w:ind w:right="270"/>
        <w:rPr>
          <w:sz w:val="21"/>
          <w:szCs w:val="21"/>
        </w:rPr>
      </w:pPr>
      <w:r w:rsidRPr="000C2C2B">
        <w:rPr>
          <w:sz w:val="21"/>
          <w:szCs w:val="21"/>
          <w:lang w:val="en-GB"/>
        </w:rPr>
        <w:t xml:space="preserve">The </w:t>
      </w:r>
      <w:proofErr w:type="spellStart"/>
      <w:r w:rsidRPr="000C2C2B">
        <w:rPr>
          <w:sz w:val="21"/>
          <w:szCs w:val="21"/>
          <w:lang w:val="en-GB"/>
        </w:rPr>
        <w:t>Poozerie</w:t>
      </w:r>
      <w:proofErr w:type="spellEnd"/>
      <w:r w:rsidRPr="000C2C2B">
        <w:rPr>
          <w:sz w:val="21"/>
          <w:szCs w:val="21"/>
          <w:lang w:val="en-GB"/>
        </w:rPr>
        <w:t xml:space="preserve"> region, which covers 4.4 </w:t>
      </w:r>
      <w:proofErr w:type="spellStart"/>
      <w:r w:rsidRPr="000C2C2B">
        <w:rPr>
          <w:sz w:val="21"/>
          <w:szCs w:val="21"/>
          <w:lang w:val="en-GB"/>
        </w:rPr>
        <w:t>mln</w:t>
      </w:r>
      <w:proofErr w:type="spellEnd"/>
      <w:r w:rsidRPr="000C2C2B">
        <w:rPr>
          <w:sz w:val="21"/>
          <w:szCs w:val="21"/>
          <w:lang w:val="en-GB"/>
        </w:rPr>
        <w:t xml:space="preserve"> ha (including 0.5 </w:t>
      </w:r>
      <w:proofErr w:type="spellStart"/>
      <w:r w:rsidRPr="000C2C2B">
        <w:rPr>
          <w:sz w:val="21"/>
          <w:szCs w:val="21"/>
          <w:lang w:val="en-GB"/>
        </w:rPr>
        <w:t>mln</w:t>
      </w:r>
      <w:proofErr w:type="spellEnd"/>
      <w:r w:rsidRPr="000C2C2B">
        <w:rPr>
          <w:sz w:val="21"/>
          <w:szCs w:val="21"/>
          <w:lang w:val="en-GB"/>
        </w:rPr>
        <w:t xml:space="preserve"> ha of </w:t>
      </w:r>
      <w:proofErr w:type="spellStart"/>
      <w:r w:rsidRPr="000C2C2B">
        <w:rPr>
          <w:sz w:val="21"/>
          <w:szCs w:val="21"/>
          <w:lang w:val="en-GB"/>
        </w:rPr>
        <w:t>peatland</w:t>
      </w:r>
      <w:proofErr w:type="spellEnd"/>
      <w:r w:rsidRPr="000C2C2B">
        <w:rPr>
          <w:sz w:val="21"/>
          <w:szCs w:val="21"/>
          <w:lang w:val="en-GB"/>
        </w:rPr>
        <w:t xml:space="preserve"> landscapes), is located in the northern part of Belarus. It consists of a mosaic of ecosystems, dominated by bog and </w:t>
      </w:r>
      <w:proofErr w:type="spellStart"/>
      <w:r w:rsidRPr="000C2C2B">
        <w:rPr>
          <w:sz w:val="21"/>
          <w:szCs w:val="21"/>
          <w:lang w:val="en-GB"/>
        </w:rPr>
        <w:t>mesotrophic</w:t>
      </w:r>
      <w:proofErr w:type="spellEnd"/>
      <w:r w:rsidRPr="000C2C2B">
        <w:rPr>
          <w:sz w:val="21"/>
          <w:szCs w:val="21"/>
          <w:lang w:val="en-GB"/>
        </w:rPr>
        <w:t xml:space="preserve"> </w:t>
      </w:r>
      <w:proofErr w:type="spellStart"/>
      <w:r w:rsidRPr="000C2C2B">
        <w:rPr>
          <w:sz w:val="21"/>
          <w:szCs w:val="21"/>
          <w:lang w:val="en-GB"/>
        </w:rPr>
        <w:t>peatlands</w:t>
      </w:r>
      <w:proofErr w:type="spellEnd"/>
      <w:r w:rsidRPr="000C2C2B">
        <w:rPr>
          <w:sz w:val="21"/>
          <w:szCs w:val="21"/>
          <w:lang w:val="en-GB"/>
        </w:rPr>
        <w:t xml:space="preserve">, forest </w:t>
      </w:r>
      <w:proofErr w:type="spellStart"/>
      <w:r w:rsidRPr="000C2C2B">
        <w:rPr>
          <w:sz w:val="21"/>
          <w:szCs w:val="21"/>
          <w:lang w:val="en-GB"/>
        </w:rPr>
        <w:t>peatlands</w:t>
      </w:r>
      <w:proofErr w:type="spellEnd"/>
      <w:r w:rsidRPr="000C2C2B">
        <w:rPr>
          <w:sz w:val="21"/>
          <w:szCs w:val="21"/>
          <w:lang w:val="en-GB"/>
        </w:rPr>
        <w:t xml:space="preserve">, rivers and lakes. The region has over 90,000 ha of biodiversity rich Black Alder forest </w:t>
      </w:r>
      <w:r w:rsidRPr="000C2C2B">
        <w:rPr>
          <w:i/>
          <w:sz w:val="21"/>
          <w:szCs w:val="21"/>
          <w:lang w:val="en-GB"/>
        </w:rPr>
        <w:t xml:space="preserve">Sphagnum </w:t>
      </w:r>
      <w:proofErr w:type="spellStart"/>
      <w:r w:rsidRPr="000C2C2B">
        <w:rPr>
          <w:sz w:val="21"/>
          <w:szCs w:val="21"/>
          <w:lang w:val="en-GB"/>
        </w:rPr>
        <w:t>peatlands</w:t>
      </w:r>
      <w:proofErr w:type="spellEnd"/>
      <w:r w:rsidRPr="000C2C2B">
        <w:rPr>
          <w:sz w:val="21"/>
          <w:szCs w:val="21"/>
          <w:lang w:val="en-GB"/>
        </w:rPr>
        <w:t xml:space="preserve">, although about 30,000 ha of these forests have been degraded due to past drainage. The region contains some of Europe’s largest extant natural </w:t>
      </w:r>
      <w:proofErr w:type="spellStart"/>
      <w:r w:rsidRPr="000C2C2B">
        <w:rPr>
          <w:sz w:val="21"/>
          <w:szCs w:val="21"/>
          <w:lang w:val="en-GB"/>
        </w:rPr>
        <w:t>peatlands</w:t>
      </w:r>
      <w:proofErr w:type="spellEnd"/>
      <w:r w:rsidRPr="000C2C2B">
        <w:rPr>
          <w:sz w:val="21"/>
          <w:szCs w:val="21"/>
          <w:lang w:val="en-GB"/>
        </w:rPr>
        <w:t xml:space="preserve">, ranging from 5,000 to 20,000 ha in size. </w:t>
      </w:r>
      <w:proofErr w:type="spellStart"/>
      <w:r w:rsidRPr="000C2C2B">
        <w:rPr>
          <w:sz w:val="21"/>
          <w:szCs w:val="21"/>
          <w:lang w:val="en-GB"/>
        </w:rPr>
        <w:t>Poozerie</w:t>
      </w:r>
      <w:proofErr w:type="spellEnd"/>
      <w:r w:rsidRPr="000C2C2B">
        <w:rPr>
          <w:sz w:val="21"/>
          <w:szCs w:val="21"/>
          <w:lang w:val="en-GB"/>
        </w:rPr>
        <w:t xml:space="preserve"> is </w:t>
      </w:r>
      <w:proofErr w:type="gramStart"/>
      <w:r w:rsidRPr="000C2C2B">
        <w:rPr>
          <w:sz w:val="21"/>
          <w:szCs w:val="21"/>
          <w:lang w:val="en-GB"/>
        </w:rPr>
        <w:t>an internationally</w:t>
      </w:r>
      <w:proofErr w:type="gramEnd"/>
      <w:r w:rsidRPr="000C2C2B">
        <w:rPr>
          <w:sz w:val="21"/>
          <w:szCs w:val="21"/>
          <w:lang w:val="en-GB"/>
        </w:rPr>
        <w:t xml:space="preserve"> recognized </w:t>
      </w:r>
      <w:proofErr w:type="spellStart"/>
      <w:r w:rsidRPr="000C2C2B">
        <w:rPr>
          <w:sz w:val="21"/>
          <w:szCs w:val="21"/>
          <w:lang w:val="en-GB"/>
        </w:rPr>
        <w:t>refugia</w:t>
      </w:r>
      <w:proofErr w:type="spellEnd"/>
      <w:r w:rsidRPr="000C2C2B">
        <w:rPr>
          <w:sz w:val="21"/>
          <w:szCs w:val="21"/>
          <w:lang w:val="en-GB"/>
        </w:rPr>
        <w:t xml:space="preserve"> for water-birds, and is also an important stop over site during the annual migration of tundra bird species. It is </w:t>
      </w:r>
      <w:r w:rsidRPr="000C2C2B">
        <w:rPr>
          <w:sz w:val="21"/>
          <w:szCs w:val="21"/>
        </w:rPr>
        <w:t>home to the Black stork (</w:t>
      </w:r>
      <w:proofErr w:type="spellStart"/>
      <w:r w:rsidRPr="000C2C2B">
        <w:rPr>
          <w:i/>
          <w:sz w:val="21"/>
          <w:szCs w:val="21"/>
        </w:rPr>
        <w:t>Ciconia</w:t>
      </w:r>
      <w:proofErr w:type="spellEnd"/>
      <w:r w:rsidRPr="000C2C2B">
        <w:rPr>
          <w:i/>
          <w:sz w:val="21"/>
          <w:szCs w:val="21"/>
        </w:rPr>
        <w:t xml:space="preserve"> </w:t>
      </w:r>
      <w:proofErr w:type="spellStart"/>
      <w:r w:rsidRPr="000C2C2B">
        <w:rPr>
          <w:i/>
          <w:sz w:val="21"/>
          <w:szCs w:val="21"/>
        </w:rPr>
        <w:t>nigra</w:t>
      </w:r>
      <w:proofErr w:type="spellEnd"/>
      <w:r w:rsidRPr="000C2C2B">
        <w:rPr>
          <w:sz w:val="21"/>
          <w:szCs w:val="21"/>
        </w:rPr>
        <w:t>), Greater spotted eagle (</w:t>
      </w:r>
      <w:proofErr w:type="spellStart"/>
      <w:r w:rsidRPr="000C2C2B">
        <w:rPr>
          <w:i/>
          <w:sz w:val="21"/>
          <w:szCs w:val="21"/>
        </w:rPr>
        <w:t>Aquilla</w:t>
      </w:r>
      <w:proofErr w:type="spellEnd"/>
      <w:r w:rsidRPr="000C2C2B">
        <w:rPr>
          <w:i/>
          <w:sz w:val="21"/>
          <w:szCs w:val="21"/>
        </w:rPr>
        <w:t xml:space="preserve"> </w:t>
      </w:r>
      <w:proofErr w:type="spellStart"/>
      <w:r w:rsidRPr="000C2C2B">
        <w:rPr>
          <w:i/>
          <w:sz w:val="21"/>
          <w:szCs w:val="21"/>
        </w:rPr>
        <w:t>clanga</w:t>
      </w:r>
      <w:proofErr w:type="spellEnd"/>
      <w:r w:rsidRPr="000C2C2B">
        <w:rPr>
          <w:sz w:val="21"/>
          <w:szCs w:val="21"/>
        </w:rPr>
        <w:t>), Great snipe (</w:t>
      </w:r>
      <w:proofErr w:type="spellStart"/>
      <w:r w:rsidRPr="000C2C2B">
        <w:rPr>
          <w:i/>
          <w:sz w:val="21"/>
          <w:szCs w:val="21"/>
        </w:rPr>
        <w:t>Gallinago</w:t>
      </w:r>
      <w:proofErr w:type="spellEnd"/>
      <w:r w:rsidRPr="000C2C2B">
        <w:rPr>
          <w:i/>
          <w:sz w:val="21"/>
          <w:szCs w:val="21"/>
        </w:rPr>
        <w:t xml:space="preserve"> media</w:t>
      </w:r>
      <w:r w:rsidRPr="000C2C2B">
        <w:rPr>
          <w:sz w:val="21"/>
          <w:szCs w:val="21"/>
        </w:rPr>
        <w:t xml:space="preserve">), </w:t>
      </w:r>
      <w:proofErr w:type="gramStart"/>
      <w:r w:rsidRPr="000C2C2B">
        <w:rPr>
          <w:sz w:val="21"/>
          <w:szCs w:val="21"/>
        </w:rPr>
        <w:t>numerous</w:t>
      </w:r>
      <w:proofErr w:type="gramEnd"/>
      <w:r w:rsidRPr="000C2C2B">
        <w:rPr>
          <w:sz w:val="21"/>
          <w:szCs w:val="21"/>
        </w:rPr>
        <w:t xml:space="preserve"> species of </w:t>
      </w:r>
      <w:r w:rsidRPr="000C2C2B">
        <w:rPr>
          <w:i/>
          <w:sz w:val="21"/>
          <w:szCs w:val="21"/>
        </w:rPr>
        <w:t xml:space="preserve">Passerines, </w:t>
      </w:r>
      <w:r w:rsidRPr="000C2C2B">
        <w:rPr>
          <w:sz w:val="21"/>
          <w:szCs w:val="21"/>
        </w:rPr>
        <w:t xml:space="preserve">waders, and cranes. The landscape </w:t>
      </w:r>
      <w:r w:rsidRPr="000C2C2B">
        <w:rPr>
          <w:sz w:val="21"/>
          <w:szCs w:val="21"/>
          <w:lang w:val="en-GB"/>
        </w:rPr>
        <w:t>contains 3 wetlands of international importance (</w:t>
      </w:r>
      <w:proofErr w:type="spellStart"/>
      <w:r w:rsidRPr="000C2C2B">
        <w:rPr>
          <w:sz w:val="21"/>
          <w:szCs w:val="21"/>
          <w:lang w:val="en-GB"/>
        </w:rPr>
        <w:t>Ramsar</w:t>
      </w:r>
      <w:proofErr w:type="spellEnd"/>
      <w:r w:rsidRPr="000C2C2B">
        <w:rPr>
          <w:sz w:val="21"/>
          <w:szCs w:val="21"/>
          <w:lang w:val="en-GB"/>
        </w:rPr>
        <w:t xml:space="preserve"> sites), 8 IBAs, and one important plant area. </w:t>
      </w:r>
      <w:proofErr w:type="spellStart"/>
      <w:r w:rsidRPr="000C2C2B">
        <w:rPr>
          <w:sz w:val="21"/>
          <w:szCs w:val="21"/>
        </w:rPr>
        <w:t>Poozerie’s</w:t>
      </w:r>
      <w:proofErr w:type="spellEnd"/>
      <w:r w:rsidRPr="000C2C2B">
        <w:rPr>
          <w:sz w:val="21"/>
          <w:szCs w:val="21"/>
        </w:rPr>
        <w:t xml:space="preserve"> </w:t>
      </w:r>
      <w:proofErr w:type="spellStart"/>
      <w:r w:rsidRPr="000C2C2B">
        <w:rPr>
          <w:sz w:val="21"/>
          <w:szCs w:val="21"/>
        </w:rPr>
        <w:t>peatlands</w:t>
      </w:r>
      <w:proofErr w:type="spellEnd"/>
      <w:r w:rsidRPr="000C2C2B">
        <w:rPr>
          <w:sz w:val="21"/>
          <w:szCs w:val="21"/>
        </w:rPr>
        <w:t xml:space="preserve"> sequester 0.4 </w:t>
      </w:r>
      <w:proofErr w:type="spellStart"/>
      <w:r w:rsidRPr="000C2C2B">
        <w:rPr>
          <w:sz w:val="21"/>
          <w:szCs w:val="21"/>
        </w:rPr>
        <w:t>mtC</w:t>
      </w:r>
      <w:proofErr w:type="spellEnd"/>
      <w:r w:rsidRPr="000C2C2B">
        <w:rPr>
          <w:sz w:val="21"/>
          <w:szCs w:val="21"/>
        </w:rPr>
        <w:t xml:space="preserve">/y (just under 30% of the total national sequestration potential of 1.39 M </w:t>
      </w:r>
      <w:proofErr w:type="spellStart"/>
      <w:r w:rsidRPr="000C2C2B">
        <w:rPr>
          <w:sz w:val="21"/>
          <w:szCs w:val="21"/>
        </w:rPr>
        <w:t>tC</w:t>
      </w:r>
      <w:proofErr w:type="spellEnd"/>
      <w:r w:rsidRPr="000C2C2B">
        <w:rPr>
          <w:sz w:val="21"/>
          <w:szCs w:val="21"/>
        </w:rPr>
        <w:t>/y)</w:t>
      </w:r>
      <w:proofErr w:type="gramStart"/>
      <w:r w:rsidRPr="000C2C2B">
        <w:rPr>
          <w:sz w:val="21"/>
          <w:szCs w:val="21"/>
        </w:rPr>
        <w:t>,</w:t>
      </w:r>
      <w:proofErr w:type="gramEnd"/>
      <w:r w:rsidRPr="000C2C2B">
        <w:rPr>
          <w:sz w:val="21"/>
          <w:szCs w:val="21"/>
        </w:rPr>
        <w:t xml:space="preserve"> maintain soil integrity and groundwater resources. Notwithstanding these ecological values, only 93,588 ha of the region’s </w:t>
      </w:r>
      <w:proofErr w:type="spellStart"/>
      <w:r w:rsidRPr="000C2C2B">
        <w:rPr>
          <w:sz w:val="21"/>
          <w:szCs w:val="21"/>
        </w:rPr>
        <w:t>peatlands</w:t>
      </w:r>
      <w:proofErr w:type="spellEnd"/>
      <w:r w:rsidRPr="000C2C2B">
        <w:rPr>
          <w:sz w:val="21"/>
          <w:szCs w:val="21"/>
        </w:rPr>
        <w:t xml:space="preserve"> are currently protected. While amounting to 21% of the region, less than 30% of the </w:t>
      </w:r>
      <w:proofErr w:type="spellStart"/>
      <w:r w:rsidRPr="000C2C2B">
        <w:rPr>
          <w:sz w:val="21"/>
          <w:szCs w:val="21"/>
        </w:rPr>
        <w:t>peatland</w:t>
      </w:r>
      <w:proofErr w:type="spellEnd"/>
      <w:r w:rsidRPr="000C2C2B">
        <w:rPr>
          <w:sz w:val="21"/>
          <w:szCs w:val="21"/>
        </w:rPr>
        <w:t xml:space="preserve"> areas of highest biodiversity are protected. </w:t>
      </w:r>
    </w:p>
    <w:p w:rsidR="00A9399A" w:rsidRPr="000C2C2B" w:rsidRDefault="00A9399A" w:rsidP="000C5C5F">
      <w:pPr>
        <w:spacing w:line="240" w:lineRule="auto"/>
        <w:ind w:right="270"/>
        <w:jc w:val="both"/>
        <w:rPr>
          <w:rFonts w:ascii="Times New Roman" w:hAnsi="Times New Roman"/>
          <w:sz w:val="21"/>
          <w:szCs w:val="21"/>
          <w:lang w:val="en-GB"/>
        </w:rPr>
      </w:pPr>
      <w:r w:rsidRPr="000C2C2B">
        <w:rPr>
          <w:rFonts w:ascii="Times New Roman" w:hAnsi="Times New Roman"/>
          <w:sz w:val="21"/>
          <w:szCs w:val="21"/>
          <w:lang w:val="en-GB"/>
        </w:rPr>
        <w:t xml:space="preserve">The protected areas system of Belarus covers 7.9% of the country, and the Government is committed to expand it to 9.5% by 2015. More than half of the PA </w:t>
      </w:r>
      <w:proofErr w:type="gramStart"/>
      <w:r w:rsidRPr="000C2C2B">
        <w:rPr>
          <w:rFonts w:ascii="Times New Roman" w:hAnsi="Times New Roman"/>
          <w:sz w:val="21"/>
          <w:szCs w:val="21"/>
          <w:lang w:val="en-GB"/>
        </w:rPr>
        <w:t>estate are</w:t>
      </w:r>
      <w:proofErr w:type="gramEnd"/>
      <w:r w:rsidRPr="000C2C2B">
        <w:rPr>
          <w:rFonts w:ascii="Times New Roman" w:hAnsi="Times New Roman"/>
          <w:sz w:val="21"/>
          <w:szCs w:val="21"/>
          <w:lang w:val="en-GB"/>
        </w:rPr>
        <w:t xml:space="preserve"> forests, followed by river and lake ecosystems. Over 406,000 ha are </w:t>
      </w:r>
      <w:proofErr w:type="spellStart"/>
      <w:r w:rsidRPr="000C2C2B">
        <w:rPr>
          <w:rFonts w:ascii="Times New Roman" w:hAnsi="Times New Roman"/>
          <w:sz w:val="21"/>
          <w:szCs w:val="21"/>
          <w:lang w:val="en-GB"/>
        </w:rPr>
        <w:t>peatland</w:t>
      </w:r>
      <w:proofErr w:type="spellEnd"/>
      <w:r w:rsidRPr="000C2C2B">
        <w:rPr>
          <w:rFonts w:ascii="Times New Roman" w:hAnsi="Times New Roman"/>
          <w:sz w:val="21"/>
          <w:szCs w:val="21"/>
          <w:lang w:val="en-GB"/>
        </w:rPr>
        <w:t xml:space="preserve"> ecosystems, which is only a small fraction of the 2.9 </w:t>
      </w:r>
      <w:proofErr w:type="spellStart"/>
      <w:r w:rsidRPr="000C2C2B">
        <w:rPr>
          <w:rFonts w:ascii="Times New Roman" w:hAnsi="Times New Roman"/>
          <w:sz w:val="21"/>
          <w:szCs w:val="21"/>
          <w:lang w:val="en-GB"/>
        </w:rPr>
        <w:t>mln</w:t>
      </w:r>
      <w:proofErr w:type="spellEnd"/>
      <w:r w:rsidRPr="000C2C2B">
        <w:rPr>
          <w:rFonts w:ascii="Times New Roman" w:hAnsi="Times New Roman"/>
          <w:sz w:val="21"/>
          <w:szCs w:val="21"/>
          <w:lang w:val="en-GB"/>
        </w:rPr>
        <w:t xml:space="preserve"> ha of </w:t>
      </w:r>
      <w:proofErr w:type="spellStart"/>
      <w:r w:rsidRPr="000C2C2B">
        <w:rPr>
          <w:rFonts w:ascii="Times New Roman" w:hAnsi="Times New Roman"/>
          <w:sz w:val="21"/>
          <w:szCs w:val="21"/>
          <w:lang w:val="en-GB"/>
        </w:rPr>
        <w:t>peatland</w:t>
      </w:r>
      <w:proofErr w:type="spellEnd"/>
      <w:r w:rsidRPr="000C2C2B">
        <w:rPr>
          <w:rFonts w:ascii="Times New Roman" w:hAnsi="Times New Roman"/>
          <w:sz w:val="21"/>
          <w:szCs w:val="21"/>
          <w:lang w:val="en-GB"/>
        </w:rPr>
        <w:t xml:space="preserve"> ecosystems in the country. The 4th National Report to CBD notes that the PA system is far from being fully representative. Some of the least represented ecosystems include </w:t>
      </w:r>
      <w:proofErr w:type="spellStart"/>
      <w:r w:rsidRPr="000C2C2B">
        <w:rPr>
          <w:rFonts w:ascii="Times New Roman" w:hAnsi="Times New Roman"/>
          <w:sz w:val="21"/>
          <w:szCs w:val="21"/>
          <w:lang w:val="en-GB"/>
        </w:rPr>
        <w:t>oligotrophic</w:t>
      </w:r>
      <w:proofErr w:type="spellEnd"/>
      <w:r w:rsidRPr="000C2C2B">
        <w:rPr>
          <w:rFonts w:ascii="Times New Roman" w:hAnsi="Times New Roman"/>
          <w:sz w:val="21"/>
          <w:szCs w:val="21"/>
          <w:lang w:val="en-GB"/>
        </w:rPr>
        <w:t xml:space="preserve"> (bog) and </w:t>
      </w:r>
      <w:proofErr w:type="spellStart"/>
      <w:r w:rsidRPr="000C2C2B">
        <w:rPr>
          <w:rFonts w:ascii="Times New Roman" w:hAnsi="Times New Roman"/>
          <w:sz w:val="21"/>
          <w:szCs w:val="21"/>
          <w:lang w:val="en-GB"/>
        </w:rPr>
        <w:t>mesotrophic</w:t>
      </w:r>
      <w:proofErr w:type="spellEnd"/>
      <w:r w:rsidRPr="000C2C2B">
        <w:rPr>
          <w:rFonts w:ascii="Times New Roman" w:hAnsi="Times New Roman"/>
          <w:sz w:val="21"/>
          <w:szCs w:val="21"/>
          <w:lang w:val="en-GB"/>
        </w:rPr>
        <w:t xml:space="preserve"> (transition) </w:t>
      </w:r>
      <w:proofErr w:type="spellStart"/>
      <w:r w:rsidRPr="000C2C2B">
        <w:rPr>
          <w:rFonts w:ascii="Times New Roman" w:hAnsi="Times New Roman"/>
          <w:sz w:val="21"/>
          <w:szCs w:val="21"/>
          <w:lang w:val="en-GB"/>
        </w:rPr>
        <w:t>peatlands</w:t>
      </w:r>
      <w:proofErr w:type="spellEnd"/>
      <w:r w:rsidRPr="000C2C2B">
        <w:rPr>
          <w:rFonts w:ascii="Times New Roman" w:hAnsi="Times New Roman"/>
          <w:sz w:val="21"/>
          <w:szCs w:val="21"/>
          <w:lang w:val="en-GB"/>
        </w:rPr>
        <w:t xml:space="preserve"> in the northern part of the country (</w:t>
      </w:r>
      <w:proofErr w:type="spellStart"/>
      <w:r w:rsidRPr="000C2C2B">
        <w:rPr>
          <w:rFonts w:ascii="Times New Roman" w:hAnsi="Times New Roman"/>
          <w:sz w:val="21"/>
          <w:szCs w:val="21"/>
          <w:lang w:val="en-GB"/>
        </w:rPr>
        <w:t>Poozerie</w:t>
      </w:r>
      <w:proofErr w:type="spellEnd"/>
      <w:r w:rsidRPr="000C2C2B">
        <w:rPr>
          <w:rFonts w:ascii="Times New Roman" w:hAnsi="Times New Roman"/>
          <w:sz w:val="21"/>
          <w:szCs w:val="21"/>
          <w:lang w:val="en-GB"/>
        </w:rPr>
        <w:t xml:space="preserve"> landscape), as well as forest </w:t>
      </w:r>
      <w:proofErr w:type="spellStart"/>
      <w:r w:rsidRPr="000C2C2B">
        <w:rPr>
          <w:rFonts w:ascii="Times New Roman" w:hAnsi="Times New Roman"/>
          <w:sz w:val="21"/>
          <w:szCs w:val="21"/>
          <w:lang w:val="en-GB"/>
        </w:rPr>
        <w:t>peatlands</w:t>
      </w:r>
      <w:proofErr w:type="spellEnd"/>
      <w:r w:rsidRPr="000C2C2B">
        <w:rPr>
          <w:rFonts w:ascii="Times New Roman" w:hAnsi="Times New Roman"/>
          <w:sz w:val="21"/>
          <w:szCs w:val="21"/>
          <w:lang w:val="en-GB"/>
        </w:rPr>
        <w:t xml:space="preserve">, particularly Black Alder Sphagnum forests, which have practically no representation within the PA estate. </w:t>
      </w:r>
      <w:proofErr w:type="gramStart"/>
      <w:r w:rsidRPr="000C2C2B">
        <w:rPr>
          <w:rFonts w:ascii="Times New Roman" w:hAnsi="Times New Roman"/>
          <w:sz w:val="21"/>
          <w:szCs w:val="21"/>
          <w:lang w:val="en-GB"/>
        </w:rPr>
        <w:t xml:space="preserve">As is the case with </w:t>
      </w:r>
      <w:proofErr w:type="spellStart"/>
      <w:r w:rsidRPr="000C2C2B">
        <w:rPr>
          <w:rFonts w:ascii="Times New Roman" w:hAnsi="Times New Roman"/>
          <w:sz w:val="21"/>
          <w:szCs w:val="21"/>
          <w:lang w:val="en-GB"/>
        </w:rPr>
        <w:t>peatlands</w:t>
      </w:r>
      <w:proofErr w:type="spellEnd"/>
      <w:r w:rsidRPr="000C2C2B">
        <w:rPr>
          <w:rFonts w:ascii="Times New Roman" w:hAnsi="Times New Roman"/>
          <w:sz w:val="21"/>
          <w:szCs w:val="21"/>
          <w:lang w:val="en-GB"/>
        </w:rPr>
        <w:t xml:space="preserve"> across the country, the remaining natural/semi-natural areas (whether within protected areas or elsewhere) are surrounded by adjacent lands used for agriculture and forestry production activities.</w:t>
      </w:r>
      <w:proofErr w:type="gramEnd"/>
      <w:r w:rsidRPr="000C2C2B">
        <w:rPr>
          <w:rFonts w:ascii="Times New Roman" w:hAnsi="Times New Roman"/>
          <w:sz w:val="21"/>
          <w:szCs w:val="21"/>
          <w:lang w:val="en-GB"/>
        </w:rPr>
        <w:t xml:space="preserve"> The hydrology of the natural </w:t>
      </w:r>
      <w:proofErr w:type="spellStart"/>
      <w:r w:rsidRPr="000C2C2B">
        <w:rPr>
          <w:rFonts w:ascii="Times New Roman" w:hAnsi="Times New Roman"/>
          <w:sz w:val="21"/>
          <w:szCs w:val="21"/>
          <w:lang w:val="en-GB"/>
        </w:rPr>
        <w:t>peatlands</w:t>
      </w:r>
      <w:proofErr w:type="spellEnd"/>
      <w:r w:rsidRPr="000C2C2B">
        <w:rPr>
          <w:rFonts w:ascii="Times New Roman" w:hAnsi="Times New Roman"/>
          <w:sz w:val="21"/>
          <w:szCs w:val="21"/>
          <w:lang w:val="en-GB"/>
        </w:rPr>
        <w:t xml:space="preserve"> has suffered as a result of the construction of drainage networks. </w:t>
      </w:r>
      <w:r w:rsidRPr="000C2C2B">
        <w:rPr>
          <w:rFonts w:ascii="Times New Roman" w:hAnsi="Times New Roman"/>
          <w:sz w:val="21"/>
          <w:szCs w:val="21"/>
        </w:rPr>
        <w:t xml:space="preserve">Over 80% of the existing 406,000 ha of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protected areas have substantially degraded in the past 20 years due to unabated impact from surrounding landscapes, and many are approaching the ecological tipping point, whereby the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ecosystems are going to be replaced by shrub and dry forest ecosystems. </w:t>
      </w:r>
      <w:r w:rsidRPr="000C2C2B">
        <w:rPr>
          <w:rFonts w:ascii="Times New Roman" w:hAnsi="Times New Roman"/>
          <w:sz w:val="21"/>
          <w:szCs w:val="21"/>
          <w:lang w:val="en-GB"/>
        </w:rPr>
        <w:t xml:space="preserve">These areas also suffer from fires, originating from the production lands. To address these threats, there is a need to synchronize management of PAS with that of adjacent lands. </w:t>
      </w:r>
    </w:p>
    <w:p w:rsidR="00A9399A" w:rsidRPr="000C2C2B" w:rsidRDefault="00A9399A" w:rsidP="00195DD1">
      <w:pPr>
        <w:pStyle w:val="aaaa"/>
        <w:tabs>
          <w:tab w:val="clear" w:pos="360"/>
          <w:tab w:val="clear" w:pos="720"/>
        </w:tabs>
        <w:spacing w:after="80"/>
        <w:ind w:right="270"/>
        <w:jc w:val="both"/>
        <w:rPr>
          <w:sz w:val="21"/>
          <w:szCs w:val="21"/>
        </w:rPr>
      </w:pPr>
      <w:proofErr w:type="gramStart"/>
      <w:r w:rsidRPr="000C2C2B">
        <w:rPr>
          <w:sz w:val="21"/>
          <w:szCs w:val="21"/>
          <w:u w:val="single"/>
        </w:rPr>
        <w:t>Baseline programs</w:t>
      </w:r>
      <w:r w:rsidRPr="000C2C2B">
        <w:rPr>
          <w:sz w:val="21"/>
          <w:szCs w:val="21"/>
        </w:rPr>
        <w:t>.</w:t>
      </w:r>
      <w:proofErr w:type="gramEnd"/>
      <w:r w:rsidRPr="000C2C2B">
        <w:rPr>
          <w:sz w:val="21"/>
          <w:szCs w:val="21"/>
        </w:rPr>
        <w:t xml:space="preserve"> There are 4 baseline Government programs which together serve as the foundation for the project. </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0"/>
        <w:gridCol w:w="6390"/>
      </w:tblGrid>
      <w:tr w:rsidR="00A9399A" w:rsidRPr="000C2C2B" w:rsidTr="00EB2D1A">
        <w:tc>
          <w:tcPr>
            <w:tcW w:w="4770" w:type="dxa"/>
            <w:shd w:val="clear" w:color="auto" w:fill="00B050"/>
          </w:tcPr>
          <w:p w:rsidR="00A9399A" w:rsidRPr="000C2C2B" w:rsidRDefault="00A9399A" w:rsidP="00467FE9">
            <w:pPr>
              <w:spacing w:after="120" w:line="240" w:lineRule="auto"/>
              <w:rPr>
                <w:rFonts w:ascii="Times New Roman" w:hAnsi="Times New Roman"/>
                <w:b/>
                <w:sz w:val="18"/>
                <w:szCs w:val="18"/>
              </w:rPr>
            </w:pPr>
            <w:r w:rsidRPr="000C2C2B">
              <w:rPr>
                <w:rFonts w:ascii="Times New Roman" w:hAnsi="Times New Roman"/>
                <w:b/>
                <w:sz w:val="18"/>
                <w:szCs w:val="18"/>
              </w:rPr>
              <w:t>Title, description, implementing agency, total value (US$) of the baseline program</w:t>
            </w:r>
          </w:p>
        </w:tc>
        <w:tc>
          <w:tcPr>
            <w:tcW w:w="6390" w:type="dxa"/>
            <w:shd w:val="clear" w:color="auto" w:fill="00B050"/>
          </w:tcPr>
          <w:p w:rsidR="00A9399A" w:rsidRPr="000C2C2B" w:rsidRDefault="00A9399A" w:rsidP="008D7548">
            <w:pPr>
              <w:spacing w:after="120" w:line="240" w:lineRule="auto"/>
              <w:rPr>
                <w:rFonts w:ascii="Times New Roman" w:hAnsi="Times New Roman"/>
                <w:b/>
                <w:sz w:val="18"/>
                <w:szCs w:val="18"/>
              </w:rPr>
            </w:pPr>
            <w:r w:rsidRPr="000C2C2B">
              <w:rPr>
                <w:rFonts w:ascii="Times New Roman" w:hAnsi="Times New Roman"/>
                <w:b/>
                <w:sz w:val="18"/>
                <w:szCs w:val="18"/>
              </w:rPr>
              <w:t>Elements and budgets of the program which form part of the baseline project for GEF, and problems they address</w:t>
            </w:r>
          </w:p>
        </w:tc>
      </w:tr>
      <w:tr w:rsidR="00A9399A" w:rsidRPr="000C2C2B" w:rsidTr="00EB2D1A">
        <w:tc>
          <w:tcPr>
            <w:tcW w:w="4770" w:type="dxa"/>
          </w:tcPr>
          <w:p w:rsidR="00A9399A" w:rsidRPr="000C2C2B" w:rsidRDefault="00A9399A" w:rsidP="00467FE9">
            <w:pPr>
              <w:spacing w:after="120" w:line="240" w:lineRule="auto"/>
              <w:rPr>
                <w:rFonts w:ascii="Times New Roman" w:hAnsi="Times New Roman"/>
                <w:i/>
                <w:sz w:val="18"/>
                <w:szCs w:val="18"/>
              </w:rPr>
            </w:pPr>
            <w:r w:rsidRPr="000C2C2B">
              <w:rPr>
                <w:rFonts w:ascii="Times New Roman" w:hAnsi="Times New Roman"/>
                <w:i/>
                <w:sz w:val="18"/>
                <w:szCs w:val="18"/>
              </w:rPr>
              <w:t xml:space="preserve">Scheme of Rational Use of Peat Resource in Belarus up through 2010, coordinated by Cabinet of Ministers, app. $ 5 </w:t>
            </w:r>
            <w:proofErr w:type="spellStart"/>
            <w:r w:rsidRPr="000C2C2B">
              <w:rPr>
                <w:rFonts w:ascii="Times New Roman" w:hAnsi="Times New Roman"/>
                <w:i/>
                <w:sz w:val="18"/>
                <w:szCs w:val="18"/>
              </w:rPr>
              <w:t>mln</w:t>
            </w:r>
            <w:proofErr w:type="spellEnd"/>
            <w:r w:rsidRPr="000C2C2B">
              <w:rPr>
                <w:rFonts w:ascii="Times New Roman" w:hAnsi="Times New Roman"/>
                <w:i/>
                <w:sz w:val="18"/>
                <w:szCs w:val="18"/>
              </w:rPr>
              <w:t>.</w:t>
            </w:r>
          </w:p>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 xml:space="preserve">In 1991 the Government launched the </w:t>
            </w:r>
            <w:r w:rsidRPr="000C2C2B">
              <w:rPr>
                <w:rFonts w:ascii="Times New Roman" w:hAnsi="Times New Roman"/>
                <w:i/>
                <w:sz w:val="18"/>
                <w:szCs w:val="18"/>
              </w:rPr>
              <w:t xml:space="preserve">Scheme of Rational Use of Peat Resource in Belarus, </w:t>
            </w:r>
            <w:r w:rsidRPr="000C2C2B">
              <w:rPr>
                <w:rFonts w:ascii="Times New Roman" w:hAnsi="Times New Roman"/>
                <w:sz w:val="18"/>
                <w:szCs w:val="18"/>
              </w:rPr>
              <w:t>which</w:t>
            </w:r>
            <w:r w:rsidRPr="000C2C2B">
              <w:rPr>
                <w:rFonts w:ascii="Times New Roman" w:hAnsi="Times New Roman"/>
                <w:i/>
                <w:sz w:val="18"/>
                <w:szCs w:val="18"/>
              </w:rPr>
              <w:t xml:space="preserve"> </w:t>
            </w:r>
            <w:r w:rsidRPr="000C2C2B">
              <w:rPr>
                <w:rFonts w:ascii="Times New Roman" w:hAnsi="Times New Roman"/>
                <w:sz w:val="18"/>
                <w:szCs w:val="18"/>
              </w:rPr>
              <w:t xml:space="preserve">aimed to optimize land use based primarily on the potential for mining and agriculture. </w:t>
            </w:r>
            <w:proofErr w:type="spellStart"/>
            <w:r w:rsidRPr="000C2C2B">
              <w:rPr>
                <w:rFonts w:ascii="Times New Roman" w:hAnsi="Times New Roman"/>
                <w:sz w:val="18"/>
                <w:szCs w:val="18"/>
              </w:rPr>
              <w:t>Peatland</w:t>
            </w:r>
            <w:proofErr w:type="spellEnd"/>
            <w:r w:rsidRPr="000C2C2B">
              <w:rPr>
                <w:rFonts w:ascii="Times New Roman" w:hAnsi="Times New Roman"/>
                <w:sz w:val="18"/>
                <w:szCs w:val="18"/>
              </w:rPr>
              <w:t xml:space="preserve"> mining has accelerated since 2007, when the Government sought to diversify its energy mix as a policy response to the projected increase in oil and gas prices. The initiative was terminated in 2010. The Government is in the process of designing a follow-up</w:t>
            </w:r>
            <w:r w:rsidRPr="000C2C2B">
              <w:rPr>
                <w:rFonts w:ascii="Times New Roman" w:hAnsi="Times New Roman"/>
                <w:i/>
                <w:sz w:val="18"/>
                <w:szCs w:val="18"/>
              </w:rPr>
              <w:t xml:space="preserve"> strategy for </w:t>
            </w:r>
            <w:proofErr w:type="spellStart"/>
            <w:r w:rsidRPr="000C2C2B">
              <w:rPr>
                <w:rFonts w:ascii="Times New Roman" w:hAnsi="Times New Roman"/>
                <w:i/>
                <w:sz w:val="18"/>
                <w:szCs w:val="18"/>
              </w:rPr>
              <w:t>peatlands</w:t>
            </w:r>
            <w:proofErr w:type="spellEnd"/>
            <w:r w:rsidRPr="000C2C2B">
              <w:rPr>
                <w:rFonts w:ascii="Times New Roman" w:hAnsi="Times New Roman"/>
                <w:i/>
                <w:sz w:val="18"/>
                <w:szCs w:val="18"/>
              </w:rPr>
              <w:t xml:space="preserve"> management,</w:t>
            </w:r>
            <w:r w:rsidRPr="000C2C2B">
              <w:rPr>
                <w:rFonts w:ascii="Times New Roman" w:hAnsi="Times New Roman"/>
                <w:sz w:val="18"/>
                <w:szCs w:val="18"/>
              </w:rPr>
              <w:t xml:space="preserve"> stipulating </w:t>
            </w:r>
            <w:proofErr w:type="spellStart"/>
            <w:r w:rsidRPr="000C2C2B">
              <w:rPr>
                <w:rFonts w:ascii="Times New Roman" w:hAnsi="Times New Roman"/>
                <w:sz w:val="18"/>
                <w:szCs w:val="18"/>
              </w:rPr>
              <w:t>peatland</w:t>
            </w:r>
            <w:proofErr w:type="spellEnd"/>
            <w:r w:rsidRPr="000C2C2B">
              <w:rPr>
                <w:rFonts w:ascii="Times New Roman" w:hAnsi="Times New Roman"/>
                <w:sz w:val="18"/>
                <w:szCs w:val="18"/>
              </w:rPr>
              <w:t xml:space="preserve"> use through the year 2030. The implementation of this Program is carried out by a number of national institutions (</w:t>
            </w:r>
            <w:proofErr w:type="spellStart"/>
            <w:r w:rsidRPr="000C2C2B">
              <w:rPr>
                <w:rFonts w:ascii="Times New Roman" w:hAnsi="Times New Roman"/>
                <w:sz w:val="18"/>
                <w:szCs w:val="18"/>
              </w:rPr>
              <w:t>Beltopgaz</w:t>
            </w:r>
            <w:proofErr w:type="spellEnd"/>
            <w:r w:rsidRPr="000C2C2B">
              <w:rPr>
                <w:rFonts w:ascii="Times New Roman" w:hAnsi="Times New Roman"/>
                <w:sz w:val="18"/>
                <w:szCs w:val="18"/>
              </w:rPr>
              <w:t xml:space="preserve">, </w:t>
            </w:r>
            <w:proofErr w:type="spellStart"/>
            <w:r w:rsidRPr="000C2C2B">
              <w:rPr>
                <w:rFonts w:ascii="Times New Roman" w:hAnsi="Times New Roman"/>
                <w:sz w:val="18"/>
                <w:szCs w:val="18"/>
              </w:rPr>
              <w:t>Belmeliodvodkhoz</w:t>
            </w:r>
            <w:proofErr w:type="spellEnd"/>
            <w:r w:rsidRPr="000C2C2B">
              <w:rPr>
                <w:rFonts w:ascii="Times New Roman" w:hAnsi="Times New Roman"/>
                <w:sz w:val="18"/>
                <w:szCs w:val="18"/>
              </w:rPr>
              <w:t xml:space="preserve">, etc.). The overall coordination of it rests with the National Academy of Sciences, who </w:t>
            </w:r>
            <w:proofErr w:type="gramStart"/>
            <w:r w:rsidRPr="000C2C2B">
              <w:rPr>
                <w:rFonts w:ascii="Times New Roman" w:hAnsi="Times New Roman"/>
                <w:sz w:val="18"/>
                <w:szCs w:val="18"/>
              </w:rPr>
              <w:t>employ</w:t>
            </w:r>
            <w:proofErr w:type="gramEnd"/>
            <w:r w:rsidRPr="000C2C2B">
              <w:rPr>
                <w:rFonts w:ascii="Times New Roman" w:hAnsi="Times New Roman"/>
                <w:sz w:val="18"/>
                <w:szCs w:val="18"/>
              </w:rPr>
              <w:t xml:space="preserve"> national specialists for development of specific components.</w:t>
            </w:r>
          </w:p>
        </w:tc>
        <w:tc>
          <w:tcPr>
            <w:tcW w:w="6390" w:type="dxa"/>
          </w:tcPr>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u w:val="single"/>
              </w:rPr>
              <w:t xml:space="preserve">Baseline element 1 (US$ 580,400 funded by Academy of Sciences). Elaboration of criteria and the methodology for assigning </w:t>
            </w:r>
            <w:proofErr w:type="spellStart"/>
            <w:r w:rsidRPr="000C2C2B">
              <w:rPr>
                <w:rFonts w:ascii="Times New Roman" w:hAnsi="Times New Roman"/>
                <w:sz w:val="18"/>
                <w:szCs w:val="18"/>
                <w:u w:val="single"/>
              </w:rPr>
              <w:t>peatlands</w:t>
            </w:r>
            <w:proofErr w:type="spellEnd"/>
            <w:r w:rsidRPr="000C2C2B">
              <w:rPr>
                <w:rFonts w:ascii="Times New Roman" w:hAnsi="Times New Roman"/>
                <w:sz w:val="18"/>
                <w:szCs w:val="18"/>
                <w:u w:val="single"/>
              </w:rPr>
              <w:t xml:space="preserve"> to various land-uses, primarily with objective of expanding the areas for peat-mining.</w:t>
            </w:r>
            <w:r w:rsidRPr="000C2C2B">
              <w:rPr>
                <w:rFonts w:ascii="Times New Roman" w:hAnsi="Times New Roman"/>
                <w:sz w:val="18"/>
                <w:szCs w:val="18"/>
              </w:rPr>
              <w:t xml:space="preserve"> The initiative will identify which areas in Belarus can continue to be used for peat extraction, and which new areas can be extracted. This is important for the socio-economic development of the country, in light of its dependence on imported oil-and-gas. The economic use of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in Belarus has become important since 2007 when the oil and gas prices started to grow rapidly, forcing the Government into a diversification of its energy mix, including through peat mining. This is the key driver of the problem which this baseline project seeks to address. </w:t>
            </w:r>
          </w:p>
          <w:p w:rsidR="00A9399A" w:rsidRPr="000C2C2B" w:rsidRDefault="00A9399A" w:rsidP="00237A00">
            <w:pPr>
              <w:spacing w:after="120" w:line="240" w:lineRule="auto"/>
              <w:rPr>
                <w:rFonts w:ascii="Times New Roman" w:hAnsi="Times New Roman"/>
                <w:sz w:val="18"/>
                <w:szCs w:val="18"/>
              </w:rPr>
            </w:pPr>
            <w:r w:rsidRPr="000C2C2B">
              <w:rPr>
                <w:rFonts w:ascii="Times New Roman" w:hAnsi="Times New Roman"/>
                <w:sz w:val="18"/>
                <w:szCs w:val="18"/>
              </w:rPr>
              <w:t xml:space="preserve">However, the </w:t>
            </w:r>
            <w:proofErr w:type="spellStart"/>
            <w:r w:rsidRPr="000C2C2B">
              <w:rPr>
                <w:rFonts w:ascii="Times New Roman" w:hAnsi="Times New Roman"/>
                <w:sz w:val="18"/>
                <w:szCs w:val="18"/>
              </w:rPr>
              <w:t>peatland</w:t>
            </w:r>
            <w:proofErr w:type="spellEnd"/>
            <w:r w:rsidRPr="000C2C2B">
              <w:rPr>
                <w:rFonts w:ascii="Times New Roman" w:hAnsi="Times New Roman"/>
                <w:sz w:val="18"/>
                <w:szCs w:val="18"/>
              </w:rPr>
              <w:t xml:space="preserve"> use plan will not take into account the impact on biodiversity and ecosystem services, including greenhouse gas emissions and sequestration potential. </w:t>
            </w:r>
          </w:p>
        </w:tc>
      </w:tr>
      <w:tr w:rsidR="00A9399A" w:rsidRPr="000C2C2B" w:rsidTr="00EB2D1A">
        <w:tc>
          <w:tcPr>
            <w:tcW w:w="4770" w:type="dxa"/>
          </w:tcPr>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i/>
                <w:sz w:val="18"/>
                <w:szCs w:val="18"/>
              </w:rPr>
              <w:t xml:space="preserve">2008-2014 Protected area support and expansion program (total envisaged cost USD 24 </w:t>
            </w:r>
            <w:proofErr w:type="spellStart"/>
            <w:r w:rsidRPr="000C2C2B">
              <w:rPr>
                <w:rFonts w:ascii="Times New Roman" w:hAnsi="Times New Roman"/>
                <w:i/>
                <w:sz w:val="18"/>
                <w:szCs w:val="18"/>
              </w:rPr>
              <w:t>mln</w:t>
            </w:r>
            <w:proofErr w:type="spellEnd"/>
            <w:r w:rsidRPr="000C2C2B">
              <w:rPr>
                <w:rFonts w:ascii="Times New Roman" w:hAnsi="Times New Roman"/>
                <w:i/>
                <w:sz w:val="18"/>
                <w:szCs w:val="18"/>
              </w:rPr>
              <w:t>)</w:t>
            </w:r>
            <w:r w:rsidRPr="000C2C2B">
              <w:rPr>
                <w:rFonts w:ascii="Times New Roman" w:hAnsi="Times New Roman"/>
                <w:sz w:val="18"/>
                <w:szCs w:val="18"/>
              </w:rPr>
              <w:t>, supervised by the Ministry of Environment.</w:t>
            </w:r>
          </w:p>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The program has two objectives. One objective is to regular support for the maintenance of the existing protected area system. This includes provision of regular salary costs, utilities and basic infrastructure costs of protected areas. The second objective is to expand protected areas estate onto under-</w:t>
            </w:r>
            <w:r w:rsidRPr="000C2C2B">
              <w:rPr>
                <w:rFonts w:ascii="Times New Roman" w:hAnsi="Times New Roman"/>
                <w:sz w:val="18"/>
                <w:szCs w:val="18"/>
              </w:rPr>
              <w:lastRenderedPageBreak/>
              <w:t>represented habitats. The program</w:t>
            </w:r>
            <w:r w:rsidRPr="000C2C2B">
              <w:rPr>
                <w:rFonts w:ascii="Times New Roman" w:hAnsi="Times New Roman"/>
                <w:i/>
                <w:sz w:val="18"/>
                <w:szCs w:val="18"/>
              </w:rPr>
              <w:t xml:space="preserve"> </w:t>
            </w:r>
            <w:r w:rsidRPr="000C2C2B">
              <w:rPr>
                <w:rFonts w:ascii="Times New Roman" w:hAnsi="Times New Roman"/>
                <w:sz w:val="18"/>
                <w:szCs w:val="18"/>
              </w:rPr>
              <w:t>is aimed at increasing the total protected areas system estate to 10%. Only the second objective is relevant for the project.</w:t>
            </w:r>
          </w:p>
        </w:tc>
        <w:tc>
          <w:tcPr>
            <w:tcW w:w="6390" w:type="dxa"/>
          </w:tcPr>
          <w:p w:rsidR="00A9399A" w:rsidRPr="000C2C2B" w:rsidRDefault="00A9399A" w:rsidP="00237A00">
            <w:pPr>
              <w:spacing w:after="120" w:line="240" w:lineRule="auto"/>
              <w:rPr>
                <w:rFonts w:ascii="Times New Roman" w:hAnsi="Times New Roman"/>
                <w:sz w:val="18"/>
                <w:szCs w:val="18"/>
              </w:rPr>
            </w:pPr>
            <w:r w:rsidRPr="000C2C2B">
              <w:rPr>
                <w:rFonts w:ascii="Times New Roman" w:hAnsi="Times New Roman"/>
                <w:sz w:val="18"/>
                <w:szCs w:val="18"/>
                <w:u w:val="single"/>
              </w:rPr>
              <w:lastRenderedPageBreak/>
              <w:t xml:space="preserve">Baseline element 2 (US$ 150,000 funded by Ministry of Environment). Basic support to creation of new protected areas at </w:t>
            </w:r>
            <w:proofErr w:type="spellStart"/>
            <w:r w:rsidRPr="000C2C2B">
              <w:rPr>
                <w:rFonts w:ascii="Times New Roman" w:hAnsi="Times New Roman"/>
                <w:sz w:val="18"/>
                <w:szCs w:val="18"/>
                <w:u w:val="single"/>
              </w:rPr>
              <w:t>peatlands</w:t>
            </w:r>
            <w:proofErr w:type="spellEnd"/>
            <w:r w:rsidRPr="000C2C2B">
              <w:rPr>
                <w:rFonts w:ascii="Times New Roman" w:hAnsi="Times New Roman"/>
                <w:sz w:val="18"/>
                <w:szCs w:val="18"/>
                <w:u w:val="single"/>
              </w:rPr>
              <w:t>.</w:t>
            </w:r>
            <w:r w:rsidRPr="000C2C2B">
              <w:rPr>
                <w:rFonts w:ascii="Times New Roman" w:hAnsi="Times New Roman"/>
                <w:sz w:val="18"/>
                <w:szCs w:val="18"/>
              </w:rPr>
              <w:t xml:space="preserve"> The problem this program is addressing is to cover the basic start up costs of new protected areas in under-represented habitats, including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The 114,000 granted by the government is sufficient to cover basic PA set up costs. Therefore, while the program supports the construction of infrastructure and the recurrent costs of protected area management, it lacks resources for PA management planning, business planning, ranger training, and the integration of PA management into landscape level development planning and financing. All of these elements will not be addressed by the baseline without </w:t>
            </w:r>
            <w:r w:rsidRPr="000C2C2B">
              <w:rPr>
                <w:rFonts w:ascii="Times New Roman" w:hAnsi="Times New Roman"/>
                <w:sz w:val="18"/>
                <w:szCs w:val="18"/>
              </w:rPr>
              <w:lastRenderedPageBreak/>
              <w:t>GEF funding.</w:t>
            </w:r>
          </w:p>
        </w:tc>
      </w:tr>
      <w:tr w:rsidR="00A9399A" w:rsidRPr="000C2C2B" w:rsidTr="00EB2D1A">
        <w:tc>
          <w:tcPr>
            <w:tcW w:w="4770" w:type="dxa"/>
          </w:tcPr>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lastRenderedPageBreak/>
              <w:t xml:space="preserve">The </w:t>
            </w:r>
            <w:r w:rsidRPr="000C2C2B">
              <w:rPr>
                <w:rFonts w:ascii="Times New Roman" w:hAnsi="Times New Roman"/>
                <w:i/>
                <w:sz w:val="18"/>
                <w:szCs w:val="18"/>
              </w:rPr>
              <w:t xml:space="preserve">State Program on the Reconstruction of Drainage Facilities (2011 – 2015) was </w:t>
            </w:r>
            <w:r w:rsidRPr="000C2C2B">
              <w:rPr>
                <w:rFonts w:ascii="Times New Roman" w:hAnsi="Times New Roman"/>
                <w:sz w:val="18"/>
                <w:szCs w:val="18"/>
              </w:rPr>
              <w:t>adopted by the Government in 2009</w:t>
            </w:r>
            <w:r w:rsidRPr="000C2C2B">
              <w:rPr>
                <w:rFonts w:ascii="Times New Roman" w:hAnsi="Times New Roman"/>
                <w:i/>
                <w:sz w:val="18"/>
                <w:szCs w:val="18"/>
              </w:rPr>
              <w:t xml:space="preserve">. </w:t>
            </w:r>
            <w:r w:rsidRPr="000C2C2B">
              <w:rPr>
                <w:rFonts w:ascii="Times New Roman" w:hAnsi="Times New Roman"/>
                <w:sz w:val="18"/>
                <w:szCs w:val="18"/>
              </w:rPr>
              <w:t xml:space="preserve">The budget of the Program is </w:t>
            </w:r>
            <w:r w:rsidRPr="000C2C2B">
              <w:rPr>
                <w:rFonts w:ascii="Times New Roman" w:hAnsi="Times New Roman"/>
                <w:b/>
                <w:sz w:val="18"/>
                <w:szCs w:val="18"/>
              </w:rPr>
              <w:t>150 million USD</w:t>
            </w:r>
            <w:r w:rsidRPr="000C2C2B">
              <w:rPr>
                <w:rFonts w:ascii="Times New Roman" w:hAnsi="Times New Roman"/>
                <w:sz w:val="18"/>
                <w:szCs w:val="18"/>
              </w:rPr>
              <w:t xml:space="preserve">. </w:t>
            </w:r>
          </w:p>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 xml:space="preserve">This program envisages reconstruction of </w:t>
            </w:r>
            <w:proofErr w:type="spellStart"/>
            <w:r w:rsidRPr="000C2C2B">
              <w:rPr>
                <w:rFonts w:ascii="Times New Roman" w:hAnsi="Times New Roman"/>
                <w:sz w:val="18"/>
                <w:szCs w:val="18"/>
              </w:rPr>
              <w:t>hydrotechnical</w:t>
            </w:r>
            <w:proofErr w:type="spellEnd"/>
            <w:r w:rsidRPr="000C2C2B">
              <w:rPr>
                <w:rFonts w:ascii="Times New Roman" w:hAnsi="Times New Roman"/>
                <w:sz w:val="18"/>
                <w:szCs w:val="18"/>
              </w:rPr>
              <w:t xml:space="preserve"> drainage facilities at about 400,000 ha of drained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with a primary purpose to increase their agricultural productivity. The program is implemented by the </w:t>
            </w:r>
            <w:proofErr w:type="spellStart"/>
            <w:r w:rsidRPr="000C2C2B">
              <w:rPr>
                <w:rFonts w:ascii="Times New Roman" w:hAnsi="Times New Roman"/>
                <w:sz w:val="18"/>
                <w:szCs w:val="18"/>
              </w:rPr>
              <w:t>Belmeliovodkhoz</w:t>
            </w:r>
            <w:proofErr w:type="spellEnd"/>
            <w:r w:rsidRPr="000C2C2B">
              <w:rPr>
                <w:rFonts w:ascii="Times New Roman" w:hAnsi="Times New Roman"/>
                <w:sz w:val="18"/>
                <w:szCs w:val="18"/>
              </w:rPr>
              <w:t xml:space="preserve"> enterprise of the Ministry of </w:t>
            </w:r>
            <w:proofErr w:type="spellStart"/>
            <w:r w:rsidRPr="000C2C2B">
              <w:rPr>
                <w:rFonts w:ascii="Times New Roman" w:hAnsi="Times New Roman"/>
                <w:sz w:val="18"/>
                <w:szCs w:val="18"/>
              </w:rPr>
              <w:t>Agriculure</w:t>
            </w:r>
            <w:proofErr w:type="spellEnd"/>
            <w:r w:rsidRPr="000C2C2B">
              <w:rPr>
                <w:rFonts w:ascii="Times New Roman" w:hAnsi="Times New Roman"/>
                <w:sz w:val="18"/>
                <w:szCs w:val="18"/>
              </w:rPr>
              <w:t>.</w:t>
            </w:r>
          </w:p>
        </w:tc>
        <w:tc>
          <w:tcPr>
            <w:tcW w:w="6390" w:type="dxa"/>
          </w:tcPr>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u w:val="single"/>
              </w:rPr>
              <w:t xml:space="preserve">Baseline element 3 (US$4,410,000 funded by Ministry of Agriculture). Investment in improvement of infrastructure of hydro-technical facilities at the degrading agricultural </w:t>
            </w:r>
            <w:proofErr w:type="spellStart"/>
            <w:r w:rsidRPr="000C2C2B">
              <w:rPr>
                <w:rFonts w:ascii="Times New Roman" w:hAnsi="Times New Roman"/>
                <w:sz w:val="18"/>
                <w:szCs w:val="18"/>
                <w:u w:val="single"/>
              </w:rPr>
              <w:t>peatlands</w:t>
            </w:r>
            <w:proofErr w:type="spellEnd"/>
            <w:r w:rsidRPr="000C2C2B">
              <w:rPr>
                <w:rFonts w:ascii="Times New Roman" w:hAnsi="Times New Roman"/>
                <w:sz w:val="18"/>
                <w:szCs w:val="18"/>
              </w:rPr>
              <w:t xml:space="preserve">. This component of the baseline project addresses the objective of identifying opportunities to increase the agricultural productivity of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t>
            </w:r>
          </w:p>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 xml:space="preserve">The key driver behind the problems addressed by this baseline element are the declining agricultural productivity of degrading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and the worsening condition of </w:t>
            </w:r>
            <w:proofErr w:type="spellStart"/>
            <w:r w:rsidRPr="000C2C2B">
              <w:rPr>
                <w:rFonts w:ascii="Times New Roman" w:hAnsi="Times New Roman"/>
                <w:sz w:val="18"/>
                <w:szCs w:val="18"/>
              </w:rPr>
              <w:t>hydrotechnical</w:t>
            </w:r>
            <w:proofErr w:type="spellEnd"/>
            <w:r w:rsidRPr="000C2C2B">
              <w:rPr>
                <w:rFonts w:ascii="Times New Roman" w:hAnsi="Times New Roman"/>
                <w:sz w:val="18"/>
                <w:szCs w:val="18"/>
              </w:rPr>
              <w:t xml:space="preserve"> facilities  constructed in mid 1950-s and mid 1960-s . For about two decades after drainage those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can support agriculture. However, productivity is hard to sustain. As a result, many agricultural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became abandoned and became subject to erosion and a drop of water table. </w:t>
            </w:r>
          </w:p>
          <w:p w:rsidR="00A9399A" w:rsidRPr="000C2C2B" w:rsidRDefault="00A9399A" w:rsidP="006E6FBA">
            <w:pPr>
              <w:spacing w:after="120" w:line="240" w:lineRule="auto"/>
              <w:rPr>
                <w:rFonts w:ascii="Times New Roman" w:hAnsi="Times New Roman"/>
                <w:sz w:val="18"/>
                <w:szCs w:val="18"/>
              </w:rPr>
            </w:pPr>
            <w:r w:rsidRPr="000C2C2B">
              <w:rPr>
                <w:rFonts w:ascii="Times New Roman" w:hAnsi="Times New Roman"/>
                <w:sz w:val="18"/>
                <w:szCs w:val="18"/>
              </w:rPr>
              <w:t xml:space="preserve">As a specific response to the identified problem, this baseline program element aims at developing criteria and a methodology for sustaining agriculture in drained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(other types of uses of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are outside the scope of this baseline program). It will undertake a full inventory of the </w:t>
            </w:r>
            <w:proofErr w:type="spellStart"/>
            <w:r w:rsidRPr="000C2C2B">
              <w:rPr>
                <w:rFonts w:ascii="Times New Roman" w:hAnsi="Times New Roman"/>
                <w:sz w:val="18"/>
                <w:szCs w:val="18"/>
              </w:rPr>
              <w:t>hydrotechnical</w:t>
            </w:r>
            <w:proofErr w:type="spellEnd"/>
            <w:r w:rsidRPr="000C2C2B">
              <w:rPr>
                <w:rFonts w:ascii="Times New Roman" w:hAnsi="Times New Roman"/>
                <w:sz w:val="18"/>
                <w:szCs w:val="18"/>
              </w:rPr>
              <w:t xml:space="preserve"> facilities used in these areas (but not inventory of ecosystem functions). </w:t>
            </w:r>
            <w:proofErr w:type="gramStart"/>
            <w:r w:rsidRPr="000C2C2B">
              <w:rPr>
                <w:rFonts w:ascii="Times New Roman" w:hAnsi="Times New Roman"/>
                <w:sz w:val="18"/>
                <w:szCs w:val="18"/>
              </w:rPr>
              <w:t>to</w:t>
            </w:r>
            <w:proofErr w:type="gramEnd"/>
            <w:r w:rsidRPr="000C2C2B">
              <w:rPr>
                <w:rFonts w:ascii="Times New Roman" w:hAnsi="Times New Roman"/>
                <w:sz w:val="18"/>
                <w:szCs w:val="18"/>
              </w:rPr>
              <w:t xml:space="preserve"> some extent the baseline addresses the “landscape improvement” activities in agricultural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which can lead to a reduction in GHG emissions. However, these are traditionally limited to the leveling of banks of drainage ditches and subsequent grass planting, without specifically taking biodiversity or sustainable land management objectives into account. Further, little work is being done on promoting land use alternatives, such as grazing (i.e. conversion of agriculture land in to pastures) which also has a potential to curb emission of carbon from degrading arable peat land. However, funding can only be tapped for this after corresponding methodologies have been developed for assessment of carbon benefits, accompanied with proper MRV and opportunities for carbon markets, for which the country lacks capacity. </w:t>
            </w:r>
          </w:p>
        </w:tc>
      </w:tr>
      <w:tr w:rsidR="00A9399A" w:rsidRPr="000C2C2B" w:rsidTr="00EB2D1A">
        <w:tc>
          <w:tcPr>
            <w:tcW w:w="4770" w:type="dxa"/>
          </w:tcPr>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 xml:space="preserve">The </w:t>
            </w:r>
            <w:r w:rsidRPr="000C2C2B">
              <w:rPr>
                <w:rFonts w:ascii="Times New Roman" w:hAnsi="Times New Roman"/>
                <w:i/>
                <w:sz w:val="18"/>
                <w:szCs w:val="18"/>
              </w:rPr>
              <w:t>State Program on the Development of the Forest Sector</w:t>
            </w:r>
            <w:r w:rsidRPr="000C2C2B">
              <w:rPr>
                <w:rFonts w:ascii="Times New Roman" w:hAnsi="Times New Roman"/>
                <w:sz w:val="18"/>
                <w:szCs w:val="18"/>
              </w:rPr>
              <w:t>, which is the national framework-setting document for the forest sector of the country through 2015 (</w:t>
            </w:r>
            <w:r w:rsidRPr="000C2C2B">
              <w:rPr>
                <w:rFonts w:ascii="Times New Roman" w:hAnsi="Times New Roman"/>
                <w:b/>
                <w:sz w:val="18"/>
                <w:szCs w:val="18"/>
              </w:rPr>
              <w:t xml:space="preserve">total funding US$ 130 </w:t>
            </w:r>
            <w:proofErr w:type="spellStart"/>
            <w:r w:rsidRPr="000C2C2B">
              <w:rPr>
                <w:rFonts w:ascii="Times New Roman" w:hAnsi="Times New Roman"/>
                <w:b/>
                <w:sz w:val="18"/>
                <w:szCs w:val="18"/>
              </w:rPr>
              <w:t>mln</w:t>
            </w:r>
            <w:proofErr w:type="spellEnd"/>
            <w:r w:rsidRPr="000C2C2B">
              <w:rPr>
                <w:rFonts w:ascii="Times New Roman" w:hAnsi="Times New Roman"/>
                <w:sz w:val="18"/>
                <w:szCs w:val="18"/>
              </w:rPr>
              <w:t xml:space="preserve">). </w:t>
            </w:r>
          </w:p>
          <w:p w:rsidR="00A9399A" w:rsidRPr="000C2C2B" w:rsidRDefault="00A9399A" w:rsidP="00467FE9">
            <w:pPr>
              <w:spacing w:after="120" w:line="240" w:lineRule="auto"/>
              <w:rPr>
                <w:rFonts w:ascii="Times New Roman" w:hAnsi="Times New Roman"/>
                <w:sz w:val="18"/>
                <w:szCs w:val="18"/>
              </w:rPr>
            </w:pPr>
            <w:r w:rsidRPr="000C2C2B">
              <w:rPr>
                <w:rFonts w:ascii="Times New Roman" w:hAnsi="Times New Roman"/>
                <w:sz w:val="18"/>
                <w:szCs w:val="18"/>
              </w:rPr>
              <w:t xml:space="preserve">The objective of the program is a gradual increase of forest cover through reforestation and </w:t>
            </w:r>
            <w:proofErr w:type="spellStart"/>
            <w:r w:rsidRPr="000C2C2B">
              <w:rPr>
                <w:rFonts w:ascii="Times New Roman" w:hAnsi="Times New Roman"/>
                <w:sz w:val="18"/>
                <w:szCs w:val="18"/>
              </w:rPr>
              <w:t>afforestation</w:t>
            </w:r>
            <w:proofErr w:type="spellEnd"/>
            <w:r w:rsidRPr="000C2C2B">
              <w:rPr>
                <w:rFonts w:ascii="Times New Roman" w:hAnsi="Times New Roman"/>
                <w:sz w:val="18"/>
                <w:szCs w:val="18"/>
              </w:rPr>
              <w:t>, supports forest certification and technological innovations in the mainstreaming timber production industry. The program is implemented by the Ministry of Forestry.</w:t>
            </w:r>
          </w:p>
        </w:tc>
        <w:tc>
          <w:tcPr>
            <w:tcW w:w="6390" w:type="dxa"/>
          </w:tcPr>
          <w:p w:rsidR="00A9399A" w:rsidRPr="000C2C2B" w:rsidRDefault="00A9399A" w:rsidP="00DE5B3F">
            <w:pPr>
              <w:spacing w:after="120" w:line="240" w:lineRule="auto"/>
              <w:rPr>
                <w:rFonts w:ascii="Times New Roman" w:hAnsi="Times New Roman"/>
                <w:sz w:val="18"/>
                <w:szCs w:val="18"/>
              </w:rPr>
            </w:pPr>
            <w:r w:rsidRPr="000C2C2B">
              <w:rPr>
                <w:rFonts w:ascii="Times New Roman" w:hAnsi="Times New Roman"/>
                <w:sz w:val="18"/>
                <w:szCs w:val="18"/>
              </w:rPr>
              <w:t xml:space="preserve">Baseline element 4 (US 1,017,000 funded by the Ministry of Forestry). Inventory of the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drainage facilities. The problem that this baseline element is addressing is lack of data on the state of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This driver of this problem is the fact that such data on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was last gathered in mid 1960s. </w:t>
            </w:r>
          </w:p>
          <w:p w:rsidR="00A9399A" w:rsidRPr="000C2C2B" w:rsidRDefault="00A9399A" w:rsidP="006E6FBA">
            <w:pPr>
              <w:spacing w:after="120" w:line="240" w:lineRule="auto"/>
              <w:rPr>
                <w:rFonts w:ascii="Times New Roman" w:hAnsi="Times New Roman"/>
                <w:sz w:val="18"/>
                <w:szCs w:val="18"/>
              </w:rPr>
            </w:pPr>
            <w:r w:rsidRPr="000C2C2B">
              <w:rPr>
                <w:rFonts w:ascii="Times New Roman" w:hAnsi="Times New Roman"/>
                <w:sz w:val="18"/>
                <w:szCs w:val="18"/>
              </w:rPr>
              <w:t xml:space="preserve">The new funding is now finally available to prepare an up-to-date inventory of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The drawback here is that this inventory requires multiple (including international) expertise, which would look at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from a multiple ecosystem services perspective. Furthermore, the inventory of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has to be coordinated with the inventories of other types of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in the landscape. Lastly, the baseline project will not address (1) restoration of degraded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with a view to minimize carbon release, and (2) alternative use at forest </w:t>
            </w:r>
            <w:proofErr w:type="spellStart"/>
            <w:r w:rsidRPr="000C2C2B">
              <w:rPr>
                <w:rFonts w:ascii="Times New Roman" w:hAnsi="Times New Roman"/>
                <w:sz w:val="18"/>
                <w:szCs w:val="18"/>
              </w:rPr>
              <w:t>peatlands</w:t>
            </w:r>
            <w:proofErr w:type="spellEnd"/>
            <w:r w:rsidRPr="000C2C2B">
              <w:rPr>
                <w:rFonts w:ascii="Times New Roman" w:hAnsi="Times New Roman"/>
                <w:sz w:val="18"/>
                <w:szCs w:val="18"/>
              </w:rPr>
              <w:t xml:space="preserve">. </w:t>
            </w:r>
          </w:p>
        </w:tc>
      </w:tr>
    </w:tbl>
    <w:p w:rsidR="00A9399A" w:rsidRPr="000C2C2B" w:rsidRDefault="00A9399A" w:rsidP="00195DD1">
      <w:pPr>
        <w:pStyle w:val="aaaa"/>
        <w:tabs>
          <w:tab w:val="clear" w:pos="360"/>
          <w:tab w:val="clear" w:pos="720"/>
        </w:tabs>
        <w:spacing w:after="80"/>
        <w:ind w:right="270"/>
        <w:jc w:val="both"/>
        <w:rPr>
          <w:sz w:val="21"/>
          <w:szCs w:val="21"/>
        </w:rPr>
      </w:pPr>
    </w:p>
    <w:p w:rsidR="00A9399A" w:rsidRPr="000C2C2B" w:rsidRDefault="00A9399A" w:rsidP="00195DD1">
      <w:pPr>
        <w:pStyle w:val="aaaa"/>
        <w:spacing w:after="80"/>
        <w:ind w:right="270"/>
        <w:jc w:val="both"/>
        <w:rPr>
          <w:sz w:val="21"/>
          <w:szCs w:val="21"/>
        </w:rPr>
      </w:pPr>
      <w:proofErr w:type="gramStart"/>
      <w:r w:rsidRPr="000C2C2B">
        <w:rPr>
          <w:sz w:val="21"/>
          <w:szCs w:val="21"/>
          <w:u w:val="single"/>
        </w:rPr>
        <w:t>Long-term solution and barriers</w:t>
      </w:r>
      <w:r w:rsidRPr="000C2C2B">
        <w:rPr>
          <w:sz w:val="21"/>
          <w:szCs w:val="21"/>
        </w:rPr>
        <w:t>.</w:t>
      </w:r>
      <w:proofErr w:type="gramEnd"/>
      <w:r w:rsidRPr="000C2C2B">
        <w:rPr>
          <w:sz w:val="21"/>
          <w:szCs w:val="21"/>
        </w:rPr>
        <w:t xml:space="preserve"> The long-term solution proposed by this project is an integrated approach to decision-making on </w:t>
      </w:r>
      <w:proofErr w:type="spellStart"/>
      <w:r w:rsidRPr="000C2C2B">
        <w:rPr>
          <w:sz w:val="21"/>
          <w:szCs w:val="21"/>
        </w:rPr>
        <w:t>peatland</w:t>
      </w:r>
      <w:proofErr w:type="spellEnd"/>
      <w:r w:rsidRPr="000C2C2B">
        <w:rPr>
          <w:sz w:val="21"/>
          <w:szCs w:val="21"/>
        </w:rPr>
        <w:t xml:space="preserve"> use, weighing ecological as well as economic criteria, with consideration for carbon benefits that may be derived from participation in the voluntary and compliance markets. However, a number of </w:t>
      </w:r>
      <w:r w:rsidRPr="000C2C2B">
        <w:rPr>
          <w:sz w:val="21"/>
          <w:szCs w:val="21"/>
          <w:u w:val="single"/>
        </w:rPr>
        <w:t>barriers</w:t>
      </w:r>
      <w:r w:rsidRPr="000C2C2B">
        <w:rPr>
          <w:sz w:val="21"/>
          <w:szCs w:val="21"/>
        </w:rPr>
        <w:t xml:space="preserve"> hamper the achievement of this solution:</w:t>
      </w:r>
    </w:p>
    <w:p w:rsidR="00A9399A" w:rsidRPr="000C2C2B" w:rsidRDefault="00A9399A" w:rsidP="002E5320">
      <w:pPr>
        <w:autoSpaceDE w:val="0"/>
        <w:autoSpaceDN w:val="0"/>
        <w:spacing w:before="120" w:after="120" w:line="240" w:lineRule="auto"/>
        <w:ind w:left="72" w:right="270"/>
        <w:jc w:val="both"/>
        <w:rPr>
          <w:rFonts w:ascii="Times New Roman" w:hAnsi="Times New Roman"/>
          <w:sz w:val="21"/>
          <w:szCs w:val="21"/>
        </w:rPr>
      </w:pPr>
      <w:proofErr w:type="gramStart"/>
      <w:r w:rsidRPr="000C2C2B">
        <w:rPr>
          <w:rFonts w:ascii="Times New Roman" w:hAnsi="Times New Roman"/>
          <w:sz w:val="21"/>
          <w:szCs w:val="21"/>
          <w:u w:val="single"/>
        </w:rPr>
        <w:t xml:space="preserve">Missing long-term vision and national consensus on use of </w:t>
      </w:r>
      <w:proofErr w:type="spellStart"/>
      <w:r w:rsidRPr="000C2C2B">
        <w:rPr>
          <w:rFonts w:ascii="Times New Roman" w:hAnsi="Times New Roman"/>
          <w:sz w:val="21"/>
          <w:szCs w:val="21"/>
          <w:u w:val="single"/>
        </w:rPr>
        <w:t>peatlands</w:t>
      </w:r>
      <w:proofErr w:type="spellEnd"/>
      <w:r w:rsidRPr="000C2C2B">
        <w:rPr>
          <w:rFonts w:ascii="Times New Roman" w:hAnsi="Times New Roman"/>
          <w:sz w:val="21"/>
          <w:szCs w:val="21"/>
          <w:u w:val="single"/>
        </w:rPr>
        <w:t>.</w:t>
      </w:r>
      <w:proofErr w:type="gramEnd"/>
      <w:r w:rsidRPr="000C2C2B">
        <w:rPr>
          <w:rFonts w:ascii="Times New Roman" w:hAnsi="Times New Roman"/>
          <w:sz w:val="21"/>
          <w:szCs w:val="21"/>
        </w:rPr>
        <w:t xml:space="preserve"> Each baseline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program works in isolation; their targets and activities are designed without taking into account the impact on biodiversity and ecosystem services, including greenhouse gas emissions and sequestration potential. The country lacks a full inventory and a comprehensive database of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accounting for their ecosystem functions. Without such, it is impossible to make a well-informed decision on the optimal use of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and management needs. The drainage programs in agriculture promote deep plowing in areas where, if ecological sustainability criteria were utilized, pasture management would be more appropriate. Detailed studies on the condition and rate of degradation of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are presently lacking. The baseline program on forestry at the moment does not have resources or technical capacities to implement multiple-use planning for forest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With respect to protected areas there has been no landscape thinking behind the decisions to set up new PAs. The management effectiveness of the existing PAs is sub-optimal. Sphagnum forests, bogs and </w:t>
      </w:r>
      <w:proofErr w:type="spellStart"/>
      <w:r w:rsidRPr="000C2C2B">
        <w:rPr>
          <w:rFonts w:ascii="Times New Roman" w:hAnsi="Times New Roman"/>
          <w:sz w:val="21"/>
          <w:szCs w:val="21"/>
        </w:rPr>
        <w:t>mesotrophic</w:t>
      </w:r>
      <w:proofErr w:type="spellEnd"/>
      <w:r w:rsidRPr="000C2C2B">
        <w:rPr>
          <w:rFonts w:ascii="Times New Roman" w:hAnsi="Times New Roman"/>
          <w:sz w:val="21"/>
          <w:szCs w:val="21"/>
        </w:rPr>
        <w:t xml:space="preserve"> mires remain under-represented in the PA system. This barrier results in ignorance of ecological needs in the operation of industries in areas adjacent to PAs, ultimately threatening biodiversity and ecosystem services as a result of the impact on the groundwater table, fires and other forms of degradation. </w:t>
      </w:r>
    </w:p>
    <w:p w:rsidR="00A9399A" w:rsidRPr="000C2C2B" w:rsidRDefault="00A9399A" w:rsidP="00195DD1">
      <w:pPr>
        <w:autoSpaceDE w:val="0"/>
        <w:autoSpaceDN w:val="0"/>
        <w:spacing w:before="120" w:after="120" w:line="240" w:lineRule="auto"/>
        <w:ind w:left="72" w:right="270"/>
        <w:jc w:val="both"/>
        <w:rPr>
          <w:rFonts w:ascii="Times New Roman" w:hAnsi="Times New Roman"/>
          <w:sz w:val="21"/>
          <w:szCs w:val="21"/>
        </w:rPr>
      </w:pPr>
      <w:r w:rsidRPr="000C2C2B">
        <w:rPr>
          <w:rFonts w:ascii="Times New Roman" w:hAnsi="Times New Roman"/>
          <w:sz w:val="21"/>
          <w:szCs w:val="21"/>
          <w:u w:val="single"/>
        </w:rPr>
        <w:t xml:space="preserve">Know-how gaps in carbon stock management in agricultural and forestry </w:t>
      </w:r>
      <w:proofErr w:type="spellStart"/>
      <w:r w:rsidRPr="000C2C2B">
        <w:rPr>
          <w:rFonts w:ascii="Times New Roman" w:hAnsi="Times New Roman"/>
          <w:sz w:val="21"/>
          <w:szCs w:val="21"/>
          <w:u w:val="single"/>
        </w:rPr>
        <w:t>peatlands</w:t>
      </w:r>
      <w:proofErr w:type="spellEnd"/>
      <w:r w:rsidRPr="000C2C2B">
        <w:rPr>
          <w:rFonts w:ascii="Times New Roman" w:hAnsi="Times New Roman"/>
          <w:sz w:val="21"/>
          <w:szCs w:val="21"/>
        </w:rPr>
        <w:t xml:space="preserve">. Degraded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emit greenhouse gases into the atmosphere as a result of soil mineralization and peat fires. These areas need to be restored, so as to reduce emissions. </w:t>
      </w:r>
      <w:r w:rsidRPr="000C2C2B">
        <w:rPr>
          <w:rFonts w:ascii="Times New Roman" w:hAnsi="Times New Roman"/>
          <w:sz w:val="21"/>
          <w:szCs w:val="21"/>
        </w:rPr>
        <w:lastRenderedPageBreak/>
        <w:t xml:space="preserve">However, while restoration methods have been successfully developed for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subject to peat mining (with investment from a previous GEF financed project), guidelines for restoring agricultural and forest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are lacking. With respect to forest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specifically, the </w:t>
      </w:r>
      <w:proofErr w:type="spellStart"/>
      <w:r w:rsidRPr="000C2C2B">
        <w:rPr>
          <w:rFonts w:ascii="Times New Roman" w:hAnsi="Times New Roman"/>
          <w:sz w:val="21"/>
          <w:szCs w:val="21"/>
        </w:rPr>
        <w:t>Poozerie</w:t>
      </w:r>
      <w:proofErr w:type="spellEnd"/>
      <w:r w:rsidRPr="000C2C2B">
        <w:rPr>
          <w:rFonts w:ascii="Times New Roman" w:hAnsi="Times New Roman"/>
          <w:sz w:val="21"/>
          <w:szCs w:val="21"/>
        </w:rPr>
        <w:t xml:space="preserve"> landscape contains an estimated 32,000 ha of degraded forest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(out of over 135,000 hectares of degraded forest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in the country as a whole), including unique Black Alder Sphagnum bog forests. Technologies need to be tested and methodologies developed for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forest restoration, and assisted regeneration. Since these forests cannot be productively used for logging, alternative uses need to be introduced, such as wildlife management (for sustainable hunting, fishing and recreation). Once restored, these areas would need to be zoned for protection under the Land </w:t>
      </w:r>
      <w:proofErr w:type="spellStart"/>
      <w:r w:rsidRPr="000C2C2B">
        <w:rPr>
          <w:rFonts w:ascii="Times New Roman" w:hAnsi="Times New Roman"/>
          <w:sz w:val="21"/>
          <w:szCs w:val="21"/>
        </w:rPr>
        <w:t>Cadaster</w:t>
      </w:r>
      <w:proofErr w:type="spellEnd"/>
      <w:r w:rsidRPr="000C2C2B">
        <w:rPr>
          <w:rFonts w:ascii="Times New Roman" w:hAnsi="Times New Roman"/>
          <w:sz w:val="21"/>
          <w:szCs w:val="21"/>
        </w:rPr>
        <w:t xml:space="preserve">—to ensure permanence. </w:t>
      </w:r>
    </w:p>
    <w:p w:rsidR="00A9399A" w:rsidRPr="000C2C2B" w:rsidRDefault="00A9399A" w:rsidP="00195DD1">
      <w:pPr>
        <w:pStyle w:val="Footer"/>
        <w:tabs>
          <w:tab w:val="clear" w:pos="4320"/>
          <w:tab w:val="clear" w:pos="8640"/>
        </w:tabs>
        <w:spacing w:after="80"/>
        <w:ind w:right="270"/>
        <w:rPr>
          <w:b/>
          <w:smallCaps/>
          <w:sz w:val="21"/>
          <w:szCs w:val="21"/>
        </w:rPr>
      </w:pPr>
      <w:r w:rsidRPr="000C2C2B">
        <w:rPr>
          <w:b/>
          <w:smallCaps/>
          <w:sz w:val="21"/>
          <w:szCs w:val="21"/>
        </w:rPr>
        <w:t xml:space="preserve">B. 2. </w:t>
      </w:r>
      <w:hyperlink r:id="rId9" w:history="1">
        <w:r w:rsidRPr="000C2C2B">
          <w:rPr>
            <w:b/>
            <w:smallCaps/>
            <w:sz w:val="21"/>
            <w:szCs w:val="21"/>
          </w:rPr>
          <w:t>incremental cost reasoning</w:t>
        </w:r>
      </w:hyperlink>
      <w:r w:rsidRPr="000C2C2B">
        <w:rPr>
          <w:b/>
          <w:smallCaps/>
          <w:sz w:val="21"/>
          <w:szCs w:val="21"/>
        </w:rPr>
        <w:t xml:space="preserve"> and the associated </w:t>
      </w:r>
      <w:hyperlink r:id="rId10" w:history="1">
        <w:r w:rsidRPr="000C2C2B">
          <w:rPr>
            <w:b/>
            <w:smallCaps/>
            <w:sz w:val="21"/>
            <w:szCs w:val="21"/>
          </w:rPr>
          <w:t>global environmental benefits</w:t>
        </w:r>
      </w:hyperlink>
      <w:r w:rsidRPr="000C2C2B">
        <w:rPr>
          <w:b/>
          <w:smallCaps/>
          <w:sz w:val="21"/>
          <w:szCs w:val="21"/>
        </w:rPr>
        <w:t xml:space="preserve">: </w:t>
      </w:r>
    </w:p>
    <w:p w:rsidR="00A9399A" w:rsidRPr="000C2C2B" w:rsidRDefault="00A9399A" w:rsidP="00195DD1">
      <w:pPr>
        <w:spacing w:after="120" w:line="240" w:lineRule="auto"/>
        <w:ind w:right="270"/>
        <w:jc w:val="both"/>
        <w:rPr>
          <w:rFonts w:ascii="Times New Roman" w:hAnsi="Times New Roman"/>
          <w:sz w:val="21"/>
          <w:szCs w:val="21"/>
        </w:rPr>
      </w:pPr>
      <w:r w:rsidRPr="000C2C2B">
        <w:rPr>
          <w:rFonts w:ascii="Times New Roman" w:hAnsi="Times New Roman"/>
          <w:sz w:val="21"/>
          <w:szCs w:val="21"/>
        </w:rPr>
        <w:t xml:space="preserve">Belarus has just successfully completed a GEF medium-size project which focused on restoring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that had previously been mined. This has developed the restoration methods applicable to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mining. There is an unmet need to develop similar restoration methods for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used by the agriculture and forestry sectors. This project is designed to address this need. Furthermore, the strategic planning and regulatory framework set up under the project will ensure that any follow-up investments in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development simultaneously address biodiversity conservation, soil conservation and carbon emission minimization objectives—thus securing global environmental benefits. </w:t>
      </w:r>
    </w:p>
    <w:p w:rsidR="00A9399A" w:rsidRPr="000C2C2B" w:rsidRDefault="00A9399A" w:rsidP="008D7548">
      <w:pPr>
        <w:spacing w:after="120" w:line="240" w:lineRule="auto"/>
        <w:ind w:right="270"/>
        <w:jc w:val="both"/>
        <w:rPr>
          <w:rFonts w:ascii="Times New Roman" w:hAnsi="Times New Roman"/>
          <w:sz w:val="21"/>
          <w:szCs w:val="21"/>
        </w:rPr>
      </w:pPr>
      <w:r w:rsidRPr="000C2C2B">
        <w:rPr>
          <w:rFonts w:ascii="Times New Roman" w:hAnsi="Times New Roman"/>
          <w:sz w:val="21"/>
          <w:szCs w:val="21"/>
        </w:rPr>
        <w:t xml:space="preserve">The comparison of the baseline project with GEF-project scenarios: </w:t>
      </w: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gridCol w:w="6030"/>
      </w:tblGrid>
      <w:tr w:rsidR="00A9399A" w:rsidRPr="000C2C2B" w:rsidTr="00EB2D1A">
        <w:tc>
          <w:tcPr>
            <w:tcW w:w="5328" w:type="dxa"/>
            <w:shd w:val="clear" w:color="auto" w:fill="00B050"/>
          </w:tcPr>
          <w:p w:rsidR="00A9399A" w:rsidRPr="000C2C2B" w:rsidRDefault="00A9399A" w:rsidP="00197F62">
            <w:pPr>
              <w:spacing w:after="80" w:line="240" w:lineRule="auto"/>
              <w:ind w:right="31"/>
              <w:rPr>
                <w:rFonts w:ascii="Times New Roman" w:hAnsi="Times New Roman"/>
                <w:b/>
                <w:sz w:val="20"/>
                <w:szCs w:val="20"/>
              </w:rPr>
            </w:pPr>
            <w:r w:rsidRPr="000C2C2B">
              <w:rPr>
                <w:rFonts w:ascii="Times New Roman" w:hAnsi="Times New Roman"/>
                <w:b/>
                <w:sz w:val="20"/>
                <w:szCs w:val="20"/>
              </w:rPr>
              <w:t>Baseline scenario, based on Section B.1 baseline project</w:t>
            </w:r>
          </w:p>
        </w:tc>
        <w:tc>
          <w:tcPr>
            <w:tcW w:w="6030" w:type="dxa"/>
            <w:shd w:val="clear" w:color="auto" w:fill="00B050"/>
          </w:tcPr>
          <w:p w:rsidR="00A9399A" w:rsidRPr="000C2C2B" w:rsidRDefault="00A9399A" w:rsidP="008D7548">
            <w:pPr>
              <w:spacing w:after="80" w:line="240" w:lineRule="auto"/>
              <w:ind w:right="274"/>
              <w:rPr>
                <w:rFonts w:ascii="Times New Roman" w:hAnsi="Times New Roman"/>
                <w:b/>
                <w:sz w:val="20"/>
                <w:szCs w:val="20"/>
              </w:rPr>
            </w:pPr>
            <w:r w:rsidRPr="000C2C2B">
              <w:rPr>
                <w:rFonts w:ascii="Times New Roman" w:hAnsi="Times New Roman"/>
                <w:b/>
                <w:sz w:val="20"/>
                <w:szCs w:val="20"/>
              </w:rPr>
              <w:t>GEF project scenario and incremental value</w:t>
            </w:r>
          </w:p>
        </w:tc>
      </w:tr>
      <w:tr w:rsidR="00A9399A" w:rsidRPr="000C2C2B" w:rsidTr="00EB2D1A">
        <w:tc>
          <w:tcPr>
            <w:tcW w:w="11358" w:type="dxa"/>
            <w:gridSpan w:val="2"/>
          </w:tcPr>
          <w:p w:rsidR="00A9399A" w:rsidRPr="000C2C2B" w:rsidRDefault="00A9399A" w:rsidP="00197F62">
            <w:pPr>
              <w:spacing w:after="80" w:line="240" w:lineRule="auto"/>
              <w:ind w:right="31"/>
              <w:rPr>
                <w:rFonts w:ascii="Times New Roman" w:hAnsi="Times New Roman"/>
                <w:i/>
                <w:sz w:val="20"/>
                <w:szCs w:val="20"/>
              </w:rPr>
            </w:pPr>
            <w:r w:rsidRPr="000C2C2B">
              <w:rPr>
                <w:rFonts w:ascii="Times New Roman" w:hAnsi="Times New Roman"/>
                <w:i/>
                <w:sz w:val="20"/>
                <w:szCs w:val="20"/>
              </w:rPr>
              <w:t>Component 1: Strategic / national level</w:t>
            </w:r>
          </w:p>
        </w:tc>
      </w:tr>
      <w:tr w:rsidR="00A9399A" w:rsidRPr="000C2C2B" w:rsidTr="00EB2D1A">
        <w:tc>
          <w:tcPr>
            <w:tcW w:w="5328" w:type="dxa"/>
          </w:tcPr>
          <w:p w:rsidR="00A9399A" w:rsidRPr="000C2C2B" w:rsidRDefault="00A9399A" w:rsidP="00197F62">
            <w:pPr>
              <w:numPr>
                <w:ilvl w:val="0"/>
                <w:numId w:val="17"/>
              </w:numPr>
              <w:spacing w:after="80" w:line="240" w:lineRule="auto"/>
              <w:ind w:left="360" w:right="31"/>
              <w:rPr>
                <w:rFonts w:ascii="Times New Roman" w:hAnsi="Times New Roman"/>
                <w:sz w:val="20"/>
                <w:szCs w:val="20"/>
              </w:rPr>
            </w:pPr>
            <w:r w:rsidRPr="000C2C2B">
              <w:rPr>
                <w:rFonts w:ascii="Times New Roman" w:hAnsi="Times New Roman"/>
                <w:sz w:val="20"/>
                <w:szCs w:val="20"/>
              </w:rPr>
              <w:t xml:space="preserve">Vision and map for where the country can extract peat for fuel. New areas for peat extraction are set-aside. Of these at least 30% overlap with high nature value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which had potential as conservation areas or carbon sequestration sites. This, however, is not taken into account, since the program would be developed with a bias towards peat extraction and with ignorance of ecosystem functions. </w:t>
            </w:r>
          </w:p>
          <w:p w:rsidR="00A9399A" w:rsidRPr="000C2C2B" w:rsidRDefault="00A9399A" w:rsidP="00197F62">
            <w:pPr>
              <w:numPr>
                <w:ilvl w:val="0"/>
                <w:numId w:val="17"/>
              </w:numPr>
              <w:spacing w:after="80" w:line="240" w:lineRule="auto"/>
              <w:ind w:left="360" w:right="31"/>
              <w:rPr>
                <w:rFonts w:ascii="Times New Roman" w:hAnsi="Times New Roman"/>
                <w:sz w:val="20"/>
                <w:szCs w:val="20"/>
              </w:rPr>
            </w:pPr>
            <w:r w:rsidRPr="000C2C2B">
              <w:rPr>
                <w:rFonts w:ascii="Times New Roman" w:hAnsi="Times New Roman"/>
                <w:sz w:val="20"/>
                <w:szCs w:val="20"/>
              </w:rPr>
              <w:t xml:space="preserve">The expertise for the elaboration of economic and ecological criteria for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use, as well as minimal biodiversity standards to be observed by the peat using industries remains sub-optimal. </w:t>
            </w:r>
          </w:p>
          <w:p w:rsidR="00A9399A" w:rsidRPr="000C2C2B" w:rsidRDefault="00A9399A" w:rsidP="00197F62">
            <w:pPr>
              <w:numPr>
                <w:ilvl w:val="0"/>
                <w:numId w:val="17"/>
              </w:numPr>
              <w:spacing w:after="80" w:line="240" w:lineRule="auto"/>
              <w:ind w:left="360" w:right="31"/>
              <w:rPr>
                <w:rFonts w:ascii="Times New Roman" w:hAnsi="Times New Roman"/>
                <w:sz w:val="20"/>
                <w:szCs w:val="20"/>
              </w:rPr>
            </w:pPr>
            <w:r w:rsidRPr="000C2C2B">
              <w:rPr>
                <w:rFonts w:ascii="Times New Roman" w:hAnsi="Times New Roman"/>
                <w:sz w:val="20"/>
                <w:szCs w:val="20"/>
              </w:rPr>
              <w:t xml:space="preserve">New protected areas at under-represented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(expected around 15,000 ha). These, however, represent paper parks: i.e. they are designated on paper, but lack proper management planning, business planning, ranger training. They are also not integrated in the surrounding landscapes. The management effectiveness of the existing protected areas on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is stagnating. Rural communities are not participating in its management. </w:t>
            </w:r>
          </w:p>
          <w:p w:rsidR="00A9399A" w:rsidRPr="000C2C2B" w:rsidRDefault="00A9399A" w:rsidP="00197F62">
            <w:pPr>
              <w:numPr>
                <w:ilvl w:val="0"/>
                <w:numId w:val="17"/>
              </w:numPr>
              <w:spacing w:after="80" w:line="240" w:lineRule="auto"/>
              <w:ind w:left="360" w:right="31"/>
              <w:rPr>
                <w:rFonts w:ascii="Times New Roman" w:hAnsi="Times New Roman"/>
                <w:sz w:val="20"/>
                <w:szCs w:val="20"/>
              </w:rPr>
            </w:pPr>
            <w:r w:rsidRPr="000C2C2B">
              <w:rPr>
                <w:rFonts w:ascii="Times New Roman" w:hAnsi="Times New Roman"/>
                <w:sz w:val="20"/>
                <w:szCs w:val="20"/>
              </w:rPr>
              <w:t xml:space="preserve">Criteria for the assessment of conditions and 60% of completion of inventories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developed by agriculture and forestry sectors in isolation. This will produce important data on the distribution of some types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and their state but will ignore their ecosystem functions within landscapes. This will be insufficient to implement full inventory of all types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as well as to develop criteria for assigning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not only for mining or agricultural use, but also for protected areas, wildlife reserves, </w:t>
            </w:r>
            <w:proofErr w:type="gramStart"/>
            <w:r w:rsidRPr="000C2C2B">
              <w:rPr>
                <w:rFonts w:ascii="Times New Roman" w:hAnsi="Times New Roman"/>
                <w:sz w:val="20"/>
                <w:szCs w:val="20"/>
              </w:rPr>
              <w:t>carbon</w:t>
            </w:r>
            <w:proofErr w:type="gramEnd"/>
            <w:r w:rsidRPr="000C2C2B">
              <w:rPr>
                <w:rFonts w:ascii="Times New Roman" w:hAnsi="Times New Roman"/>
                <w:sz w:val="20"/>
                <w:szCs w:val="20"/>
              </w:rPr>
              <w:t xml:space="preserve"> management.</w:t>
            </w:r>
          </w:p>
        </w:tc>
        <w:tc>
          <w:tcPr>
            <w:tcW w:w="6030" w:type="dxa"/>
          </w:tcPr>
          <w:p w:rsidR="00A9399A" w:rsidRPr="000C2C2B" w:rsidRDefault="00A9399A" w:rsidP="00197F62">
            <w:pPr>
              <w:numPr>
                <w:ilvl w:val="0"/>
                <w:numId w:val="17"/>
              </w:numPr>
              <w:spacing w:after="80" w:line="240" w:lineRule="auto"/>
              <w:ind w:left="360" w:right="274"/>
              <w:rPr>
                <w:rFonts w:ascii="Times New Roman" w:hAnsi="Times New Roman"/>
                <w:sz w:val="20"/>
                <w:szCs w:val="20"/>
              </w:rPr>
            </w:pPr>
            <w:r w:rsidRPr="000C2C2B">
              <w:rPr>
                <w:rFonts w:ascii="Times New Roman" w:hAnsi="Times New Roman"/>
                <w:sz w:val="20"/>
                <w:szCs w:val="20"/>
              </w:rPr>
              <w:t xml:space="preserve">Under Outcome 1.1, the Republic of Belarus </w:t>
            </w:r>
            <w:proofErr w:type="gramStart"/>
            <w:r w:rsidRPr="000C2C2B">
              <w:rPr>
                <w:rFonts w:ascii="Times New Roman" w:hAnsi="Times New Roman"/>
                <w:sz w:val="20"/>
                <w:szCs w:val="20"/>
              </w:rPr>
              <w:t>will  develop</w:t>
            </w:r>
            <w:proofErr w:type="gramEnd"/>
            <w:r w:rsidRPr="000C2C2B">
              <w:rPr>
                <w:rFonts w:ascii="Times New Roman" w:hAnsi="Times New Roman"/>
                <w:sz w:val="20"/>
                <w:szCs w:val="20"/>
              </w:rPr>
              <w:t xml:space="preserve"> a comprehensive National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Strategy and Action Plan, which will adopt an integrated approach to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management. It will be designed by multiple institutions collaboratively, raising their level of understanding of multiple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functions. The NPSAP will stipulate the ecologically optimal management regime for all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across Belarus; define institutional roles and responsibilities for planning, financing, and regulating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including production activities and protection. </w:t>
            </w:r>
          </w:p>
          <w:p w:rsidR="00A9399A" w:rsidRPr="000C2C2B" w:rsidRDefault="00A9399A" w:rsidP="00197F62">
            <w:pPr>
              <w:numPr>
                <w:ilvl w:val="0"/>
                <w:numId w:val="17"/>
              </w:numPr>
              <w:spacing w:after="80" w:line="240" w:lineRule="auto"/>
              <w:ind w:left="360" w:right="274"/>
              <w:rPr>
                <w:rFonts w:ascii="Times New Roman" w:hAnsi="Times New Roman"/>
                <w:sz w:val="20"/>
                <w:szCs w:val="20"/>
              </w:rPr>
            </w:pPr>
            <w:r w:rsidRPr="000C2C2B">
              <w:rPr>
                <w:rFonts w:ascii="Times New Roman" w:hAnsi="Times New Roman"/>
                <w:sz w:val="20"/>
                <w:szCs w:val="20"/>
              </w:rPr>
              <w:t xml:space="preserve">In support of NPSAP, the project will prepare a complete inventory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defining for each their ecological pressures and status. This will relate to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of all types and various </w:t>
            </w:r>
            <w:proofErr w:type="spellStart"/>
            <w:r w:rsidRPr="000C2C2B">
              <w:rPr>
                <w:rFonts w:ascii="Times New Roman" w:hAnsi="Times New Roman"/>
                <w:sz w:val="20"/>
                <w:szCs w:val="20"/>
              </w:rPr>
              <w:t>sectoral</w:t>
            </w:r>
            <w:proofErr w:type="spellEnd"/>
            <w:r w:rsidRPr="000C2C2B">
              <w:rPr>
                <w:rFonts w:ascii="Times New Roman" w:hAnsi="Times New Roman"/>
                <w:sz w:val="20"/>
                <w:szCs w:val="20"/>
              </w:rPr>
              <w:t xml:space="preserve"> methodologies for inventorying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will be synchronized. The land use potential of all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will be determined, based on their biodiversity significance and the ecosystem services they provide, and their current state. This work will also identify areas to be restored, to enhance wildlife habitat and restore carbon sinks as well as hydrological functioning where impaired. </w:t>
            </w:r>
          </w:p>
          <w:p w:rsidR="00A9399A" w:rsidRPr="000C2C2B" w:rsidRDefault="00A9399A" w:rsidP="00631903">
            <w:pPr>
              <w:numPr>
                <w:ilvl w:val="0"/>
                <w:numId w:val="17"/>
              </w:numPr>
              <w:spacing w:after="80" w:line="240" w:lineRule="auto"/>
              <w:ind w:left="360" w:right="274"/>
              <w:rPr>
                <w:rFonts w:ascii="Times New Roman" w:hAnsi="Times New Roman"/>
                <w:sz w:val="20"/>
                <w:szCs w:val="20"/>
              </w:rPr>
            </w:pPr>
            <w:r w:rsidRPr="000C2C2B">
              <w:rPr>
                <w:rFonts w:ascii="Times New Roman" w:hAnsi="Times New Roman"/>
                <w:sz w:val="20"/>
                <w:szCs w:val="20"/>
              </w:rPr>
              <w:t xml:space="preserve">Under Outcome 1.2, the project will also strengthen the management effectiveness of existing protected areas and create 20,000 ha of new protected areas in the </w:t>
            </w:r>
            <w:proofErr w:type="spellStart"/>
            <w:r w:rsidRPr="000C2C2B">
              <w:rPr>
                <w:rFonts w:ascii="Times New Roman" w:hAnsi="Times New Roman"/>
                <w:sz w:val="20"/>
                <w:szCs w:val="20"/>
              </w:rPr>
              <w:t>Poozerie</w:t>
            </w:r>
            <w:proofErr w:type="spellEnd"/>
            <w:r w:rsidRPr="000C2C2B">
              <w:rPr>
                <w:rFonts w:ascii="Times New Roman" w:hAnsi="Times New Roman"/>
                <w:sz w:val="20"/>
                <w:szCs w:val="20"/>
              </w:rPr>
              <w:t xml:space="preserve"> landscape. Management plans, zoning arrangements and public engagement mechanisms will be implemented. Buffer zones and corridors will be delineated (covering 45,000 ha) in which restrictions on land uses will be emplaced, to reduce threats to the protected areas (from disturbances in the hydrological regime and fire in particular). Alternative income generating schemes will be developed, where economic viability is already proven (the major opportunities lying in cranberry harvesting and recreational uses). This will help to increase the representation of Black Alder forests, bogs and transition mires in the PA estate, enhance the status of biodiversity, and have a positive effect on soil quality and the groundwater table.</w:t>
            </w:r>
          </w:p>
        </w:tc>
      </w:tr>
      <w:tr w:rsidR="00A9399A" w:rsidRPr="000C2C2B" w:rsidTr="00EB2D1A">
        <w:tc>
          <w:tcPr>
            <w:tcW w:w="11358" w:type="dxa"/>
            <w:gridSpan w:val="2"/>
          </w:tcPr>
          <w:p w:rsidR="00A9399A" w:rsidRPr="000C2C2B" w:rsidRDefault="00A9399A" w:rsidP="00197F62">
            <w:pPr>
              <w:spacing w:after="80" w:line="240" w:lineRule="auto"/>
              <w:ind w:right="31"/>
              <w:rPr>
                <w:rFonts w:ascii="Times New Roman" w:hAnsi="Times New Roman"/>
                <w:i/>
                <w:sz w:val="20"/>
                <w:szCs w:val="20"/>
              </w:rPr>
            </w:pPr>
            <w:r w:rsidRPr="000C2C2B">
              <w:rPr>
                <w:rFonts w:ascii="Times New Roman" w:hAnsi="Times New Roman"/>
                <w:i/>
                <w:color w:val="000000"/>
                <w:sz w:val="20"/>
                <w:szCs w:val="20"/>
                <w:lang w:val="en-GB" w:eastAsia="tr-TR"/>
              </w:rPr>
              <w:t xml:space="preserve">Component 2: Agricultural </w:t>
            </w:r>
            <w:proofErr w:type="spellStart"/>
            <w:r w:rsidRPr="000C2C2B">
              <w:rPr>
                <w:rFonts w:ascii="Times New Roman" w:hAnsi="Times New Roman"/>
                <w:i/>
                <w:color w:val="000000"/>
                <w:sz w:val="20"/>
                <w:szCs w:val="20"/>
                <w:lang w:val="en-GB" w:eastAsia="tr-TR"/>
              </w:rPr>
              <w:t>peatland</w:t>
            </w:r>
            <w:proofErr w:type="spellEnd"/>
            <w:r w:rsidRPr="000C2C2B">
              <w:rPr>
                <w:rFonts w:ascii="Times New Roman" w:hAnsi="Times New Roman"/>
                <w:i/>
                <w:color w:val="000000"/>
                <w:sz w:val="20"/>
                <w:szCs w:val="20"/>
                <w:lang w:val="en-GB" w:eastAsia="tr-TR"/>
              </w:rPr>
              <w:t xml:space="preserve"> management</w:t>
            </w:r>
          </w:p>
        </w:tc>
      </w:tr>
      <w:tr w:rsidR="00A9399A" w:rsidRPr="000C2C2B" w:rsidTr="00EB2D1A">
        <w:tc>
          <w:tcPr>
            <w:tcW w:w="5328" w:type="dxa"/>
          </w:tcPr>
          <w:p w:rsidR="00A9399A" w:rsidRPr="000C2C2B" w:rsidRDefault="00A9399A" w:rsidP="00197F62">
            <w:pPr>
              <w:numPr>
                <w:ilvl w:val="0"/>
                <w:numId w:val="17"/>
              </w:numPr>
              <w:spacing w:after="80" w:line="240" w:lineRule="auto"/>
              <w:ind w:left="360" w:right="31"/>
              <w:rPr>
                <w:rFonts w:ascii="Times New Roman" w:hAnsi="Times New Roman"/>
                <w:color w:val="000000"/>
                <w:sz w:val="20"/>
                <w:szCs w:val="20"/>
                <w:lang w:val="en-GB" w:eastAsia="tr-TR"/>
              </w:rPr>
            </w:pPr>
            <w:r w:rsidRPr="000C2C2B">
              <w:rPr>
                <w:rFonts w:ascii="Times New Roman" w:hAnsi="Times New Roman"/>
                <w:color w:val="000000"/>
                <w:sz w:val="20"/>
                <w:szCs w:val="20"/>
                <w:lang w:val="en-GB" w:eastAsia="tr-TR"/>
              </w:rPr>
              <w:lastRenderedPageBreak/>
              <w:t xml:space="preserve">The results of the </w:t>
            </w:r>
            <w:r w:rsidRPr="000C2C2B">
              <w:rPr>
                <w:rFonts w:ascii="Times New Roman" w:hAnsi="Times New Roman"/>
                <w:sz w:val="20"/>
                <w:szCs w:val="20"/>
              </w:rPr>
              <w:t xml:space="preserve">Baseline element 3 (US$4,410,000 funded by Ministry of Agriculture). Investment in improvement of infrastructure of hydro-technical facilities at the degrading agricultural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will ensure the following baseline scenario: there will be good knowledge of the distribution of agricultural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available, as well as on their state (in terms of economic productivity). However, there will be no ecologically sound decision making for degraded agricultural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and for minimization of carbon release from them. There will be limited introduction of pasture management at former arable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(not more than 1 demonstration project is expected), whereby at most of the degraded shallow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there will be continued d</w:t>
            </w:r>
            <w:proofErr w:type="spellStart"/>
            <w:r w:rsidRPr="000C2C2B">
              <w:rPr>
                <w:rFonts w:ascii="Times New Roman" w:hAnsi="Times New Roman"/>
                <w:color w:val="000000"/>
                <w:sz w:val="20"/>
                <w:szCs w:val="20"/>
                <w:lang w:val="en-GB" w:eastAsia="tr-TR"/>
              </w:rPr>
              <w:t>eep</w:t>
            </w:r>
            <w:proofErr w:type="spellEnd"/>
            <w:r w:rsidRPr="000C2C2B">
              <w:rPr>
                <w:rFonts w:ascii="Times New Roman" w:hAnsi="Times New Roman"/>
                <w:color w:val="000000"/>
                <w:sz w:val="20"/>
                <w:szCs w:val="20"/>
                <w:lang w:val="en-GB" w:eastAsia="tr-TR"/>
              </w:rPr>
              <w:t xml:space="preserve"> ploughing of shallow </w:t>
            </w:r>
            <w:proofErr w:type="spellStart"/>
            <w:r w:rsidRPr="000C2C2B">
              <w:rPr>
                <w:rFonts w:ascii="Times New Roman" w:hAnsi="Times New Roman"/>
                <w:color w:val="000000"/>
                <w:sz w:val="20"/>
                <w:szCs w:val="20"/>
                <w:lang w:val="en-GB" w:eastAsia="tr-TR"/>
              </w:rPr>
              <w:t>peatlands</w:t>
            </w:r>
            <w:proofErr w:type="spellEnd"/>
            <w:r w:rsidRPr="000C2C2B">
              <w:rPr>
                <w:rFonts w:ascii="Times New Roman" w:hAnsi="Times New Roman"/>
                <w:color w:val="000000"/>
                <w:sz w:val="20"/>
                <w:szCs w:val="20"/>
                <w:lang w:val="en-GB" w:eastAsia="tr-TR"/>
              </w:rPr>
              <w:t xml:space="preserve"> over vast areas, resulting in continued loss of soil productivity, soil erosion, impacts on neighbouring natural and semi-natural </w:t>
            </w:r>
            <w:proofErr w:type="spellStart"/>
            <w:r w:rsidRPr="000C2C2B">
              <w:rPr>
                <w:rFonts w:ascii="Times New Roman" w:hAnsi="Times New Roman"/>
                <w:color w:val="000000"/>
                <w:sz w:val="20"/>
                <w:szCs w:val="20"/>
                <w:lang w:val="en-GB" w:eastAsia="tr-TR"/>
              </w:rPr>
              <w:t>peatlands</w:t>
            </w:r>
            <w:proofErr w:type="spellEnd"/>
            <w:r w:rsidRPr="000C2C2B">
              <w:rPr>
                <w:rFonts w:ascii="Times New Roman" w:hAnsi="Times New Roman"/>
                <w:color w:val="000000"/>
                <w:sz w:val="20"/>
                <w:szCs w:val="20"/>
                <w:lang w:val="en-GB" w:eastAsia="tr-TR"/>
              </w:rPr>
              <w:t xml:space="preserve">. Limited landscape </w:t>
            </w:r>
            <w:proofErr w:type="gramStart"/>
            <w:r w:rsidRPr="000C2C2B">
              <w:rPr>
                <w:rFonts w:ascii="Times New Roman" w:hAnsi="Times New Roman"/>
                <w:color w:val="000000"/>
                <w:sz w:val="20"/>
                <w:szCs w:val="20"/>
                <w:lang w:val="en-GB" w:eastAsia="tr-TR"/>
              </w:rPr>
              <w:t>improvement,</w:t>
            </w:r>
            <w:proofErr w:type="gramEnd"/>
            <w:r w:rsidRPr="000C2C2B">
              <w:rPr>
                <w:rFonts w:ascii="Times New Roman" w:hAnsi="Times New Roman"/>
                <w:color w:val="000000"/>
                <w:sz w:val="20"/>
                <w:szCs w:val="20"/>
                <w:lang w:val="en-GB" w:eastAsia="tr-TR"/>
              </w:rPr>
              <w:t xml:space="preserve"> mainly reflected in levelled banks of drainage ditches and grass sowing afterwards. Rehabilitation and maintenance of drainage networks will continue to be characterized by deep ditch construction, which enhances the draining effect on soil and causes faster carbon mineralization and erosion. </w:t>
            </w:r>
            <w:r w:rsidRPr="000C2C2B">
              <w:rPr>
                <w:rFonts w:ascii="Times New Roman" w:hAnsi="Times New Roman"/>
                <w:sz w:val="20"/>
                <w:szCs w:val="20"/>
              </w:rPr>
              <w:t>No MRVs for agriculture and forestry and no projects from agriculture and forestry proposed for carbon markets</w:t>
            </w:r>
          </w:p>
          <w:p w:rsidR="00A9399A" w:rsidRPr="000C2C2B" w:rsidRDefault="00A9399A" w:rsidP="00631903">
            <w:pPr>
              <w:numPr>
                <w:ilvl w:val="0"/>
                <w:numId w:val="17"/>
              </w:numPr>
              <w:spacing w:after="80" w:line="240" w:lineRule="auto"/>
              <w:ind w:left="360" w:right="31"/>
              <w:rPr>
                <w:rFonts w:ascii="Times New Roman" w:hAnsi="Times New Roman"/>
                <w:color w:val="000000"/>
                <w:sz w:val="20"/>
                <w:szCs w:val="20"/>
                <w:lang w:val="en-GB" w:eastAsia="tr-TR"/>
              </w:rPr>
            </w:pPr>
            <w:r w:rsidRPr="000C2C2B">
              <w:rPr>
                <w:rFonts w:ascii="Times New Roman" w:hAnsi="Times New Roman"/>
                <w:sz w:val="20"/>
                <w:szCs w:val="20"/>
              </w:rPr>
              <w:t xml:space="preserve">Some of the exhausted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are restored through carbon projects (owing to previous GEF and ICI models), but former agricultural and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are not traded in the markets. </w:t>
            </w:r>
          </w:p>
        </w:tc>
        <w:tc>
          <w:tcPr>
            <w:tcW w:w="6030" w:type="dxa"/>
          </w:tcPr>
          <w:p w:rsidR="00A9399A" w:rsidRPr="000C2C2B" w:rsidRDefault="00A9399A" w:rsidP="00197F62">
            <w:pPr>
              <w:numPr>
                <w:ilvl w:val="0"/>
                <w:numId w:val="17"/>
              </w:numPr>
              <w:spacing w:after="80" w:line="240" w:lineRule="auto"/>
              <w:ind w:left="360" w:right="274"/>
              <w:rPr>
                <w:rFonts w:ascii="Times New Roman" w:hAnsi="Times New Roman"/>
                <w:sz w:val="20"/>
                <w:szCs w:val="20"/>
                <w:lang w:val="en-GB"/>
              </w:rPr>
            </w:pPr>
            <w:r w:rsidRPr="000C2C2B">
              <w:rPr>
                <w:rFonts w:ascii="Times New Roman" w:hAnsi="Times New Roman"/>
                <w:sz w:val="20"/>
                <w:szCs w:val="20"/>
                <w:lang w:val="en-GB"/>
              </w:rPr>
              <w:t xml:space="preserve">Under Output 1.1.3, the inventory of the agricultural </w:t>
            </w:r>
            <w:proofErr w:type="spellStart"/>
            <w:r w:rsidRPr="000C2C2B">
              <w:rPr>
                <w:rFonts w:ascii="Times New Roman" w:hAnsi="Times New Roman"/>
                <w:sz w:val="20"/>
                <w:szCs w:val="20"/>
                <w:lang w:val="en-GB"/>
              </w:rPr>
              <w:t>peatlands</w:t>
            </w:r>
            <w:proofErr w:type="spellEnd"/>
            <w:r w:rsidRPr="000C2C2B">
              <w:rPr>
                <w:rFonts w:ascii="Times New Roman" w:hAnsi="Times New Roman"/>
                <w:sz w:val="20"/>
                <w:szCs w:val="20"/>
                <w:lang w:val="en-GB"/>
              </w:rPr>
              <w:t xml:space="preserve"> will be synchronized with the inventory of all other </w:t>
            </w:r>
            <w:proofErr w:type="spellStart"/>
            <w:r w:rsidRPr="000C2C2B">
              <w:rPr>
                <w:rFonts w:ascii="Times New Roman" w:hAnsi="Times New Roman"/>
                <w:sz w:val="20"/>
                <w:szCs w:val="20"/>
                <w:lang w:val="en-GB"/>
              </w:rPr>
              <w:t>peatland</w:t>
            </w:r>
            <w:proofErr w:type="spellEnd"/>
            <w:r w:rsidRPr="000C2C2B">
              <w:rPr>
                <w:rFonts w:ascii="Times New Roman" w:hAnsi="Times New Roman"/>
                <w:sz w:val="20"/>
                <w:szCs w:val="20"/>
                <w:lang w:val="en-GB"/>
              </w:rPr>
              <w:t xml:space="preserve"> types, whereupon all ecosystem services and functions of </w:t>
            </w:r>
            <w:proofErr w:type="spellStart"/>
            <w:r w:rsidRPr="000C2C2B">
              <w:rPr>
                <w:rFonts w:ascii="Times New Roman" w:hAnsi="Times New Roman"/>
                <w:sz w:val="20"/>
                <w:szCs w:val="20"/>
                <w:lang w:val="en-GB"/>
              </w:rPr>
              <w:t>peatlands</w:t>
            </w:r>
            <w:proofErr w:type="spellEnd"/>
            <w:r w:rsidRPr="000C2C2B">
              <w:rPr>
                <w:rFonts w:ascii="Times New Roman" w:hAnsi="Times New Roman"/>
                <w:sz w:val="20"/>
                <w:szCs w:val="20"/>
                <w:lang w:val="en-GB"/>
              </w:rPr>
              <w:t xml:space="preserve"> will be assessed and documented, and optimal use will be proposed for each </w:t>
            </w:r>
            <w:proofErr w:type="spellStart"/>
            <w:r w:rsidRPr="000C2C2B">
              <w:rPr>
                <w:rFonts w:ascii="Times New Roman" w:hAnsi="Times New Roman"/>
                <w:sz w:val="20"/>
                <w:szCs w:val="20"/>
                <w:lang w:val="en-GB"/>
              </w:rPr>
              <w:t>peatland</w:t>
            </w:r>
            <w:proofErr w:type="spellEnd"/>
            <w:r w:rsidRPr="000C2C2B">
              <w:rPr>
                <w:rFonts w:ascii="Times New Roman" w:hAnsi="Times New Roman"/>
                <w:sz w:val="20"/>
                <w:szCs w:val="20"/>
                <w:lang w:val="en-GB"/>
              </w:rPr>
              <w:t xml:space="preserve">. </w:t>
            </w:r>
          </w:p>
          <w:p w:rsidR="00A9399A" w:rsidRPr="000C2C2B" w:rsidRDefault="00A9399A" w:rsidP="00197F62">
            <w:pPr>
              <w:numPr>
                <w:ilvl w:val="0"/>
                <w:numId w:val="17"/>
              </w:numPr>
              <w:spacing w:after="80" w:line="240" w:lineRule="auto"/>
              <w:ind w:left="360" w:right="274"/>
              <w:rPr>
                <w:rFonts w:ascii="Times New Roman" w:hAnsi="Times New Roman"/>
                <w:sz w:val="20"/>
                <w:szCs w:val="20"/>
                <w:lang w:val="en-GB"/>
              </w:rPr>
            </w:pPr>
            <w:r w:rsidRPr="000C2C2B">
              <w:rPr>
                <w:rFonts w:ascii="Times New Roman" w:hAnsi="Times New Roman"/>
                <w:sz w:val="20"/>
                <w:szCs w:val="20"/>
                <w:lang w:val="en-GB"/>
              </w:rPr>
              <w:t xml:space="preserve">As a demonstration, under Outcome 2.1, 2,000 ha of the </w:t>
            </w:r>
            <w:r w:rsidRPr="000C2C2B">
              <w:rPr>
                <w:rFonts w:ascii="Times New Roman" w:hAnsi="Times New Roman"/>
                <w:sz w:val="20"/>
                <w:szCs w:val="20"/>
              </w:rPr>
              <w:t xml:space="preserve">most degraded open agricultural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within the </w:t>
            </w:r>
            <w:proofErr w:type="spellStart"/>
            <w:r w:rsidRPr="000C2C2B">
              <w:rPr>
                <w:rFonts w:ascii="Times New Roman" w:hAnsi="Times New Roman"/>
                <w:sz w:val="20"/>
                <w:szCs w:val="20"/>
              </w:rPr>
              <w:t>Poozerie</w:t>
            </w:r>
            <w:proofErr w:type="spellEnd"/>
            <w:r w:rsidRPr="000C2C2B">
              <w:rPr>
                <w:rFonts w:ascii="Times New Roman" w:hAnsi="Times New Roman"/>
                <w:sz w:val="20"/>
                <w:szCs w:val="20"/>
              </w:rPr>
              <w:t xml:space="preserve"> landscape will be subject to restoration by rewetting (e.g. elevation of the ground-water table to soil level). This is a demonstration activity, aimed at developing the methodologies for restoration, and ensuring that restoration is both proven and cost effective. The restoration methodology will be carefully documented. Under Output 2.3.1, the MRV developed by the ICI will be used, upon adjustment to account for new biotopes (open agricultural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t>
            </w:r>
          </w:p>
          <w:p w:rsidR="00A9399A" w:rsidRPr="000C2C2B" w:rsidRDefault="00A9399A" w:rsidP="00FB4C71">
            <w:pPr>
              <w:numPr>
                <w:ilvl w:val="0"/>
                <w:numId w:val="17"/>
              </w:numPr>
              <w:spacing w:after="80" w:line="240" w:lineRule="auto"/>
              <w:ind w:left="360" w:right="274"/>
              <w:rPr>
                <w:rFonts w:ascii="Times New Roman" w:hAnsi="Times New Roman"/>
                <w:sz w:val="20"/>
                <w:szCs w:val="20"/>
                <w:lang w:val="en-GB"/>
              </w:rPr>
            </w:pPr>
            <w:r w:rsidRPr="000C2C2B">
              <w:rPr>
                <w:rFonts w:ascii="Times New Roman" w:hAnsi="Times New Roman"/>
                <w:sz w:val="20"/>
                <w:szCs w:val="20"/>
                <w:lang w:val="en-GB"/>
              </w:rPr>
              <w:t xml:space="preserve">The following practices will be tested and proposed for carbon market entry in the agricultural </w:t>
            </w:r>
            <w:proofErr w:type="spellStart"/>
            <w:r w:rsidRPr="000C2C2B">
              <w:rPr>
                <w:rFonts w:ascii="Times New Roman" w:hAnsi="Times New Roman"/>
                <w:sz w:val="20"/>
                <w:szCs w:val="20"/>
                <w:lang w:val="en-GB"/>
              </w:rPr>
              <w:t>peatland</w:t>
            </w:r>
            <w:proofErr w:type="spellEnd"/>
            <w:r w:rsidRPr="000C2C2B">
              <w:rPr>
                <w:rFonts w:ascii="Times New Roman" w:hAnsi="Times New Roman"/>
                <w:sz w:val="20"/>
                <w:szCs w:val="20"/>
                <w:lang w:val="en-GB"/>
              </w:rPr>
              <w:t xml:space="preserve"> areas: modified agricultural practices aimed at minimizing </w:t>
            </w:r>
            <w:r w:rsidRPr="000C2C2B">
              <w:rPr>
                <w:rFonts w:ascii="Times New Roman" w:hAnsi="Times New Roman"/>
                <w:sz w:val="20"/>
                <w:szCs w:val="20"/>
              </w:rPr>
              <w:t xml:space="preserve">soil degradation and carbon emissions: modified crop rotation, withdrawal of arable lands and replacement by pastures and hay-fields; hydrological rehabilitation (re-wetting) of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parcels which are no longer productive  to prevent soil mineralization and fire. In the buffer zones (areas between agricultural areas and core conservation areas): mosaic landscape planning allowing development of pastures and hay-fields amidst arable lands; maintenance of forest belts and setting aside low-lying wet areas for wildlife, modification to ditch cleaning techniques (e.g. avoidance of deep ditching) to avoid draining effect on soil.</w:t>
            </w:r>
            <w:r w:rsidRPr="000C2C2B">
              <w:rPr>
                <w:rFonts w:ascii="Times New Roman" w:hAnsi="Times New Roman"/>
                <w:b/>
                <w:sz w:val="20"/>
                <w:szCs w:val="20"/>
              </w:rPr>
              <w:t xml:space="preserve"> Direct global benefit</w:t>
            </w:r>
            <w:r w:rsidRPr="000C2C2B">
              <w:rPr>
                <w:rFonts w:ascii="Times New Roman" w:hAnsi="Times New Roman"/>
                <w:sz w:val="20"/>
                <w:szCs w:val="20"/>
              </w:rPr>
              <w:t>: Improved habitat for threatened species:  European pond terrapin, Aquatic warbler</w:t>
            </w:r>
            <w:r w:rsidRPr="000C2C2B">
              <w:rPr>
                <w:rFonts w:ascii="Times New Roman" w:hAnsi="Times New Roman"/>
                <w:i/>
                <w:sz w:val="20"/>
                <w:szCs w:val="20"/>
              </w:rPr>
              <w:t xml:space="preserve">, </w:t>
            </w:r>
            <w:r w:rsidRPr="000C2C2B">
              <w:rPr>
                <w:rFonts w:ascii="Times New Roman" w:hAnsi="Times New Roman"/>
                <w:sz w:val="20"/>
                <w:szCs w:val="20"/>
              </w:rPr>
              <w:t>water vole</w:t>
            </w:r>
            <w:r w:rsidRPr="000C2C2B">
              <w:rPr>
                <w:rFonts w:ascii="Times New Roman" w:hAnsi="Times New Roman"/>
                <w:i/>
                <w:sz w:val="20"/>
                <w:szCs w:val="20"/>
              </w:rPr>
              <w:t xml:space="preserve">, </w:t>
            </w:r>
            <w:r w:rsidRPr="000C2C2B">
              <w:rPr>
                <w:rFonts w:ascii="Times New Roman" w:hAnsi="Times New Roman"/>
                <w:sz w:val="20"/>
                <w:szCs w:val="20"/>
              </w:rPr>
              <w:t xml:space="preserve">European polecat </w:t>
            </w:r>
            <w:proofErr w:type="gramStart"/>
            <w:r w:rsidRPr="000C2C2B">
              <w:rPr>
                <w:rFonts w:ascii="Times New Roman" w:hAnsi="Times New Roman"/>
                <w:sz w:val="20"/>
                <w:szCs w:val="20"/>
              </w:rPr>
              <w:t>Lesser</w:t>
            </w:r>
            <w:proofErr w:type="gramEnd"/>
            <w:r w:rsidRPr="000C2C2B">
              <w:rPr>
                <w:rFonts w:ascii="Times New Roman" w:hAnsi="Times New Roman"/>
                <w:sz w:val="20"/>
                <w:szCs w:val="20"/>
              </w:rPr>
              <w:t xml:space="preserve"> spotted eagle, Short-toed eagle). Raised water-table and increased soil productivity. Carbon benefits: </w:t>
            </w:r>
            <w:proofErr w:type="gramStart"/>
            <w:r w:rsidRPr="000C2C2B">
              <w:rPr>
                <w:rFonts w:ascii="Times New Roman" w:hAnsi="Times New Roman"/>
                <w:sz w:val="20"/>
                <w:szCs w:val="20"/>
              </w:rPr>
              <w:t>42,257 tCO2/y of avoided emissions</w:t>
            </w:r>
            <w:proofErr w:type="gramEnd"/>
            <w:r w:rsidRPr="000C2C2B">
              <w:rPr>
                <w:rFonts w:ascii="Times New Roman" w:hAnsi="Times New Roman"/>
                <w:sz w:val="20"/>
                <w:szCs w:val="20"/>
              </w:rPr>
              <w:t xml:space="preserve">. </w:t>
            </w:r>
          </w:p>
        </w:tc>
      </w:tr>
      <w:tr w:rsidR="00A9399A" w:rsidRPr="000C2C2B" w:rsidTr="00EB2D1A">
        <w:tc>
          <w:tcPr>
            <w:tcW w:w="11358" w:type="dxa"/>
            <w:gridSpan w:val="2"/>
          </w:tcPr>
          <w:p w:rsidR="00A9399A" w:rsidRPr="000C2C2B" w:rsidRDefault="00A9399A" w:rsidP="00197F62">
            <w:pPr>
              <w:spacing w:after="80" w:line="240" w:lineRule="auto"/>
              <w:ind w:right="31"/>
              <w:rPr>
                <w:rFonts w:ascii="Times New Roman" w:hAnsi="Times New Roman"/>
                <w:i/>
                <w:sz w:val="20"/>
                <w:szCs w:val="20"/>
              </w:rPr>
            </w:pPr>
            <w:r w:rsidRPr="000C2C2B">
              <w:rPr>
                <w:rFonts w:ascii="Times New Roman" w:hAnsi="Times New Roman"/>
                <w:i/>
                <w:color w:val="000000"/>
                <w:sz w:val="20"/>
                <w:szCs w:val="20"/>
                <w:lang w:val="en-GB" w:eastAsia="tr-TR"/>
              </w:rPr>
              <w:t>Component 2: Peat forest management</w:t>
            </w:r>
          </w:p>
        </w:tc>
      </w:tr>
      <w:tr w:rsidR="00A9399A" w:rsidRPr="000C2C2B" w:rsidTr="00EB2D1A">
        <w:tc>
          <w:tcPr>
            <w:tcW w:w="5328" w:type="dxa"/>
          </w:tcPr>
          <w:p w:rsidR="00A9399A" w:rsidRPr="000C2C2B" w:rsidRDefault="00A9399A" w:rsidP="00197F62">
            <w:pPr>
              <w:numPr>
                <w:ilvl w:val="0"/>
                <w:numId w:val="17"/>
              </w:numPr>
              <w:spacing w:after="80" w:line="240" w:lineRule="auto"/>
              <w:ind w:left="360" w:right="31"/>
              <w:rPr>
                <w:rFonts w:ascii="Times New Roman" w:hAnsi="Times New Roman"/>
                <w:color w:val="000000"/>
                <w:sz w:val="20"/>
                <w:szCs w:val="20"/>
                <w:lang w:val="en-GB" w:eastAsia="tr-TR"/>
              </w:rPr>
            </w:pPr>
            <w:r w:rsidRPr="000C2C2B">
              <w:rPr>
                <w:rFonts w:ascii="Times New Roman" w:hAnsi="Times New Roman"/>
                <w:sz w:val="20"/>
                <w:szCs w:val="20"/>
              </w:rPr>
              <w:t xml:space="preserve">The result of the Baseline element 4 (US 1,017,000 funded by the Ministry of Forestry) Inventory of the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drainage facilities, will ensure the following scenario: Knowledge will be gathered about distribution and state of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However, there will be no decision-making mechanism about optimized economic/ecological use of such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Funding for restoration of degraded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with a view to avoid habitat degradation and achieve carbon emission reductions will be unlikely. Continued degradation of forests with bog </w:t>
            </w:r>
            <w:r w:rsidRPr="000C2C2B">
              <w:rPr>
                <w:rFonts w:ascii="Times New Roman" w:hAnsi="Times New Roman"/>
                <w:i/>
                <w:sz w:val="20"/>
                <w:szCs w:val="20"/>
              </w:rPr>
              <w:t>Sphagnum</w:t>
            </w:r>
            <w:r w:rsidRPr="000C2C2B">
              <w:rPr>
                <w:rFonts w:ascii="Times New Roman" w:hAnsi="Times New Roman"/>
                <w:sz w:val="20"/>
                <w:szCs w:val="20"/>
              </w:rPr>
              <w:t xml:space="preserve"> peat soils, with vegetation dominated by alder forests, will result in disruption of hydrological regime, loss of Sphagnum, cranberries, pines, replaced by heather and birch stands. Results in loss of soil productivity and soil capacity to maintain the drained forest. No MRVs for agriculture and forestry and no projects from agriculture and forestry proposed for carbon markets</w:t>
            </w:r>
          </w:p>
        </w:tc>
        <w:tc>
          <w:tcPr>
            <w:tcW w:w="6030" w:type="dxa"/>
          </w:tcPr>
          <w:p w:rsidR="00A9399A" w:rsidRPr="000C2C2B" w:rsidRDefault="00A9399A" w:rsidP="00197F62">
            <w:pPr>
              <w:numPr>
                <w:ilvl w:val="0"/>
                <w:numId w:val="17"/>
              </w:numPr>
              <w:spacing w:after="80" w:line="240" w:lineRule="auto"/>
              <w:ind w:left="360" w:right="274"/>
              <w:rPr>
                <w:rFonts w:ascii="Times New Roman" w:hAnsi="Times New Roman"/>
                <w:sz w:val="20"/>
                <w:szCs w:val="20"/>
              </w:rPr>
            </w:pPr>
            <w:r w:rsidRPr="000C2C2B">
              <w:rPr>
                <w:rFonts w:ascii="Times New Roman" w:hAnsi="Times New Roman"/>
                <w:sz w:val="20"/>
                <w:szCs w:val="20"/>
              </w:rPr>
              <w:t>As a demonstration under Outcome 2.2., some 3,000 ha of degraded Black Alder peat forests will be restored. This is a demonstration activity, aimed at developing the methodologies for restoration, and ensuring that restoration is both proven and cost effective. The restoration methodology will be carefully documented. Under Output 2.3.2, the MRV developed by the ICI will be used, upon adjustment to account for new biotopes (Black Alder forests).</w:t>
            </w:r>
          </w:p>
          <w:p w:rsidR="00A9399A" w:rsidRPr="000C2C2B" w:rsidRDefault="00A9399A" w:rsidP="00040668">
            <w:pPr>
              <w:numPr>
                <w:ilvl w:val="0"/>
                <w:numId w:val="17"/>
              </w:numPr>
              <w:spacing w:after="80" w:line="240" w:lineRule="auto"/>
              <w:ind w:left="360" w:right="274"/>
              <w:rPr>
                <w:rFonts w:ascii="Times New Roman" w:hAnsi="Times New Roman"/>
                <w:sz w:val="20"/>
                <w:szCs w:val="20"/>
              </w:rPr>
            </w:pPr>
            <w:r w:rsidRPr="000C2C2B">
              <w:rPr>
                <w:rFonts w:ascii="Times New Roman" w:hAnsi="Times New Roman"/>
                <w:sz w:val="20"/>
                <w:szCs w:val="20"/>
                <w:lang w:val="en-GB"/>
              </w:rPr>
              <w:t xml:space="preserve">The following practices will be tested and proposed for carbon market entry in the forest </w:t>
            </w:r>
            <w:proofErr w:type="spellStart"/>
            <w:r w:rsidRPr="000C2C2B">
              <w:rPr>
                <w:rFonts w:ascii="Times New Roman" w:hAnsi="Times New Roman"/>
                <w:sz w:val="20"/>
                <w:szCs w:val="20"/>
                <w:lang w:val="en-GB"/>
              </w:rPr>
              <w:t>peatland</w:t>
            </w:r>
            <w:proofErr w:type="spellEnd"/>
            <w:r w:rsidRPr="000C2C2B">
              <w:rPr>
                <w:rFonts w:ascii="Times New Roman" w:hAnsi="Times New Roman"/>
                <w:sz w:val="20"/>
                <w:szCs w:val="20"/>
                <w:lang w:val="en-GB"/>
              </w:rPr>
              <w:t xml:space="preserve"> areas: restoration of hydrological regime of Black Alder Sphagnum forest </w:t>
            </w:r>
            <w:proofErr w:type="spellStart"/>
            <w:r w:rsidRPr="000C2C2B">
              <w:rPr>
                <w:rFonts w:ascii="Times New Roman" w:hAnsi="Times New Roman"/>
                <w:sz w:val="20"/>
                <w:szCs w:val="20"/>
                <w:lang w:val="en-GB"/>
              </w:rPr>
              <w:t>peatlands</w:t>
            </w:r>
            <w:proofErr w:type="spellEnd"/>
            <w:r w:rsidRPr="000C2C2B">
              <w:rPr>
                <w:rFonts w:ascii="Times New Roman" w:hAnsi="Times New Roman"/>
                <w:sz w:val="20"/>
                <w:szCs w:val="20"/>
                <w:lang w:val="en-GB"/>
              </w:rPr>
              <w:t xml:space="preserve"> by raising the groundwater table and maintaining it. Regeneration of genetically native vegetation species. Subsequently, re-assigning the areas from logging to conservation</w:t>
            </w:r>
            <w:proofErr w:type="gramStart"/>
            <w:r w:rsidRPr="000C2C2B">
              <w:rPr>
                <w:rFonts w:ascii="Times New Roman" w:hAnsi="Times New Roman"/>
                <w:sz w:val="20"/>
                <w:szCs w:val="20"/>
                <w:lang w:val="en-GB"/>
              </w:rPr>
              <w:t>/  hunting</w:t>
            </w:r>
            <w:proofErr w:type="gramEnd"/>
            <w:r w:rsidRPr="000C2C2B">
              <w:rPr>
                <w:rFonts w:ascii="Times New Roman" w:hAnsi="Times New Roman"/>
                <w:sz w:val="20"/>
                <w:szCs w:val="20"/>
                <w:lang w:val="en-GB"/>
              </w:rPr>
              <w:t xml:space="preserve"> management areas (focusing on species such as elk and wild boar)</w:t>
            </w:r>
            <w:r w:rsidRPr="000C2C2B">
              <w:rPr>
                <w:rFonts w:ascii="Times New Roman" w:hAnsi="Times New Roman"/>
                <w:b/>
                <w:sz w:val="20"/>
                <w:szCs w:val="20"/>
              </w:rPr>
              <w:t xml:space="preserve"> Direct global environmental benefit.</w:t>
            </w:r>
            <w:r w:rsidRPr="000C2C2B">
              <w:rPr>
                <w:rFonts w:ascii="Times New Roman" w:hAnsi="Times New Roman"/>
                <w:sz w:val="20"/>
                <w:szCs w:val="20"/>
              </w:rPr>
              <w:t xml:space="preserve"> Restoration of 3,000 ha of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within the project will result in raising the ground-water table, increased soil productivity. Habitat conditions for threatened bird species (e.g. Greater Spotted Eagle) will be improved. </w:t>
            </w:r>
            <w:r w:rsidRPr="000C2C2B">
              <w:rPr>
                <w:rFonts w:ascii="Times New Roman" w:hAnsi="Times New Roman"/>
                <w:i/>
                <w:sz w:val="20"/>
                <w:szCs w:val="20"/>
              </w:rPr>
              <w:t>Sphagnum</w:t>
            </w:r>
            <w:r w:rsidRPr="000C2C2B">
              <w:rPr>
                <w:rFonts w:ascii="Times New Roman" w:hAnsi="Times New Roman"/>
                <w:sz w:val="20"/>
                <w:szCs w:val="20"/>
              </w:rPr>
              <w:t xml:space="preserve"> peat formation process will be restored. Black alder communities will be regenerated. Fire frequency will be reduced. The carbon benefit: restoration of the hydrological regime reduces </w:t>
            </w:r>
            <w:r w:rsidRPr="000C2C2B">
              <w:rPr>
                <w:rFonts w:ascii="Times New Roman" w:hAnsi="Times New Roman"/>
                <w:sz w:val="20"/>
                <w:szCs w:val="20"/>
              </w:rPr>
              <w:lastRenderedPageBreak/>
              <w:t xml:space="preserve">emissions by 27,304.8 tCO2/y) </w:t>
            </w:r>
          </w:p>
        </w:tc>
      </w:tr>
    </w:tbl>
    <w:p w:rsidR="00A9399A" w:rsidRPr="000C2C2B" w:rsidRDefault="00A9399A" w:rsidP="0006730F">
      <w:pPr>
        <w:pStyle w:val="B"/>
        <w:spacing w:after="80"/>
        <w:ind w:right="270"/>
        <w:jc w:val="both"/>
        <w:rPr>
          <w:b/>
          <w:sz w:val="21"/>
          <w:szCs w:val="21"/>
        </w:rPr>
      </w:pPr>
      <w:proofErr w:type="gramStart"/>
      <w:r w:rsidRPr="000C2C2B">
        <w:rPr>
          <w:b/>
          <w:sz w:val="21"/>
          <w:szCs w:val="21"/>
        </w:rPr>
        <w:lastRenderedPageBreak/>
        <w:t>Notes on Component 2.</w:t>
      </w:r>
      <w:proofErr w:type="gramEnd"/>
      <w:r w:rsidRPr="000C2C2B">
        <w:rPr>
          <w:b/>
          <w:sz w:val="21"/>
          <w:szCs w:val="21"/>
        </w:rPr>
        <w:t xml:space="preserve"> </w:t>
      </w:r>
    </w:p>
    <w:p w:rsidR="00A9399A" w:rsidRPr="000C2C2B" w:rsidRDefault="00A9399A" w:rsidP="00B61A58">
      <w:pPr>
        <w:pStyle w:val="B"/>
        <w:spacing w:after="80"/>
        <w:ind w:right="274"/>
        <w:jc w:val="both"/>
        <w:rPr>
          <w:sz w:val="21"/>
          <w:szCs w:val="21"/>
        </w:rPr>
      </w:pPr>
      <w:proofErr w:type="gramStart"/>
      <w:r w:rsidRPr="000C2C2B">
        <w:rPr>
          <w:sz w:val="21"/>
          <w:szCs w:val="21"/>
        </w:rPr>
        <w:t>Methodologies for assessment, monitoring and verification of GHGs (Outputs 2.3.1 and 2.3.2).</w:t>
      </w:r>
      <w:proofErr w:type="gramEnd"/>
      <w:r w:rsidRPr="000C2C2B">
        <w:rPr>
          <w:sz w:val="21"/>
          <w:szCs w:val="21"/>
        </w:rPr>
        <w:t xml:space="preserve"> The ICI project, mentioned under Related Projects sub-section further in the text, has developed a methodology for assessing emissions from </w:t>
      </w:r>
      <w:proofErr w:type="spellStart"/>
      <w:r w:rsidRPr="000C2C2B">
        <w:rPr>
          <w:sz w:val="21"/>
          <w:szCs w:val="21"/>
        </w:rPr>
        <w:t>peatlands</w:t>
      </w:r>
      <w:proofErr w:type="spellEnd"/>
      <w:r w:rsidRPr="000C2C2B">
        <w:rPr>
          <w:sz w:val="21"/>
          <w:szCs w:val="21"/>
        </w:rPr>
        <w:t xml:space="preserve"> using vegetation as a proxy. The methodology includes mapping of vegetation types characterized by the presence and absence of species groups indicative for specific water level classes. GHG flux values are assigned to the vegetation types following a standardized protocol and using published emission values from plots with similar vegetation and water level in regions with similar climate and flora. Carbon sequestration in trees is accounted for by estimating the annual sequestration in tree biomass from forest inventory data. The method follows the criteria of the Voluntary Carbon Standard.   Based on the methodologies, </w:t>
      </w:r>
      <w:proofErr w:type="gramStart"/>
      <w:r w:rsidRPr="000C2C2B">
        <w:rPr>
          <w:sz w:val="21"/>
          <w:szCs w:val="21"/>
        </w:rPr>
        <w:t>the a</w:t>
      </w:r>
      <w:proofErr w:type="gramEnd"/>
      <w:r w:rsidRPr="000C2C2B">
        <w:rPr>
          <w:bCs/>
          <w:sz w:val="21"/>
          <w:szCs w:val="21"/>
        </w:rPr>
        <w:t xml:space="preserve"> </w:t>
      </w:r>
      <w:proofErr w:type="spellStart"/>
      <w:r w:rsidRPr="000C2C2B">
        <w:rPr>
          <w:b/>
          <w:bCs/>
          <w:i/>
          <w:sz w:val="21"/>
          <w:szCs w:val="21"/>
        </w:rPr>
        <w:t>Peatland</w:t>
      </w:r>
      <w:proofErr w:type="spellEnd"/>
      <w:r w:rsidRPr="000C2C2B">
        <w:rPr>
          <w:b/>
          <w:bCs/>
          <w:i/>
          <w:sz w:val="21"/>
          <w:szCs w:val="21"/>
        </w:rPr>
        <w:t xml:space="preserve"> Rewetting and Conservation Standard (PRC)</w:t>
      </w:r>
      <w:r w:rsidRPr="000C2C2B">
        <w:rPr>
          <w:sz w:val="21"/>
          <w:szCs w:val="21"/>
        </w:rPr>
        <w:t xml:space="preserve"> has been developed This was submitted to Voluntary Carbon Standards Association (VCSA) and Joint Implementation Supervisory committee. It underwent an independent review and modification and its adoption is expected in spring 2011. The methodology (developed for use in extracted </w:t>
      </w:r>
      <w:proofErr w:type="spellStart"/>
      <w:r w:rsidRPr="000C2C2B">
        <w:rPr>
          <w:sz w:val="21"/>
          <w:szCs w:val="21"/>
        </w:rPr>
        <w:t>peatlands</w:t>
      </w:r>
      <w:proofErr w:type="spellEnd"/>
      <w:r w:rsidRPr="000C2C2B">
        <w:rPr>
          <w:sz w:val="21"/>
          <w:szCs w:val="21"/>
        </w:rPr>
        <w:t xml:space="preserve">) can be applied to agricultural and forest </w:t>
      </w:r>
      <w:proofErr w:type="spellStart"/>
      <w:r w:rsidRPr="000C2C2B">
        <w:rPr>
          <w:sz w:val="21"/>
          <w:szCs w:val="21"/>
        </w:rPr>
        <w:t>peatlands</w:t>
      </w:r>
      <w:proofErr w:type="spellEnd"/>
      <w:r w:rsidRPr="000C2C2B">
        <w:rPr>
          <w:sz w:val="21"/>
          <w:szCs w:val="21"/>
        </w:rPr>
        <w:t xml:space="preserve">, but that it needs first to be modified. Namely, several new biotopes (vegetation groups) will need to be added, characteristic for agricultural and forest </w:t>
      </w:r>
      <w:proofErr w:type="spellStart"/>
      <w:r w:rsidRPr="000C2C2B">
        <w:rPr>
          <w:sz w:val="21"/>
          <w:szCs w:val="21"/>
        </w:rPr>
        <w:t>peatlands</w:t>
      </w:r>
      <w:proofErr w:type="spellEnd"/>
      <w:r w:rsidRPr="000C2C2B">
        <w:rPr>
          <w:sz w:val="21"/>
          <w:szCs w:val="21"/>
        </w:rPr>
        <w:t xml:space="preserve">, which are not covered by the current MRV. It is likely that the vegetation-proxy method will need to be combined with subsidence studies, which measure the changes in soil depth (assuming 40% of height loss caused by oxidation). Measurements in forests might need application of the </w:t>
      </w:r>
      <w:proofErr w:type="spellStart"/>
      <w:r w:rsidRPr="000C2C2B">
        <w:rPr>
          <w:sz w:val="21"/>
          <w:szCs w:val="21"/>
        </w:rPr>
        <w:t>Eddi</w:t>
      </w:r>
      <w:proofErr w:type="spellEnd"/>
      <w:r w:rsidRPr="000C2C2B">
        <w:rPr>
          <w:sz w:val="21"/>
          <w:szCs w:val="21"/>
        </w:rPr>
        <w:t xml:space="preserve"> Covariance method, but this needs further confirmation (to be confirmed during further project preparation. The sunk cost in the existing MRV system is USD 0.5 </w:t>
      </w:r>
      <w:proofErr w:type="spellStart"/>
      <w:r w:rsidRPr="000C2C2B">
        <w:rPr>
          <w:sz w:val="21"/>
          <w:szCs w:val="21"/>
        </w:rPr>
        <w:t>mln</w:t>
      </w:r>
      <w:proofErr w:type="spellEnd"/>
      <w:r w:rsidRPr="000C2C2B">
        <w:rPr>
          <w:sz w:val="21"/>
          <w:szCs w:val="21"/>
        </w:rPr>
        <w:t xml:space="preserve">. The MRV is deployed to monitor GHG emissions at 17 sites, with a total area over 40,000 ha. The approach is cost-effective, given that: (1) it is less expensive than in Western European countries (e.g. Germany or Poland), </w:t>
      </w:r>
      <w:proofErr w:type="gramStart"/>
      <w:r w:rsidRPr="000C2C2B">
        <w:rPr>
          <w:sz w:val="21"/>
          <w:szCs w:val="21"/>
        </w:rPr>
        <w:t>and(</w:t>
      </w:r>
      <w:proofErr w:type="gramEnd"/>
      <w:r w:rsidRPr="000C2C2B">
        <w:rPr>
          <w:sz w:val="21"/>
          <w:szCs w:val="21"/>
        </w:rPr>
        <w:t xml:space="preserve">2) much of the capital cost has already been covered meaning that the GEF project is only required to cover the costs of national technical specialists (to modify the MRV). </w:t>
      </w:r>
    </w:p>
    <w:p w:rsidR="00A9399A" w:rsidRPr="000C2C2B" w:rsidRDefault="00A9399A" w:rsidP="00F9753D">
      <w:pPr>
        <w:pStyle w:val="B"/>
        <w:spacing w:after="80"/>
        <w:ind w:right="274"/>
        <w:jc w:val="both"/>
        <w:rPr>
          <w:sz w:val="21"/>
          <w:szCs w:val="21"/>
        </w:rPr>
      </w:pPr>
      <w:proofErr w:type="spellStart"/>
      <w:r w:rsidRPr="000C2C2B">
        <w:rPr>
          <w:b/>
          <w:bCs/>
          <w:sz w:val="21"/>
          <w:szCs w:val="21"/>
        </w:rPr>
        <w:t>Peatlands</w:t>
      </w:r>
      <w:proofErr w:type="spellEnd"/>
      <w:r w:rsidRPr="000C2C2B">
        <w:rPr>
          <w:b/>
          <w:bCs/>
          <w:sz w:val="21"/>
          <w:szCs w:val="21"/>
        </w:rPr>
        <w:t xml:space="preserve"> trading mechanism (Output 2.3.3).</w:t>
      </w:r>
      <w:r w:rsidRPr="000C2C2B">
        <w:rPr>
          <w:bCs/>
          <w:sz w:val="21"/>
          <w:szCs w:val="21"/>
        </w:rPr>
        <w:t xml:space="preserve"> The ICI project, mentioned in the Related Projects section, is setting up the legal and institutional mechanism that would allow Belarus to trade emissions from </w:t>
      </w:r>
      <w:proofErr w:type="spellStart"/>
      <w:r w:rsidRPr="000C2C2B">
        <w:rPr>
          <w:bCs/>
          <w:sz w:val="21"/>
          <w:szCs w:val="21"/>
        </w:rPr>
        <w:t>peatlands</w:t>
      </w:r>
      <w:proofErr w:type="spellEnd"/>
      <w:r w:rsidRPr="000C2C2B">
        <w:rPr>
          <w:bCs/>
          <w:sz w:val="21"/>
          <w:szCs w:val="21"/>
        </w:rPr>
        <w:t xml:space="preserve"> at voluntary and regulatory markets. The </w:t>
      </w:r>
      <w:r w:rsidRPr="000C2C2B">
        <w:rPr>
          <w:b/>
          <w:bCs/>
          <w:i/>
          <w:sz w:val="21"/>
          <w:szCs w:val="21"/>
        </w:rPr>
        <w:t>Marketing Strategy for the sale of Carbon credits</w:t>
      </w:r>
      <w:r w:rsidRPr="000C2C2B">
        <w:rPr>
          <w:bCs/>
          <w:sz w:val="21"/>
          <w:szCs w:val="21"/>
        </w:rPr>
        <w:t xml:space="preserve"> has already been developed by </w:t>
      </w:r>
      <w:proofErr w:type="spellStart"/>
      <w:r w:rsidRPr="000C2C2B">
        <w:rPr>
          <w:bCs/>
          <w:sz w:val="21"/>
          <w:szCs w:val="21"/>
        </w:rPr>
        <w:t>Silvestrum</w:t>
      </w:r>
      <w:proofErr w:type="spellEnd"/>
      <w:r w:rsidRPr="000C2C2B">
        <w:rPr>
          <w:bCs/>
          <w:sz w:val="21"/>
          <w:szCs w:val="21"/>
        </w:rPr>
        <w:t xml:space="preserve"> and Climate Focus. The project idea for potential buyers has been elaborated through the description of territories, the calculation of emission reductions and required national project cycle. The necessary documentation for selling carbon credits (</w:t>
      </w:r>
      <w:proofErr w:type="spellStart"/>
      <w:r w:rsidRPr="000C2C2B">
        <w:rPr>
          <w:bCs/>
          <w:sz w:val="21"/>
          <w:szCs w:val="21"/>
        </w:rPr>
        <w:t>MoU</w:t>
      </w:r>
      <w:proofErr w:type="spellEnd"/>
      <w:r w:rsidRPr="000C2C2B">
        <w:rPr>
          <w:bCs/>
          <w:sz w:val="21"/>
          <w:szCs w:val="21"/>
        </w:rPr>
        <w:t xml:space="preserve">, ERPA, Term sheets between stakeholders) will be available in spring 2011. At the in-country level, the domestic cycle for the approval of the voluntary carbon deal is governed by the President Decree 466 which has most recently been further clarified by a new Presidential Decree which covers voluntary carbon and JI. Current predictions for </w:t>
      </w:r>
      <w:r w:rsidRPr="000C2C2B">
        <w:rPr>
          <w:b/>
          <w:bCs/>
          <w:i/>
          <w:sz w:val="21"/>
          <w:szCs w:val="21"/>
        </w:rPr>
        <w:t>the Climate impact of re-wetting</w:t>
      </w:r>
      <w:r w:rsidRPr="000C2C2B">
        <w:rPr>
          <w:bCs/>
          <w:sz w:val="21"/>
          <w:szCs w:val="21"/>
        </w:rPr>
        <w:t xml:space="preserve"> are for a Carbon saving </w:t>
      </w:r>
      <w:proofErr w:type="gramStart"/>
      <w:r w:rsidRPr="000C2C2B">
        <w:rPr>
          <w:bCs/>
          <w:sz w:val="21"/>
          <w:szCs w:val="21"/>
        </w:rPr>
        <w:t xml:space="preserve">of 2.5 </w:t>
      </w:r>
      <w:proofErr w:type="spellStart"/>
      <w:r w:rsidRPr="000C2C2B">
        <w:rPr>
          <w:bCs/>
          <w:sz w:val="21"/>
          <w:szCs w:val="21"/>
        </w:rPr>
        <w:t>tonnes</w:t>
      </w:r>
      <w:proofErr w:type="spellEnd"/>
      <w:r w:rsidRPr="000C2C2B">
        <w:rPr>
          <w:bCs/>
          <w:sz w:val="21"/>
          <w:szCs w:val="21"/>
        </w:rPr>
        <w:t>/ha/year as a conservative estimate</w:t>
      </w:r>
      <w:proofErr w:type="gramEnd"/>
      <w:r w:rsidRPr="000C2C2B">
        <w:rPr>
          <w:bCs/>
          <w:sz w:val="21"/>
          <w:szCs w:val="21"/>
        </w:rPr>
        <w:t xml:space="preserve">. </w:t>
      </w:r>
      <w:r w:rsidRPr="000C2C2B">
        <w:rPr>
          <w:sz w:val="21"/>
          <w:szCs w:val="21"/>
        </w:rPr>
        <w:t xml:space="preserve">Assuming calculations made over a ten year period, the average annual emission reductions will amount to 40-48,000 </w:t>
      </w:r>
      <w:proofErr w:type="spellStart"/>
      <w:r w:rsidRPr="000C2C2B">
        <w:rPr>
          <w:sz w:val="21"/>
          <w:szCs w:val="21"/>
        </w:rPr>
        <w:t>tonnes</w:t>
      </w:r>
      <w:proofErr w:type="spellEnd"/>
      <w:r w:rsidRPr="000C2C2B">
        <w:rPr>
          <w:sz w:val="21"/>
          <w:szCs w:val="21"/>
        </w:rPr>
        <w:t xml:space="preserve"> CO</w:t>
      </w:r>
      <w:r w:rsidRPr="000C2C2B">
        <w:rPr>
          <w:sz w:val="21"/>
          <w:szCs w:val="21"/>
          <w:vertAlign w:val="subscript"/>
        </w:rPr>
        <w:t>2</w:t>
      </w:r>
      <w:r w:rsidRPr="000C2C2B">
        <w:rPr>
          <w:sz w:val="21"/>
          <w:szCs w:val="21"/>
        </w:rPr>
        <w:t xml:space="preserve">. Approximate initial analysis suggests an approximate cost of approximately €5-8 to store a </w:t>
      </w:r>
      <w:proofErr w:type="spellStart"/>
      <w:r w:rsidRPr="000C2C2B">
        <w:rPr>
          <w:sz w:val="21"/>
          <w:szCs w:val="21"/>
        </w:rPr>
        <w:t>tonne</w:t>
      </w:r>
      <w:proofErr w:type="spellEnd"/>
      <w:r w:rsidRPr="000C2C2B">
        <w:rPr>
          <w:sz w:val="21"/>
          <w:szCs w:val="21"/>
        </w:rPr>
        <w:t xml:space="preserve"> of CO2. The first voluntary deal is being prepared, since the first purchaser has already been identified (Otto-Hermes deal). Nonetheless, it will require till the end of 2011 for the mechanism to be fully finalized, in terms of institutional, legal and financial technicalities. So far, only </w:t>
      </w:r>
      <w:proofErr w:type="spellStart"/>
      <w:r w:rsidRPr="000C2C2B">
        <w:rPr>
          <w:sz w:val="21"/>
          <w:szCs w:val="21"/>
        </w:rPr>
        <w:t>peatlands</w:t>
      </w:r>
      <w:proofErr w:type="spellEnd"/>
      <w:r w:rsidRPr="000C2C2B">
        <w:rPr>
          <w:sz w:val="21"/>
          <w:szCs w:val="21"/>
        </w:rPr>
        <w:t xml:space="preserve"> extracted for mining and re-</w:t>
      </w:r>
      <w:proofErr w:type="gramStart"/>
      <w:r w:rsidRPr="000C2C2B">
        <w:rPr>
          <w:sz w:val="21"/>
          <w:szCs w:val="21"/>
        </w:rPr>
        <w:t>wetted,</w:t>
      </w:r>
      <w:proofErr w:type="gramEnd"/>
      <w:r w:rsidRPr="000C2C2B">
        <w:rPr>
          <w:sz w:val="21"/>
          <w:szCs w:val="21"/>
        </w:rPr>
        <w:t xml:space="preserve"> have been the subject matter of the trading mechanism. The GEF FSP proposed will create a model for rewetting former agricultural and forest </w:t>
      </w:r>
      <w:proofErr w:type="spellStart"/>
      <w:r w:rsidRPr="000C2C2B">
        <w:rPr>
          <w:sz w:val="21"/>
          <w:szCs w:val="21"/>
        </w:rPr>
        <w:t>peatlands</w:t>
      </w:r>
      <w:proofErr w:type="spellEnd"/>
      <w:r w:rsidRPr="000C2C2B">
        <w:rPr>
          <w:sz w:val="21"/>
          <w:szCs w:val="21"/>
        </w:rPr>
        <w:t>, and thus will create an inflow of new types of projects that can be traded through the mechanism described above.</w:t>
      </w:r>
    </w:p>
    <w:p w:rsidR="00A9399A" w:rsidRPr="000C2C2B" w:rsidRDefault="00A9399A" w:rsidP="00E15322">
      <w:pPr>
        <w:spacing w:line="240" w:lineRule="auto"/>
        <w:jc w:val="both"/>
        <w:rPr>
          <w:rFonts w:ascii="Times New Roman" w:hAnsi="Times New Roman"/>
          <w:bCs/>
          <w:sz w:val="21"/>
          <w:szCs w:val="21"/>
        </w:rPr>
      </w:pPr>
      <w:r w:rsidRPr="000C2C2B">
        <w:rPr>
          <w:rFonts w:ascii="Times New Roman" w:hAnsi="Times New Roman"/>
          <w:b/>
          <w:bCs/>
          <w:sz w:val="21"/>
          <w:szCs w:val="21"/>
        </w:rPr>
        <w:t>Linkage to removal of fire threat at the demonstration areas</w:t>
      </w:r>
      <w:proofErr w:type="gramStart"/>
      <w:r w:rsidRPr="000C2C2B">
        <w:rPr>
          <w:rFonts w:ascii="Times New Roman" w:hAnsi="Times New Roman"/>
          <w:b/>
          <w:bCs/>
          <w:sz w:val="21"/>
          <w:szCs w:val="21"/>
        </w:rPr>
        <w:t>:</w:t>
      </w:r>
      <w:r w:rsidRPr="000C2C2B">
        <w:rPr>
          <w:rFonts w:ascii="Times New Roman" w:hAnsi="Times New Roman"/>
          <w:bCs/>
          <w:sz w:val="21"/>
          <w:szCs w:val="21"/>
        </w:rPr>
        <w:t xml:space="preserve"> ,</w:t>
      </w:r>
      <w:proofErr w:type="gramEnd"/>
      <w:r w:rsidRPr="000C2C2B">
        <w:rPr>
          <w:rFonts w:ascii="Times New Roman" w:hAnsi="Times New Roman"/>
          <w:bCs/>
          <w:sz w:val="21"/>
          <w:szCs w:val="21"/>
        </w:rPr>
        <w:t xml:space="preserve"> the calculation of carbon benefits includes emissions avoided only through mineralization. Restoration will be done through the re-wetting, i.e. elevation of the ground-water table, which will saturate the dry flammable </w:t>
      </w:r>
      <w:proofErr w:type="spellStart"/>
      <w:r w:rsidRPr="000C2C2B">
        <w:rPr>
          <w:rFonts w:ascii="Times New Roman" w:hAnsi="Times New Roman"/>
          <w:bCs/>
          <w:sz w:val="21"/>
          <w:szCs w:val="21"/>
        </w:rPr>
        <w:t>peatlands</w:t>
      </w:r>
      <w:proofErr w:type="spellEnd"/>
      <w:r w:rsidRPr="000C2C2B">
        <w:rPr>
          <w:rFonts w:ascii="Times New Roman" w:hAnsi="Times New Roman"/>
          <w:bCs/>
          <w:sz w:val="21"/>
          <w:szCs w:val="21"/>
        </w:rPr>
        <w:t xml:space="preserve"> with water. This will reduce fire hazards by up to 90% as the previous GEF project confirmed. </w:t>
      </w:r>
      <w:proofErr w:type="spellStart"/>
      <w:r w:rsidRPr="000C2C2B">
        <w:rPr>
          <w:rFonts w:ascii="Times New Roman" w:hAnsi="Times New Roman"/>
          <w:bCs/>
          <w:sz w:val="21"/>
          <w:szCs w:val="21"/>
        </w:rPr>
        <w:t>Renaturalisation</w:t>
      </w:r>
      <w:proofErr w:type="spellEnd"/>
      <w:r w:rsidRPr="000C2C2B">
        <w:rPr>
          <w:rFonts w:ascii="Times New Roman" w:hAnsi="Times New Roman"/>
          <w:bCs/>
          <w:sz w:val="21"/>
          <w:szCs w:val="21"/>
        </w:rPr>
        <w:t xml:space="preserve"> constitutes the most cost effective </w:t>
      </w:r>
      <w:proofErr w:type="spellStart"/>
      <w:r w:rsidRPr="000C2C2B">
        <w:rPr>
          <w:rFonts w:ascii="Times New Roman" w:hAnsi="Times New Roman"/>
          <w:bCs/>
          <w:sz w:val="21"/>
          <w:szCs w:val="21"/>
        </w:rPr>
        <w:t>fore</w:t>
      </w:r>
      <w:proofErr w:type="spellEnd"/>
      <w:r w:rsidRPr="000C2C2B">
        <w:rPr>
          <w:rFonts w:ascii="Times New Roman" w:hAnsi="Times New Roman"/>
          <w:bCs/>
          <w:sz w:val="21"/>
          <w:szCs w:val="21"/>
        </w:rPr>
        <w:t xml:space="preserve"> avoidance strategy, and no further management activities are anticipated. A calculation of the additional emissions reductions will be undertaken during further project preparation. </w:t>
      </w:r>
    </w:p>
    <w:p w:rsidR="00A9399A" w:rsidRPr="000C2C2B" w:rsidRDefault="00A9399A" w:rsidP="00F9753D">
      <w:pPr>
        <w:pStyle w:val="B"/>
        <w:spacing w:after="80"/>
        <w:ind w:right="274"/>
        <w:jc w:val="both"/>
        <w:rPr>
          <w:sz w:val="21"/>
          <w:szCs w:val="21"/>
        </w:rPr>
      </w:pPr>
      <w:proofErr w:type="gramStart"/>
      <w:r w:rsidRPr="000C2C2B">
        <w:rPr>
          <w:b/>
          <w:sz w:val="21"/>
          <w:szCs w:val="21"/>
        </w:rPr>
        <w:t>Land tenure and permanence</w:t>
      </w:r>
      <w:r w:rsidRPr="000C2C2B">
        <w:rPr>
          <w:sz w:val="21"/>
          <w:szCs w:val="21"/>
        </w:rPr>
        <w:t>.</w:t>
      </w:r>
      <w:proofErr w:type="gramEnd"/>
      <w:r w:rsidRPr="000C2C2B">
        <w:rPr>
          <w:sz w:val="21"/>
          <w:szCs w:val="21"/>
        </w:rPr>
        <w:t xml:space="preserve"> Restored </w:t>
      </w:r>
      <w:proofErr w:type="spellStart"/>
      <w:r w:rsidRPr="000C2C2B">
        <w:rPr>
          <w:sz w:val="21"/>
          <w:szCs w:val="21"/>
        </w:rPr>
        <w:t>peatland</w:t>
      </w:r>
      <w:proofErr w:type="spellEnd"/>
      <w:r w:rsidRPr="000C2C2B">
        <w:rPr>
          <w:sz w:val="21"/>
          <w:szCs w:val="21"/>
        </w:rPr>
        <w:t xml:space="preserve"> forests previously allocated for logging will be withdrawn from logging, and instead allocated to wildlife management (areas where sustainable hunting and fishing is permitted as is the harvest of non timber forest products). They will be registered as conservation areas in the Land </w:t>
      </w:r>
      <w:proofErr w:type="spellStart"/>
      <w:r w:rsidRPr="000C2C2B">
        <w:rPr>
          <w:sz w:val="21"/>
          <w:szCs w:val="21"/>
        </w:rPr>
        <w:t>Cadaster</w:t>
      </w:r>
      <w:proofErr w:type="spellEnd"/>
      <w:r w:rsidRPr="000C2C2B">
        <w:rPr>
          <w:sz w:val="21"/>
          <w:szCs w:val="21"/>
        </w:rPr>
        <w:t xml:space="preserve">, thereby ensuring permanence. Land-users will be capacitated to implement and maintain the new land-use regimes, undertake monitoring and report on the state of soil and vegetation and carbon fluxes. </w:t>
      </w:r>
    </w:p>
    <w:p w:rsidR="00A9399A" w:rsidRPr="000C2C2B" w:rsidRDefault="00A9399A" w:rsidP="00040668">
      <w:pPr>
        <w:spacing w:before="80" w:after="0" w:line="240" w:lineRule="auto"/>
        <w:ind w:right="-115"/>
        <w:rPr>
          <w:rFonts w:ascii="Times New Roman" w:hAnsi="Times New Roman"/>
          <w:sz w:val="21"/>
          <w:szCs w:val="21"/>
        </w:rPr>
      </w:pPr>
      <w:proofErr w:type="gramStart"/>
      <w:r w:rsidRPr="000C2C2B">
        <w:rPr>
          <w:rFonts w:ascii="Times New Roman" w:hAnsi="Times New Roman"/>
          <w:sz w:val="21"/>
          <w:szCs w:val="21"/>
          <w:u w:val="single"/>
        </w:rPr>
        <w:t>Summary of global environmental benefits</w:t>
      </w:r>
      <w:r w:rsidRPr="000C2C2B">
        <w:rPr>
          <w:rFonts w:ascii="Times New Roman" w:hAnsi="Times New Roman"/>
          <w:sz w:val="21"/>
          <w:szCs w:val="21"/>
        </w:rPr>
        <w:t>.</w:t>
      </w:r>
      <w:proofErr w:type="gramEnd"/>
      <w:r w:rsidRPr="000C2C2B">
        <w:rPr>
          <w:rFonts w:ascii="Times New Roman" w:hAnsi="Times New Roman"/>
          <w:sz w:val="21"/>
          <w:szCs w:val="21"/>
        </w:rPr>
        <w:t xml:space="preserve"> The project will generate multiple global benefits in the arenas of biodiversity, climate change, land degradation, and sustainable forest management. </w:t>
      </w:r>
    </w:p>
    <w:p w:rsidR="00A9399A" w:rsidRPr="000C2C2B" w:rsidRDefault="00A9399A" w:rsidP="000307F3">
      <w:pPr>
        <w:spacing w:after="0" w:line="240" w:lineRule="auto"/>
        <w:ind w:right="-115"/>
        <w:jc w:val="both"/>
        <w:rPr>
          <w:rFonts w:ascii="Times New Roman" w:hAnsi="Times New Roman"/>
          <w:b/>
          <w:sz w:val="21"/>
          <w:szCs w:val="21"/>
        </w:rPr>
      </w:pPr>
    </w:p>
    <w:p w:rsidR="00A9399A" w:rsidRPr="000C2C2B" w:rsidRDefault="00A9399A" w:rsidP="000307F3">
      <w:pPr>
        <w:spacing w:after="0" w:line="240" w:lineRule="auto"/>
        <w:ind w:right="-115"/>
        <w:jc w:val="both"/>
        <w:rPr>
          <w:rFonts w:ascii="Times New Roman" w:hAnsi="Times New Roman"/>
          <w:sz w:val="21"/>
          <w:szCs w:val="21"/>
        </w:rPr>
      </w:pPr>
      <w:r w:rsidRPr="000C2C2B">
        <w:rPr>
          <w:rFonts w:ascii="Times New Roman" w:hAnsi="Times New Roman"/>
          <w:b/>
          <w:sz w:val="21"/>
          <w:szCs w:val="21"/>
        </w:rPr>
        <w:t>BD benefits</w:t>
      </w:r>
      <w:r w:rsidRPr="000C2C2B">
        <w:rPr>
          <w:rFonts w:ascii="Times New Roman" w:hAnsi="Times New Roman"/>
          <w:sz w:val="21"/>
          <w:szCs w:val="21"/>
        </w:rPr>
        <w:t xml:space="preserve">: </w:t>
      </w:r>
    </w:p>
    <w:p w:rsidR="00A9399A" w:rsidRPr="000C2C2B" w:rsidRDefault="00A9399A" w:rsidP="00787DFD">
      <w:pPr>
        <w:pStyle w:val="ListParagraph"/>
        <w:numPr>
          <w:ilvl w:val="0"/>
          <w:numId w:val="21"/>
        </w:numPr>
        <w:rPr>
          <w:sz w:val="21"/>
          <w:szCs w:val="21"/>
        </w:rPr>
      </w:pPr>
      <w:r w:rsidRPr="000C2C2B">
        <w:rPr>
          <w:sz w:val="21"/>
          <w:szCs w:val="21"/>
        </w:rPr>
        <w:t xml:space="preserve">Management effectiveness of existing protected areas in </w:t>
      </w:r>
      <w:proofErr w:type="spellStart"/>
      <w:r w:rsidRPr="000C2C2B">
        <w:rPr>
          <w:sz w:val="21"/>
          <w:szCs w:val="21"/>
        </w:rPr>
        <w:t>Poozerie</w:t>
      </w:r>
      <w:proofErr w:type="spellEnd"/>
      <w:r w:rsidRPr="000C2C2B">
        <w:rPr>
          <w:sz w:val="21"/>
          <w:szCs w:val="21"/>
        </w:rPr>
        <w:t xml:space="preserve"> strengthened (93,588 ha); </w:t>
      </w:r>
    </w:p>
    <w:p w:rsidR="00A9399A" w:rsidRPr="000C2C2B" w:rsidRDefault="00A9399A" w:rsidP="00787DFD">
      <w:pPr>
        <w:pStyle w:val="ListParagraph"/>
        <w:numPr>
          <w:ilvl w:val="0"/>
          <w:numId w:val="21"/>
        </w:numPr>
        <w:rPr>
          <w:sz w:val="21"/>
          <w:szCs w:val="21"/>
        </w:rPr>
      </w:pPr>
      <w:r w:rsidRPr="000C2C2B">
        <w:rPr>
          <w:sz w:val="21"/>
          <w:szCs w:val="21"/>
        </w:rPr>
        <w:t xml:space="preserve">New protected areas created covering 20,000 hectares of underrepresented bogs and </w:t>
      </w:r>
      <w:proofErr w:type="spellStart"/>
      <w:r w:rsidRPr="000C2C2B">
        <w:rPr>
          <w:sz w:val="21"/>
          <w:szCs w:val="21"/>
        </w:rPr>
        <w:t>mesotrophic</w:t>
      </w:r>
      <w:proofErr w:type="spellEnd"/>
      <w:r w:rsidRPr="000C2C2B">
        <w:rPr>
          <w:sz w:val="21"/>
          <w:szCs w:val="21"/>
        </w:rPr>
        <w:t xml:space="preserve"> mires;</w:t>
      </w:r>
    </w:p>
    <w:p w:rsidR="00A9399A" w:rsidRPr="000C2C2B" w:rsidRDefault="00A9399A" w:rsidP="00787DFD">
      <w:pPr>
        <w:pStyle w:val="ListParagraph"/>
        <w:numPr>
          <w:ilvl w:val="0"/>
          <w:numId w:val="21"/>
        </w:numPr>
        <w:rPr>
          <w:sz w:val="21"/>
          <w:szCs w:val="21"/>
        </w:rPr>
      </w:pPr>
      <w:r w:rsidRPr="000C2C2B">
        <w:rPr>
          <w:sz w:val="21"/>
          <w:szCs w:val="21"/>
        </w:rPr>
        <w:t xml:space="preserve">Buffer zones and corridors established (45,000 ha), wherein land use is managed to minimize impact on core areas. </w:t>
      </w:r>
    </w:p>
    <w:p w:rsidR="00A9399A" w:rsidRPr="000C2C2B" w:rsidRDefault="00A9399A" w:rsidP="00787DFD">
      <w:pPr>
        <w:pStyle w:val="ListParagraph"/>
        <w:numPr>
          <w:ilvl w:val="0"/>
          <w:numId w:val="21"/>
        </w:numPr>
        <w:rPr>
          <w:sz w:val="21"/>
          <w:szCs w:val="21"/>
        </w:rPr>
      </w:pPr>
      <w:r w:rsidRPr="000C2C2B">
        <w:rPr>
          <w:bCs/>
          <w:sz w:val="21"/>
          <w:szCs w:val="21"/>
          <w:u w:val="single"/>
        </w:rPr>
        <w:lastRenderedPageBreak/>
        <w:t>Indicator species</w:t>
      </w:r>
      <w:r w:rsidRPr="000C2C2B">
        <w:rPr>
          <w:sz w:val="21"/>
          <w:szCs w:val="21"/>
        </w:rPr>
        <w:t>: Restored hydrology improves populations of European pond terrapin, Aquatic warbler</w:t>
      </w:r>
      <w:r w:rsidRPr="000C2C2B">
        <w:rPr>
          <w:i/>
          <w:iCs/>
          <w:sz w:val="21"/>
          <w:szCs w:val="21"/>
        </w:rPr>
        <w:t xml:space="preserve">, </w:t>
      </w:r>
      <w:r w:rsidRPr="000C2C2B">
        <w:rPr>
          <w:sz w:val="21"/>
          <w:szCs w:val="21"/>
        </w:rPr>
        <w:t>Water vole</w:t>
      </w:r>
      <w:r w:rsidRPr="000C2C2B">
        <w:rPr>
          <w:i/>
          <w:iCs/>
          <w:sz w:val="21"/>
          <w:szCs w:val="21"/>
        </w:rPr>
        <w:t xml:space="preserve">, </w:t>
      </w:r>
      <w:r w:rsidRPr="000C2C2B">
        <w:rPr>
          <w:sz w:val="21"/>
          <w:szCs w:val="21"/>
        </w:rPr>
        <w:t xml:space="preserve">European polecat Lesser spotted eagle, and Short-toed </w:t>
      </w:r>
      <w:proofErr w:type="gramStart"/>
      <w:r w:rsidRPr="000C2C2B">
        <w:rPr>
          <w:sz w:val="21"/>
          <w:szCs w:val="21"/>
        </w:rPr>
        <w:t>eagle</w:t>
      </w:r>
      <w:r w:rsidRPr="000C2C2B">
        <w:rPr>
          <w:sz w:val="21"/>
          <w:szCs w:val="21"/>
          <w:vertAlign w:val="superscript"/>
        </w:rPr>
        <w:footnoteReference w:customMarkFollows="1" w:id="4"/>
        <w:t>[</w:t>
      </w:r>
      <w:proofErr w:type="gramEnd"/>
      <w:r w:rsidRPr="000C2C2B">
        <w:rPr>
          <w:sz w:val="21"/>
          <w:szCs w:val="21"/>
          <w:vertAlign w:val="superscript"/>
        </w:rPr>
        <w:t>1]</w:t>
      </w:r>
      <w:r w:rsidRPr="000C2C2B">
        <w:rPr>
          <w:sz w:val="21"/>
          <w:szCs w:val="21"/>
        </w:rPr>
        <w:t>.</w:t>
      </w:r>
    </w:p>
    <w:p w:rsidR="00A9399A" w:rsidRPr="000C2C2B" w:rsidRDefault="00A9399A" w:rsidP="000307F3">
      <w:pPr>
        <w:spacing w:after="0" w:line="240" w:lineRule="auto"/>
        <w:jc w:val="both"/>
        <w:rPr>
          <w:rFonts w:ascii="Times New Roman" w:hAnsi="Times New Roman"/>
          <w:b/>
          <w:sz w:val="21"/>
          <w:szCs w:val="21"/>
        </w:rPr>
      </w:pPr>
    </w:p>
    <w:p w:rsidR="00A9399A" w:rsidRPr="000C2C2B" w:rsidRDefault="00A9399A" w:rsidP="000307F3">
      <w:pPr>
        <w:spacing w:after="0" w:line="240" w:lineRule="auto"/>
        <w:jc w:val="both"/>
        <w:rPr>
          <w:rFonts w:ascii="Times New Roman" w:hAnsi="Times New Roman"/>
          <w:sz w:val="21"/>
          <w:szCs w:val="21"/>
        </w:rPr>
      </w:pPr>
      <w:r w:rsidRPr="000C2C2B">
        <w:rPr>
          <w:rFonts w:ascii="Times New Roman" w:hAnsi="Times New Roman"/>
          <w:b/>
          <w:sz w:val="21"/>
          <w:szCs w:val="21"/>
        </w:rPr>
        <w:t>LD benefits:</w:t>
      </w:r>
      <w:r w:rsidRPr="000C2C2B">
        <w:rPr>
          <w:rFonts w:ascii="Times New Roman" w:hAnsi="Times New Roman"/>
          <w:sz w:val="21"/>
          <w:szCs w:val="21"/>
        </w:rPr>
        <w:t xml:space="preserve"> </w:t>
      </w:r>
    </w:p>
    <w:p w:rsidR="00A9399A" w:rsidRPr="000C2C2B" w:rsidRDefault="00A9399A" w:rsidP="00787DFD">
      <w:pPr>
        <w:pStyle w:val="ListParagraph"/>
        <w:numPr>
          <w:ilvl w:val="0"/>
          <w:numId w:val="22"/>
        </w:numPr>
        <w:rPr>
          <w:sz w:val="21"/>
          <w:szCs w:val="21"/>
        </w:rPr>
      </w:pPr>
      <w:r w:rsidRPr="000C2C2B">
        <w:rPr>
          <w:sz w:val="21"/>
          <w:szCs w:val="21"/>
        </w:rPr>
        <w:t xml:space="preserve">The project tackles one of the ‘hottest’ global problems, i.e. the destruction of the organic content of agricultural soils. </w:t>
      </w:r>
    </w:p>
    <w:p w:rsidR="00A9399A" w:rsidRPr="000C2C2B" w:rsidRDefault="00A9399A" w:rsidP="00787DFD">
      <w:pPr>
        <w:pStyle w:val="ListParagraph"/>
        <w:numPr>
          <w:ilvl w:val="0"/>
          <w:numId w:val="22"/>
        </w:numPr>
        <w:rPr>
          <w:sz w:val="21"/>
          <w:szCs w:val="21"/>
        </w:rPr>
      </w:pPr>
      <w:r w:rsidRPr="000C2C2B">
        <w:rPr>
          <w:sz w:val="21"/>
          <w:szCs w:val="21"/>
        </w:rPr>
        <w:t xml:space="preserve">Wind erosion of </w:t>
      </w:r>
      <w:proofErr w:type="spellStart"/>
      <w:r w:rsidRPr="000C2C2B">
        <w:rPr>
          <w:sz w:val="21"/>
          <w:szCs w:val="21"/>
        </w:rPr>
        <w:t>peatlands</w:t>
      </w:r>
      <w:proofErr w:type="spellEnd"/>
      <w:r w:rsidRPr="000C2C2B">
        <w:rPr>
          <w:sz w:val="21"/>
          <w:szCs w:val="21"/>
        </w:rPr>
        <w:t xml:space="preserve"> will be minimized. Area of degraded </w:t>
      </w:r>
      <w:proofErr w:type="spellStart"/>
      <w:r w:rsidRPr="000C2C2B">
        <w:rPr>
          <w:sz w:val="21"/>
          <w:szCs w:val="21"/>
        </w:rPr>
        <w:t>peatlands</w:t>
      </w:r>
      <w:proofErr w:type="spellEnd"/>
      <w:r w:rsidRPr="000C2C2B">
        <w:rPr>
          <w:sz w:val="21"/>
          <w:szCs w:val="21"/>
        </w:rPr>
        <w:t xml:space="preserve"> in </w:t>
      </w:r>
      <w:proofErr w:type="spellStart"/>
      <w:r w:rsidRPr="000C2C2B">
        <w:rPr>
          <w:sz w:val="21"/>
          <w:szCs w:val="21"/>
        </w:rPr>
        <w:t>Poozerie</w:t>
      </w:r>
      <w:proofErr w:type="spellEnd"/>
      <w:r w:rsidRPr="000C2C2B">
        <w:rPr>
          <w:sz w:val="21"/>
          <w:szCs w:val="21"/>
        </w:rPr>
        <w:t xml:space="preserve"> landscape with organic content below 50% is maintained at &lt;120,000 ha; </w:t>
      </w:r>
    </w:p>
    <w:p w:rsidR="00A9399A" w:rsidRPr="000C2C2B" w:rsidRDefault="00A9399A" w:rsidP="00787DFD">
      <w:pPr>
        <w:pStyle w:val="ListParagraph"/>
        <w:numPr>
          <w:ilvl w:val="0"/>
          <w:numId w:val="22"/>
        </w:numPr>
        <w:rPr>
          <w:sz w:val="21"/>
          <w:szCs w:val="21"/>
        </w:rPr>
      </w:pPr>
      <w:r w:rsidRPr="000C2C2B">
        <w:rPr>
          <w:sz w:val="21"/>
          <w:szCs w:val="21"/>
        </w:rPr>
        <w:t xml:space="preserve">Restored ground-water table over &gt; 150,000 ha; </w:t>
      </w:r>
    </w:p>
    <w:p w:rsidR="00A9399A" w:rsidRPr="000C2C2B" w:rsidRDefault="00A9399A" w:rsidP="00787DFD">
      <w:pPr>
        <w:pStyle w:val="ListParagraph"/>
        <w:numPr>
          <w:ilvl w:val="0"/>
          <w:numId w:val="22"/>
        </w:numPr>
        <w:rPr>
          <w:sz w:val="21"/>
          <w:szCs w:val="21"/>
        </w:rPr>
      </w:pPr>
      <w:r w:rsidRPr="000C2C2B">
        <w:rPr>
          <w:sz w:val="21"/>
          <w:szCs w:val="21"/>
        </w:rPr>
        <w:t xml:space="preserve">Shift from unsustainable (deep </w:t>
      </w:r>
      <w:proofErr w:type="spellStart"/>
      <w:r w:rsidRPr="000C2C2B">
        <w:rPr>
          <w:sz w:val="21"/>
          <w:szCs w:val="21"/>
        </w:rPr>
        <w:t>plowing</w:t>
      </w:r>
      <w:proofErr w:type="spellEnd"/>
      <w:r w:rsidRPr="000C2C2B">
        <w:rPr>
          <w:sz w:val="21"/>
          <w:szCs w:val="21"/>
        </w:rPr>
        <w:t xml:space="preserve">) to sustainable (pastures) agriculture on </w:t>
      </w:r>
      <w:proofErr w:type="spellStart"/>
      <w:r w:rsidRPr="000C2C2B">
        <w:rPr>
          <w:sz w:val="21"/>
          <w:szCs w:val="21"/>
        </w:rPr>
        <w:t>peatlands</w:t>
      </w:r>
      <w:proofErr w:type="spellEnd"/>
      <w:r w:rsidRPr="000C2C2B">
        <w:rPr>
          <w:sz w:val="21"/>
          <w:szCs w:val="21"/>
        </w:rPr>
        <w:t xml:space="preserve"> raises soil productivity.</w:t>
      </w:r>
    </w:p>
    <w:p w:rsidR="00A9399A" w:rsidRPr="000C2C2B" w:rsidRDefault="00A9399A" w:rsidP="00EB2D1A">
      <w:pPr>
        <w:pStyle w:val="ListParagraph"/>
        <w:rPr>
          <w:sz w:val="21"/>
          <w:szCs w:val="21"/>
        </w:rPr>
      </w:pPr>
    </w:p>
    <w:p w:rsidR="00A9399A" w:rsidRPr="000C2C2B" w:rsidRDefault="00A9399A" w:rsidP="00EB2D1A">
      <w:pPr>
        <w:pStyle w:val="ListParagraph"/>
        <w:rPr>
          <w:b/>
          <w:sz w:val="21"/>
          <w:szCs w:val="21"/>
        </w:rPr>
      </w:pPr>
      <w:r w:rsidRPr="000C2C2B">
        <w:rPr>
          <w:b/>
          <w:sz w:val="21"/>
          <w:szCs w:val="21"/>
        </w:rPr>
        <w:t>CC benefits:</w:t>
      </w:r>
    </w:p>
    <w:p w:rsidR="00A9399A" w:rsidRPr="000C2C2B" w:rsidRDefault="00A9399A" w:rsidP="00787DFD">
      <w:pPr>
        <w:pStyle w:val="ListParagraph"/>
        <w:numPr>
          <w:ilvl w:val="0"/>
          <w:numId w:val="23"/>
        </w:numPr>
        <w:rPr>
          <w:sz w:val="21"/>
          <w:szCs w:val="21"/>
        </w:rPr>
      </w:pPr>
      <w:r w:rsidRPr="000C2C2B">
        <w:rPr>
          <w:sz w:val="21"/>
          <w:szCs w:val="21"/>
        </w:rPr>
        <w:t xml:space="preserve">Carbon monitoring systems for </w:t>
      </w:r>
      <w:proofErr w:type="spellStart"/>
      <w:r w:rsidRPr="000C2C2B">
        <w:rPr>
          <w:sz w:val="21"/>
          <w:szCs w:val="21"/>
        </w:rPr>
        <w:t>peatlands</w:t>
      </w:r>
      <w:proofErr w:type="spellEnd"/>
      <w:r w:rsidRPr="000C2C2B">
        <w:rPr>
          <w:sz w:val="21"/>
          <w:szCs w:val="21"/>
        </w:rPr>
        <w:t>,</w:t>
      </w:r>
    </w:p>
    <w:p w:rsidR="00A9399A" w:rsidRPr="000C2C2B" w:rsidRDefault="00A9399A" w:rsidP="00787DFD">
      <w:pPr>
        <w:pStyle w:val="ListParagraph"/>
        <w:numPr>
          <w:ilvl w:val="0"/>
          <w:numId w:val="23"/>
        </w:numPr>
        <w:rPr>
          <w:sz w:val="21"/>
          <w:szCs w:val="21"/>
        </w:rPr>
      </w:pPr>
      <w:r w:rsidRPr="000C2C2B">
        <w:rPr>
          <w:sz w:val="21"/>
          <w:szCs w:val="21"/>
        </w:rPr>
        <w:t xml:space="preserve">The project’s ecosystem restoration activities in 2,000 ha of agricultural and 3,000 hectares of forest </w:t>
      </w:r>
      <w:proofErr w:type="spellStart"/>
      <w:r w:rsidRPr="000C2C2B">
        <w:rPr>
          <w:sz w:val="21"/>
          <w:szCs w:val="21"/>
        </w:rPr>
        <w:t>peatlands</w:t>
      </w:r>
      <w:proofErr w:type="spellEnd"/>
      <w:r w:rsidRPr="000C2C2B">
        <w:rPr>
          <w:sz w:val="21"/>
          <w:szCs w:val="21"/>
        </w:rPr>
        <w:t xml:space="preserve"> alone will generate a reduction of 69,876 tCO2/ emissions year. The improved </w:t>
      </w:r>
      <w:proofErr w:type="spellStart"/>
      <w:r w:rsidRPr="000C2C2B">
        <w:rPr>
          <w:sz w:val="21"/>
          <w:szCs w:val="21"/>
        </w:rPr>
        <w:t>peatland</w:t>
      </w:r>
      <w:proofErr w:type="spellEnd"/>
      <w:r w:rsidRPr="000C2C2B">
        <w:rPr>
          <w:sz w:val="21"/>
          <w:szCs w:val="21"/>
        </w:rPr>
        <w:t xml:space="preserve"> management measures developed through the project are potentially replicable over an area of 100,000 ha of agricultural </w:t>
      </w:r>
      <w:proofErr w:type="spellStart"/>
      <w:r w:rsidRPr="000C2C2B">
        <w:rPr>
          <w:sz w:val="21"/>
          <w:szCs w:val="21"/>
        </w:rPr>
        <w:t>peatlands</w:t>
      </w:r>
      <w:proofErr w:type="spellEnd"/>
      <w:r w:rsidRPr="000C2C2B">
        <w:rPr>
          <w:sz w:val="21"/>
          <w:szCs w:val="21"/>
        </w:rPr>
        <w:t xml:space="preserve"> (with peat layer &lt;0.1m), and 135,000 ha of degraded forest </w:t>
      </w:r>
      <w:proofErr w:type="spellStart"/>
      <w:r w:rsidRPr="000C2C2B">
        <w:rPr>
          <w:sz w:val="21"/>
          <w:szCs w:val="21"/>
        </w:rPr>
        <w:t>peatlands</w:t>
      </w:r>
      <w:proofErr w:type="spellEnd"/>
      <w:r w:rsidRPr="000C2C2B">
        <w:rPr>
          <w:sz w:val="21"/>
          <w:szCs w:val="21"/>
        </w:rPr>
        <w:t>. Carbon benefits will also be generated under Outcome I, since improved conservation will ensure enhancement of carbon pools (the carbon benefit of the conservation will be calculated at the PPG stage).</w:t>
      </w:r>
    </w:p>
    <w:p w:rsidR="00A9399A" w:rsidRPr="000C2C2B" w:rsidRDefault="00A9399A" w:rsidP="000307F3">
      <w:pPr>
        <w:spacing w:after="0" w:line="240" w:lineRule="auto"/>
        <w:jc w:val="both"/>
        <w:rPr>
          <w:rFonts w:ascii="Times New Roman" w:hAnsi="Times New Roman"/>
          <w:b/>
          <w:sz w:val="21"/>
          <w:szCs w:val="21"/>
        </w:rPr>
      </w:pPr>
    </w:p>
    <w:p w:rsidR="00A9399A" w:rsidRPr="000C2C2B" w:rsidRDefault="00A9399A" w:rsidP="000307F3">
      <w:pPr>
        <w:spacing w:after="0" w:line="240" w:lineRule="auto"/>
        <w:jc w:val="both"/>
        <w:rPr>
          <w:rFonts w:ascii="Times New Roman" w:hAnsi="Times New Roman"/>
          <w:sz w:val="21"/>
          <w:szCs w:val="21"/>
        </w:rPr>
      </w:pPr>
      <w:r w:rsidRPr="000C2C2B">
        <w:rPr>
          <w:rFonts w:ascii="Times New Roman" w:hAnsi="Times New Roman"/>
          <w:b/>
          <w:sz w:val="21"/>
          <w:szCs w:val="21"/>
        </w:rPr>
        <w:t>SFM benefits:</w:t>
      </w:r>
      <w:r w:rsidRPr="000C2C2B">
        <w:rPr>
          <w:rFonts w:ascii="Times New Roman" w:hAnsi="Times New Roman"/>
          <w:sz w:val="21"/>
          <w:szCs w:val="21"/>
        </w:rPr>
        <w:t xml:space="preserve"> </w:t>
      </w:r>
    </w:p>
    <w:p w:rsidR="00A9399A" w:rsidRPr="000C2C2B" w:rsidRDefault="00A9399A" w:rsidP="00787DFD">
      <w:pPr>
        <w:pStyle w:val="ListParagraph"/>
        <w:numPr>
          <w:ilvl w:val="0"/>
          <w:numId w:val="24"/>
        </w:numPr>
        <w:rPr>
          <w:sz w:val="21"/>
          <w:szCs w:val="21"/>
        </w:rPr>
      </w:pPr>
      <w:r w:rsidRPr="000C2C2B">
        <w:rPr>
          <w:sz w:val="21"/>
          <w:szCs w:val="21"/>
        </w:rPr>
        <w:t xml:space="preserve">Raised readiness of country for trading forest </w:t>
      </w:r>
      <w:proofErr w:type="spellStart"/>
      <w:r w:rsidRPr="000C2C2B">
        <w:rPr>
          <w:sz w:val="21"/>
          <w:szCs w:val="21"/>
        </w:rPr>
        <w:t>peatland</w:t>
      </w:r>
      <w:proofErr w:type="spellEnd"/>
      <w:r w:rsidRPr="000C2C2B">
        <w:rPr>
          <w:sz w:val="21"/>
          <w:szCs w:val="21"/>
        </w:rPr>
        <w:t xml:space="preserve"> emissions reduction in markets. MRV for </w:t>
      </w:r>
      <w:proofErr w:type="spellStart"/>
      <w:r w:rsidRPr="000C2C2B">
        <w:rPr>
          <w:sz w:val="21"/>
          <w:szCs w:val="21"/>
        </w:rPr>
        <w:t>peatlands</w:t>
      </w:r>
      <w:proofErr w:type="spellEnd"/>
      <w:r w:rsidRPr="000C2C2B">
        <w:rPr>
          <w:sz w:val="21"/>
          <w:szCs w:val="21"/>
        </w:rPr>
        <w:t xml:space="preserve"> improved with addition of forest </w:t>
      </w:r>
      <w:proofErr w:type="spellStart"/>
      <w:r w:rsidRPr="000C2C2B">
        <w:rPr>
          <w:sz w:val="21"/>
          <w:szCs w:val="21"/>
        </w:rPr>
        <w:t>peatland</w:t>
      </w:r>
      <w:proofErr w:type="spellEnd"/>
      <w:r w:rsidRPr="000C2C2B">
        <w:rPr>
          <w:sz w:val="21"/>
          <w:szCs w:val="21"/>
        </w:rPr>
        <w:t xml:space="preserve"> </w:t>
      </w:r>
      <w:proofErr w:type="spellStart"/>
      <w:r w:rsidRPr="000C2C2B">
        <w:rPr>
          <w:sz w:val="21"/>
          <w:szCs w:val="21"/>
        </w:rPr>
        <w:t>biotiopes</w:t>
      </w:r>
      <w:proofErr w:type="spellEnd"/>
      <w:r w:rsidRPr="000C2C2B">
        <w:rPr>
          <w:sz w:val="21"/>
          <w:szCs w:val="21"/>
        </w:rPr>
        <w:t xml:space="preserve">, and integrated in carbon market. </w:t>
      </w:r>
    </w:p>
    <w:p w:rsidR="00A9399A" w:rsidRPr="000C2C2B" w:rsidRDefault="00A9399A" w:rsidP="00787DFD">
      <w:pPr>
        <w:pStyle w:val="ListParagraph"/>
        <w:numPr>
          <w:ilvl w:val="0"/>
          <w:numId w:val="24"/>
        </w:numPr>
        <w:rPr>
          <w:sz w:val="21"/>
          <w:szCs w:val="21"/>
        </w:rPr>
      </w:pPr>
      <w:r w:rsidRPr="000C2C2B">
        <w:rPr>
          <w:sz w:val="21"/>
          <w:szCs w:val="21"/>
        </w:rPr>
        <w:t xml:space="preserve">Diversified revenue of local communities from alternative forest </w:t>
      </w:r>
      <w:proofErr w:type="spellStart"/>
      <w:r w:rsidRPr="000C2C2B">
        <w:rPr>
          <w:sz w:val="21"/>
          <w:szCs w:val="21"/>
        </w:rPr>
        <w:t>peatland</w:t>
      </w:r>
      <w:proofErr w:type="spellEnd"/>
      <w:r w:rsidRPr="000C2C2B">
        <w:rPr>
          <w:sz w:val="21"/>
          <w:szCs w:val="21"/>
        </w:rPr>
        <w:t xml:space="preserve"> use (NTFR, wildlife management, hunting).</w:t>
      </w:r>
    </w:p>
    <w:p w:rsidR="00A9399A" w:rsidRPr="000C2C2B" w:rsidRDefault="00A9399A" w:rsidP="00EB2D1A">
      <w:pPr>
        <w:pStyle w:val="ListParagraph"/>
        <w:rPr>
          <w:sz w:val="21"/>
          <w:szCs w:val="21"/>
        </w:rPr>
      </w:pPr>
    </w:p>
    <w:p w:rsidR="00A9399A" w:rsidRPr="000C2C2B" w:rsidRDefault="00A9399A" w:rsidP="00195DD1">
      <w:pPr>
        <w:pStyle w:val="Footer"/>
        <w:tabs>
          <w:tab w:val="clear" w:pos="4320"/>
          <w:tab w:val="clear" w:pos="8640"/>
        </w:tabs>
        <w:spacing w:after="80"/>
        <w:ind w:right="270"/>
        <w:rPr>
          <w:b/>
          <w:iCs/>
          <w:smallCaps/>
          <w:color w:val="000000"/>
          <w:sz w:val="21"/>
          <w:szCs w:val="21"/>
        </w:rPr>
      </w:pPr>
      <w:r w:rsidRPr="000C2C2B">
        <w:rPr>
          <w:b/>
          <w:bCs/>
          <w:smallCaps/>
          <w:sz w:val="21"/>
          <w:szCs w:val="21"/>
        </w:rPr>
        <w:t>B.3. socioeconomic benefits to be delivered by the Project including gender dimensions</w:t>
      </w:r>
      <w:r w:rsidRPr="000C2C2B">
        <w:rPr>
          <w:b/>
          <w:iCs/>
          <w:smallCaps/>
          <w:color w:val="000000"/>
          <w:sz w:val="21"/>
          <w:szCs w:val="21"/>
        </w:rPr>
        <w:t>:</w:t>
      </w:r>
    </w:p>
    <w:p w:rsidR="00A9399A" w:rsidRPr="000C2C2B" w:rsidRDefault="00A9399A" w:rsidP="00E15322">
      <w:pPr>
        <w:pStyle w:val="aaa"/>
        <w:numPr>
          <w:ilvl w:val="0"/>
          <w:numId w:val="0"/>
        </w:numPr>
        <w:spacing w:after="80"/>
        <w:ind w:right="270"/>
        <w:jc w:val="both"/>
        <w:rPr>
          <w:sz w:val="21"/>
          <w:szCs w:val="21"/>
        </w:rPr>
      </w:pPr>
      <w:r w:rsidRPr="000C2C2B">
        <w:rPr>
          <w:sz w:val="21"/>
          <w:szCs w:val="21"/>
        </w:rPr>
        <w:t xml:space="preserve">The combined effect of the GEF investment and the baseline will result be an increase in agricultural productivity across the </w:t>
      </w:r>
      <w:proofErr w:type="spellStart"/>
      <w:r w:rsidRPr="000C2C2B">
        <w:rPr>
          <w:sz w:val="21"/>
          <w:szCs w:val="21"/>
        </w:rPr>
        <w:t>Poozerie</w:t>
      </w:r>
      <w:proofErr w:type="spellEnd"/>
      <w:r w:rsidRPr="000C2C2B">
        <w:rPr>
          <w:sz w:val="21"/>
          <w:szCs w:val="21"/>
        </w:rPr>
        <w:t xml:space="preserve"> landscape. Water and wind soil erosion resulting will be reduced, thus enhancing soil fertility and reducing annual crop yield losses attributable to land degradation. These losses can be significant, amounting to12-40% for cereals, and 15-50% for flax. The restoration of degraded open </w:t>
      </w:r>
      <w:proofErr w:type="spellStart"/>
      <w:r w:rsidRPr="000C2C2B">
        <w:rPr>
          <w:sz w:val="21"/>
          <w:szCs w:val="21"/>
        </w:rPr>
        <w:t>peatland</w:t>
      </w:r>
      <w:proofErr w:type="spellEnd"/>
      <w:r w:rsidRPr="000C2C2B">
        <w:rPr>
          <w:sz w:val="21"/>
          <w:szCs w:val="21"/>
        </w:rPr>
        <w:t xml:space="preserve"> ecosystems will provide the local rural population with an opportunity to obtain additional income from picking and selling berries and mushrooms, while also providing them with fish protein. </w:t>
      </w:r>
      <w:r w:rsidRPr="000C2C2B">
        <w:rPr>
          <w:sz w:val="21"/>
          <w:szCs w:val="21"/>
          <w:lang w:val="en-GB"/>
        </w:rPr>
        <w:t xml:space="preserve">Mushroom and berry-picking </w:t>
      </w:r>
      <w:r w:rsidRPr="000C2C2B">
        <w:rPr>
          <w:sz w:val="21"/>
          <w:szCs w:val="21"/>
        </w:rPr>
        <w:t xml:space="preserve">is important to the livelihoods of the rural poor—contributing to a significant portion of household income. Importantly, some 80% the pickers are women, who therefore are most affected by the loss of </w:t>
      </w:r>
      <w:proofErr w:type="spellStart"/>
      <w:r w:rsidRPr="000C2C2B">
        <w:rPr>
          <w:sz w:val="21"/>
          <w:szCs w:val="21"/>
        </w:rPr>
        <w:t>peatlands</w:t>
      </w:r>
      <w:proofErr w:type="spellEnd"/>
      <w:r w:rsidRPr="000C2C2B">
        <w:rPr>
          <w:sz w:val="21"/>
          <w:szCs w:val="21"/>
        </w:rPr>
        <w:t xml:space="preserve">. Accordingly, women stand to gain significantly from the project investment in </w:t>
      </w:r>
      <w:proofErr w:type="spellStart"/>
      <w:r w:rsidRPr="000C2C2B">
        <w:rPr>
          <w:sz w:val="21"/>
          <w:szCs w:val="21"/>
        </w:rPr>
        <w:t>peatland</w:t>
      </w:r>
      <w:proofErr w:type="spellEnd"/>
      <w:r w:rsidRPr="000C2C2B">
        <w:rPr>
          <w:sz w:val="21"/>
          <w:szCs w:val="21"/>
        </w:rPr>
        <w:t xml:space="preserve"> restoration, and regulatory measures to reduce the rate of degradation. Further, by restoring degraded forests, the project will generate new economic opportunities for the local populace from recreational use (including fishing) and sustainable hunting. As a consequence of these alternative livelihoods, the project will increase local household income by up to 10% (from a baseline of app. US$ 2,400 per annum) Furthermore, the project will reduce the incidence and severity of peat fires. Peat fires occur annually in Belarus, especially in dry hot years, leading to significant economic losses and an increase in respiratory diseases, with children and elderly people suffering disproportionately. Peat fires on lands contaminated following the Chernobyl catastrophe pose additional health risks due to the release of </w:t>
      </w:r>
      <w:proofErr w:type="spellStart"/>
      <w:r w:rsidRPr="000C2C2B">
        <w:rPr>
          <w:sz w:val="21"/>
          <w:szCs w:val="21"/>
        </w:rPr>
        <w:t>radionuclides</w:t>
      </w:r>
      <w:proofErr w:type="spellEnd"/>
      <w:r w:rsidRPr="000C2C2B">
        <w:rPr>
          <w:sz w:val="21"/>
          <w:szCs w:val="21"/>
        </w:rPr>
        <w:t xml:space="preserve">. </w:t>
      </w:r>
    </w:p>
    <w:p w:rsidR="00A9399A" w:rsidRPr="000C2C2B" w:rsidRDefault="00A9399A" w:rsidP="00E15322">
      <w:pPr>
        <w:autoSpaceDE w:val="0"/>
        <w:autoSpaceDN w:val="0"/>
        <w:adjustRightInd w:val="0"/>
        <w:spacing w:after="80" w:line="240" w:lineRule="auto"/>
        <w:jc w:val="both"/>
        <w:rPr>
          <w:rFonts w:ascii="Times New Roman" w:hAnsi="Times New Roman"/>
          <w:sz w:val="21"/>
          <w:szCs w:val="21"/>
        </w:rPr>
      </w:pPr>
      <w:r w:rsidRPr="000C2C2B">
        <w:rPr>
          <w:rFonts w:ascii="Times New Roman" w:hAnsi="Times New Roman"/>
          <w:sz w:val="21"/>
          <w:szCs w:val="21"/>
        </w:rPr>
        <w:t xml:space="preserve">In order to trigger alternative income-generation, the project will set up Public Councils in the protected areas. Part of the mandate of the Public Councils will be to design and agree with protected area managers on access of local people to the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for the purposes of resource collection and use. The project will finance the development of business plans for sustainable use activities. For example, </w:t>
      </w:r>
      <w:proofErr w:type="spellStart"/>
      <w:r w:rsidRPr="000C2C2B">
        <w:rPr>
          <w:rFonts w:ascii="Times New Roman" w:hAnsi="Times New Roman"/>
          <w:sz w:val="21"/>
          <w:szCs w:val="21"/>
        </w:rPr>
        <w:t>viz</w:t>
      </w:r>
      <w:proofErr w:type="spellEnd"/>
      <w:r w:rsidRPr="000C2C2B">
        <w:rPr>
          <w:rFonts w:ascii="Times New Roman" w:hAnsi="Times New Roman"/>
          <w:sz w:val="21"/>
          <w:szCs w:val="21"/>
        </w:rPr>
        <w:t xml:space="preserve"> cranberry picking, communities will agree with the park managers on when, how much, under what control cranberries can be picked.  Further, the project proponents have agreed with the Small Grants Program that the SGP will engage community-based organizations to support the minor infrastructure necessary to implement these activities, i.e. cranberry picking trails, collection points. The GEF FSP project will also undertake socio-economic surveys at the beginning, mid-term and final states of the project to monitor the success. The same approach will be taken for mushroom picking and fishing.</w:t>
      </w:r>
    </w:p>
    <w:p w:rsidR="00A9399A" w:rsidRPr="000C2C2B" w:rsidRDefault="00A9399A" w:rsidP="00E15322">
      <w:pPr>
        <w:autoSpaceDE w:val="0"/>
        <w:autoSpaceDN w:val="0"/>
        <w:adjustRightInd w:val="0"/>
        <w:spacing w:after="80" w:line="240" w:lineRule="auto"/>
        <w:jc w:val="both"/>
        <w:rPr>
          <w:rFonts w:ascii="Times New Roman" w:hAnsi="Times New Roman"/>
          <w:sz w:val="21"/>
          <w:szCs w:val="21"/>
        </w:rPr>
      </w:pPr>
      <w:r w:rsidRPr="000C2C2B">
        <w:rPr>
          <w:rFonts w:ascii="Times New Roman" w:hAnsi="Times New Roman"/>
          <w:sz w:val="21"/>
          <w:szCs w:val="21"/>
        </w:rPr>
        <w:t xml:space="preserve">The socio-economic surveys undertaken under the previous project among population before and after restoration of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have provided statistics which indicate that the income generated by mushroom and medicinal plant gathering, cranberry picking and amateur-fishing was 10-17% higher than before restoration. The conservative 10% estimate is used as a proxy. This, however, is subject to confirmation at the PPG, whereby baseline and targets will be tailored to specific locations targeted by the project. </w:t>
      </w:r>
    </w:p>
    <w:p w:rsidR="00A9399A" w:rsidRPr="000C2C2B" w:rsidRDefault="00A9399A" w:rsidP="00E15322">
      <w:pPr>
        <w:autoSpaceDE w:val="0"/>
        <w:autoSpaceDN w:val="0"/>
        <w:adjustRightInd w:val="0"/>
        <w:spacing w:after="80" w:line="240" w:lineRule="auto"/>
        <w:jc w:val="both"/>
        <w:rPr>
          <w:rFonts w:ascii="Times New Roman" w:hAnsi="Times New Roman"/>
          <w:sz w:val="21"/>
          <w:szCs w:val="21"/>
        </w:rPr>
      </w:pPr>
      <w:r w:rsidRPr="000C2C2B">
        <w:rPr>
          <w:rFonts w:ascii="Times New Roman" w:hAnsi="Times New Roman"/>
          <w:sz w:val="21"/>
          <w:szCs w:val="21"/>
        </w:rPr>
        <w:t xml:space="preserve">With respect to restrictions,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protected areas are going to be designated (mostly likely) as IUCN IV or VI types, meaning that they will be managed reserves where limited economic activities are allowed provided they do no harm. The alternative livelihoods </w:t>
      </w:r>
      <w:r w:rsidRPr="000C2C2B">
        <w:rPr>
          <w:rFonts w:ascii="Times New Roman" w:hAnsi="Times New Roman"/>
          <w:sz w:val="21"/>
          <w:szCs w:val="21"/>
        </w:rPr>
        <w:lastRenderedPageBreak/>
        <w:t>activities fall into this category, and hence can be implemented (if well managed) without violating PA regulations. The restrictions meant are those related to large-scale economic projects which disrupt the hydrological regime – such will need indeed to be installed and will be reflected in the modified territorial plans for the neighboring districts. Further, this distinction between which activities are allowed and which not will be clearly reflected in the PA management plans to be developed.</w:t>
      </w:r>
    </w:p>
    <w:p w:rsidR="00A9399A" w:rsidRPr="000C2C2B" w:rsidRDefault="00A9399A" w:rsidP="00E15322">
      <w:pPr>
        <w:autoSpaceDE w:val="0"/>
        <w:autoSpaceDN w:val="0"/>
        <w:adjustRightInd w:val="0"/>
        <w:spacing w:line="240" w:lineRule="auto"/>
        <w:jc w:val="both"/>
        <w:rPr>
          <w:rFonts w:ascii="Times New Roman" w:hAnsi="Times New Roman"/>
          <w:sz w:val="21"/>
          <w:szCs w:val="21"/>
        </w:rPr>
      </w:pPr>
      <w:r w:rsidRPr="000C2C2B">
        <w:rPr>
          <w:rFonts w:ascii="Times New Roman" w:hAnsi="Times New Roman"/>
          <w:sz w:val="21"/>
          <w:szCs w:val="21"/>
        </w:rPr>
        <w:t xml:space="preserve">The ecosystem carbon trading mechanism established with support from the German International Climate Initiative has established safeguards to protect the social welfare of local people. All projects entering the voluntary market from Belarus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are verified against this, so purchasers of credits can be sure that they buy credits from socially beneficial projects. In addition to the no-harm principle, the new GEF project, through the Public Council mechanism just described above, will develop a model of going beyond the no-harm principle, meaning that with small and inexpensive modifications carbon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projects entering the market afterwards can achieve this additional benefit of providing local populations with additional income. </w:t>
      </w:r>
    </w:p>
    <w:p w:rsidR="00A9399A" w:rsidRPr="000C2C2B" w:rsidRDefault="00A9399A" w:rsidP="00195DD1">
      <w:pPr>
        <w:pStyle w:val="Footer"/>
        <w:tabs>
          <w:tab w:val="clear" w:pos="4320"/>
          <w:tab w:val="clear" w:pos="8640"/>
        </w:tabs>
        <w:spacing w:before="120"/>
        <w:ind w:right="270"/>
        <w:rPr>
          <w:b/>
          <w:smallCaps/>
          <w:color w:val="000000"/>
          <w:sz w:val="21"/>
          <w:szCs w:val="21"/>
        </w:rPr>
      </w:pPr>
      <w:r w:rsidRPr="000C2C2B">
        <w:rPr>
          <w:b/>
          <w:smallCaps/>
          <w:color w:val="000000"/>
          <w:sz w:val="21"/>
          <w:szCs w:val="21"/>
        </w:rPr>
        <w:t>B.4. Indicate risks, including climate change risks and measures that address these risks:</w:t>
      </w:r>
    </w:p>
    <w:tbl>
      <w:tblPr>
        <w:tblW w:w="114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450"/>
        <w:gridCol w:w="9000"/>
      </w:tblGrid>
      <w:tr w:rsidR="00A9399A" w:rsidRPr="000C2C2B" w:rsidTr="00237A00">
        <w:trPr>
          <w:tblHeader/>
        </w:trPr>
        <w:tc>
          <w:tcPr>
            <w:tcW w:w="1980" w:type="dxa"/>
          </w:tcPr>
          <w:p w:rsidR="00A9399A" w:rsidRPr="000C2C2B" w:rsidRDefault="00A9399A" w:rsidP="00237A00">
            <w:pPr>
              <w:spacing w:after="0" w:line="240" w:lineRule="auto"/>
              <w:jc w:val="center"/>
              <w:rPr>
                <w:rFonts w:ascii="Times New Roman" w:hAnsi="Times New Roman"/>
                <w:b/>
                <w:sz w:val="20"/>
                <w:szCs w:val="20"/>
              </w:rPr>
            </w:pPr>
            <w:r w:rsidRPr="000C2C2B">
              <w:rPr>
                <w:rFonts w:ascii="Times New Roman" w:hAnsi="Times New Roman"/>
                <w:b/>
                <w:sz w:val="20"/>
                <w:szCs w:val="20"/>
              </w:rPr>
              <w:t>Risk</w:t>
            </w:r>
          </w:p>
        </w:tc>
        <w:tc>
          <w:tcPr>
            <w:tcW w:w="450" w:type="dxa"/>
          </w:tcPr>
          <w:p w:rsidR="00A9399A" w:rsidRPr="000C2C2B" w:rsidRDefault="00A9399A" w:rsidP="00237A00">
            <w:pPr>
              <w:spacing w:after="0" w:line="240" w:lineRule="auto"/>
              <w:jc w:val="center"/>
              <w:rPr>
                <w:rFonts w:ascii="Times New Roman" w:hAnsi="Times New Roman"/>
                <w:b/>
                <w:sz w:val="20"/>
                <w:szCs w:val="20"/>
              </w:rPr>
            </w:pPr>
          </w:p>
        </w:tc>
        <w:tc>
          <w:tcPr>
            <w:tcW w:w="9000" w:type="dxa"/>
          </w:tcPr>
          <w:p w:rsidR="00A9399A" w:rsidRPr="000C2C2B" w:rsidRDefault="00A9399A" w:rsidP="00237A00">
            <w:pPr>
              <w:spacing w:after="0" w:line="240" w:lineRule="auto"/>
              <w:jc w:val="center"/>
              <w:rPr>
                <w:rFonts w:ascii="Times New Roman" w:hAnsi="Times New Roman"/>
                <w:b/>
                <w:sz w:val="20"/>
                <w:szCs w:val="20"/>
              </w:rPr>
            </w:pPr>
            <w:r w:rsidRPr="000C2C2B">
              <w:rPr>
                <w:rFonts w:ascii="Times New Roman" w:hAnsi="Times New Roman"/>
                <w:b/>
                <w:sz w:val="20"/>
                <w:szCs w:val="20"/>
              </w:rPr>
              <w:t>Mitigation</w:t>
            </w:r>
          </w:p>
        </w:tc>
      </w:tr>
      <w:tr w:rsidR="00A9399A" w:rsidRPr="000C2C2B" w:rsidTr="00237A00">
        <w:tc>
          <w:tcPr>
            <w:tcW w:w="1980" w:type="dxa"/>
          </w:tcPr>
          <w:p w:rsidR="00A9399A" w:rsidRPr="000C2C2B" w:rsidRDefault="00A9399A" w:rsidP="00237A00">
            <w:pPr>
              <w:autoSpaceDE w:val="0"/>
              <w:autoSpaceDN w:val="0"/>
              <w:adjustRightInd w:val="0"/>
              <w:rPr>
                <w:rFonts w:ascii="Times New Roman" w:hAnsi="Times New Roman"/>
                <w:sz w:val="20"/>
                <w:szCs w:val="20"/>
              </w:rPr>
            </w:pPr>
            <w:r w:rsidRPr="000C2C2B">
              <w:rPr>
                <w:rFonts w:ascii="Times New Roman" w:hAnsi="Times New Roman"/>
                <w:sz w:val="20"/>
                <w:szCs w:val="20"/>
              </w:rPr>
              <w:t xml:space="preserve">Government will not support sound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management over the long-term</w:t>
            </w:r>
          </w:p>
        </w:tc>
        <w:tc>
          <w:tcPr>
            <w:tcW w:w="450" w:type="dxa"/>
          </w:tcPr>
          <w:p w:rsidR="00A9399A" w:rsidRPr="000C2C2B" w:rsidRDefault="00A9399A" w:rsidP="00237A00">
            <w:pPr>
              <w:spacing w:after="0" w:line="240" w:lineRule="auto"/>
              <w:rPr>
                <w:rFonts w:ascii="Times New Roman" w:hAnsi="Times New Roman"/>
                <w:sz w:val="20"/>
                <w:szCs w:val="20"/>
              </w:rPr>
            </w:pPr>
            <w:r w:rsidRPr="000C2C2B">
              <w:rPr>
                <w:rFonts w:ascii="Times New Roman" w:hAnsi="Times New Roman"/>
                <w:sz w:val="20"/>
                <w:szCs w:val="20"/>
              </w:rPr>
              <w:t>L</w:t>
            </w:r>
          </w:p>
        </w:tc>
        <w:tc>
          <w:tcPr>
            <w:tcW w:w="9000" w:type="dxa"/>
          </w:tcPr>
          <w:p w:rsidR="00A9399A" w:rsidRPr="000C2C2B" w:rsidRDefault="00A9399A" w:rsidP="00E71B8A">
            <w:pPr>
              <w:spacing w:after="0" w:line="240" w:lineRule="auto"/>
              <w:rPr>
                <w:rFonts w:ascii="Times New Roman" w:hAnsi="Times New Roman"/>
                <w:sz w:val="20"/>
                <w:szCs w:val="20"/>
              </w:rPr>
            </w:pPr>
            <w:r w:rsidRPr="000C2C2B">
              <w:rPr>
                <w:rFonts w:ascii="Times New Roman" w:hAnsi="Times New Roman"/>
                <w:sz w:val="20"/>
                <w:szCs w:val="20"/>
              </w:rPr>
              <w:t xml:space="preserve">Although this risk is low (since the project itself is a response to the Government’s request for support in the elaboration of the II Phase of the Scheme for Rational Use of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the project has mitigated it by securing before PIF preparation the political support from all </w:t>
            </w:r>
            <w:proofErr w:type="spellStart"/>
            <w:r w:rsidRPr="000C2C2B">
              <w:rPr>
                <w:rFonts w:ascii="Times New Roman" w:hAnsi="Times New Roman"/>
                <w:sz w:val="20"/>
                <w:szCs w:val="20"/>
              </w:rPr>
              <w:t>sectoral</w:t>
            </w:r>
            <w:proofErr w:type="spellEnd"/>
            <w:r w:rsidRPr="000C2C2B">
              <w:rPr>
                <w:rFonts w:ascii="Times New Roman" w:hAnsi="Times New Roman"/>
                <w:sz w:val="20"/>
                <w:szCs w:val="20"/>
              </w:rPr>
              <w:t xml:space="preserve"> ministries – in particular, </w:t>
            </w:r>
            <w:proofErr w:type="spellStart"/>
            <w:r w:rsidRPr="000C2C2B">
              <w:rPr>
                <w:rFonts w:ascii="Times New Roman" w:hAnsi="Times New Roman"/>
                <w:sz w:val="20"/>
                <w:szCs w:val="20"/>
              </w:rPr>
              <w:t>Belmeliodvodkhoz</w:t>
            </w:r>
            <w:proofErr w:type="spellEnd"/>
            <w:r w:rsidRPr="000C2C2B">
              <w:rPr>
                <w:rFonts w:ascii="Times New Roman" w:hAnsi="Times New Roman"/>
                <w:sz w:val="20"/>
                <w:szCs w:val="20"/>
              </w:rPr>
              <w:t xml:space="preserve"> in charge of agricultural drainage facilities, Ministry of Forestry for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forests, the Ministry of Agriculture, and the Ministry of Environment. In the longer term, the generation of funds from carbon markets for avoided emissions and carbon sequestration, triggered by this project, is expected to shift the cost benefit calculus for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use towards more environmentally friendly use practices. By developing more cost effective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management methods, and accompanying carbon accounting MRV systems for agricultural and forest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xml:space="preserve">, the project will improve the prospects of Belarus to participate gainfully in the voluntary and compliance markets for emissions reduction and sequestration. </w:t>
            </w:r>
          </w:p>
        </w:tc>
      </w:tr>
      <w:tr w:rsidR="00A9399A" w:rsidRPr="000C2C2B" w:rsidTr="00237A00">
        <w:tc>
          <w:tcPr>
            <w:tcW w:w="1980" w:type="dxa"/>
          </w:tcPr>
          <w:p w:rsidR="00A9399A" w:rsidRPr="000C2C2B" w:rsidRDefault="00A9399A" w:rsidP="00EB2D1A">
            <w:pPr>
              <w:pStyle w:val="ListParagraph"/>
              <w:rPr>
                <w:sz w:val="20"/>
                <w:szCs w:val="20"/>
                <w:lang w:val="en-US"/>
              </w:rPr>
            </w:pPr>
            <w:r w:rsidRPr="000C2C2B">
              <w:rPr>
                <w:sz w:val="20"/>
                <w:szCs w:val="20"/>
                <w:lang w:val="en-US"/>
              </w:rPr>
              <w:t xml:space="preserve">Different sectors are not able to work collaboratively to develop the National </w:t>
            </w:r>
            <w:proofErr w:type="spellStart"/>
            <w:r w:rsidRPr="000C2C2B">
              <w:rPr>
                <w:sz w:val="20"/>
                <w:szCs w:val="20"/>
                <w:lang w:val="en-US"/>
              </w:rPr>
              <w:t>Peatland</w:t>
            </w:r>
            <w:proofErr w:type="spellEnd"/>
            <w:r w:rsidRPr="000C2C2B">
              <w:rPr>
                <w:sz w:val="20"/>
                <w:szCs w:val="20"/>
                <w:lang w:val="en-US"/>
              </w:rPr>
              <w:t xml:space="preserve"> Strategy and Action Plan</w:t>
            </w:r>
          </w:p>
          <w:p w:rsidR="00A9399A" w:rsidRPr="000C2C2B" w:rsidRDefault="00A9399A" w:rsidP="00E71B8A">
            <w:pPr>
              <w:autoSpaceDE w:val="0"/>
              <w:autoSpaceDN w:val="0"/>
              <w:adjustRightInd w:val="0"/>
              <w:rPr>
                <w:rFonts w:ascii="Times New Roman" w:hAnsi="Times New Roman"/>
                <w:sz w:val="20"/>
                <w:szCs w:val="20"/>
              </w:rPr>
            </w:pPr>
          </w:p>
        </w:tc>
        <w:tc>
          <w:tcPr>
            <w:tcW w:w="450" w:type="dxa"/>
          </w:tcPr>
          <w:p w:rsidR="00A9399A" w:rsidRPr="000C2C2B" w:rsidRDefault="00A9399A" w:rsidP="00237A00">
            <w:pPr>
              <w:spacing w:after="0" w:line="240" w:lineRule="auto"/>
              <w:rPr>
                <w:rFonts w:ascii="Times New Roman" w:hAnsi="Times New Roman"/>
                <w:sz w:val="20"/>
                <w:szCs w:val="20"/>
              </w:rPr>
            </w:pPr>
            <w:r w:rsidRPr="000C2C2B">
              <w:rPr>
                <w:rFonts w:ascii="Times New Roman" w:hAnsi="Times New Roman"/>
                <w:sz w:val="20"/>
                <w:szCs w:val="20"/>
              </w:rPr>
              <w:t>M</w:t>
            </w:r>
          </w:p>
        </w:tc>
        <w:tc>
          <w:tcPr>
            <w:tcW w:w="9000" w:type="dxa"/>
          </w:tcPr>
          <w:p w:rsidR="00A9399A" w:rsidRPr="000C2C2B" w:rsidRDefault="00A9399A" w:rsidP="00E15322">
            <w:pPr>
              <w:spacing w:after="0" w:line="240" w:lineRule="auto"/>
              <w:rPr>
                <w:rFonts w:ascii="Times New Roman" w:hAnsi="Times New Roman"/>
                <w:sz w:val="20"/>
                <w:szCs w:val="20"/>
              </w:rPr>
            </w:pPr>
            <w:r w:rsidRPr="000C2C2B">
              <w:rPr>
                <w:rFonts w:ascii="Times New Roman" w:hAnsi="Times New Roman"/>
                <w:sz w:val="20"/>
                <w:szCs w:val="20"/>
              </w:rPr>
              <w:t xml:space="preserve">The project will mitigate it by establishing and maintaining constant dialog of all stakeholders involved (Output 1.1.1). Thus a multi-stakeholder collaborative mechanism will emerge, that will be capacitated to implement the project. The participating stakeholder groups will include non-government organizations, including those dealing with gender issues. In order to build the capacity of participating stakeholders, leading international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organizations (Wetlands International and Mire Conservation Group) will be engaged in managing the communications with all stakeholders. The mechanism will supervise the elaboration of the strategy and oversee all public consultations on it. Political support has been secured from all </w:t>
            </w:r>
            <w:proofErr w:type="spellStart"/>
            <w:r w:rsidRPr="000C2C2B">
              <w:rPr>
                <w:rFonts w:ascii="Times New Roman" w:hAnsi="Times New Roman"/>
                <w:sz w:val="20"/>
                <w:szCs w:val="20"/>
              </w:rPr>
              <w:t>sectoral</w:t>
            </w:r>
            <w:proofErr w:type="spellEnd"/>
            <w:r w:rsidRPr="000C2C2B">
              <w:rPr>
                <w:rFonts w:ascii="Times New Roman" w:hAnsi="Times New Roman"/>
                <w:sz w:val="20"/>
                <w:szCs w:val="20"/>
              </w:rPr>
              <w:t xml:space="preserve"> ministries – </w:t>
            </w:r>
            <w:proofErr w:type="spellStart"/>
            <w:r w:rsidRPr="000C2C2B">
              <w:rPr>
                <w:rFonts w:ascii="Times New Roman" w:hAnsi="Times New Roman"/>
                <w:sz w:val="20"/>
                <w:szCs w:val="20"/>
              </w:rPr>
              <w:t>Belmeliodvodkhoz</w:t>
            </w:r>
            <w:proofErr w:type="spellEnd"/>
            <w:r w:rsidRPr="000C2C2B">
              <w:rPr>
                <w:rFonts w:ascii="Times New Roman" w:hAnsi="Times New Roman"/>
                <w:sz w:val="20"/>
                <w:szCs w:val="20"/>
              </w:rPr>
              <w:t xml:space="preserve"> in charge of agricultural drainage facilities, Ministry of Forestry for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forests, Ministry of Agriculture, and Ministry of Environment, as well as from a number of non-government organizations. </w:t>
            </w:r>
          </w:p>
        </w:tc>
      </w:tr>
      <w:tr w:rsidR="00A9399A" w:rsidRPr="000C2C2B" w:rsidTr="00237A00">
        <w:tc>
          <w:tcPr>
            <w:tcW w:w="1980" w:type="dxa"/>
          </w:tcPr>
          <w:p w:rsidR="00A9399A" w:rsidRPr="000C2C2B" w:rsidRDefault="00A9399A" w:rsidP="00E15322">
            <w:pPr>
              <w:autoSpaceDE w:val="0"/>
              <w:autoSpaceDN w:val="0"/>
              <w:adjustRightInd w:val="0"/>
              <w:rPr>
                <w:rFonts w:ascii="Times New Roman" w:hAnsi="Times New Roman"/>
                <w:sz w:val="20"/>
                <w:szCs w:val="20"/>
              </w:rPr>
            </w:pPr>
            <w:r w:rsidRPr="000C2C2B">
              <w:rPr>
                <w:rFonts w:ascii="Times New Roman" w:hAnsi="Times New Roman"/>
                <w:sz w:val="20"/>
                <w:szCs w:val="20"/>
              </w:rPr>
              <w:t>Failure to secure stakeholder support for the creation and management of protected areas</w:t>
            </w:r>
          </w:p>
        </w:tc>
        <w:tc>
          <w:tcPr>
            <w:tcW w:w="450" w:type="dxa"/>
          </w:tcPr>
          <w:p w:rsidR="00A9399A" w:rsidRPr="000C2C2B" w:rsidRDefault="00A9399A" w:rsidP="00237A00">
            <w:pPr>
              <w:spacing w:after="0" w:line="240" w:lineRule="auto"/>
              <w:rPr>
                <w:rFonts w:ascii="Times New Roman" w:hAnsi="Times New Roman"/>
                <w:sz w:val="20"/>
                <w:szCs w:val="20"/>
              </w:rPr>
            </w:pPr>
            <w:r w:rsidRPr="000C2C2B">
              <w:rPr>
                <w:rFonts w:ascii="Times New Roman" w:hAnsi="Times New Roman"/>
                <w:sz w:val="20"/>
                <w:szCs w:val="20"/>
              </w:rPr>
              <w:t>L</w:t>
            </w:r>
          </w:p>
        </w:tc>
        <w:tc>
          <w:tcPr>
            <w:tcW w:w="9000" w:type="dxa"/>
          </w:tcPr>
          <w:p w:rsidR="00A9399A" w:rsidRPr="000C2C2B" w:rsidRDefault="00A9399A" w:rsidP="00E15322">
            <w:pPr>
              <w:spacing w:after="0" w:line="240" w:lineRule="auto"/>
              <w:rPr>
                <w:rFonts w:ascii="Times New Roman" w:hAnsi="Times New Roman"/>
                <w:sz w:val="20"/>
                <w:szCs w:val="20"/>
              </w:rPr>
            </w:pPr>
            <w:r w:rsidRPr="000C2C2B">
              <w:rPr>
                <w:rFonts w:ascii="Times New Roman" w:hAnsi="Times New Roman"/>
                <w:sz w:val="20"/>
                <w:szCs w:val="20"/>
              </w:rPr>
              <w:t xml:space="preserve">The risk is qualified as low, since there is plenty of positive experience from previous MSP and from Small Grants Program indicative support of local communities and CBOs to creation and engagement in protected areas at </w:t>
            </w:r>
            <w:proofErr w:type="spellStart"/>
            <w:r w:rsidRPr="000C2C2B">
              <w:rPr>
                <w:rFonts w:ascii="Times New Roman" w:hAnsi="Times New Roman"/>
                <w:sz w:val="20"/>
                <w:szCs w:val="20"/>
              </w:rPr>
              <w:t>peatlands</w:t>
            </w:r>
            <w:proofErr w:type="spellEnd"/>
            <w:r w:rsidRPr="000C2C2B">
              <w:rPr>
                <w:rFonts w:ascii="Times New Roman" w:hAnsi="Times New Roman"/>
                <w:sz w:val="20"/>
                <w:szCs w:val="20"/>
              </w:rPr>
              <w:t>. In order to mitigate this risk, however, the project will work use the Public Councils mechanisms, whereby local communities will contribute to the development and implementation of management plans at protected areas and will design and develop alternative livelihood opportunities focusing on collection of berries, mushrooms and recreational fishing.</w:t>
            </w:r>
          </w:p>
        </w:tc>
      </w:tr>
      <w:tr w:rsidR="00A9399A" w:rsidRPr="000C2C2B" w:rsidTr="00237A00">
        <w:tc>
          <w:tcPr>
            <w:tcW w:w="1980" w:type="dxa"/>
          </w:tcPr>
          <w:p w:rsidR="00A9399A" w:rsidRPr="000C2C2B" w:rsidRDefault="00A9399A" w:rsidP="00E15322">
            <w:pPr>
              <w:autoSpaceDE w:val="0"/>
              <w:autoSpaceDN w:val="0"/>
              <w:adjustRightInd w:val="0"/>
              <w:rPr>
                <w:rFonts w:ascii="Times New Roman" w:eastAsia="SimSun" w:hAnsi="Times New Roman"/>
                <w:sz w:val="20"/>
                <w:szCs w:val="20"/>
              </w:rPr>
            </w:pPr>
            <w:r w:rsidRPr="000C2C2B">
              <w:rPr>
                <w:rFonts w:ascii="Times New Roman" w:hAnsi="Times New Roman"/>
                <w:sz w:val="20"/>
                <w:szCs w:val="20"/>
              </w:rPr>
              <w:t xml:space="preserve">Climate change will render </w:t>
            </w:r>
            <w:proofErr w:type="spellStart"/>
            <w:r w:rsidRPr="000C2C2B">
              <w:rPr>
                <w:rFonts w:ascii="Times New Roman" w:hAnsi="Times New Roman"/>
                <w:sz w:val="20"/>
                <w:szCs w:val="20"/>
              </w:rPr>
              <w:t>peatland</w:t>
            </w:r>
            <w:proofErr w:type="spellEnd"/>
            <w:r w:rsidRPr="000C2C2B">
              <w:rPr>
                <w:rFonts w:ascii="Times New Roman" w:hAnsi="Times New Roman"/>
                <w:sz w:val="20"/>
                <w:szCs w:val="20"/>
              </w:rPr>
              <w:t xml:space="preserve"> management activities ineffective</w:t>
            </w:r>
          </w:p>
        </w:tc>
        <w:tc>
          <w:tcPr>
            <w:tcW w:w="450" w:type="dxa"/>
          </w:tcPr>
          <w:p w:rsidR="00A9399A" w:rsidRPr="000C2C2B" w:rsidRDefault="00A9399A" w:rsidP="00237A00">
            <w:pPr>
              <w:pStyle w:val="TableText"/>
              <w:rPr>
                <w:rFonts w:eastAsia="SimSun"/>
                <w:sz w:val="20"/>
                <w:szCs w:val="20"/>
              </w:rPr>
            </w:pPr>
            <w:r w:rsidRPr="000C2C2B">
              <w:rPr>
                <w:rFonts w:eastAsia="SimSun"/>
                <w:sz w:val="20"/>
                <w:szCs w:val="20"/>
              </w:rPr>
              <w:t>L</w:t>
            </w:r>
          </w:p>
        </w:tc>
        <w:tc>
          <w:tcPr>
            <w:tcW w:w="9000" w:type="dxa"/>
          </w:tcPr>
          <w:p w:rsidR="00A9399A" w:rsidRPr="000C2C2B" w:rsidRDefault="00A9399A" w:rsidP="00237A00">
            <w:pPr>
              <w:pStyle w:val="TableText"/>
              <w:rPr>
                <w:rFonts w:eastAsia="SimSun"/>
                <w:sz w:val="20"/>
                <w:szCs w:val="20"/>
              </w:rPr>
            </w:pPr>
            <w:r w:rsidRPr="000C2C2B">
              <w:rPr>
                <w:rFonts w:eastAsia="SimSun"/>
                <w:sz w:val="20"/>
                <w:szCs w:val="20"/>
              </w:rPr>
              <w:t xml:space="preserve">More frequent drought, warmer summers and winters are some of the likely manifestations of climate change in Belarus. The management framework will address the </w:t>
            </w:r>
            <w:r w:rsidRPr="000C2C2B">
              <w:rPr>
                <w:sz w:val="20"/>
                <w:szCs w:val="20"/>
              </w:rPr>
              <w:t xml:space="preserve">inter-relationships between </w:t>
            </w:r>
            <w:proofErr w:type="spellStart"/>
            <w:r w:rsidRPr="000C2C2B">
              <w:rPr>
                <w:sz w:val="20"/>
                <w:szCs w:val="20"/>
              </w:rPr>
              <w:t>peatland</w:t>
            </w:r>
            <w:proofErr w:type="spellEnd"/>
            <w:r w:rsidRPr="000C2C2B">
              <w:rPr>
                <w:sz w:val="20"/>
                <w:szCs w:val="20"/>
              </w:rPr>
              <w:t xml:space="preserve"> state and climate impacts and put in place adaptive management measures to address changes to the hydrological regimes and the expected increased incidence of </w:t>
            </w:r>
            <w:proofErr w:type="spellStart"/>
            <w:r w:rsidRPr="000C2C2B">
              <w:rPr>
                <w:sz w:val="20"/>
                <w:szCs w:val="20"/>
              </w:rPr>
              <w:t>peatland</w:t>
            </w:r>
            <w:proofErr w:type="spellEnd"/>
            <w:r w:rsidRPr="000C2C2B">
              <w:rPr>
                <w:sz w:val="20"/>
                <w:szCs w:val="20"/>
              </w:rPr>
              <w:t xml:space="preserve"> fires. The paradigm shift from site based to landscape management is pivotal in this regard as it will allow production activities adjacent to be managed, amongst other things to better address these threats.  Moreover, restoration activities will be designed to improve the resilience of </w:t>
            </w:r>
            <w:proofErr w:type="spellStart"/>
            <w:r w:rsidRPr="000C2C2B">
              <w:rPr>
                <w:sz w:val="20"/>
                <w:szCs w:val="20"/>
              </w:rPr>
              <w:t>peatlands</w:t>
            </w:r>
            <w:proofErr w:type="spellEnd"/>
            <w:r w:rsidRPr="000C2C2B">
              <w:rPr>
                <w:sz w:val="20"/>
                <w:szCs w:val="20"/>
              </w:rPr>
              <w:t xml:space="preserve"> to these impacts.</w:t>
            </w:r>
          </w:p>
        </w:tc>
      </w:tr>
    </w:tbl>
    <w:p w:rsidR="00A9399A" w:rsidRPr="000C2C2B" w:rsidRDefault="00A9399A" w:rsidP="00195DD1">
      <w:pPr>
        <w:pStyle w:val="Footer"/>
        <w:tabs>
          <w:tab w:val="clear" w:pos="4320"/>
          <w:tab w:val="clear" w:pos="8640"/>
        </w:tabs>
        <w:spacing w:before="120"/>
        <w:ind w:right="270"/>
        <w:rPr>
          <w:b/>
          <w:smallCaps/>
          <w:sz w:val="21"/>
          <w:szCs w:val="21"/>
        </w:rPr>
      </w:pPr>
      <w:r w:rsidRPr="000C2C2B">
        <w:rPr>
          <w:b/>
          <w:smallCaps/>
          <w:sz w:val="21"/>
          <w:szCs w:val="21"/>
        </w:rPr>
        <w:t>B.</w:t>
      </w:r>
      <w:r w:rsidRPr="000C2C2B">
        <w:rPr>
          <w:b/>
          <w:sz w:val="21"/>
          <w:szCs w:val="21"/>
        </w:rPr>
        <w:t>5.</w:t>
      </w:r>
      <w:r w:rsidRPr="000C2C2B">
        <w:rPr>
          <w:sz w:val="21"/>
          <w:szCs w:val="21"/>
        </w:rPr>
        <w:t xml:space="preserve"> </w:t>
      </w:r>
      <w:r w:rsidRPr="000C2C2B">
        <w:rPr>
          <w:b/>
          <w:smallCaps/>
          <w:sz w:val="21"/>
          <w:szCs w:val="21"/>
        </w:rPr>
        <w:t>key stakeholders involved in the project:</w:t>
      </w:r>
    </w:p>
    <w:p w:rsidR="00A9399A" w:rsidRPr="000C2C2B" w:rsidRDefault="00A9399A" w:rsidP="00195DD1">
      <w:pPr>
        <w:pStyle w:val="A"/>
        <w:numPr>
          <w:ilvl w:val="0"/>
          <w:numId w:val="0"/>
        </w:numPr>
        <w:spacing w:after="80"/>
        <w:ind w:right="270"/>
        <w:rPr>
          <w:sz w:val="21"/>
          <w:szCs w:val="21"/>
        </w:rPr>
      </w:pPr>
      <w:r w:rsidRPr="000C2C2B">
        <w:rPr>
          <w:sz w:val="21"/>
          <w:szCs w:val="21"/>
          <w:lang w:eastAsia="ru-RU"/>
        </w:rPr>
        <w:t xml:space="preserve">The Ministry of Natural Resources and Environmental Protection of Belarus will be the national implementing agency for this project. The Ministry will head the cross-ministerial steering committee for the project, ensure regular monitoring of project progress, and with UNDP take measures to address problems in implementation. The Ministry will be directly responsible for developing the new management framework for </w:t>
      </w:r>
      <w:proofErr w:type="spellStart"/>
      <w:r w:rsidRPr="000C2C2B">
        <w:rPr>
          <w:sz w:val="21"/>
          <w:szCs w:val="21"/>
          <w:lang w:eastAsia="ru-RU"/>
        </w:rPr>
        <w:t>peatlands</w:t>
      </w:r>
      <w:proofErr w:type="spellEnd"/>
      <w:r w:rsidRPr="000C2C2B">
        <w:rPr>
          <w:sz w:val="21"/>
          <w:szCs w:val="21"/>
          <w:lang w:eastAsia="ru-RU"/>
        </w:rPr>
        <w:t xml:space="preserve"> (</w:t>
      </w:r>
      <w:r w:rsidRPr="000C2C2B">
        <w:rPr>
          <w:i/>
          <w:sz w:val="21"/>
          <w:szCs w:val="21"/>
          <w:lang w:eastAsia="ru-RU"/>
        </w:rPr>
        <w:t xml:space="preserve">The National </w:t>
      </w:r>
      <w:proofErr w:type="spellStart"/>
      <w:r w:rsidRPr="000C2C2B">
        <w:rPr>
          <w:i/>
          <w:sz w:val="21"/>
          <w:szCs w:val="21"/>
          <w:lang w:eastAsia="ru-RU"/>
        </w:rPr>
        <w:t>Peatlands</w:t>
      </w:r>
      <w:proofErr w:type="spellEnd"/>
      <w:r w:rsidRPr="000C2C2B">
        <w:rPr>
          <w:i/>
          <w:sz w:val="21"/>
          <w:szCs w:val="21"/>
          <w:lang w:eastAsia="ru-RU"/>
        </w:rPr>
        <w:t xml:space="preserve"> Strategy and Action Plan, Output 1.1).</w:t>
      </w:r>
      <w:r w:rsidRPr="000C2C2B">
        <w:rPr>
          <w:sz w:val="21"/>
          <w:szCs w:val="21"/>
          <w:lang w:eastAsia="ru-RU"/>
        </w:rPr>
        <w:t xml:space="preserve"> The Academy of Sciences will undertake the necessary scientific assessments needed to develop the criteria for </w:t>
      </w:r>
      <w:proofErr w:type="spellStart"/>
      <w:r w:rsidRPr="000C2C2B">
        <w:rPr>
          <w:sz w:val="21"/>
          <w:szCs w:val="21"/>
          <w:lang w:eastAsia="ru-RU"/>
        </w:rPr>
        <w:t>peatland</w:t>
      </w:r>
      <w:proofErr w:type="spellEnd"/>
      <w:r w:rsidRPr="000C2C2B">
        <w:rPr>
          <w:sz w:val="21"/>
          <w:szCs w:val="21"/>
          <w:lang w:eastAsia="ru-RU"/>
        </w:rPr>
        <w:t xml:space="preserve"> use, develop the inventory on </w:t>
      </w:r>
      <w:proofErr w:type="spellStart"/>
      <w:r w:rsidRPr="000C2C2B">
        <w:rPr>
          <w:sz w:val="21"/>
          <w:szCs w:val="21"/>
          <w:lang w:eastAsia="ru-RU"/>
        </w:rPr>
        <w:t>peatland</w:t>
      </w:r>
      <w:proofErr w:type="spellEnd"/>
      <w:r w:rsidRPr="000C2C2B">
        <w:rPr>
          <w:sz w:val="21"/>
          <w:szCs w:val="21"/>
          <w:lang w:eastAsia="ru-RU"/>
        </w:rPr>
        <w:t xml:space="preserve"> use, and develop the MRV framework for agricultural and forestry </w:t>
      </w:r>
      <w:proofErr w:type="spellStart"/>
      <w:r w:rsidRPr="000C2C2B">
        <w:rPr>
          <w:sz w:val="21"/>
          <w:szCs w:val="21"/>
          <w:lang w:eastAsia="ru-RU"/>
        </w:rPr>
        <w:t>peatlands</w:t>
      </w:r>
      <w:proofErr w:type="spellEnd"/>
      <w:r w:rsidRPr="000C2C2B">
        <w:rPr>
          <w:sz w:val="21"/>
          <w:szCs w:val="21"/>
          <w:lang w:eastAsia="ru-RU"/>
        </w:rPr>
        <w:t xml:space="preserve"> (complementing the framework already developed for mining). The National Academy of Science will make it available as co-financing (0.9 </w:t>
      </w:r>
      <w:proofErr w:type="spellStart"/>
      <w:r w:rsidRPr="000C2C2B">
        <w:rPr>
          <w:sz w:val="21"/>
          <w:szCs w:val="21"/>
          <w:lang w:eastAsia="ru-RU"/>
        </w:rPr>
        <w:t>mln</w:t>
      </w:r>
      <w:proofErr w:type="spellEnd"/>
      <w:r w:rsidRPr="000C2C2B">
        <w:rPr>
          <w:sz w:val="21"/>
          <w:szCs w:val="21"/>
          <w:lang w:eastAsia="ru-RU"/>
        </w:rPr>
        <w:t xml:space="preserve"> USD) the laboratory equipment and research facilities for this. The Ministry of Agriculture and Food - Department on Land Reclamation and Water Economy, will be responsible for implementing restoration activities in agricultural </w:t>
      </w:r>
      <w:proofErr w:type="spellStart"/>
      <w:r w:rsidRPr="000C2C2B">
        <w:rPr>
          <w:sz w:val="21"/>
          <w:szCs w:val="21"/>
          <w:lang w:eastAsia="ru-RU"/>
        </w:rPr>
        <w:t>peatlands</w:t>
      </w:r>
      <w:proofErr w:type="spellEnd"/>
      <w:r w:rsidRPr="000C2C2B">
        <w:rPr>
          <w:sz w:val="21"/>
          <w:szCs w:val="21"/>
          <w:lang w:eastAsia="ru-RU"/>
        </w:rPr>
        <w:t xml:space="preserve">. The Ministry of Forestry will take the lead in implementing sustainable forest management activities. It will implement the new </w:t>
      </w:r>
      <w:r w:rsidRPr="000C2C2B">
        <w:rPr>
          <w:sz w:val="21"/>
          <w:szCs w:val="21"/>
          <w:lang w:eastAsia="ru-RU"/>
        </w:rPr>
        <w:lastRenderedPageBreak/>
        <w:t xml:space="preserve">management framework for forest </w:t>
      </w:r>
      <w:proofErr w:type="spellStart"/>
      <w:r w:rsidRPr="000C2C2B">
        <w:rPr>
          <w:sz w:val="21"/>
          <w:szCs w:val="21"/>
          <w:lang w:eastAsia="ru-RU"/>
        </w:rPr>
        <w:t>peatlands</w:t>
      </w:r>
      <w:proofErr w:type="spellEnd"/>
      <w:r w:rsidRPr="000C2C2B">
        <w:rPr>
          <w:sz w:val="21"/>
          <w:szCs w:val="21"/>
          <w:lang w:eastAsia="ru-RU"/>
        </w:rPr>
        <w:t xml:space="preserve">, and design and implement a strategy for rehabilitating degraded forest </w:t>
      </w:r>
      <w:proofErr w:type="spellStart"/>
      <w:r w:rsidRPr="000C2C2B">
        <w:rPr>
          <w:sz w:val="21"/>
          <w:szCs w:val="21"/>
          <w:lang w:eastAsia="ru-RU"/>
        </w:rPr>
        <w:t>peatlands</w:t>
      </w:r>
      <w:proofErr w:type="spellEnd"/>
      <w:r w:rsidRPr="000C2C2B">
        <w:rPr>
          <w:sz w:val="21"/>
          <w:szCs w:val="21"/>
          <w:lang w:eastAsia="ru-RU"/>
        </w:rPr>
        <w:t xml:space="preserve">. Local communities will be engaged in the development of income-generation activities in the buffer zones and corridors of the newly established protected areas. They will be actively engaged in protected area management through public Councils, as described in Section B.3. </w:t>
      </w:r>
      <w:r w:rsidRPr="000C2C2B">
        <w:rPr>
          <w:sz w:val="21"/>
          <w:szCs w:val="21"/>
        </w:rPr>
        <w:t>The cross-</w:t>
      </w:r>
      <w:proofErr w:type="spellStart"/>
      <w:r w:rsidRPr="000C2C2B">
        <w:rPr>
          <w:sz w:val="21"/>
          <w:szCs w:val="21"/>
        </w:rPr>
        <w:t>sectoral</w:t>
      </w:r>
      <w:proofErr w:type="spellEnd"/>
      <w:r w:rsidRPr="000C2C2B">
        <w:rPr>
          <w:sz w:val="21"/>
          <w:szCs w:val="21"/>
        </w:rPr>
        <w:t xml:space="preserve"> Working Group (WG) set up at Output 1.1.1, will include representatives of non-government sectors. They will thus be able to participate in the whole process of NPSAP preparation. Further, Output 1.1.5 envisages extensive public consultations, including with NGOs on the draft NPSAP before it is finalized. </w:t>
      </w:r>
      <w:r w:rsidRPr="000C2C2B">
        <w:rPr>
          <w:sz w:val="21"/>
          <w:szCs w:val="21"/>
          <w:lang w:eastAsia="ru-RU"/>
        </w:rPr>
        <w:t xml:space="preserve">Provisions will be made to ensure the full and active participation of women in the Councils, as well as in the preparation of PA management plans. Further, women NGOs will be engaged in the collaboration and consultations on the preparation of the NPSAP. </w:t>
      </w:r>
    </w:p>
    <w:p w:rsidR="00A9399A" w:rsidRPr="000C2C2B" w:rsidRDefault="00A9399A" w:rsidP="00195DD1">
      <w:pPr>
        <w:pStyle w:val="Footer"/>
        <w:tabs>
          <w:tab w:val="clear" w:pos="4320"/>
          <w:tab w:val="clear" w:pos="8640"/>
        </w:tabs>
        <w:spacing w:after="80"/>
        <w:ind w:right="270"/>
        <w:rPr>
          <w:sz w:val="21"/>
          <w:szCs w:val="21"/>
        </w:rPr>
      </w:pPr>
      <w:r w:rsidRPr="000C2C2B">
        <w:rPr>
          <w:b/>
          <w:smallCaps/>
          <w:sz w:val="21"/>
          <w:szCs w:val="21"/>
        </w:rPr>
        <w:t>B.6. Outline the coordination with other related initiatives:</w:t>
      </w:r>
      <w:r w:rsidRPr="000C2C2B">
        <w:rPr>
          <w:sz w:val="21"/>
          <w:szCs w:val="21"/>
        </w:rPr>
        <w:t xml:space="preserve"> </w:t>
      </w:r>
    </w:p>
    <w:p w:rsidR="00A9399A" w:rsidRPr="000C2C2B" w:rsidRDefault="00A9399A" w:rsidP="00D25899">
      <w:p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Belarus has just completed a GEF MSP on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conservation and sustainable management focusing on the mining sector. That project developed the management framework, and accompanying regulations and methodological guidance for the peat mining industry. Due to limited size that GEF MSP, it was not possible (and this was not envisaged in the beginning) to undertake any fundamental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science, nor at carbon market opportunities. The GEF MSP was oriented at innovative testing of restoration in practice and on setting methodological and policy foundations for the country. Fundamental science and carbon markets were outside its scope from the beginning, but were implemented through the co-financing from ICI.</w:t>
      </w:r>
    </w:p>
    <w:p w:rsidR="00A9399A" w:rsidRPr="000C2C2B" w:rsidRDefault="00A9399A" w:rsidP="00D25899">
      <w:p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The ICI project called “Restoring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and applying Concepts for Sustainable Management in Belarus-Climate Change Mitigation with Economic and Biodiversity Benefits” was born on the basis of the UNDP-GEF MSP. Its key national implement agency is the same as in the UNDP-GEF MSP: The National NGO </w:t>
      </w:r>
      <w:proofErr w:type="spellStart"/>
      <w:r w:rsidRPr="000C2C2B">
        <w:rPr>
          <w:rFonts w:ascii="Times New Roman" w:hAnsi="Times New Roman"/>
          <w:sz w:val="21"/>
          <w:szCs w:val="21"/>
        </w:rPr>
        <w:t>BirdLife</w:t>
      </w:r>
      <w:proofErr w:type="spellEnd"/>
      <w:r w:rsidRPr="000C2C2B">
        <w:rPr>
          <w:rFonts w:ascii="Times New Roman" w:hAnsi="Times New Roman"/>
          <w:sz w:val="21"/>
          <w:szCs w:val="21"/>
        </w:rPr>
        <w:t xml:space="preserve"> Belarus. Other partners include Ministries of Forestry and Environment, Royal Society for the Protection of Birds, Michael </w:t>
      </w:r>
      <w:proofErr w:type="spellStart"/>
      <w:r w:rsidRPr="000C2C2B">
        <w:rPr>
          <w:rFonts w:ascii="Times New Roman" w:hAnsi="Times New Roman"/>
          <w:sz w:val="21"/>
          <w:szCs w:val="21"/>
        </w:rPr>
        <w:t>Succow</w:t>
      </w:r>
      <w:proofErr w:type="spellEnd"/>
      <w:r w:rsidRPr="000C2C2B">
        <w:rPr>
          <w:rFonts w:ascii="Times New Roman" w:hAnsi="Times New Roman"/>
          <w:sz w:val="21"/>
          <w:szCs w:val="21"/>
        </w:rPr>
        <w:t xml:space="preserve"> Foundation, </w:t>
      </w:r>
      <w:proofErr w:type="spellStart"/>
      <w:r w:rsidRPr="000C2C2B">
        <w:rPr>
          <w:rFonts w:ascii="Times New Roman" w:hAnsi="Times New Roman"/>
          <w:sz w:val="21"/>
          <w:szCs w:val="21"/>
        </w:rPr>
        <w:t>KfW</w:t>
      </w:r>
      <w:proofErr w:type="spellEnd"/>
      <w:r w:rsidRPr="000C2C2B">
        <w:rPr>
          <w:rFonts w:ascii="Times New Roman" w:hAnsi="Times New Roman"/>
          <w:sz w:val="21"/>
          <w:szCs w:val="21"/>
        </w:rPr>
        <w:t>, Institute of Botany and Landscape Ecology, Greifswald University, Greifswald, Germany. The project had the following aims:</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Develop protocols for monitoring vegetation, water levels and biodiversity during and after re-wetting of extracted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Develop a generic International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Carbon Standard and MRV for extracted </w:t>
      </w:r>
      <w:proofErr w:type="spellStart"/>
      <w:r w:rsidRPr="000C2C2B">
        <w:rPr>
          <w:rFonts w:ascii="Times New Roman" w:hAnsi="Times New Roman"/>
          <w:sz w:val="21"/>
          <w:szCs w:val="21"/>
        </w:rPr>
        <w:t>peatland</w:t>
      </w:r>
      <w:proofErr w:type="spellEnd"/>
      <w:r w:rsidRPr="000C2C2B">
        <w:rPr>
          <w:rFonts w:ascii="Times New Roman" w:hAnsi="Times New Roman"/>
          <w:sz w:val="21"/>
          <w:szCs w:val="21"/>
        </w:rPr>
        <w:t xml:space="preserve"> in temperate areas,</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Submit the standard to Voluntary Carbon Standards Association (VCSA) and Joint Implementation (JI) Supervisory Committee for independent review, modification and adoption, </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Develop marketing strategy for selling credits and establish contacts to potential buyers, </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Facilitate certification and sale of carbon credits on the voluntary market</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Develop a Belarus-specific mechanism (carbon fund) for the sale of carbon credits derived from restoration of extracted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 xml:space="preserve"> at voluntary market,</w:t>
      </w:r>
    </w:p>
    <w:p w:rsidR="00A9399A" w:rsidRPr="000C2C2B" w:rsidRDefault="00A9399A" w:rsidP="00D25899">
      <w:pPr>
        <w:numPr>
          <w:ilvl w:val="0"/>
          <w:numId w:val="18"/>
        </w:numPr>
        <w:spacing w:after="80" w:line="240" w:lineRule="auto"/>
        <w:ind w:right="270"/>
        <w:jc w:val="both"/>
        <w:rPr>
          <w:rFonts w:ascii="Times New Roman" w:hAnsi="Times New Roman"/>
          <w:sz w:val="21"/>
          <w:szCs w:val="21"/>
        </w:rPr>
      </w:pPr>
      <w:r w:rsidRPr="000C2C2B">
        <w:rPr>
          <w:rFonts w:ascii="Times New Roman" w:hAnsi="Times New Roman"/>
          <w:sz w:val="21"/>
          <w:szCs w:val="21"/>
        </w:rPr>
        <w:t xml:space="preserve">Increase awareness in the UNFCCC process on the GHG emissions reduction potential that exist by re-wetting of drained </w:t>
      </w:r>
      <w:proofErr w:type="spellStart"/>
      <w:r w:rsidRPr="000C2C2B">
        <w:rPr>
          <w:rFonts w:ascii="Times New Roman" w:hAnsi="Times New Roman"/>
          <w:sz w:val="21"/>
          <w:szCs w:val="21"/>
        </w:rPr>
        <w:t>peatlands</w:t>
      </w:r>
      <w:proofErr w:type="spellEnd"/>
      <w:r w:rsidRPr="000C2C2B">
        <w:rPr>
          <w:rFonts w:ascii="Times New Roman" w:hAnsi="Times New Roman"/>
          <w:sz w:val="21"/>
          <w:szCs w:val="21"/>
        </w:rPr>
        <w:t>.</w:t>
      </w:r>
    </w:p>
    <w:p w:rsidR="00A9399A" w:rsidRPr="000C2C2B" w:rsidRDefault="00A9399A" w:rsidP="00D25899">
      <w:pPr>
        <w:pStyle w:val="A"/>
        <w:numPr>
          <w:ilvl w:val="0"/>
          <w:numId w:val="0"/>
        </w:numPr>
        <w:spacing w:after="80"/>
        <w:ind w:right="270"/>
        <w:rPr>
          <w:sz w:val="21"/>
          <w:szCs w:val="21"/>
        </w:rPr>
      </w:pPr>
      <w:r w:rsidRPr="000C2C2B">
        <w:rPr>
          <w:rFonts w:ascii="Calibri" w:hAnsi="Calibri"/>
          <w:sz w:val="21"/>
          <w:szCs w:val="21"/>
        </w:rPr>
        <w:t xml:space="preserve">The </w:t>
      </w:r>
      <w:r w:rsidRPr="000C2C2B">
        <w:rPr>
          <w:sz w:val="21"/>
          <w:szCs w:val="21"/>
        </w:rPr>
        <w:t xml:space="preserve">focus of the GEF and ICI work so far has been on the extracted </w:t>
      </w:r>
      <w:proofErr w:type="spellStart"/>
      <w:r w:rsidRPr="000C2C2B">
        <w:rPr>
          <w:sz w:val="21"/>
          <w:szCs w:val="21"/>
        </w:rPr>
        <w:t>peatlands</w:t>
      </w:r>
      <w:proofErr w:type="spellEnd"/>
      <w:r w:rsidRPr="000C2C2B">
        <w:rPr>
          <w:sz w:val="21"/>
          <w:szCs w:val="21"/>
        </w:rPr>
        <w:t xml:space="preserve">. In contrast, the present proposal is aiming at addressing </w:t>
      </w:r>
      <w:proofErr w:type="spellStart"/>
      <w:r w:rsidRPr="000C2C2B">
        <w:rPr>
          <w:sz w:val="21"/>
          <w:szCs w:val="21"/>
        </w:rPr>
        <w:t>peatland</w:t>
      </w:r>
      <w:proofErr w:type="spellEnd"/>
      <w:r w:rsidRPr="000C2C2B">
        <w:rPr>
          <w:sz w:val="21"/>
          <w:szCs w:val="21"/>
        </w:rPr>
        <w:t xml:space="preserve"> management needs in agricultural and forestry </w:t>
      </w:r>
      <w:proofErr w:type="spellStart"/>
      <w:r w:rsidRPr="000C2C2B">
        <w:rPr>
          <w:sz w:val="21"/>
          <w:szCs w:val="21"/>
        </w:rPr>
        <w:t>peatlands</w:t>
      </w:r>
      <w:proofErr w:type="spellEnd"/>
      <w:r w:rsidRPr="000C2C2B">
        <w:rPr>
          <w:sz w:val="21"/>
          <w:szCs w:val="21"/>
        </w:rPr>
        <w:t xml:space="preserve">, and triggering a shift to landscape-scale management. This is critical as the threats to </w:t>
      </w:r>
      <w:proofErr w:type="spellStart"/>
      <w:r w:rsidRPr="000C2C2B">
        <w:rPr>
          <w:sz w:val="21"/>
          <w:szCs w:val="21"/>
        </w:rPr>
        <w:t>peatlands</w:t>
      </w:r>
      <w:proofErr w:type="spellEnd"/>
      <w:r w:rsidRPr="000C2C2B">
        <w:rPr>
          <w:sz w:val="21"/>
          <w:szCs w:val="21"/>
        </w:rPr>
        <w:t xml:space="preserve"> derive from multi </w:t>
      </w:r>
      <w:proofErr w:type="spellStart"/>
      <w:r w:rsidRPr="000C2C2B">
        <w:rPr>
          <w:sz w:val="21"/>
          <w:szCs w:val="21"/>
        </w:rPr>
        <w:t>sectoral</w:t>
      </w:r>
      <w:proofErr w:type="spellEnd"/>
      <w:r w:rsidRPr="000C2C2B">
        <w:rPr>
          <w:sz w:val="21"/>
          <w:szCs w:val="21"/>
        </w:rPr>
        <w:t xml:space="preserve"> land uses, and a holistic multi-</w:t>
      </w:r>
      <w:proofErr w:type="spellStart"/>
      <w:r w:rsidRPr="000C2C2B">
        <w:rPr>
          <w:sz w:val="21"/>
          <w:szCs w:val="21"/>
        </w:rPr>
        <w:t>sectoral</w:t>
      </w:r>
      <w:proofErr w:type="spellEnd"/>
      <w:r w:rsidRPr="000C2C2B">
        <w:rPr>
          <w:sz w:val="21"/>
          <w:szCs w:val="21"/>
        </w:rPr>
        <w:t xml:space="preserve"> approach is needed to address development pressures. The project will use the MRV developed by that project but will adjust it to work at new biotopes, allowing agricultural and forest </w:t>
      </w:r>
      <w:proofErr w:type="spellStart"/>
      <w:r w:rsidRPr="000C2C2B">
        <w:rPr>
          <w:sz w:val="21"/>
          <w:szCs w:val="21"/>
        </w:rPr>
        <w:t>peatlands</w:t>
      </w:r>
      <w:proofErr w:type="spellEnd"/>
      <w:r w:rsidRPr="000C2C2B">
        <w:rPr>
          <w:sz w:val="21"/>
          <w:szCs w:val="21"/>
        </w:rPr>
        <w:t xml:space="preserve"> to enter the same carbon mechanism as created with ICI support. </w:t>
      </w:r>
    </w:p>
    <w:p w:rsidR="00A9399A" w:rsidRPr="000C2C2B" w:rsidRDefault="00A9399A" w:rsidP="00195DD1">
      <w:pPr>
        <w:pStyle w:val="A"/>
        <w:numPr>
          <w:ilvl w:val="0"/>
          <w:numId w:val="0"/>
        </w:numPr>
        <w:spacing w:after="80"/>
        <w:ind w:right="270"/>
        <w:rPr>
          <w:sz w:val="21"/>
          <w:szCs w:val="21"/>
        </w:rPr>
      </w:pPr>
      <w:r w:rsidRPr="000C2C2B">
        <w:rPr>
          <w:sz w:val="21"/>
          <w:szCs w:val="21"/>
        </w:rPr>
        <w:t xml:space="preserve">Another UNDP-GEF project currently being implemented in Belarus is focused on expansion of the protected area system in the </w:t>
      </w:r>
      <w:proofErr w:type="spellStart"/>
      <w:r w:rsidRPr="000C2C2B">
        <w:rPr>
          <w:sz w:val="21"/>
          <w:szCs w:val="21"/>
        </w:rPr>
        <w:t>Polesie</w:t>
      </w:r>
      <w:proofErr w:type="spellEnd"/>
      <w:r w:rsidRPr="000C2C2B">
        <w:rPr>
          <w:sz w:val="21"/>
          <w:szCs w:val="21"/>
        </w:rPr>
        <w:t xml:space="preserve"> region, targeting natural river floodplains and forest ecosystems. This </w:t>
      </w:r>
      <w:proofErr w:type="spellStart"/>
      <w:r w:rsidRPr="000C2C2B">
        <w:rPr>
          <w:sz w:val="21"/>
          <w:szCs w:val="21"/>
        </w:rPr>
        <w:t>peatlands</w:t>
      </w:r>
      <w:proofErr w:type="spellEnd"/>
      <w:r w:rsidRPr="000C2C2B">
        <w:rPr>
          <w:sz w:val="21"/>
          <w:szCs w:val="21"/>
        </w:rPr>
        <w:t xml:space="preserve"> project will build on the good practices being promoted in the </w:t>
      </w:r>
      <w:proofErr w:type="spellStart"/>
      <w:r w:rsidRPr="000C2C2B">
        <w:rPr>
          <w:sz w:val="21"/>
          <w:szCs w:val="21"/>
        </w:rPr>
        <w:t>Polesie</w:t>
      </w:r>
      <w:proofErr w:type="spellEnd"/>
      <w:r w:rsidRPr="000C2C2B">
        <w:rPr>
          <w:sz w:val="21"/>
          <w:szCs w:val="21"/>
        </w:rPr>
        <w:t xml:space="preserve"> PAs, in particular with regard to engendering public participation in PA management decision making.  With respect to work on alternative community income opportunities, the project will learn from another non-GEF project run by the NGO </w:t>
      </w:r>
      <w:proofErr w:type="spellStart"/>
      <w:r w:rsidRPr="000C2C2B">
        <w:rPr>
          <w:sz w:val="21"/>
          <w:szCs w:val="21"/>
        </w:rPr>
        <w:t>BirdLife</w:t>
      </w:r>
      <w:proofErr w:type="spellEnd"/>
      <w:r w:rsidRPr="000C2C2B">
        <w:rPr>
          <w:sz w:val="21"/>
          <w:szCs w:val="21"/>
        </w:rPr>
        <w:t xml:space="preserve"> Belarus in the </w:t>
      </w:r>
      <w:proofErr w:type="spellStart"/>
      <w:r w:rsidRPr="000C2C2B">
        <w:rPr>
          <w:sz w:val="21"/>
          <w:szCs w:val="21"/>
        </w:rPr>
        <w:t>Morochno</w:t>
      </w:r>
      <w:proofErr w:type="spellEnd"/>
      <w:r w:rsidRPr="000C2C2B">
        <w:rPr>
          <w:sz w:val="21"/>
          <w:szCs w:val="21"/>
        </w:rPr>
        <w:t xml:space="preserve"> reserve, which is focusing on establishment of a public council to ensure the sustainability of cranberry harvesting. A third UNDP-GEF project, which started in early 2010 (MSP) is focusing on mainstreaming biodiversity management into territorial planning. The two projects have a common interface with respect to the elaboration of normative and regulatory standards that regulate biodiversity conservation in </w:t>
      </w:r>
      <w:proofErr w:type="spellStart"/>
      <w:r w:rsidRPr="000C2C2B">
        <w:rPr>
          <w:sz w:val="21"/>
          <w:szCs w:val="21"/>
        </w:rPr>
        <w:t>peatlands</w:t>
      </w:r>
      <w:proofErr w:type="spellEnd"/>
      <w:r w:rsidRPr="000C2C2B">
        <w:rPr>
          <w:sz w:val="21"/>
          <w:szCs w:val="21"/>
        </w:rPr>
        <w:t xml:space="preserve">. However, the entry point of the on-going project is the territorial planning systems, as is the case with this project. However, the existing project does not focus on </w:t>
      </w:r>
      <w:proofErr w:type="spellStart"/>
      <w:r w:rsidRPr="000C2C2B">
        <w:rPr>
          <w:sz w:val="21"/>
          <w:szCs w:val="21"/>
        </w:rPr>
        <w:t>peatlands</w:t>
      </w:r>
      <w:proofErr w:type="spellEnd"/>
      <w:r w:rsidRPr="000C2C2B">
        <w:rPr>
          <w:sz w:val="21"/>
          <w:szCs w:val="21"/>
        </w:rPr>
        <w:t xml:space="preserve"> and does not address protected areas specifically.  </w:t>
      </w:r>
    </w:p>
    <w:p w:rsidR="00A9399A" w:rsidRPr="000C2C2B" w:rsidRDefault="00A9399A" w:rsidP="00195DD1">
      <w:pPr>
        <w:spacing w:after="80" w:line="240" w:lineRule="auto"/>
        <w:ind w:left="360" w:right="270" w:hanging="360"/>
        <w:rPr>
          <w:rFonts w:ascii="Times New Roman" w:hAnsi="Times New Roman"/>
          <w:b/>
          <w:smallCaps/>
          <w:sz w:val="21"/>
          <w:szCs w:val="21"/>
        </w:rPr>
      </w:pPr>
      <w:r w:rsidRPr="000C2C2B">
        <w:rPr>
          <w:rFonts w:ascii="Times New Roman" w:hAnsi="Times New Roman"/>
          <w:b/>
          <w:smallCaps/>
          <w:sz w:val="21"/>
          <w:szCs w:val="21"/>
        </w:rPr>
        <w:t>c.</w:t>
      </w:r>
      <w:r w:rsidRPr="000C2C2B">
        <w:rPr>
          <w:rFonts w:ascii="Times New Roman" w:hAnsi="Times New Roman"/>
          <w:b/>
          <w:smallCaps/>
          <w:sz w:val="21"/>
          <w:szCs w:val="21"/>
        </w:rPr>
        <w:tab/>
        <w:t xml:space="preserve"> describe the GEF agency’s comparative advantage to implement this project: </w:t>
      </w:r>
    </w:p>
    <w:p w:rsidR="00A9399A" w:rsidRPr="000C2C2B" w:rsidRDefault="00A9399A" w:rsidP="00195DD1">
      <w:pPr>
        <w:pStyle w:val="A"/>
        <w:numPr>
          <w:ilvl w:val="0"/>
          <w:numId w:val="0"/>
        </w:numPr>
        <w:spacing w:after="80"/>
        <w:ind w:right="270"/>
        <w:rPr>
          <w:sz w:val="21"/>
          <w:szCs w:val="21"/>
        </w:rPr>
      </w:pPr>
      <w:r w:rsidRPr="000C2C2B">
        <w:rPr>
          <w:sz w:val="21"/>
          <w:szCs w:val="21"/>
        </w:rPr>
        <w:t xml:space="preserve">UNDP has accumulated years of experience in managing </w:t>
      </w:r>
      <w:proofErr w:type="spellStart"/>
      <w:r w:rsidRPr="000C2C2B">
        <w:rPr>
          <w:sz w:val="21"/>
          <w:szCs w:val="21"/>
        </w:rPr>
        <w:t>peatland</w:t>
      </w:r>
      <w:proofErr w:type="spellEnd"/>
      <w:r w:rsidRPr="000C2C2B">
        <w:rPr>
          <w:sz w:val="21"/>
          <w:szCs w:val="21"/>
        </w:rPr>
        <w:t xml:space="preserve"> projects. UNDP has focused on policy-making, capacity building, hands-on research and piloting and adapting management measures to conserve, restore, and sustainably manage </w:t>
      </w:r>
      <w:proofErr w:type="spellStart"/>
      <w:r w:rsidRPr="000C2C2B">
        <w:rPr>
          <w:sz w:val="21"/>
          <w:szCs w:val="21"/>
        </w:rPr>
        <w:t>peatlands</w:t>
      </w:r>
      <w:proofErr w:type="spellEnd"/>
      <w:r w:rsidRPr="000C2C2B">
        <w:rPr>
          <w:sz w:val="21"/>
          <w:szCs w:val="21"/>
        </w:rPr>
        <w:t xml:space="preserve">, particularly in South-East Asia and Europe. In Asia UNDP has worked on </w:t>
      </w:r>
      <w:proofErr w:type="spellStart"/>
      <w:r w:rsidRPr="000C2C2B">
        <w:rPr>
          <w:sz w:val="21"/>
          <w:szCs w:val="21"/>
        </w:rPr>
        <w:t>peatlands</w:t>
      </w:r>
      <w:proofErr w:type="spellEnd"/>
      <w:r w:rsidRPr="000C2C2B">
        <w:rPr>
          <w:sz w:val="21"/>
          <w:szCs w:val="21"/>
        </w:rPr>
        <w:t xml:space="preserve"> in Malaysia through the GEF-supported UNDP project “Conservation and Sustainable use of Tropical Peat Swamp Forest and Associated Wetland Ecosystems; UNDP is also working under the UN REDD program to improve the management of </w:t>
      </w:r>
      <w:proofErr w:type="spellStart"/>
      <w:r w:rsidRPr="000C2C2B">
        <w:rPr>
          <w:sz w:val="21"/>
          <w:szCs w:val="21"/>
        </w:rPr>
        <w:t>peatlands</w:t>
      </w:r>
      <w:proofErr w:type="spellEnd"/>
      <w:r w:rsidRPr="000C2C2B">
        <w:rPr>
          <w:sz w:val="21"/>
          <w:szCs w:val="21"/>
        </w:rPr>
        <w:t xml:space="preserve"> in neighboring Indonesia. In </w:t>
      </w:r>
      <w:r w:rsidRPr="000C2C2B">
        <w:rPr>
          <w:sz w:val="21"/>
          <w:szCs w:val="21"/>
        </w:rPr>
        <w:lastRenderedPageBreak/>
        <w:t xml:space="preserve">Europe, UNDP has managed </w:t>
      </w:r>
      <w:proofErr w:type="spellStart"/>
      <w:r w:rsidRPr="000C2C2B">
        <w:rPr>
          <w:sz w:val="21"/>
          <w:szCs w:val="21"/>
        </w:rPr>
        <w:t>peatland</w:t>
      </w:r>
      <w:proofErr w:type="spellEnd"/>
      <w:r w:rsidRPr="000C2C2B">
        <w:rPr>
          <w:sz w:val="21"/>
          <w:szCs w:val="21"/>
        </w:rPr>
        <w:t xml:space="preserve"> projects in a number of countries. This includes the aforementioned </w:t>
      </w:r>
      <w:proofErr w:type="spellStart"/>
      <w:r w:rsidRPr="000C2C2B">
        <w:rPr>
          <w:sz w:val="21"/>
          <w:szCs w:val="21"/>
        </w:rPr>
        <w:t>peatland</w:t>
      </w:r>
      <w:proofErr w:type="spellEnd"/>
      <w:r w:rsidRPr="000C2C2B">
        <w:rPr>
          <w:sz w:val="21"/>
          <w:szCs w:val="21"/>
        </w:rPr>
        <w:t xml:space="preserve"> management project in Belarus; UNDP is also implementing a German funded </w:t>
      </w:r>
      <w:proofErr w:type="spellStart"/>
      <w:r w:rsidRPr="000C2C2B">
        <w:rPr>
          <w:sz w:val="21"/>
          <w:szCs w:val="21"/>
        </w:rPr>
        <w:t>peatland</w:t>
      </w:r>
      <w:proofErr w:type="spellEnd"/>
      <w:r w:rsidRPr="000C2C2B">
        <w:rPr>
          <w:sz w:val="21"/>
          <w:szCs w:val="21"/>
        </w:rPr>
        <w:t xml:space="preserve"> restoration project, in partnership with RSPB.  A GEF project in Bosnia and Herzegovina focuses on conservation of unique </w:t>
      </w:r>
      <w:proofErr w:type="spellStart"/>
      <w:r w:rsidRPr="000C2C2B">
        <w:rPr>
          <w:sz w:val="21"/>
          <w:szCs w:val="21"/>
        </w:rPr>
        <w:t>karst</w:t>
      </w:r>
      <w:proofErr w:type="spellEnd"/>
      <w:r w:rsidRPr="000C2C2B">
        <w:rPr>
          <w:sz w:val="21"/>
          <w:szCs w:val="21"/>
        </w:rPr>
        <w:t xml:space="preserve"> </w:t>
      </w:r>
      <w:proofErr w:type="spellStart"/>
      <w:r w:rsidRPr="000C2C2B">
        <w:rPr>
          <w:sz w:val="21"/>
          <w:szCs w:val="21"/>
        </w:rPr>
        <w:t>peatlands</w:t>
      </w:r>
      <w:proofErr w:type="spellEnd"/>
      <w:r w:rsidRPr="000C2C2B">
        <w:rPr>
          <w:sz w:val="21"/>
          <w:szCs w:val="21"/>
        </w:rPr>
        <w:t xml:space="preserve">. Wetland conservation projects in Lithuania and Ukraine promote protection and sustainable management of </w:t>
      </w:r>
      <w:proofErr w:type="spellStart"/>
      <w:r w:rsidRPr="000C2C2B">
        <w:rPr>
          <w:sz w:val="21"/>
          <w:szCs w:val="21"/>
        </w:rPr>
        <w:t>peatlands</w:t>
      </w:r>
      <w:proofErr w:type="spellEnd"/>
      <w:r w:rsidRPr="000C2C2B">
        <w:rPr>
          <w:sz w:val="21"/>
          <w:szCs w:val="21"/>
        </w:rPr>
        <w:t xml:space="preserve">. In addition, a number of UNDP-GEF small-grant projects in Poland, Belarus, and Lithuania are working with local communities to engineer the wise use of </w:t>
      </w:r>
      <w:proofErr w:type="spellStart"/>
      <w:r w:rsidRPr="000C2C2B">
        <w:rPr>
          <w:sz w:val="21"/>
          <w:szCs w:val="21"/>
        </w:rPr>
        <w:t>peatlands</w:t>
      </w:r>
      <w:proofErr w:type="spellEnd"/>
      <w:r w:rsidRPr="000C2C2B">
        <w:rPr>
          <w:sz w:val="21"/>
          <w:szCs w:val="21"/>
        </w:rPr>
        <w:t xml:space="preserve">. Final evaluations for the Belarus and Lithuania projects rated both as highly satisfactory, in terms of addressing their stated objectives and generating global benefits. </w:t>
      </w:r>
    </w:p>
    <w:p w:rsidR="00A9399A" w:rsidRPr="000C2C2B" w:rsidRDefault="00A9399A" w:rsidP="00195DD1">
      <w:pPr>
        <w:pStyle w:val="A"/>
        <w:numPr>
          <w:ilvl w:val="0"/>
          <w:numId w:val="0"/>
        </w:numPr>
        <w:spacing w:after="80"/>
        <w:ind w:right="270"/>
        <w:rPr>
          <w:sz w:val="21"/>
          <w:szCs w:val="21"/>
        </w:rPr>
      </w:pPr>
      <w:r w:rsidRPr="000C2C2B">
        <w:rPr>
          <w:sz w:val="21"/>
          <w:szCs w:val="21"/>
        </w:rPr>
        <w:t xml:space="preserve">With respect to SFM, UNDP is central to implementation of the UN-REDD program. UNDP is working in 29 countries around the world on SFM and REDD+, focusing on forest governance frameworks, planning, monitoring. In Europe and CIS, UNDP is supporting over 60 ecosystem projects worth US$107 million. These include sustainable forest management in a number of </w:t>
      </w:r>
      <w:proofErr w:type="spellStart"/>
      <w:r w:rsidRPr="000C2C2B">
        <w:rPr>
          <w:sz w:val="21"/>
          <w:szCs w:val="21"/>
        </w:rPr>
        <w:t>ecoregions</w:t>
      </w:r>
      <w:proofErr w:type="spellEnd"/>
      <w:r w:rsidRPr="000C2C2B">
        <w:rPr>
          <w:sz w:val="21"/>
          <w:szCs w:val="21"/>
        </w:rPr>
        <w:t xml:space="preserve">, including the forests of Altai </w:t>
      </w:r>
      <w:proofErr w:type="spellStart"/>
      <w:r w:rsidRPr="000C2C2B">
        <w:rPr>
          <w:sz w:val="21"/>
          <w:szCs w:val="21"/>
        </w:rPr>
        <w:t>Sayan</w:t>
      </w:r>
      <w:proofErr w:type="spellEnd"/>
      <w:r w:rsidRPr="000C2C2B">
        <w:rPr>
          <w:sz w:val="21"/>
          <w:szCs w:val="21"/>
        </w:rPr>
        <w:t xml:space="preserve">, </w:t>
      </w:r>
      <w:proofErr w:type="spellStart"/>
      <w:r w:rsidRPr="000C2C2B">
        <w:rPr>
          <w:sz w:val="21"/>
          <w:szCs w:val="21"/>
        </w:rPr>
        <w:t>Komi</w:t>
      </w:r>
      <w:proofErr w:type="spellEnd"/>
      <w:r w:rsidRPr="000C2C2B">
        <w:rPr>
          <w:sz w:val="21"/>
          <w:szCs w:val="21"/>
        </w:rPr>
        <w:t xml:space="preserve">, Rhodope, the Carpathians, and Kure (Turkey). UNDP is the implementing agency for forest carbon projects in Russia and Kazakhstan for funding of the German International Climate Initiative (US$11 million), which is testing innovative carbon mitigation techniques within protected areas. UNDP is also assisting countries in Europe to develop Nationally Appropriate Mitigation Actions under the UNFCCC. UNDP was the first agency to develop a Guidebook for countries to develop and implement Low Emission Development Strategies and NAMAs, including for the forestry sector. UNDP has a proven track record in establishing and supporting the management of protected areas. More than 30 UNDP-GEF projects in 17 countries in Europe address protected areas covering a total area of 13.1 million hectares. New </w:t>
      </w:r>
      <w:r w:rsidRPr="000C2C2B">
        <w:rPr>
          <w:bCs/>
          <w:sz w:val="21"/>
          <w:szCs w:val="21"/>
        </w:rPr>
        <w:t>PAs have been established, totaling 2.6 million hectares; 85 PAs are in the process of being established, totaling 0.81 million hectares; 126 PAs strengthened, totaling 9.7 million hectares.</w:t>
      </w:r>
    </w:p>
    <w:p w:rsidR="00A9399A" w:rsidRPr="000C2C2B" w:rsidRDefault="00A9399A" w:rsidP="00195DD1">
      <w:pPr>
        <w:pStyle w:val="aaa"/>
        <w:numPr>
          <w:ilvl w:val="0"/>
          <w:numId w:val="0"/>
        </w:numPr>
        <w:spacing w:after="80"/>
        <w:ind w:right="270"/>
        <w:jc w:val="both"/>
        <w:rPr>
          <w:b/>
          <w:smallCaps/>
          <w:sz w:val="21"/>
          <w:szCs w:val="21"/>
        </w:rPr>
      </w:pPr>
      <w:r w:rsidRPr="000C2C2B">
        <w:rPr>
          <w:b/>
          <w:smallCaps/>
          <w:sz w:val="21"/>
          <w:szCs w:val="21"/>
        </w:rPr>
        <w:t xml:space="preserve">c.1. indicate the co-financing amount the GEF agency is bringing to the project: </w:t>
      </w:r>
    </w:p>
    <w:p w:rsidR="00A9399A" w:rsidRPr="000C2C2B" w:rsidRDefault="00A9399A" w:rsidP="00195DD1">
      <w:pPr>
        <w:pStyle w:val="A"/>
        <w:numPr>
          <w:ilvl w:val="0"/>
          <w:numId w:val="0"/>
        </w:numPr>
        <w:tabs>
          <w:tab w:val="left" w:pos="630"/>
        </w:tabs>
        <w:spacing w:after="80"/>
        <w:ind w:right="270"/>
        <w:rPr>
          <w:sz w:val="21"/>
          <w:szCs w:val="21"/>
        </w:rPr>
      </w:pPr>
      <w:r w:rsidRPr="000C2C2B">
        <w:rPr>
          <w:sz w:val="21"/>
          <w:szCs w:val="21"/>
        </w:rPr>
        <w:t xml:space="preserve">UNDP is brining US$ 390,000 in co-finance for the project’s Component I and project management. In addition, UNDP has worked to mobilize US$ 9.6 </w:t>
      </w:r>
      <w:proofErr w:type="spellStart"/>
      <w:r w:rsidRPr="000C2C2B">
        <w:rPr>
          <w:sz w:val="21"/>
          <w:szCs w:val="21"/>
        </w:rPr>
        <w:t>mln</w:t>
      </w:r>
      <w:proofErr w:type="spellEnd"/>
      <w:r w:rsidRPr="000C2C2B">
        <w:rPr>
          <w:sz w:val="21"/>
          <w:szCs w:val="21"/>
        </w:rPr>
        <w:t xml:space="preserve"> in co-financing from Government. All co-financing will be confirmed during further preparation stage. </w:t>
      </w:r>
    </w:p>
    <w:p w:rsidR="00A9399A" w:rsidRPr="000C2C2B" w:rsidRDefault="00A9399A" w:rsidP="00195DD1">
      <w:pPr>
        <w:spacing w:after="80" w:line="240" w:lineRule="auto"/>
        <w:ind w:left="360" w:right="270" w:hanging="360"/>
        <w:rPr>
          <w:rFonts w:ascii="Times New Roman" w:hAnsi="Times New Roman"/>
          <w:b/>
          <w:smallCaps/>
          <w:sz w:val="21"/>
          <w:szCs w:val="21"/>
        </w:rPr>
      </w:pPr>
      <w:r w:rsidRPr="000C2C2B">
        <w:rPr>
          <w:rFonts w:ascii="Times New Roman" w:hAnsi="Times New Roman"/>
          <w:b/>
          <w:smallCaps/>
          <w:sz w:val="21"/>
          <w:szCs w:val="21"/>
        </w:rPr>
        <w:t xml:space="preserve">c.2. how does the project fit into the GEF agency’s program (reflected in documents such as UNDAF, CAS, etc.) and staff capacity in the country to follow up project implementation: </w:t>
      </w:r>
    </w:p>
    <w:p w:rsidR="00A9399A" w:rsidRPr="000C2C2B" w:rsidRDefault="00A9399A" w:rsidP="00195DD1">
      <w:pPr>
        <w:pStyle w:val="aaa"/>
        <w:numPr>
          <w:ilvl w:val="0"/>
          <w:numId w:val="0"/>
        </w:numPr>
        <w:spacing w:after="80"/>
        <w:ind w:right="270"/>
        <w:jc w:val="both"/>
        <w:rPr>
          <w:sz w:val="21"/>
          <w:szCs w:val="21"/>
        </w:rPr>
      </w:pPr>
      <w:r w:rsidRPr="000C2C2B">
        <w:rPr>
          <w:sz w:val="21"/>
          <w:szCs w:val="21"/>
        </w:rPr>
        <w:t xml:space="preserve">Biodiversity conservation, sustainable land management and climate change risk management constitute the key programming pillars of UNDP in Belarus defined under two outcomes in the UNDP Country Program Document for 2011 -2016 for Belarus - 3.1 “Country’s capacity to mitigate and adapt to the climate change strengthened” and  3.2 “Sustainable use of the country’s natural resources promoted”. The UNDAF for Belarus for 2011-2015 also identifies climate change and biodiversity conservation among the priority areas for UNDP intervention in Belarus under outcomes </w:t>
      </w:r>
      <w:r w:rsidRPr="000C2C2B">
        <w:rPr>
          <w:bCs/>
          <w:color w:val="000000"/>
          <w:sz w:val="21"/>
          <w:szCs w:val="21"/>
        </w:rPr>
        <w:t xml:space="preserve">3.1. </w:t>
      </w:r>
      <w:proofErr w:type="gramStart"/>
      <w:r w:rsidRPr="000C2C2B">
        <w:rPr>
          <w:color w:val="000000"/>
          <w:sz w:val="21"/>
          <w:szCs w:val="21"/>
        </w:rPr>
        <w:t xml:space="preserve">National capacity to mitigate and adapt to climate change enhanced and </w:t>
      </w:r>
      <w:r w:rsidRPr="000C2C2B">
        <w:rPr>
          <w:bCs/>
          <w:color w:val="000000"/>
          <w:sz w:val="21"/>
          <w:szCs w:val="21"/>
        </w:rPr>
        <w:t>3.2.</w:t>
      </w:r>
      <w:proofErr w:type="gramEnd"/>
      <w:r w:rsidRPr="000C2C2B">
        <w:rPr>
          <w:bCs/>
          <w:color w:val="000000"/>
          <w:sz w:val="21"/>
          <w:szCs w:val="21"/>
        </w:rPr>
        <w:t xml:space="preserve"> </w:t>
      </w:r>
      <w:r w:rsidRPr="000C2C2B">
        <w:rPr>
          <w:color w:val="000000"/>
          <w:sz w:val="21"/>
          <w:szCs w:val="21"/>
        </w:rPr>
        <w:t>National capacity to protect and use the country’s biological diversity in a sustainable way is enhanced.</w:t>
      </w:r>
      <w:r w:rsidRPr="000C2C2B">
        <w:rPr>
          <w:sz w:val="21"/>
          <w:szCs w:val="21"/>
        </w:rPr>
        <w:t xml:space="preserve"> The country office has 2 permanent staff successfully managing a portfolio of projects in the areas of biodiversity conservation, international waters, and climate change. In Europe and CIS, UNDP is implementing 32 GEF-funded biodiversity projects and 43 climate change projects, through its network of 26 Country Offices. Conservation and sustainable use of </w:t>
      </w:r>
      <w:proofErr w:type="spellStart"/>
      <w:r w:rsidRPr="000C2C2B">
        <w:rPr>
          <w:sz w:val="21"/>
          <w:szCs w:val="21"/>
        </w:rPr>
        <w:t>peatlands</w:t>
      </w:r>
      <w:proofErr w:type="spellEnd"/>
      <w:r w:rsidRPr="000C2C2B">
        <w:rPr>
          <w:sz w:val="21"/>
          <w:szCs w:val="21"/>
        </w:rPr>
        <w:t xml:space="preserve"> has been piloted under projects in Belarus, the Czech Republic, Lithuania, and Slovakia—providing a platform for cross project learning.</w:t>
      </w:r>
    </w:p>
    <w:p w:rsidR="00A9399A" w:rsidRPr="000C2C2B" w:rsidRDefault="00A9399A" w:rsidP="00195DD1">
      <w:pPr>
        <w:pStyle w:val="Footer"/>
        <w:spacing w:before="120"/>
        <w:ind w:right="270"/>
        <w:rPr>
          <w:b/>
          <w:caps/>
          <w:sz w:val="22"/>
          <w:szCs w:val="22"/>
          <w:u w:val="single"/>
        </w:rPr>
      </w:pPr>
      <w:r w:rsidRPr="000C2C2B">
        <w:rPr>
          <w:b/>
          <w:caps/>
          <w:sz w:val="22"/>
          <w:szCs w:val="22"/>
          <w:u w:val="single"/>
        </w:rPr>
        <w:t xml:space="preserve">part iii: approval/endorsement by gef operational focal point(s) and GEF </w:t>
      </w:r>
      <w:proofErr w:type="gramStart"/>
      <w:r w:rsidRPr="000C2C2B">
        <w:rPr>
          <w:b/>
          <w:caps/>
          <w:sz w:val="22"/>
          <w:szCs w:val="22"/>
          <w:u w:val="single"/>
        </w:rPr>
        <w:t>agency(</w:t>
      </w:r>
      <w:proofErr w:type="gramEnd"/>
      <w:r w:rsidRPr="000C2C2B">
        <w:rPr>
          <w:b/>
          <w:caps/>
          <w:sz w:val="22"/>
          <w:szCs w:val="22"/>
          <w:u w:val="single"/>
        </w:rPr>
        <w:t>ies)</w:t>
      </w:r>
    </w:p>
    <w:p w:rsidR="00A9399A" w:rsidRPr="000C2C2B" w:rsidRDefault="00A9399A" w:rsidP="00195DD1">
      <w:pPr>
        <w:spacing w:before="200" w:after="0" w:line="240" w:lineRule="auto"/>
        <w:ind w:left="360" w:right="270" w:hanging="360"/>
        <w:rPr>
          <w:rFonts w:ascii="Times New Roman" w:hAnsi="Times New Roman"/>
        </w:rPr>
      </w:pPr>
      <w:r w:rsidRPr="000C2C2B">
        <w:rPr>
          <w:rFonts w:ascii="Times New Roman" w:hAnsi="Times New Roman"/>
          <w:b/>
          <w:bCs/>
          <w:smallCaps/>
        </w:rPr>
        <w:t>A. Record of Endorsement of GEF Operational Focal Point (S) on Behalf of the Government(S):</w:t>
      </w:r>
      <w:r w:rsidRPr="000C2C2B">
        <w:rPr>
          <w:rFonts w:ascii="Times New Roman" w:hAnsi="Times New Roman"/>
        </w:rPr>
        <w:t xml:space="preserve"> (Please attach the</w:t>
      </w:r>
      <w:r w:rsidRPr="000C2C2B">
        <w:rPr>
          <w:rFonts w:ascii="Times New Roman" w:hAnsi="Times New Roman"/>
          <w:color w:val="0000FF"/>
        </w:rPr>
        <w:t xml:space="preserve"> </w:t>
      </w:r>
      <w:hyperlink r:id="rId11" w:history="1">
        <w:r w:rsidRPr="000C2C2B">
          <w:rPr>
            <w:rStyle w:val="Hyperlink"/>
            <w:rFonts w:ascii="Times New Roman" w:hAnsi="Times New Roman"/>
          </w:rPr>
          <w:t>Operational Focal Point endorsement letter(s)</w:t>
        </w:r>
      </w:hyperlink>
      <w:r w:rsidRPr="000C2C2B">
        <w:rPr>
          <w:rFonts w:ascii="Times New Roman" w:hAnsi="Times New Roman"/>
        </w:rPr>
        <w:t xml:space="preserve"> with this template).</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430"/>
        <w:gridCol w:w="4230"/>
        <w:gridCol w:w="2340"/>
      </w:tblGrid>
      <w:tr w:rsidR="00A9399A" w:rsidRPr="000C2C2B" w:rsidTr="00961446">
        <w:tc>
          <w:tcPr>
            <w:tcW w:w="2250" w:type="dxa"/>
          </w:tcPr>
          <w:p w:rsidR="00A9399A" w:rsidRPr="000C2C2B" w:rsidRDefault="00A9399A" w:rsidP="00417ACA">
            <w:pPr>
              <w:spacing w:after="0" w:line="240" w:lineRule="auto"/>
              <w:jc w:val="both"/>
              <w:rPr>
                <w:rFonts w:ascii="Times New Roman" w:hAnsi="Times New Roman"/>
                <w:b/>
                <w:bCs/>
                <w:smallCaps/>
                <w:sz w:val="20"/>
                <w:szCs w:val="20"/>
              </w:rPr>
            </w:pPr>
            <w:r w:rsidRPr="000C2C2B">
              <w:rPr>
                <w:rFonts w:ascii="Times New Roman" w:hAnsi="Times New Roman"/>
                <w:b/>
                <w:bCs/>
                <w:smallCaps/>
                <w:sz w:val="20"/>
                <w:szCs w:val="20"/>
              </w:rPr>
              <w:t>Name</w:t>
            </w:r>
          </w:p>
        </w:tc>
        <w:tc>
          <w:tcPr>
            <w:tcW w:w="2430" w:type="dxa"/>
          </w:tcPr>
          <w:p w:rsidR="00A9399A" w:rsidRPr="000C2C2B" w:rsidRDefault="00A9399A" w:rsidP="00417ACA">
            <w:pPr>
              <w:spacing w:after="0" w:line="240" w:lineRule="auto"/>
              <w:jc w:val="both"/>
              <w:rPr>
                <w:rFonts w:ascii="Times New Roman" w:hAnsi="Times New Roman"/>
                <w:b/>
                <w:bCs/>
                <w:smallCaps/>
                <w:sz w:val="20"/>
                <w:szCs w:val="20"/>
              </w:rPr>
            </w:pPr>
            <w:r w:rsidRPr="000C2C2B">
              <w:rPr>
                <w:rFonts w:ascii="Times New Roman" w:hAnsi="Times New Roman"/>
                <w:b/>
                <w:bCs/>
                <w:smallCaps/>
                <w:sz w:val="20"/>
                <w:szCs w:val="20"/>
              </w:rPr>
              <w:t>Position</w:t>
            </w:r>
          </w:p>
        </w:tc>
        <w:tc>
          <w:tcPr>
            <w:tcW w:w="4230" w:type="dxa"/>
          </w:tcPr>
          <w:p w:rsidR="00A9399A" w:rsidRPr="000C2C2B" w:rsidRDefault="00A9399A" w:rsidP="00417ACA">
            <w:pPr>
              <w:spacing w:after="0" w:line="240" w:lineRule="auto"/>
              <w:jc w:val="both"/>
              <w:rPr>
                <w:rFonts w:ascii="Times New Roman" w:hAnsi="Times New Roman"/>
                <w:b/>
                <w:bCs/>
                <w:smallCaps/>
                <w:sz w:val="20"/>
                <w:szCs w:val="20"/>
              </w:rPr>
            </w:pPr>
            <w:r w:rsidRPr="000C2C2B">
              <w:rPr>
                <w:rFonts w:ascii="Times New Roman" w:hAnsi="Times New Roman"/>
                <w:b/>
                <w:bCs/>
                <w:smallCaps/>
                <w:sz w:val="20"/>
                <w:szCs w:val="20"/>
              </w:rPr>
              <w:t>Ministry</w:t>
            </w:r>
          </w:p>
        </w:tc>
        <w:tc>
          <w:tcPr>
            <w:tcW w:w="2340" w:type="dxa"/>
          </w:tcPr>
          <w:p w:rsidR="00A9399A" w:rsidRPr="000C2C2B" w:rsidRDefault="00A9399A" w:rsidP="00417ACA">
            <w:pPr>
              <w:spacing w:after="0" w:line="240" w:lineRule="auto"/>
              <w:jc w:val="both"/>
              <w:rPr>
                <w:rFonts w:ascii="Times New Roman" w:hAnsi="Times New Roman"/>
                <w:b/>
                <w:bCs/>
                <w:smallCaps/>
                <w:sz w:val="20"/>
                <w:szCs w:val="20"/>
              </w:rPr>
            </w:pPr>
            <w:r w:rsidRPr="000C2C2B">
              <w:rPr>
                <w:rFonts w:ascii="Times New Roman" w:hAnsi="Times New Roman"/>
                <w:b/>
                <w:bCs/>
                <w:smallCaps/>
                <w:sz w:val="20"/>
                <w:szCs w:val="20"/>
              </w:rPr>
              <w:t xml:space="preserve">Date </w:t>
            </w:r>
            <w:bookmarkStart w:id="15" w:name="Text31"/>
            <w:r w:rsidR="00B2404B" w:rsidRPr="000C2C2B">
              <w:rPr>
                <w:rFonts w:ascii="Times New Roman" w:hAnsi="Times New Roman"/>
                <w:i/>
                <w:iCs/>
                <w:sz w:val="20"/>
                <w:szCs w:val="20"/>
              </w:rPr>
              <w:fldChar w:fldCharType="begin">
                <w:ffData>
                  <w:name w:val="Text31"/>
                  <w:enabled/>
                  <w:calcOnExit w:val="0"/>
                  <w:helpText w:type="text" w:val="Date of endorsement by the Operational or Political Focal Point."/>
                  <w:textInput>
                    <w:default w:val="(MM/DD/YYYY)"/>
                  </w:textInput>
                </w:ffData>
              </w:fldChar>
            </w:r>
            <w:r w:rsidRPr="000C2C2B">
              <w:rPr>
                <w:rFonts w:ascii="Times New Roman" w:hAnsi="Times New Roman"/>
                <w:i/>
                <w:iCs/>
                <w:sz w:val="20"/>
                <w:szCs w:val="20"/>
              </w:rPr>
              <w:instrText xml:space="preserve"> FORMTEXT </w:instrText>
            </w:r>
            <w:r w:rsidR="00B2404B" w:rsidRPr="000C2C2B">
              <w:rPr>
                <w:rFonts w:ascii="Times New Roman" w:hAnsi="Times New Roman"/>
                <w:i/>
                <w:iCs/>
                <w:sz w:val="20"/>
                <w:szCs w:val="20"/>
              </w:rPr>
            </w:r>
            <w:r w:rsidR="00B2404B" w:rsidRPr="000C2C2B">
              <w:rPr>
                <w:rFonts w:ascii="Times New Roman" w:hAnsi="Times New Roman"/>
                <w:i/>
                <w:iCs/>
                <w:sz w:val="20"/>
                <w:szCs w:val="20"/>
              </w:rPr>
              <w:fldChar w:fldCharType="separate"/>
            </w:r>
            <w:r w:rsidRPr="000C2C2B">
              <w:rPr>
                <w:rFonts w:ascii="Times New Roman" w:hAnsi="Times New Roman"/>
                <w:i/>
                <w:iCs/>
                <w:noProof/>
                <w:sz w:val="20"/>
                <w:szCs w:val="20"/>
              </w:rPr>
              <w:t>(MM/DD/YYYY)</w:t>
            </w:r>
            <w:r w:rsidR="00B2404B" w:rsidRPr="000C2C2B">
              <w:rPr>
                <w:rFonts w:ascii="Times New Roman" w:hAnsi="Times New Roman"/>
                <w:i/>
                <w:iCs/>
                <w:sz w:val="20"/>
                <w:szCs w:val="20"/>
              </w:rPr>
              <w:fldChar w:fldCharType="end"/>
            </w:r>
            <w:bookmarkEnd w:id="15"/>
          </w:p>
        </w:tc>
      </w:tr>
      <w:tr w:rsidR="00A9399A" w:rsidRPr="000C2C2B" w:rsidTr="00961446">
        <w:tc>
          <w:tcPr>
            <w:tcW w:w="2250" w:type="dxa"/>
          </w:tcPr>
          <w:p w:rsidR="00A9399A" w:rsidRPr="000C2C2B" w:rsidRDefault="00A9399A" w:rsidP="00777CEA">
            <w:pPr>
              <w:spacing w:after="0" w:line="240" w:lineRule="auto"/>
              <w:rPr>
                <w:rFonts w:ascii="Times New Roman" w:hAnsi="Times New Roman"/>
                <w:sz w:val="20"/>
                <w:szCs w:val="20"/>
              </w:rPr>
            </w:pPr>
            <w:proofErr w:type="spellStart"/>
            <w:r w:rsidRPr="000C2C2B">
              <w:rPr>
                <w:rFonts w:ascii="Times New Roman" w:hAnsi="Times New Roman"/>
                <w:sz w:val="20"/>
                <w:szCs w:val="20"/>
              </w:rPr>
              <w:t>Vitaly</w:t>
            </w:r>
            <w:proofErr w:type="spellEnd"/>
            <w:r w:rsidRPr="000C2C2B">
              <w:rPr>
                <w:rFonts w:ascii="Times New Roman" w:hAnsi="Times New Roman"/>
                <w:sz w:val="20"/>
                <w:szCs w:val="20"/>
              </w:rPr>
              <w:t xml:space="preserve"> </w:t>
            </w:r>
            <w:proofErr w:type="spellStart"/>
            <w:r w:rsidRPr="000C2C2B">
              <w:rPr>
                <w:rFonts w:ascii="Times New Roman" w:hAnsi="Times New Roman"/>
                <w:sz w:val="20"/>
                <w:szCs w:val="20"/>
              </w:rPr>
              <w:t>Kulik</w:t>
            </w:r>
            <w:proofErr w:type="spellEnd"/>
          </w:p>
        </w:tc>
        <w:tc>
          <w:tcPr>
            <w:tcW w:w="2430" w:type="dxa"/>
          </w:tcPr>
          <w:p w:rsidR="00A9399A" w:rsidRPr="000C2C2B" w:rsidRDefault="00A9399A" w:rsidP="00777CEA">
            <w:pPr>
              <w:spacing w:after="0" w:line="240" w:lineRule="auto"/>
              <w:rPr>
                <w:rFonts w:ascii="Times New Roman" w:hAnsi="Times New Roman"/>
                <w:sz w:val="20"/>
                <w:szCs w:val="20"/>
              </w:rPr>
            </w:pPr>
            <w:r w:rsidRPr="000C2C2B">
              <w:rPr>
                <w:rFonts w:ascii="Times New Roman" w:hAnsi="Times New Roman"/>
                <w:sz w:val="20"/>
                <w:szCs w:val="20"/>
              </w:rPr>
              <w:t>Deputy Minister, GEF OFP</w:t>
            </w:r>
          </w:p>
        </w:tc>
        <w:tc>
          <w:tcPr>
            <w:tcW w:w="4230" w:type="dxa"/>
          </w:tcPr>
          <w:p w:rsidR="00A9399A" w:rsidRPr="000C2C2B" w:rsidRDefault="00A9399A" w:rsidP="00777CEA">
            <w:pPr>
              <w:spacing w:after="0" w:line="240" w:lineRule="auto"/>
              <w:rPr>
                <w:rFonts w:ascii="Times New Roman" w:hAnsi="Times New Roman"/>
                <w:sz w:val="20"/>
                <w:szCs w:val="20"/>
              </w:rPr>
            </w:pPr>
            <w:r w:rsidRPr="000C2C2B">
              <w:rPr>
                <w:rFonts w:ascii="Times New Roman" w:hAnsi="Times New Roman"/>
                <w:sz w:val="20"/>
                <w:szCs w:val="20"/>
              </w:rPr>
              <w:t>Ministry of Natural Resources and Environmental Protection</w:t>
            </w:r>
          </w:p>
        </w:tc>
        <w:tc>
          <w:tcPr>
            <w:tcW w:w="2340" w:type="dxa"/>
          </w:tcPr>
          <w:p w:rsidR="00A9399A" w:rsidRPr="000C2C2B" w:rsidRDefault="00A9399A" w:rsidP="00777CEA">
            <w:pPr>
              <w:spacing w:after="0" w:line="240" w:lineRule="auto"/>
              <w:rPr>
                <w:rFonts w:ascii="Times New Roman" w:hAnsi="Times New Roman"/>
                <w:sz w:val="20"/>
                <w:szCs w:val="20"/>
              </w:rPr>
            </w:pPr>
            <w:r w:rsidRPr="000C2C2B">
              <w:rPr>
                <w:rFonts w:ascii="Times New Roman" w:hAnsi="Times New Roman"/>
                <w:sz w:val="20"/>
                <w:szCs w:val="20"/>
              </w:rPr>
              <w:t>9 February 2011</w:t>
            </w:r>
          </w:p>
        </w:tc>
      </w:tr>
    </w:tbl>
    <w:p w:rsidR="00A9399A" w:rsidRPr="000C2C2B" w:rsidRDefault="00A9399A" w:rsidP="000C5C5F">
      <w:pPr>
        <w:pStyle w:val="Footer"/>
        <w:numPr>
          <w:ilvl w:val="0"/>
          <w:numId w:val="2"/>
        </w:numPr>
        <w:tabs>
          <w:tab w:val="clear" w:pos="720"/>
          <w:tab w:val="clear" w:pos="4320"/>
          <w:tab w:val="clear" w:pos="8640"/>
          <w:tab w:val="num" w:pos="270"/>
        </w:tabs>
        <w:spacing w:before="200"/>
        <w:ind w:hanging="720"/>
        <w:rPr>
          <w:b/>
          <w:smallCaps/>
          <w:sz w:val="22"/>
          <w:szCs w:val="22"/>
        </w:rPr>
      </w:pPr>
      <w:r w:rsidRPr="000C2C2B">
        <w:rPr>
          <w:b/>
          <w:smallCaps/>
          <w:sz w:val="22"/>
          <w:szCs w:val="22"/>
        </w:rPr>
        <w:t>GEF Agency(</w:t>
      </w:r>
      <w:proofErr w:type="spellStart"/>
      <w:r w:rsidRPr="000C2C2B">
        <w:rPr>
          <w:b/>
          <w:smallCaps/>
          <w:sz w:val="22"/>
          <w:szCs w:val="22"/>
        </w:rPr>
        <w:t>ies</w:t>
      </w:r>
      <w:proofErr w:type="spellEnd"/>
      <w:r w:rsidRPr="000C2C2B">
        <w:rPr>
          <w:b/>
          <w:smallCaps/>
          <w:sz w:val="22"/>
          <w:szCs w:val="22"/>
        </w:rPr>
        <w:t>) Certification</w:t>
      </w:r>
    </w:p>
    <w:tbl>
      <w:tblPr>
        <w:tblW w:w="114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448"/>
        <w:gridCol w:w="1014"/>
        <w:gridCol w:w="1768"/>
        <w:gridCol w:w="1588"/>
        <w:gridCol w:w="2567"/>
      </w:tblGrid>
      <w:tr w:rsidR="00A9399A" w:rsidRPr="000C2C2B" w:rsidTr="00961446">
        <w:trPr>
          <w:cantSplit/>
          <w:trHeight w:val="440"/>
        </w:trPr>
        <w:tc>
          <w:tcPr>
            <w:tcW w:w="11445" w:type="dxa"/>
            <w:gridSpan w:val="6"/>
          </w:tcPr>
          <w:p w:rsidR="00A9399A" w:rsidRPr="000C2C2B" w:rsidRDefault="00A9399A" w:rsidP="00961446">
            <w:pPr>
              <w:spacing w:after="0" w:line="240" w:lineRule="auto"/>
              <w:rPr>
                <w:rFonts w:ascii="Times New Roman" w:hAnsi="Times New Roman"/>
                <w:sz w:val="20"/>
                <w:szCs w:val="20"/>
              </w:rPr>
            </w:pPr>
            <w:r w:rsidRPr="000C2C2B">
              <w:rPr>
                <w:rFonts w:ascii="Times New Roman" w:hAnsi="Times New Roman"/>
                <w:sz w:val="20"/>
                <w:szCs w:val="20"/>
              </w:rPr>
              <w:t>This request has been prepared in accordance with GEF policies and procedures and meets the GEF criteria for project identification and preparation.</w:t>
            </w:r>
          </w:p>
        </w:tc>
      </w:tr>
      <w:tr w:rsidR="00A9399A" w:rsidRPr="000C2C2B" w:rsidTr="00961446">
        <w:tblPrEx>
          <w:tblLook w:val="01E0"/>
        </w:tblPrEx>
        <w:tc>
          <w:tcPr>
            <w:tcW w:w="3060" w:type="dxa"/>
          </w:tcPr>
          <w:p w:rsidR="00A9399A" w:rsidRPr="000C2C2B" w:rsidRDefault="00A9399A" w:rsidP="00961446">
            <w:pPr>
              <w:spacing w:after="0" w:line="240" w:lineRule="auto"/>
              <w:jc w:val="center"/>
              <w:rPr>
                <w:rFonts w:ascii="Times New Roman" w:hAnsi="Times New Roman"/>
                <w:b/>
                <w:sz w:val="20"/>
                <w:szCs w:val="20"/>
              </w:rPr>
            </w:pPr>
            <w:r w:rsidRPr="000C2C2B">
              <w:rPr>
                <w:rFonts w:ascii="Times New Roman" w:hAnsi="Times New Roman"/>
                <w:b/>
                <w:sz w:val="20"/>
                <w:szCs w:val="20"/>
              </w:rPr>
              <w:t xml:space="preserve">Agency Coordinator </w:t>
            </w:r>
          </w:p>
        </w:tc>
        <w:tc>
          <w:tcPr>
            <w:tcW w:w="1448" w:type="dxa"/>
          </w:tcPr>
          <w:p w:rsidR="00A9399A" w:rsidRPr="000C2C2B" w:rsidRDefault="00A9399A" w:rsidP="00404817">
            <w:pPr>
              <w:spacing w:after="0" w:line="240" w:lineRule="auto"/>
              <w:jc w:val="center"/>
              <w:rPr>
                <w:rFonts w:ascii="Times New Roman" w:hAnsi="Times New Roman"/>
                <w:b/>
                <w:sz w:val="20"/>
                <w:szCs w:val="20"/>
              </w:rPr>
            </w:pPr>
            <w:r w:rsidRPr="000C2C2B">
              <w:rPr>
                <w:rFonts w:ascii="Times New Roman" w:hAnsi="Times New Roman"/>
                <w:b/>
                <w:sz w:val="20"/>
                <w:szCs w:val="20"/>
              </w:rPr>
              <w:t>Signature</w:t>
            </w:r>
          </w:p>
        </w:tc>
        <w:tc>
          <w:tcPr>
            <w:tcW w:w="1014" w:type="dxa"/>
          </w:tcPr>
          <w:p w:rsidR="00A9399A" w:rsidRPr="000C2C2B" w:rsidRDefault="00A9399A" w:rsidP="00404817">
            <w:pPr>
              <w:spacing w:after="0" w:line="240" w:lineRule="auto"/>
              <w:jc w:val="center"/>
              <w:rPr>
                <w:rFonts w:ascii="Times New Roman" w:hAnsi="Times New Roman"/>
                <w:b/>
                <w:sz w:val="20"/>
                <w:szCs w:val="20"/>
              </w:rPr>
            </w:pPr>
            <w:r w:rsidRPr="000C2C2B">
              <w:rPr>
                <w:rFonts w:ascii="Times New Roman" w:hAnsi="Times New Roman"/>
                <w:b/>
                <w:sz w:val="20"/>
                <w:szCs w:val="20"/>
              </w:rPr>
              <w:t>Date</w:t>
            </w:r>
          </w:p>
        </w:tc>
        <w:tc>
          <w:tcPr>
            <w:tcW w:w="1768" w:type="dxa"/>
          </w:tcPr>
          <w:p w:rsidR="00A9399A" w:rsidRPr="000C2C2B" w:rsidRDefault="00A9399A" w:rsidP="00404817">
            <w:pPr>
              <w:spacing w:after="0" w:line="240" w:lineRule="auto"/>
              <w:jc w:val="center"/>
              <w:rPr>
                <w:rFonts w:ascii="Times New Roman" w:hAnsi="Times New Roman"/>
                <w:b/>
                <w:sz w:val="20"/>
                <w:szCs w:val="20"/>
              </w:rPr>
            </w:pPr>
            <w:r w:rsidRPr="000C2C2B">
              <w:rPr>
                <w:rFonts w:ascii="Times New Roman" w:hAnsi="Times New Roman"/>
                <w:b/>
                <w:sz w:val="20"/>
                <w:szCs w:val="20"/>
              </w:rPr>
              <w:t>Project Contact</w:t>
            </w:r>
          </w:p>
        </w:tc>
        <w:tc>
          <w:tcPr>
            <w:tcW w:w="1588" w:type="dxa"/>
          </w:tcPr>
          <w:p w:rsidR="00A9399A" w:rsidRPr="000C2C2B" w:rsidRDefault="00A9399A" w:rsidP="00404817">
            <w:pPr>
              <w:spacing w:after="0" w:line="240" w:lineRule="auto"/>
              <w:jc w:val="center"/>
              <w:rPr>
                <w:rFonts w:ascii="Times New Roman" w:hAnsi="Times New Roman"/>
                <w:b/>
                <w:sz w:val="20"/>
                <w:szCs w:val="20"/>
              </w:rPr>
            </w:pPr>
            <w:r w:rsidRPr="000C2C2B">
              <w:rPr>
                <w:rFonts w:ascii="Times New Roman" w:hAnsi="Times New Roman"/>
                <w:b/>
                <w:sz w:val="20"/>
                <w:szCs w:val="20"/>
              </w:rPr>
              <w:t>Telephone</w:t>
            </w:r>
          </w:p>
        </w:tc>
        <w:tc>
          <w:tcPr>
            <w:tcW w:w="2567" w:type="dxa"/>
          </w:tcPr>
          <w:p w:rsidR="00A9399A" w:rsidRPr="000C2C2B" w:rsidRDefault="00A9399A" w:rsidP="00404817">
            <w:pPr>
              <w:spacing w:after="0" w:line="240" w:lineRule="auto"/>
              <w:jc w:val="center"/>
              <w:rPr>
                <w:rFonts w:ascii="Times New Roman" w:hAnsi="Times New Roman"/>
                <w:b/>
                <w:sz w:val="20"/>
                <w:szCs w:val="20"/>
              </w:rPr>
            </w:pPr>
            <w:r w:rsidRPr="000C2C2B">
              <w:rPr>
                <w:rFonts w:ascii="Times New Roman" w:hAnsi="Times New Roman"/>
                <w:b/>
                <w:sz w:val="20"/>
                <w:szCs w:val="20"/>
              </w:rPr>
              <w:t>Email Address</w:t>
            </w:r>
          </w:p>
        </w:tc>
      </w:tr>
      <w:tr w:rsidR="00A9399A" w:rsidRPr="00404817" w:rsidTr="00221B8A">
        <w:tblPrEx>
          <w:tblLook w:val="01E0"/>
        </w:tblPrEx>
        <w:trPr>
          <w:trHeight w:val="1511"/>
        </w:trPr>
        <w:tc>
          <w:tcPr>
            <w:tcW w:w="3060" w:type="dxa"/>
          </w:tcPr>
          <w:p w:rsidR="00A9399A" w:rsidRPr="000C2C2B" w:rsidRDefault="00A9399A" w:rsidP="00521AEF">
            <w:pPr>
              <w:spacing w:after="0" w:line="240" w:lineRule="auto"/>
              <w:jc w:val="center"/>
              <w:rPr>
                <w:rFonts w:ascii="Times New Roman" w:hAnsi="Times New Roman"/>
                <w:sz w:val="20"/>
                <w:szCs w:val="20"/>
              </w:rPr>
            </w:pPr>
            <w:proofErr w:type="spellStart"/>
            <w:r w:rsidRPr="000C2C2B">
              <w:rPr>
                <w:rFonts w:ascii="Times New Roman" w:hAnsi="Times New Roman"/>
                <w:sz w:val="20"/>
                <w:szCs w:val="20"/>
              </w:rPr>
              <w:t>Yannick</w:t>
            </w:r>
            <w:proofErr w:type="spellEnd"/>
            <w:r w:rsidRPr="000C2C2B">
              <w:rPr>
                <w:rFonts w:ascii="Times New Roman" w:hAnsi="Times New Roman"/>
                <w:sz w:val="20"/>
                <w:szCs w:val="20"/>
              </w:rPr>
              <w:t xml:space="preserve"> </w:t>
            </w:r>
            <w:proofErr w:type="spellStart"/>
            <w:r w:rsidRPr="000C2C2B">
              <w:rPr>
                <w:rFonts w:ascii="Times New Roman" w:hAnsi="Times New Roman"/>
                <w:sz w:val="20"/>
                <w:szCs w:val="20"/>
              </w:rPr>
              <w:t>Glemarec</w:t>
            </w:r>
            <w:proofErr w:type="spellEnd"/>
            <w:r w:rsidRPr="000C2C2B">
              <w:rPr>
                <w:rFonts w:ascii="Times New Roman" w:hAnsi="Times New Roman"/>
                <w:sz w:val="20"/>
                <w:szCs w:val="20"/>
              </w:rPr>
              <w:t>, UNDP-GEF Executive Coordinator</w:t>
            </w:r>
          </w:p>
          <w:p w:rsidR="00A9399A" w:rsidRPr="000C2C2B" w:rsidRDefault="00A9399A" w:rsidP="00521AEF">
            <w:pPr>
              <w:spacing w:after="0" w:line="240" w:lineRule="auto"/>
              <w:jc w:val="center"/>
              <w:rPr>
                <w:rFonts w:ascii="Times New Roman" w:hAnsi="Times New Roman"/>
                <w:sz w:val="20"/>
                <w:szCs w:val="20"/>
              </w:rPr>
            </w:pPr>
          </w:p>
          <w:p w:rsidR="00A9399A" w:rsidRPr="000C2C2B" w:rsidRDefault="00A9399A" w:rsidP="00521AEF">
            <w:pPr>
              <w:spacing w:after="0" w:line="240" w:lineRule="auto"/>
              <w:jc w:val="center"/>
              <w:rPr>
                <w:rFonts w:ascii="Times New Roman" w:hAnsi="Times New Roman"/>
                <w:sz w:val="20"/>
                <w:szCs w:val="20"/>
              </w:rPr>
            </w:pPr>
          </w:p>
        </w:tc>
        <w:tc>
          <w:tcPr>
            <w:tcW w:w="1448" w:type="dxa"/>
          </w:tcPr>
          <w:p w:rsidR="00A9399A" w:rsidRPr="000C2C2B" w:rsidRDefault="00221B8A" w:rsidP="00404817">
            <w:pPr>
              <w:spacing w:after="0" w:line="240" w:lineRule="auto"/>
              <w:jc w:val="center"/>
              <w:rPr>
                <w:rFonts w:ascii="Times New Roman" w:hAnsi="Times New Roman"/>
                <w:sz w:val="20"/>
                <w:szCs w:val="20"/>
              </w:rPr>
            </w:pPr>
            <w:r w:rsidRPr="000C2C2B">
              <w:rPr>
                <w:rFonts w:ascii="Times New Roman" w:hAnsi="Times New Roman"/>
                <w:noProof/>
                <w:sz w:val="20"/>
                <w:szCs w:val="20"/>
              </w:rPr>
              <w:drawing>
                <wp:inline distT="0" distB="0" distL="0" distR="0">
                  <wp:extent cx="685800" cy="944880"/>
                  <wp:effectExtent l="19050" t="0" r="0" b="0"/>
                  <wp:docPr id="1" name="Picture 1" descr="C:\Documents and Settings\marianna.gindin\Local Settings\Temporary Internet Files\Content.Outlook\E074D6YU\YG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anna.gindin\Local Settings\Temporary Internet Files\Content.Outlook\E074D6YU\YG Signature.jpg"/>
                          <pic:cNvPicPr>
                            <a:picLocks noChangeAspect="1" noChangeArrowheads="1"/>
                          </pic:cNvPicPr>
                        </pic:nvPicPr>
                        <pic:blipFill>
                          <a:blip r:embed="rId12"/>
                          <a:srcRect/>
                          <a:stretch>
                            <a:fillRect/>
                          </a:stretch>
                        </pic:blipFill>
                        <pic:spPr bwMode="auto">
                          <a:xfrm>
                            <a:off x="0" y="0"/>
                            <a:ext cx="685800" cy="944880"/>
                          </a:xfrm>
                          <a:prstGeom prst="rect">
                            <a:avLst/>
                          </a:prstGeom>
                          <a:noFill/>
                          <a:ln w="9525">
                            <a:noFill/>
                            <a:miter lim="800000"/>
                            <a:headEnd/>
                            <a:tailEnd/>
                          </a:ln>
                        </pic:spPr>
                      </pic:pic>
                    </a:graphicData>
                  </a:graphic>
                </wp:inline>
              </w:drawing>
            </w:r>
          </w:p>
        </w:tc>
        <w:tc>
          <w:tcPr>
            <w:tcW w:w="1014" w:type="dxa"/>
          </w:tcPr>
          <w:p w:rsidR="00A9399A" w:rsidRPr="000C2C2B" w:rsidRDefault="00221B8A" w:rsidP="00404817">
            <w:pPr>
              <w:spacing w:after="0" w:line="240" w:lineRule="auto"/>
              <w:jc w:val="center"/>
              <w:rPr>
                <w:rFonts w:ascii="Times New Roman" w:hAnsi="Times New Roman"/>
                <w:sz w:val="20"/>
                <w:szCs w:val="20"/>
              </w:rPr>
            </w:pPr>
            <w:r w:rsidRPr="000C2C2B">
              <w:rPr>
                <w:rFonts w:ascii="Times New Roman" w:hAnsi="Times New Roman"/>
                <w:sz w:val="20"/>
                <w:szCs w:val="20"/>
              </w:rPr>
              <w:t>March 10, 2011</w:t>
            </w:r>
          </w:p>
        </w:tc>
        <w:tc>
          <w:tcPr>
            <w:tcW w:w="1768" w:type="dxa"/>
          </w:tcPr>
          <w:p w:rsidR="00A9399A" w:rsidRPr="000C2C2B" w:rsidRDefault="00A9399A" w:rsidP="00404817">
            <w:pPr>
              <w:spacing w:after="0" w:line="240" w:lineRule="auto"/>
              <w:jc w:val="center"/>
              <w:rPr>
                <w:rFonts w:ascii="Times New Roman" w:hAnsi="Times New Roman"/>
                <w:sz w:val="20"/>
                <w:szCs w:val="20"/>
              </w:rPr>
            </w:pPr>
            <w:r w:rsidRPr="000C2C2B">
              <w:rPr>
                <w:rFonts w:ascii="Times New Roman" w:hAnsi="Times New Roman"/>
                <w:sz w:val="20"/>
                <w:szCs w:val="20"/>
              </w:rPr>
              <w:t xml:space="preserve">Maxim </w:t>
            </w:r>
            <w:proofErr w:type="spellStart"/>
            <w:r w:rsidRPr="000C2C2B">
              <w:rPr>
                <w:rFonts w:ascii="Times New Roman" w:hAnsi="Times New Roman"/>
                <w:sz w:val="20"/>
                <w:szCs w:val="20"/>
              </w:rPr>
              <w:t>Vergeichik</w:t>
            </w:r>
            <w:proofErr w:type="spellEnd"/>
          </w:p>
        </w:tc>
        <w:tc>
          <w:tcPr>
            <w:tcW w:w="1588" w:type="dxa"/>
          </w:tcPr>
          <w:p w:rsidR="00A9399A" w:rsidRPr="000C2C2B" w:rsidRDefault="00A9399A" w:rsidP="0006036D">
            <w:pPr>
              <w:spacing w:after="0" w:line="240" w:lineRule="auto"/>
              <w:jc w:val="center"/>
              <w:rPr>
                <w:rFonts w:ascii="Times New Roman" w:hAnsi="Times New Roman"/>
                <w:sz w:val="20"/>
                <w:szCs w:val="20"/>
              </w:rPr>
            </w:pPr>
            <w:r w:rsidRPr="000C2C2B">
              <w:rPr>
                <w:rFonts w:ascii="Times New Roman" w:hAnsi="Times New Roman"/>
                <w:sz w:val="20"/>
                <w:szCs w:val="20"/>
              </w:rPr>
              <w:t>+ 421905633046</w:t>
            </w:r>
          </w:p>
        </w:tc>
        <w:tc>
          <w:tcPr>
            <w:tcW w:w="2567" w:type="dxa"/>
          </w:tcPr>
          <w:p w:rsidR="00A9399A" w:rsidRPr="00404817" w:rsidRDefault="00A9399A" w:rsidP="00404817">
            <w:pPr>
              <w:spacing w:after="0" w:line="240" w:lineRule="auto"/>
              <w:jc w:val="center"/>
              <w:rPr>
                <w:rFonts w:ascii="Times New Roman" w:hAnsi="Times New Roman"/>
                <w:sz w:val="20"/>
                <w:szCs w:val="20"/>
              </w:rPr>
            </w:pPr>
            <w:r w:rsidRPr="000C2C2B">
              <w:rPr>
                <w:rFonts w:ascii="Times New Roman" w:hAnsi="Times New Roman"/>
                <w:sz w:val="20"/>
                <w:szCs w:val="20"/>
              </w:rPr>
              <w:t>maxim.vergeichik@undp.org</w:t>
            </w:r>
          </w:p>
        </w:tc>
      </w:tr>
    </w:tbl>
    <w:p w:rsidR="00A9399A" w:rsidRPr="00961446" w:rsidRDefault="00A9399A" w:rsidP="00961446">
      <w:pPr>
        <w:spacing w:after="0"/>
        <w:rPr>
          <w:sz w:val="16"/>
          <w:szCs w:val="16"/>
        </w:rPr>
      </w:pPr>
    </w:p>
    <w:sectPr w:rsidR="00A9399A" w:rsidRPr="00961446" w:rsidSect="00EB2D1A">
      <w:footerReference w:type="even" r:id="rId13"/>
      <w:footerReference w:type="default" r:id="rId14"/>
      <w:pgSz w:w="12240" w:h="15840"/>
      <w:pgMar w:top="1170" w:right="360" w:bottom="900" w:left="63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8D" w:rsidRDefault="00F8758D" w:rsidP="00417ACA">
      <w:pPr>
        <w:spacing w:after="0" w:line="240" w:lineRule="auto"/>
      </w:pPr>
      <w:r>
        <w:separator/>
      </w:r>
    </w:p>
  </w:endnote>
  <w:endnote w:type="continuationSeparator" w:id="0">
    <w:p w:rsidR="00F8758D" w:rsidRDefault="00F8758D" w:rsidP="00417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9A" w:rsidRDefault="00B2404B" w:rsidP="00717C34">
    <w:pPr>
      <w:pStyle w:val="Footer"/>
      <w:framePr w:wrap="around" w:vAnchor="text" w:hAnchor="margin" w:xAlign="right" w:y="1"/>
      <w:rPr>
        <w:rStyle w:val="PageNumber"/>
        <w:rFonts w:ascii="Calibri" w:hAnsi="Calibri"/>
        <w:sz w:val="22"/>
        <w:szCs w:val="22"/>
      </w:rPr>
    </w:pPr>
    <w:r>
      <w:rPr>
        <w:rStyle w:val="PageNumber"/>
      </w:rPr>
      <w:fldChar w:fldCharType="begin"/>
    </w:r>
    <w:r w:rsidR="00A9399A">
      <w:rPr>
        <w:rStyle w:val="PageNumber"/>
      </w:rPr>
      <w:instrText xml:space="preserve">PAGE  </w:instrText>
    </w:r>
    <w:r>
      <w:rPr>
        <w:rStyle w:val="PageNumber"/>
      </w:rPr>
      <w:fldChar w:fldCharType="end"/>
    </w:r>
  </w:p>
  <w:p w:rsidR="00A9399A" w:rsidRDefault="00A939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9A" w:rsidRDefault="00B2404B" w:rsidP="00717C34">
    <w:pPr>
      <w:pStyle w:val="Footer"/>
      <w:framePr w:wrap="around" w:vAnchor="text" w:hAnchor="margin" w:xAlign="right" w:y="1"/>
      <w:rPr>
        <w:rStyle w:val="PageNumber"/>
        <w:rFonts w:ascii="Calibri" w:hAnsi="Calibri"/>
        <w:sz w:val="22"/>
        <w:szCs w:val="22"/>
      </w:rPr>
    </w:pPr>
    <w:r>
      <w:rPr>
        <w:rStyle w:val="PageNumber"/>
        <w:sz w:val="20"/>
      </w:rPr>
      <w:fldChar w:fldCharType="begin"/>
    </w:r>
    <w:r w:rsidR="00A9399A">
      <w:rPr>
        <w:rStyle w:val="PageNumber"/>
        <w:sz w:val="20"/>
      </w:rPr>
      <w:instrText xml:space="preserve">PAGE  </w:instrText>
    </w:r>
    <w:r>
      <w:rPr>
        <w:rStyle w:val="PageNumber"/>
        <w:sz w:val="20"/>
      </w:rPr>
      <w:fldChar w:fldCharType="separate"/>
    </w:r>
    <w:r w:rsidR="00282022">
      <w:rPr>
        <w:rStyle w:val="PageNumber"/>
        <w:noProof/>
        <w:sz w:val="20"/>
      </w:rPr>
      <w:t>1</w:t>
    </w:r>
    <w:r>
      <w:rPr>
        <w:rStyle w:val="PageNumber"/>
        <w:sz w:val="20"/>
      </w:rPr>
      <w:fldChar w:fldCharType="end"/>
    </w:r>
  </w:p>
  <w:p w:rsidR="00A9399A" w:rsidRDefault="00A93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8D" w:rsidRDefault="00F8758D" w:rsidP="00417ACA">
      <w:pPr>
        <w:spacing w:after="0" w:line="240" w:lineRule="auto"/>
      </w:pPr>
      <w:r>
        <w:separator/>
      </w:r>
    </w:p>
  </w:footnote>
  <w:footnote w:type="continuationSeparator" w:id="0">
    <w:p w:rsidR="00F8758D" w:rsidRDefault="00F8758D" w:rsidP="00417ACA">
      <w:pPr>
        <w:spacing w:after="0" w:line="240" w:lineRule="auto"/>
      </w:pPr>
      <w:r>
        <w:continuationSeparator/>
      </w:r>
    </w:p>
  </w:footnote>
  <w:footnote w:id="1">
    <w:p w:rsidR="00A9399A" w:rsidRDefault="00A9399A" w:rsidP="00B24822">
      <w:pPr>
        <w:pStyle w:val="FootnoteText"/>
      </w:pPr>
      <w:r>
        <w:rPr>
          <w:rStyle w:val="FootnoteReference"/>
          <w:sz w:val="16"/>
          <w:szCs w:val="16"/>
        </w:rPr>
        <w:t>[2</w:t>
      </w:r>
      <w:r w:rsidRPr="00377A53">
        <w:rPr>
          <w:rStyle w:val="FootnoteReference"/>
          <w:sz w:val="16"/>
          <w:szCs w:val="16"/>
        </w:rPr>
        <w:t>]</w:t>
      </w:r>
      <w:r w:rsidRPr="00377A53">
        <w:rPr>
          <w:sz w:val="16"/>
          <w:szCs w:val="16"/>
          <w:highlight w:val="yellow"/>
        </w:rPr>
        <w:t xml:space="preserve"> This will be implemented in partnership with Small Grants Program. For details please see section B.3 Socio-economic benefits. More details are </w:t>
      </w:r>
      <w:proofErr w:type="spellStart"/>
      <w:r w:rsidRPr="00377A53">
        <w:rPr>
          <w:sz w:val="16"/>
          <w:szCs w:val="16"/>
          <w:highlight w:val="yellow"/>
        </w:rPr>
        <w:t>aubject</w:t>
      </w:r>
      <w:proofErr w:type="spellEnd"/>
      <w:r w:rsidRPr="00377A53">
        <w:rPr>
          <w:sz w:val="16"/>
          <w:szCs w:val="16"/>
          <w:highlight w:val="yellow"/>
        </w:rPr>
        <w:t xml:space="preserve"> to feasibility assessment at PPG.</w:t>
      </w:r>
    </w:p>
  </w:footnote>
  <w:footnote w:id="2">
    <w:p w:rsidR="00A9399A" w:rsidRDefault="00A9399A" w:rsidP="00B24822">
      <w:pPr>
        <w:pStyle w:val="FootnoteText"/>
      </w:pPr>
      <w:r>
        <w:rPr>
          <w:rStyle w:val="FootnoteReference"/>
          <w:sz w:val="16"/>
          <w:szCs w:val="16"/>
        </w:rPr>
        <w:t>[3]</w:t>
      </w:r>
      <w:r>
        <w:rPr>
          <w:sz w:val="16"/>
          <w:szCs w:val="16"/>
        </w:rPr>
        <w:t xml:space="preserve"> </w:t>
      </w:r>
      <w:proofErr w:type="gramStart"/>
      <w:r>
        <w:rPr>
          <w:sz w:val="16"/>
          <w:szCs w:val="16"/>
        </w:rPr>
        <w:t>Subject to feasibility analysis at PPG.</w:t>
      </w:r>
      <w:proofErr w:type="gramEnd"/>
    </w:p>
  </w:footnote>
  <w:footnote w:id="3">
    <w:p w:rsidR="00A9399A" w:rsidRDefault="00A9399A" w:rsidP="00B24822">
      <w:pPr>
        <w:pStyle w:val="FootnoteText"/>
      </w:pPr>
      <w:r>
        <w:rPr>
          <w:rStyle w:val="FootnoteReference"/>
        </w:rPr>
        <w:footnoteRef/>
      </w:r>
      <w:r>
        <w:t xml:space="preserve"> </w:t>
      </w:r>
      <w:proofErr w:type="gramStart"/>
      <w:r>
        <w:t>According to studies of Institute of Natural Resources of Belarus.</w:t>
      </w:r>
      <w:proofErr w:type="gramEnd"/>
    </w:p>
  </w:footnote>
  <w:footnote w:id="4">
    <w:p w:rsidR="00A9399A" w:rsidRDefault="00A9399A" w:rsidP="00040668">
      <w:pPr>
        <w:pStyle w:val="FootnoteText"/>
      </w:pPr>
      <w:r>
        <w:rPr>
          <w:rStyle w:val="FootnoteReference"/>
          <w:sz w:val="16"/>
          <w:szCs w:val="16"/>
        </w:rPr>
        <w:t>[1]</w:t>
      </w:r>
      <w:r>
        <w:rPr>
          <w:sz w:val="16"/>
          <w:szCs w:val="16"/>
        </w:rPr>
        <w:t xml:space="preserve"> Baseline and targets will be set at PPG.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15025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8EB5813"/>
    <w:multiLevelType w:val="multilevel"/>
    <w:tmpl w:val="31CE2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C94FF5"/>
    <w:multiLevelType w:val="multilevel"/>
    <w:tmpl w:val="840A13A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3527249"/>
    <w:multiLevelType w:val="hybridMultilevel"/>
    <w:tmpl w:val="5BB0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A6CC0"/>
    <w:multiLevelType w:val="multilevel"/>
    <w:tmpl w:val="31CE2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5B33B99"/>
    <w:multiLevelType w:val="hybridMultilevel"/>
    <w:tmpl w:val="17BE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0290A"/>
    <w:multiLevelType w:val="multilevel"/>
    <w:tmpl w:val="18F858A8"/>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6FC45D6"/>
    <w:multiLevelType w:val="hybridMultilevel"/>
    <w:tmpl w:val="AF5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35129"/>
    <w:multiLevelType w:val="hybridMultilevel"/>
    <w:tmpl w:val="CF9E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1149E"/>
    <w:multiLevelType w:val="hybridMultilevel"/>
    <w:tmpl w:val="3036D34C"/>
    <w:lvl w:ilvl="0" w:tplc="8DFCA996">
      <w:start w:val="1"/>
      <w:numFmt w:val="bullet"/>
      <w:lvlText w:val="•"/>
      <w:lvlJc w:val="left"/>
      <w:pPr>
        <w:tabs>
          <w:tab w:val="num" w:pos="720"/>
        </w:tabs>
        <w:ind w:left="720" w:hanging="360"/>
      </w:pPr>
      <w:rPr>
        <w:rFonts w:ascii="Times New Roman" w:hAnsi="Times New Roman" w:hint="default"/>
      </w:rPr>
    </w:lvl>
    <w:lvl w:ilvl="1" w:tplc="6B54E5A6" w:tentative="1">
      <w:start w:val="1"/>
      <w:numFmt w:val="bullet"/>
      <w:lvlText w:val="•"/>
      <w:lvlJc w:val="left"/>
      <w:pPr>
        <w:tabs>
          <w:tab w:val="num" w:pos="1440"/>
        </w:tabs>
        <w:ind w:left="1440" w:hanging="360"/>
      </w:pPr>
      <w:rPr>
        <w:rFonts w:ascii="Times New Roman" w:hAnsi="Times New Roman" w:hint="default"/>
      </w:rPr>
    </w:lvl>
    <w:lvl w:ilvl="2" w:tplc="92F4FE64" w:tentative="1">
      <w:start w:val="1"/>
      <w:numFmt w:val="bullet"/>
      <w:lvlText w:val="•"/>
      <w:lvlJc w:val="left"/>
      <w:pPr>
        <w:tabs>
          <w:tab w:val="num" w:pos="2160"/>
        </w:tabs>
        <w:ind w:left="2160" w:hanging="360"/>
      </w:pPr>
      <w:rPr>
        <w:rFonts w:ascii="Times New Roman" w:hAnsi="Times New Roman" w:hint="default"/>
      </w:rPr>
    </w:lvl>
    <w:lvl w:ilvl="3" w:tplc="FBB877F6" w:tentative="1">
      <w:start w:val="1"/>
      <w:numFmt w:val="bullet"/>
      <w:lvlText w:val="•"/>
      <w:lvlJc w:val="left"/>
      <w:pPr>
        <w:tabs>
          <w:tab w:val="num" w:pos="2880"/>
        </w:tabs>
        <w:ind w:left="2880" w:hanging="360"/>
      </w:pPr>
      <w:rPr>
        <w:rFonts w:ascii="Times New Roman" w:hAnsi="Times New Roman" w:hint="default"/>
      </w:rPr>
    </w:lvl>
    <w:lvl w:ilvl="4" w:tplc="9BBE5B60" w:tentative="1">
      <w:start w:val="1"/>
      <w:numFmt w:val="bullet"/>
      <w:lvlText w:val="•"/>
      <w:lvlJc w:val="left"/>
      <w:pPr>
        <w:tabs>
          <w:tab w:val="num" w:pos="3600"/>
        </w:tabs>
        <w:ind w:left="3600" w:hanging="360"/>
      </w:pPr>
      <w:rPr>
        <w:rFonts w:ascii="Times New Roman" w:hAnsi="Times New Roman" w:hint="default"/>
      </w:rPr>
    </w:lvl>
    <w:lvl w:ilvl="5" w:tplc="DD524064" w:tentative="1">
      <w:start w:val="1"/>
      <w:numFmt w:val="bullet"/>
      <w:lvlText w:val="•"/>
      <w:lvlJc w:val="left"/>
      <w:pPr>
        <w:tabs>
          <w:tab w:val="num" w:pos="4320"/>
        </w:tabs>
        <w:ind w:left="4320" w:hanging="360"/>
      </w:pPr>
      <w:rPr>
        <w:rFonts w:ascii="Times New Roman" w:hAnsi="Times New Roman" w:hint="default"/>
      </w:rPr>
    </w:lvl>
    <w:lvl w:ilvl="6" w:tplc="9ED0210A" w:tentative="1">
      <w:start w:val="1"/>
      <w:numFmt w:val="bullet"/>
      <w:lvlText w:val="•"/>
      <w:lvlJc w:val="left"/>
      <w:pPr>
        <w:tabs>
          <w:tab w:val="num" w:pos="5040"/>
        </w:tabs>
        <w:ind w:left="5040" w:hanging="360"/>
      </w:pPr>
      <w:rPr>
        <w:rFonts w:ascii="Times New Roman" w:hAnsi="Times New Roman" w:hint="default"/>
      </w:rPr>
    </w:lvl>
    <w:lvl w:ilvl="7" w:tplc="EA30BE3A" w:tentative="1">
      <w:start w:val="1"/>
      <w:numFmt w:val="bullet"/>
      <w:lvlText w:val="•"/>
      <w:lvlJc w:val="left"/>
      <w:pPr>
        <w:tabs>
          <w:tab w:val="num" w:pos="5760"/>
        </w:tabs>
        <w:ind w:left="5760" w:hanging="360"/>
      </w:pPr>
      <w:rPr>
        <w:rFonts w:ascii="Times New Roman" w:hAnsi="Times New Roman" w:hint="default"/>
      </w:rPr>
    </w:lvl>
    <w:lvl w:ilvl="8" w:tplc="2DD8004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8B68D0"/>
    <w:multiLevelType w:val="multilevel"/>
    <w:tmpl w:val="57B065C6"/>
    <w:lvl w:ilvl="0">
      <w:start w:val="3"/>
      <w:numFmt w:val="decimal"/>
      <w:lvlText w:val="%1"/>
      <w:lvlJc w:val="left"/>
      <w:pPr>
        <w:ind w:left="360" w:hanging="360"/>
      </w:pPr>
      <w:rPr>
        <w:rFonts w:cs="Times New Roman" w:hint="default"/>
        <w:i/>
      </w:rPr>
    </w:lvl>
    <w:lvl w:ilvl="1">
      <w:start w:val="1"/>
      <w:numFmt w:val="decimal"/>
      <w:lvlText w:val="%1.%2"/>
      <w:lvlJc w:val="left"/>
      <w:pPr>
        <w:ind w:left="720" w:hanging="360"/>
      </w:pPr>
      <w:rPr>
        <w:rFonts w:cs="Times New Roman" w:hint="default"/>
        <w:i w:val="0"/>
      </w:rPr>
    </w:lvl>
    <w:lvl w:ilvl="2">
      <w:start w:val="1"/>
      <w:numFmt w:val="decimal"/>
      <w:lvlText w:val="%1.%2.%3"/>
      <w:lvlJc w:val="left"/>
      <w:pPr>
        <w:ind w:left="1080" w:hanging="360"/>
      </w:pPr>
      <w:rPr>
        <w:rFonts w:cs="Times New Roman" w:hint="default"/>
        <w:i/>
      </w:rPr>
    </w:lvl>
    <w:lvl w:ilvl="3">
      <w:start w:val="1"/>
      <w:numFmt w:val="decimal"/>
      <w:lvlText w:val="%1.%2.%3.%4"/>
      <w:lvlJc w:val="left"/>
      <w:pPr>
        <w:ind w:left="1800" w:hanging="720"/>
      </w:pPr>
      <w:rPr>
        <w:rFonts w:cs="Times New Roman" w:hint="default"/>
        <w:i/>
      </w:rPr>
    </w:lvl>
    <w:lvl w:ilvl="4">
      <w:start w:val="1"/>
      <w:numFmt w:val="decimal"/>
      <w:lvlText w:val="%1.%2.%3.%4.%5"/>
      <w:lvlJc w:val="left"/>
      <w:pPr>
        <w:ind w:left="2160" w:hanging="720"/>
      </w:pPr>
      <w:rPr>
        <w:rFonts w:cs="Times New Roman" w:hint="default"/>
        <w:i/>
      </w:rPr>
    </w:lvl>
    <w:lvl w:ilvl="5">
      <w:start w:val="1"/>
      <w:numFmt w:val="decimal"/>
      <w:lvlText w:val="%1.%2.%3.%4.%5.%6"/>
      <w:lvlJc w:val="left"/>
      <w:pPr>
        <w:ind w:left="2880" w:hanging="1080"/>
      </w:pPr>
      <w:rPr>
        <w:rFonts w:cs="Times New Roman" w:hint="default"/>
        <w:i/>
      </w:rPr>
    </w:lvl>
    <w:lvl w:ilvl="6">
      <w:start w:val="1"/>
      <w:numFmt w:val="decimal"/>
      <w:lvlText w:val="%1.%2.%3.%4.%5.%6.%7"/>
      <w:lvlJc w:val="left"/>
      <w:pPr>
        <w:ind w:left="3240" w:hanging="1080"/>
      </w:pPr>
      <w:rPr>
        <w:rFonts w:cs="Times New Roman" w:hint="default"/>
        <w:i/>
      </w:rPr>
    </w:lvl>
    <w:lvl w:ilvl="7">
      <w:start w:val="1"/>
      <w:numFmt w:val="decimal"/>
      <w:lvlText w:val="%1.%2.%3.%4.%5.%6.%7.%8"/>
      <w:lvlJc w:val="left"/>
      <w:pPr>
        <w:ind w:left="3600" w:hanging="1080"/>
      </w:pPr>
      <w:rPr>
        <w:rFonts w:cs="Times New Roman" w:hint="default"/>
        <w:i/>
      </w:rPr>
    </w:lvl>
    <w:lvl w:ilvl="8">
      <w:start w:val="1"/>
      <w:numFmt w:val="decimal"/>
      <w:lvlText w:val="%1.%2.%3.%4.%5.%6.%7.%8.%9"/>
      <w:lvlJc w:val="left"/>
      <w:pPr>
        <w:ind w:left="4320" w:hanging="1440"/>
      </w:pPr>
      <w:rPr>
        <w:rFonts w:cs="Times New Roman" w:hint="default"/>
        <w:i/>
      </w:rPr>
    </w:lvl>
  </w:abstractNum>
  <w:abstractNum w:abstractNumId="13">
    <w:nsid w:val="44A247A8"/>
    <w:multiLevelType w:val="hybridMultilevel"/>
    <w:tmpl w:val="BC021310"/>
    <w:lvl w:ilvl="0" w:tplc="A92EBBF2">
      <w:start w:val="1"/>
      <w:numFmt w:val="decimal"/>
      <w:pStyle w:val="A"/>
      <w:lvlText w:val="%1."/>
      <w:lvlJc w:val="left"/>
      <w:pPr>
        <w:tabs>
          <w:tab w:val="num" w:pos="1080"/>
        </w:tabs>
        <w:ind w:left="1080" w:hanging="720"/>
      </w:pPr>
      <w:rPr>
        <w:rFonts w:cs="Times New Roman" w:hint="default"/>
        <w:b w:val="0"/>
      </w:rPr>
    </w:lvl>
    <w:lvl w:ilvl="1" w:tplc="464C223C">
      <w:start w:val="1"/>
      <w:numFmt w:val="lowerRoman"/>
      <w:lvlText w:val="(%2)"/>
      <w:lvlJc w:val="left"/>
      <w:pPr>
        <w:tabs>
          <w:tab w:val="num" w:pos="900"/>
        </w:tabs>
        <w:ind w:left="9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55269C"/>
    <w:multiLevelType w:val="hybridMultilevel"/>
    <w:tmpl w:val="E7428E54"/>
    <w:lvl w:ilvl="0" w:tplc="5AFE600C">
      <w:start w:val="1"/>
      <w:numFmt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000A90"/>
    <w:multiLevelType w:val="hybridMultilevel"/>
    <w:tmpl w:val="5D5E4B90"/>
    <w:lvl w:ilvl="0" w:tplc="4558CEEC">
      <w:start w:val="1"/>
      <w:numFmt w:val="decimal"/>
      <w:pStyle w:val="ParaCharChar"/>
      <w:lvlText w:val="%1."/>
      <w:lvlJc w:val="left"/>
      <w:pPr>
        <w:tabs>
          <w:tab w:val="num" w:pos="360"/>
        </w:tabs>
      </w:pPr>
      <w:rPr>
        <w:rFonts w:cs="Times New Roman" w:hint="default"/>
      </w:rPr>
    </w:lvl>
    <w:lvl w:ilvl="1" w:tplc="DA384D2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57527B6"/>
    <w:multiLevelType w:val="hybridMultilevel"/>
    <w:tmpl w:val="00181012"/>
    <w:lvl w:ilvl="0" w:tplc="F5CA0A5C">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66E0674"/>
    <w:multiLevelType w:val="hybridMultilevel"/>
    <w:tmpl w:val="8C24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855BC"/>
    <w:multiLevelType w:val="hybridMultilevel"/>
    <w:tmpl w:val="A7C4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20B28"/>
    <w:multiLevelType w:val="hybridMultilevel"/>
    <w:tmpl w:val="5100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F1C7C"/>
    <w:multiLevelType w:val="hybridMultilevel"/>
    <w:tmpl w:val="CA6C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773D51"/>
    <w:multiLevelType w:val="multilevel"/>
    <w:tmpl w:val="31CE2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B853E1"/>
    <w:multiLevelType w:val="hybridMultilevel"/>
    <w:tmpl w:val="561CC2E4"/>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0"/>
  </w:num>
  <w:num w:numId="3">
    <w:abstractNumId w:val="3"/>
  </w:num>
  <w:num w:numId="4">
    <w:abstractNumId w:val="13"/>
  </w:num>
  <w:num w:numId="5">
    <w:abstractNumId w:val="1"/>
  </w:num>
  <w:num w:numId="6">
    <w:abstractNumId w:val="15"/>
  </w:num>
  <w:num w:numId="7">
    <w:abstractNumId w:val="4"/>
  </w:num>
  <w:num w:numId="8">
    <w:abstractNumId w:val="2"/>
  </w:num>
  <w:num w:numId="9">
    <w:abstractNumId w:val="6"/>
  </w:num>
  <w:num w:numId="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lvlOverride w:ilvl="0">
      <w:startOverride w:val="1"/>
    </w:lvlOverride>
  </w:num>
  <w:num w:numId="13">
    <w:abstractNumId w:val="14"/>
  </w:num>
  <w:num w:numId="14">
    <w:abstractNumId w:val="8"/>
  </w:num>
  <w:num w:numId="15">
    <w:abstractNumId w:val="10"/>
  </w:num>
  <w:num w:numId="16">
    <w:abstractNumId w:val="19"/>
  </w:num>
  <w:num w:numId="17">
    <w:abstractNumId w:val="9"/>
  </w:num>
  <w:num w:numId="18">
    <w:abstractNumId w:val="11"/>
  </w:num>
  <w:num w:numId="19">
    <w:abstractNumId w:val="5"/>
  </w:num>
  <w:num w:numId="20">
    <w:abstractNumId w:val="16"/>
  </w:num>
  <w:num w:numId="21">
    <w:abstractNumId w:val="18"/>
  </w:num>
  <w:num w:numId="22">
    <w:abstractNumId w:val="20"/>
  </w:num>
  <w:num w:numId="23">
    <w:abstractNumId w:val="7"/>
  </w:num>
  <w:num w:numId="24">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7ACA"/>
    <w:rsid w:val="00004755"/>
    <w:rsid w:val="00005F51"/>
    <w:rsid w:val="000111F3"/>
    <w:rsid w:val="000148FA"/>
    <w:rsid w:val="00014981"/>
    <w:rsid w:val="00020B7C"/>
    <w:rsid w:val="00021F02"/>
    <w:rsid w:val="000307F3"/>
    <w:rsid w:val="00036DC7"/>
    <w:rsid w:val="00040668"/>
    <w:rsid w:val="000434FB"/>
    <w:rsid w:val="00044807"/>
    <w:rsid w:val="00044B75"/>
    <w:rsid w:val="00044E29"/>
    <w:rsid w:val="000478FD"/>
    <w:rsid w:val="00047BBD"/>
    <w:rsid w:val="0005069F"/>
    <w:rsid w:val="00051CF9"/>
    <w:rsid w:val="000523AA"/>
    <w:rsid w:val="0006017E"/>
    <w:rsid w:val="0006036D"/>
    <w:rsid w:val="000637EC"/>
    <w:rsid w:val="0006607A"/>
    <w:rsid w:val="0006730F"/>
    <w:rsid w:val="00070D90"/>
    <w:rsid w:val="000718EE"/>
    <w:rsid w:val="00074F6E"/>
    <w:rsid w:val="00085977"/>
    <w:rsid w:val="00090AD4"/>
    <w:rsid w:val="00091E66"/>
    <w:rsid w:val="00095A86"/>
    <w:rsid w:val="000A0A4E"/>
    <w:rsid w:val="000A708D"/>
    <w:rsid w:val="000A75E1"/>
    <w:rsid w:val="000B2465"/>
    <w:rsid w:val="000C2C2B"/>
    <w:rsid w:val="000C3635"/>
    <w:rsid w:val="000C5C5F"/>
    <w:rsid w:val="000C5C63"/>
    <w:rsid w:val="000D3AEA"/>
    <w:rsid w:val="000D5A6D"/>
    <w:rsid w:val="000E1B86"/>
    <w:rsid w:val="000E6B1B"/>
    <w:rsid w:val="000F2E19"/>
    <w:rsid w:val="000F6B22"/>
    <w:rsid w:val="00100D18"/>
    <w:rsid w:val="00102DF5"/>
    <w:rsid w:val="00104FE5"/>
    <w:rsid w:val="00105EBA"/>
    <w:rsid w:val="001154FF"/>
    <w:rsid w:val="00115F8E"/>
    <w:rsid w:val="001228FC"/>
    <w:rsid w:val="00126E9E"/>
    <w:rsid w:val="00127FDC"/>
    <w:rsid w:val="00131314"/>
    <w:rsid w:val="0013309D"/>
    <w:rsid w:val="0013468D"/>
    <w:rsid w:val="00137C26"/>
    <w:rsid w:val="00143E75"/>
    <w:rsid w:val="00144583"/>
    <w:rsid w:val="001460C2"/>
    <w:rsid w:val="00147531"/>
    <w:rsid w:val="00147C73"/>
    <w:rsid w:val="0015107B"/>
    <w:rsid w:val="00151A26"/>
    <w:rsid w:val="001716A9"/>
    <w:rsid w:val="00173D5A"/>
    <w:rsid w:val="001873FF"/>
    <w:rsid w:val="001922CC"/>
    <w:rsid w:val="00195DD1"/>
    <w:rsid w:val="00196DFE"/>
    <w:rsid w:val="00197F62"/>
    <w:rsid w:val="001A0DDC"/>
    <w:rsid w:val="001A1906"/>
    <w:rsid w:val="001A24DC"/>
    <w:rsid w:val="001A45F2"/>
    <w:rsid w:val="001A4A7A"/>
    <w:rsid w:val="001A7C51"/>
    <w:rsid w:val="001A7F14"/>
    <w:rsid w:val="001B3397"/>
    <w:rsid w:val="001C0898"/>
    <w:rsid w:val="001C0F53"/>
    <w:rsid w:val="001C17C3"/>
    <w:rsid w:val="001D000C"/>
    <w:rsid w:val="001D4875"/>
    <w:rsid w:val="001E329D"/>
    <w:rsid w:val="001E5DEA"/>
    <w:rsid w:val="001F06BC"/>
    <w:rsid w:val="001F1208"/>
    <w:rsid w:val="001F324F"/>
    <w:rsid w:val="00203A02"/>
    <w:rsid w:val="00204429"/>
    <w:rsid w:val="00204DBE"/>
    <w:rsid w:val="00221B08"/>
    <w:rsid w:val="00221B8A"/>
    <w:rsid w:val="00221FC8"/>
    <w:rsid w:val="00223D4B"/>
    <w:rsid w:val="002243AD"/>
    <w:rsid w:val="002357AF"/>
    <w:rsid w:val="00237A00"/>
    <w:rsid w:val="00237B6F"/>
    <w:rsid w:val="00240A8D"/>
    <w:rsid w:val="002411CC"/>
    <w:rsid w:val="002437C9"/>
    <w:rsid w:val="00243F50"/>
    <w:rsid w:val="002457D3"/>
    <w:rsid w:val="00245FFA"/>
    <w:rsid w:val="00247AC0"/>
    <w:rsid w:val="00252988"/>
    <w:rsid w:val="00254E85"/>
    <w:rsid w:val="0025507D"/>
    <w:rsid w:val="002553F0"/>
    <w:rsid w:val="0025628C"/>
    <w:rsid w:val="002570B9"/>
    <w:rsid w:val="0026285A"/>
    <w:rsid w:val="00264240"/>
    <w:rsid w:val="00264B12"/>
    <w:rsid w:val="0027028A"/>
    <w:rsid w:val="002808CB"/>
    <w:rsid w:val="00282022"/>
    <w:rsid w:val="00282C59"/>
    <w:rsid w:val="0029050B"/>
    <w:rsid w:val="00296474"/>
    <w:rsid w:val="002A4E49"/>
    <w:rsid w:val="002A637E"/>
    <w:rsid w:val="002A6CBF"/>
    <w:rsid w:val="002B7EE9"/>
    <w:rsid w:val="002C1DBA"/>
    <w:rsid w:val="002C3B19"/>
    <w:rsid w:val="002C6927"/>
    <w:rsid w:val="002E5320"/>
    <w:rsid w:val="002F195F"/>
    <w:rsid w:val="003011EF"/>
    <w:rsid w:val="00302652"/>
    <w:rsid w:val="00305AF5"/>
    <w:rsid w:val="00310D6A"/>
    <w:rsid w:val="00312EB4"/>
    <w:rsid w:val="00316A9D"/>
    <w:rsid w:val="00323962"/>
    <w:rsid w:val="00323BC4"/>
    <w:rsid w:val="00324FB0"/>
    <w:rsid w:val="00333BED"/>
    <w:rsid w:val="00353CAE"/>
    <w:rsid w:val="003566E2"/>
    <w:rsid w:val="00365B53"/>
    <w:rsid w:val="00377A53"/>
    <w:rsid w:val="00377E3D"/>
    <w:rsid w:val="00380085"/>
    <w:rsid w:val="00382E7A"/>
    <w:rsid w:val="00386987"/>
    <w:rsid w:val="00390AAB"/>
    <w:rsid w:val="00391B5B"/>
    <w:rsid w:val="003A138B"/>
    <w:rsid w:val="003A3A7B"/>
    <w:rsid w:val="003A4806"/>
    <w:rsid w:val="003C1760"/>
    <w:rsid w:val="003D107D"/>
    <w:rsid w:val="003D1A61"/>
    <w:rsid w:val="003D1D99"/>
    <w:rsid w:val="003E4003"/>
    <w:rsid w:val="003F08FF"/>
    <w:rsid w:val="003F1D6E"/>
    <w:rsid w:val="003F2079"/>
    <w:rsid w:val="00402949"/>
    <w:rsid w:val="00402CC0"/>
    <w:rsid w:val="00404817"/>
    <w:rsid w:val="00410034"/>
    <w:rsid w:val="00413C6E"/>
    <w:rsid w:val="00417ACA"/>
    <w:rsid w:val="004206F6"/>
    <w:rsid w:val="00420764"/>
    <w:rsid w:val="00425E04"/>
    <w:rsid w:val="004273F4"/>
    <w:rsid w:val="00433685"/>
    <w:rsid w:val="00444FEE"/>
    <w:rsid w:val="00452C8F"/>
    <w:rsid w:val="00453FD3"/>
    <w:rsid w:val="004541FF"/>
    <w:rsid w:val="0046188C"/>
    <w:rsid w:val="004622DF"/>
    <w:rsid w:val="004630AA"/>
    <w:rsid w:val="00467FE9"/>
    <w:rsid w:val="004758EF"/>
    <w:rsid w:val="00486BD4"/>
    <w:rsid w:val="004A3491"/>
    <w:rsid w:val="004A4582"/>
    <w:rsid w:val="004B6AD1"/>
    <w:rsid w:val="004C155D"/>
    <w:rsid w:val="004C2754"/>
    <w:rsid w:val="004C36C4"/>
    <w:rsid w:val="004C6943"/>
    <w:rsid w:val="004C7094"/>
    <w:rsid w:val="004D05FB"/>
    <w:rsid w:val="004D07E3"/>
    <w:rsid w:val="004D46DD"/>
    <w:rsid w:val="004D59CD"/>
    <w:rsid w:val="004D60D6"/>
    <w:rsid w:val="004D7BAA"/>
    <w:rsid w:val="004E13FB"/>
    <w:rsid w:val="004E38E4"/>
    <w:rsid w:val="004F2005"/>
    <w:rsid w:val="0050127C"/>
    <w:rsid w:val="00504096"/>
    <w:rsid w:val="00507E70"/>
    <w:rsid w:val="00521AEF"/>
    <w:rsid w:val="00524614"/>
    <w:rsid w:val="00526669"/>
    <w:rsid w:val="005342F6"/>
    <w:rsid w:val="005347DB"/>
    <w:rsid w:val="00535E03"/>
    <w:rsid w:val="00536007"/>
    <w:rsid w:val="00536072"/>
    <w:rsid w:val="00543262"/>
    <w:rsid w:val="005450E1"/>
    <w:rsid w:val="005471BE"/>
    <w:rsid w:val="005570B0"/>
    <w:rsid w:val="005708E6"/>
    <w:rsid w:val="005722AC"/>
    <w:rsid w:val="00573E47"/>
    <w:rsid w:val="00573ED9"/>
    <w:rsid w:val="0057540D"/>
    <w:rsid w:val="00576D2B"/>
    <w:rsid w:val="00581C47"/>
    <w:rsid w:val="005830DA"/>
    <w:rsid w:val="00586DEE"/>
    <w:rsid w:val="005961E3"/>
    <w:rsid w:val="005962EB"/>
    <w:rsid w:val="005A0298"/>
    <w:rsid w:val="005A3F9A"/>
    <w:rsid w:val="005B3FFA"/>
    <w:rsid w:val="005C2979"/>
    <w:rsid w:val="005C3A96"/>
    <w:rsid w:val="005C6921"/>
    <w:rsid w:val="005D0BE0"/>
    <w:rsid w:val="005E0B57"/>
    <w:rsid w:val="005E494C"/>
    <w:rsid w:val="005E604F"/>
    <w:rsid w:val="005F75B1"/>
    <w:rsid w:val="0060175B"/>
    <w:rsid w:val="00605958"/>
    <w:rsid w:val="006108E0"/>
    <w:rsid w:val="00611AC4"/>
    <w:rsid w:val="00612EAF"/>
    <w:rsid w:val="006164D3"/>
    <w:rsid w:val="006260F4"/>
    <w:rsid w:val="00631288"/>
    <w:rsid w:val="00631903"/>
    <w:rsid w:val="00641697"/>
    <w:rsid w:val="00646B87"/>
    <w:rsid w:val="00651C7A"/>
    <w:rsid w:val="006563B3"/>
    <w:rsid w:val="0067072B"/>
    <w:rsid w:val="00673947"/>
    <w:rsid w:val="00674726"/>
    <w:rsid w:val="006828B8"/>
    <w:rsid w:val="00683B20"/>
    <w:rsid w:val="00683F8A"/>
    <w:rsid w:val="00695BC9"/>
    <w:rsid w:val="006A2A5F"/>
    <w:rsid w:val="006A6354"/>
    <w:rsid w:val="006B36B8"/>
    <w:rsid w:val="006B6EB1"/>
    <w:rsid w:val="006C5B76"/>
    <w:rsid w:val="006D2ECC"/>
    <w:rsid w:val="006D71C9"/>
    <w:rsid w:val="006E6FBA"/>
    <w:rsid w:val="006F11A1"/>
    <w:rsid w:val="006F1D87"/>
    <w:rsid w:val="006F4B83"/>
    <w:rsid w:val="0070193D"/>
    <w:rsid w:val="00707C01"/>
    <w:rsid w:val="007169AB"/>
    <w:rsid w:val="00717C34"/>
    <w:rsid w:val="00717E0A"/>
    <w:rsid w:val="00722EE3"/>
    <w:rsid w:val="00727339"/>
    <w:rsid w:val="00730757"/>
    <w:rsid w:val="00730BA2"/>
    <w:rsid w:val="007350B2"/>
    <w:rsid w:val="00735317"/>
    <w:rsid w:val="00736ABE"/>
    <w:rsid w:val="00742505"/>
    <w:rsid w:val="007433EA"/>
    <w:rsid w:val="007438B4"/>
    <w:rsid w:val="00744089"/>
    <w:rsid w:val="0074785F"/>
    <w:rsid w:val="00747F25"/>
    <w:rsid w:val="007523D9"/>
    <w:rsid w:val="007549C1"/>
    <w:rsid w:val="0076193D"/>
    <w:rsid w:val="00762F3A"/>
    <w:rsid w:val="00771B2A"/>
    <w:rsid w:val="00773AAC"/>
    <w:rsid w:val="00774C55"/>
    <w:rsid w:val="00777CEA"/>
    <w:rsid w:val="00780EAD"/>
    <w:rsid w:val="007819A5"/>
    <w:rsid w:val="00782058"/>
    <w:rsid w:val="00787DFD"/>
    <w:rsid w:val="00793FBC"/>
    <w:rsid w:val="007A1652"/>
    <w:rsid w:val="007A589E"/>
    <w:rsid w:val="007A76C8"/>
    <w:rsid w:val="007B0DC9"/>
    <w:rsid w:val="007B11D8"/>
    <w:rsid w:val="007B515F"/>
    <w:rsid w:val="007B5C10"/>
    <w:rsid w:val="007B6EC4"/>
    <w:rsid w:val="007B7EC8"/>
    <w:rsid w:val="007C2276"/>
    <w:rsid w:val="007D6356"/>
    <w:rsid w:val="007E3A70"/>
    <w:rsid w:val="007F260F"/>
    <w:rsid w:val="007F3779"/>
    <w:rsid w:val="00801631"/>
    <w:rsid w:val="008045F9"/>
    <w:rsid w:val="00807206"/>
    <w:rsid w:val="0080790E"/>
    <w:rsid w:val="00816007"/>
    <w:rsid w:val="00817B68"/>
    <w:rsid w:val="0082147F"/>
    <w:rsid w:val="00822532"/>
    <w:rsid w:val="008239E6"/>
    <w:rsid w:val="008244FE"/>
    <w:rsid w:val="00826328"/>
    <w:rsid w:val="00827157"/>
    <w:rsid w:val="00835E0D"/>
    <w:rsid w:val="00842AED"/>
    <w:rsid w:val="008445A3"/>
    <w:rsid w:val="00847C55"/>
    <w:rsid w:val="00851F53"/>
    <w:rsid w:val="00856D6E"/>
    <w:rsid w:val="008604DE"/>
    <w:rsid w:val="00863D5A"/>
    <w:rsid w:val="00866D70"/>
    <w:rsid w:val="00867196"/>
    <w:rsid w:val="00867926"/>
    <w:rsid w:val="00867C5E"/>
    <w:rsid w:val="00870A38"/>
    <w:rsid w:val="00872E8A"/>
    <w:rsid w:val="008750A5"/>
    <w:rsid w:val="00880E57"/>
    <w:rsid w:val="00881305"/>
    <w:rsid w:val="008840E7"/>
    <w:rsid w:val="00884E5C"/>
    <w:rsid w:val="00886160"/>
    <w:rsid w:val="00886257"/>
    <w:rsid w:val="00887835"/>
    <w:rsid w:val="00887E7E"/>
    <w:rsid w:val="00892C8D"/>
    <w:rsid w:val="0089525E"/>
    <w:rsid w:val="008A0D43"/>
    <w:rsid w:val="008B0A27"/>
    <w:rsid w:val="008B1CE4"/>
    <w:rsid w:val="008B46A3"/>
    <w:rsid w:val="008B5FAF"/>
    <w:rsid w:val="008C03B9"/>
    <w:rsid w:val="008C2B2E"/>
    <w:rsid w:val="008C2E49"/>
    <w:rsid w:val="008C384E"/>
    <w:rsid w:val="008C3B8E"/>
    <w:rsid w:val="008C4A19"/>
    <w:rsid w:val="008D18E0"/>
    <w:rsid w:val="008D309F"/>
    <w:rsid w:val="008D379B"/>
    <w:rsid w:val="008D7548"/>
    <w:rsid w:val="008E6D68"/>
    <w:rsid w:val="008F06E6"/>
    <w:rsid w:val="008F2682"/>
    <w:rsid w:val="008F30B4"/>
    <w:rsid w:val="008F3EA3"/>
    <w:rsid w:val="008F73A4"/>
    <w:rsid w:val="00902C72"/>
    <w:rsid w:val="00903156"/>
    <w:rsid w:val="0091119A"/>
    <w:rsid w:val="009128AF"/>
    <w:rsid w:val="0092243A"/>
    <w:rsid w:val="0092386A"/>
    <w:rsid w:val="00930762"/>
    <w:rsid w:val="00931912"/>
    <w:rsid w:val="00933C48"/>
    <w:rsid w:val="009352C3"/>
    <w:rsid w:val="00941BC5"/>
    <w:rsid w:val="009571D3"/>
    <w:rsid w:val="00961446"/>
    <w:rsid w:val="009632BD"/>
    <w:rsid w:val="00965A3B"/>
    <w:rsid w:val="0096649E"/>
    <w:rsid w:val="00967AFA"/>
    <w:rsid w:val="009718FF"/>
    <w:rsid w:val="00975853"/>
    <w:rsid w:val="009776D5"/>
    <w:rsid w:val="00985695"/>
    <w:rsid w:val="0098774F"/>
    <w:rsid w:val="009909A8"/>
    <w:rsid w:val="00991F43"/>
    <w:rsid w:val="00997275"/>
    <w:rsid w:val="009A1D83"/>
    <w:rsid w:val="009A33BE"/>
    <w:rsid w:val="009A4E30"/>
    <w:rsid w:val="009B0B0C"/>
    <w:rsid w:val="009B198F"/>
    <w:rsid w:val="009C1BAD"/>
    <w:rsid w:val="009C324D"/>
    <w:rsid w:val="009C346D"/>
    <w:rsid w:val="009C5166"/>
    <w:rsid w:val="009D7AEC"/>
    <w:rsid w:val="009E2A63"/>
    <w:rsid w:val="009E557D"/>
    <w:rsid w:val="009E7A0D"/>
    <w:rsid w:val="00A01B1C"/>
    <w:rsid w:val="00A0317A"/>
    <w:rsid w:val="00A06773"/>
    <w:rsid w:val="00A103C3"/>
    <w:rsid w:val="00A11823"/>
    <w:rsid w:val="00A153B8"/>
    <w:rsid w:val="00A21A76"/>
    <w:rsid w:val="00A23FC3"/>
    <w:rsid w:val="00A31D36"/>
    <w:rsid w:val="00A33C64"/>
    <w:rsid w:val="00A341E2"/>
    <w:rsid w:val="00A36748"/>
    <w:rsid w:val="00A40E70"/>
    <w:rsid w:val="00A41CB7"/>
    <w:rsid w:val="00A43738"/>
    <w:rsid w:val="00A43C1F"/>
    <w:rsid w:val="00A61903"/>
    <w:rsid w:val="00A73E02"/>
    <w:rsid w:val="00A77ABF"/>
    <w:rsid w:val="00A8267B"/>
    <w:rsid w:val="00A8289E"/>
    <w:rsid w:val="00A856D2"/>
    <w:rsid w:val="00A938C9"/>
    <w:rsid w:val="00A9399A"/>
    <w:rsid w:val="00AA2BB0"/>
    <w:rsid w:val="00AA6620"/>
    <w:rsid w:val="00AB1FBD"/>
    <w:rsid w:val="00AB2462"/>
    <w:rsid w:val="00AB2C34"/>
    <w:rsid w:val="00AB48F9"/>
    <w:rsid w:val="00AB672C"/>
    <w:rsid w:val="00AC232C"/>
    <w:rsid w:val="00AC35CC"/>
    <w:rsid w:val="00AD0C64"/>
    <w:rsid w:val="00AD786D"/>
    <w:rsid w:val="00AE03E9"/>
    <w:rsid w:val="00AE1A61"/>
    <w:rsid w:val="00AE340C"/>
    <w:rsid w:val="00AE6C0C"/>
    <w:rsid w:val="00B001D9"/>
    <w:rsid w:val="00B057ED"/>
    <w:rsid w:val="00B07891"/>
    <w:rsid w:val="00B13750"/>
    <w:rsid w:val="00B13B84"/>
    <w:rsid w:val="00B15E9F"/>
    <w:rsid w:val="00B179BB"/>
    <w:rsid w:val="00B2142A"/>
    <w:rsid w:val="00B222EA"/>
    <w:rsid w:val="00B2404B"/>
    <w:rsid w:val="00B24822"/>
    <w:rsid w:val="00B278B1"/>
    <w:rsid w:val="00B32FA1"/>
    <w:rsid w:val="00B358C3"/>
    <w:rsid w:val="00B42A2E"/>
    <w:rsid w:val="00B52DA0"/>
    <w:rsid w:val="00B55F2B"/>
    <w:rsid w:val="00B55FB4"/>
    <w:rsid w:val="00B61A58"/>
    <w:rsid w:val="00B63814"/>
    <w:rsid w:val="00B644B6"/>
    <w:rsid w:val="00B67E12"/>
    <w:rsid w:val="00B71321"/>
    <w:rsid w:val="00B71907"/>
    <w:rsid w:val="00B74FB6"/>
    <w:rsid w:val="00B7567F"/>
    <w:rsid w:val="00B775F5"/>
    <w:rsid w:val="00B8388B"/>
    <w:rsid w:val="00B85BD1"/>
    <w:rsid w:val="00B93569"/>
    <w:rsid w:val="00B977F9"/>
    <w:rsid w:val="00BA4164"/>
    <w:rsid w:val="00BA447F"/>
    <w:rsid w:val="00BA58BF"/>
    <w:rsid w:val="00BB2228"/>
    <w:rsid w:val="00BB272B"/>
    <w:rsid w:val="00BC594C"/>
    <w:rsid w:val="00BC7CFB"/>
    <w:rsid w:val="00BC7D97"/>
    <w:rsid w:val="00BD2E2A"/>
    <w:rsid w:val="00BD4DD6"/>
    <w:rsid w:val="00BD5389"/>
    <w:rsid w:val="00BE1049"/>
    <w:rsid w:val="00BE3B6B"/>
    <w:rsid w:val="00BF0884"/>
    <w:rsid w:val="00BF6168"/>
    <w:rsid w:val="00C05DC3"/>
    <w:rsid w:val="00C10D27"/>
    <w:rsid w:val="00C20893"/>
    <w:rsid w:val="00C3553B"/>
    <w:rsid w:val="00C50FC9"/>
    <w:rsid w:val="00C57D05"/>
    <w:rsid w:val="00C62BF9"/>
    <w:rsid w:val="00C647D6"/>
    <w:rsid w:val="00C67575"/>
    <w:rsid w:val="00C719E8"/>
    <w:rsid w:val="00C723E8"/>
    <w:rsid w:val="00C760C2"/>
    <w:rsid w:val="00C8000B"/>
    <w:rsid w:val="00C8089B"/>
    <w:rsid w:val="00C808B9"/>
    <w:rsid w:val="00C815F9"/>
    <w:rsid w:val="00C93267"/>
    <w:rsid w:val="00C9611F"/>
    <w:rsid w:val="00CA07AC"/>
    <w:rsid w:val="00CA0BAC"/>
    <w:rsid w:val="00CA4058"/>
    <w:rsid w:val="00CA5532"/>
    <w:rsid w:val="00CB776A"/>
    <w:rsid w:val="00CB7E67"/>
    <w:rsid w:val="00CC6EF6"/>
    <w:rsid w:val="00CC76A7"/>
    <w:rsid w:val="00CD059A"/>
    <w:rsid w:val="00CD1E3D"/>
    <w:rsid w:val="00CD407B"/>
    <w:rsid w:val="00CE1790"/>
    <w:rsid w:val="00CE1AF1"/>
    <w:rsid w:val="00CE37C2"/>
    <w:rsid w:val="00CE6259"/>
    <w:rsid w:val="00CF00CB"/>
    <w:rsid w:val="00D058D0"/>
    <w:rsid w:val="00D15745"/>
    <w:rsid w:val="00D15D49"/>
    <w:rsid w:val="00D16C44"/>
    <w:rsid w:val="00D171FA"/>
    <w:rsid w:val="00D21683"/>
    <w:rsid w:val="00D25899"/>
    <w:rsid w:val="00D30EC6"/>
    <w:rsid w:val="00D3506B"/>
    <w:rsid w:val="00D42334"/>
    <w:rsid w:val="00D42849"/>
    <w:rsid w:val="00D472CB"/>
    <w:rsid w:val="00D47E47"/>
    <w:rsid w:val="00D51A85"/>
    <w:rsid w:val="00D54452"/>
    <w:rsid w:val="00D5641D"/>
    <w:rsid w:val="00D67FEF"/>
    <w:rsid w:val="00D70221"/>
    <w:rsid w:val="00D729B5"/>
    <w:rsid w:val="00D76190"/>
    <w:rsid w:val="00D833C4"/>
    <w:rsid w:val="00D91835"/>
    <w:rsid w:val="00D92736"/>
    <w:rsid w:val="00D945C5"/>
    <w:rsid w:val="00D95BC3"/>
    <w:rsid w:val="00DA0B98"/>
    <w:rsid w:val="00DA2105"/>
    <w:rsid w:val="00DA2EFE"/>
    <w:rsid w:val="00DA3BBF"/>
    <w:rsid w:val="00DA6761"/>
    <w:rsid w:val="00DA6AB5"/>
    <w:rsid w:val="00DB4F0C"/>
    <w:rsid w:val="00DB6322"/>
    <w:rsid w:val="00DC4419"/>
    <w:rsid w:val="00DD1DC0"/>
    <w:rsid w:val="00DD39C6"/>
    <w:rsid w:val="00DE5312"/>
    <w:rsid w:val="00DE5B3F"/>
    <w:rsid w:val="00DE6277"/>
    <w:rsid w:val="00DE7E24"/>
    <w:rsid w:val="00DF0390"/>
    <w:rsid w:val="00DF37A8"/>
    <w:rsid w:val="00DF5DB8"/>
    <w:rsid w:val="00DF6103"/>
    <w:rsid w:val="00E00AA9"/>
    <w:rsid w:val="00E021F8"/>
    <w:rsid w:val="00E04BEE"/>
    <w:rsid w:val="00E11877"/>
    <w:rsid w:val="00E1296F"/>
    <w:rsid w:val="00E15322"/>
    <w:rsid w:val="00E20D64"/>
    <w:rsid w:val="00E229C4"/>
    <w:rsid w:val="00E315CD"/>
    <w:rsid w:val="00E32ED5"/>
    <w:rsid w:val="00E343C5"/>
    <w:rsid w:val="00E41810"/>
    <w:rsid w:val="00E42BD2"/>
    <w:rsid w:val="00E46B34"/>
    <w:rsid w:val="00E50446"/>
    <w:rsid w:val="00E511AE"/>
    <w:rsid w:val="00E60F11"/>
    <w:rsid w:val="00E706E0"/>
    <w:rsid w:val="00E71B8A"/>
    <w:rsid w:val="00E726B7"/>
    <w:rsid w:val="00E76E7E"/>
    <w:rsid w:val="00E801A3"/>
    <w:rsid w:val="00E81338"/>
    <w:rsid w:val="00E84E88"/>
    <w:rsid w:val="00E93EBC"/>
    <w:rsid w:val="00E96E2C"/>
    <w:rsid w:val="00EA2536"/>
    <w:rsid w:val="00EA2882"/>
    <w:rsid w:val="00EA28B2"/>
    <w:rsid w:val="00EB2D1A"/>
    <w:rsid w:val="00EB3194"/>
    <w:rsid w:val="00EC3137"/>
    <w:rsid w:val="00EC4FFC"/>
    <w:rsid w:val="00EC5113"/>
    <w:rsid w:val="00EC7327"/>
    <w:rsid w:val="00ED0A00"/>
    <w:rsid w:val="00ED3F05"/>
    <w:rsid w:val="00ED43A9"/>
    <w:rsid w:val="00ED4B98"/>
    <w:rsid w:val="00EE0C1B"/>
    <w:rsid w:val="00EE32EE"/>
    <w:rsid w:val="00EE3F45"/>
    <w:rsid w:val="00EE4002"/>
    <w:rsid w:val="00EE5FD2"/>
    <w:rsid w:val="00EF0E57"/>
    <w:rsid w:val="00EF5504"/>
    <w:rsid w:val="00EF6582"/>
    <w:rsid w:val="00EF6595"/>
    <w:rsid w:val="00EF6FEC"/>
    <w:rsid w:val="00F066F0"/>
    <w:rsid w:val="00F06AE5"/>
    <w:rsid w:val="00F06EF2"/>
    <w:rsid w:val="00F07E9F"/>
    <w:rsid w:val="00F17DCF"/>
    <w:rsid w:val="00F20596"/>
    <w:rsid w:val="00F2129E"/>
    <w:rsid w:val="00F218DF"/>
    <w:rsid w:val="00F21B60"/>
    <w:rsid w:val="00F2270E"/>
    <w:rsid w:val="00F24A6B"/>
    <w:rsid w:val="00F27BD6"/>
    <w:rsid w:val="00F33A8E"/>
    <w:rsid w:val="00F404B3"/>
    <w:rsid w:val="00F41A34"/>
    <w:rsid w:val="00F42085"/>
    <w:rsid w:val="00F4261F"/>
    <w:rsid w:val="00F42930"/>
    <w:rsid w:val="00F457DD"/>
    <w:rsid w:val="00F47629"/>
    <w:rsid w:val="00F5066F"/>
    <w:rsid w:val="00F562CE"/>
    <w:rsid w:val="00F608B8"/>
    <w:rsid w:val="00F64CAD"/>
    <w:rsid w:val="00F65EF7"/>
    <w:rsid w:val="00F66AC8"/>
    <w:rsid w:val="00F67F56"/>
    <w:rsid w:val="00F7223C"/>
    <w:rsid w:val="00F74318"/>
    <w:rsid w:val="00F75E84"/>
    <w:rsid w:val="00F80095"/>
    <w:rsid w:val="00F815E7"/>
    <w:rsid w:val="00F84975"/>
    <w:rsid w:val="00F853AA"/>
    <w:rsid w:val="00F86263"/>
    <w:rsid w:val="00F8758D"/>
    <w:rsid w:val="00F94CCE"/>
    <w:rsid w:val="00F9753D"/>
    <w:rsid w:val="00FA5804"/>
    <w:rsid w:val="00FA77B2"/>
    <w:rsid w:val="00FB324D"/>
    <w:rsid w:val="00FB4C71"/>
    <w:rsid w:val="00FC5AEF"/>
    <w:rsid w:val="00FD06FA"/>
    <w:rsid w:val="00FD2B3D"/>
    <w:rsid w:val="00FD2BD4"/>
    <w:rsid w:val="00FE1AAE"/>
    <w:rsid w:val="00FF2ACB"/>
    <w:rsid w:val="00FF2C59"/>
    <w:rsid w:val="00FF7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7540D"/>
    <w:pPr>
      <w:spacing w:after="200" w:line="276" w:lineRule="auto"/>
    </w:pPr>
  </w:style>
  <w:style w:type="paragraph" w:styleId="Heading1">
    <w:name w:val="heading 1"/>
    <w:basedOn w:val="Normal"/>
    <w:next w:val="Normal"/>
    <w:link w:val="Heading1Char"/>
    <w:uiPriority w:val="99"/>
    <w:qFormat/>
    <w:rsid w:val="00417ACA"/>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9"/>
    <w:qFormat/>
    <w:rsid w:val="00417ACA"/>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uiPriority w:val="99"/>
    <w:qFormat/>
    <w:rsid w:val="00417ACA"/>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9"/>
    <w:qFormat/>
    <w:rsid w:val="00417ACA"/>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uiPriority w:val="99"/>
    <w:qFormat/>
    <w:rsid w:val="00417ACA"/>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417ACA"/>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uiPriority w:val="99"/>
    <w:qFormat/>
    <w:rsid w:val="00417ACA"/>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uiPriority w:val="99"/>
    <w:qFormat/>
    <w:rsid w:val="00417ACA"/>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uiPriority w:val="99"/>
    <w:qFormat/>
    <w:rsid w:val="00417ACA"/>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7ACA"/>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9"/>
    <w:locked/>
    <w:rsid w:val="00417ACA"/>
    <w:rPr>
      <w:rFonts w:ascii="Times New Roman" w:hAnsi="Times New Roman" w:cs="Times New Roman"/>
      <w:i/>
      <w:iCs/>
      <w:sz w:val="24"/>
      <w:szCs w:val="24"/>
    </w:rPr>
  </w:style>
  <w:style w:type="character" w:customStyle="1" w:styleId="Heading3Char">
    <w:name w:val="Heading 3 Char"/>
    <w:basedOn w:val="DefaultParagraphFont"/>
    <w:link w:val="Heading3"/>
    <w:uiPriority w:val="99"/>
    <w:locked/>
    <w:rsid w:val="00417ACA"/>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417ACA"/>
    <w:rPr>
      <w:rFonts w:ascii="Times New Roman Bold" w:hAnsi="Times New Roman Bold" w:cs="Times New Roman"/>
      <w:b/>
      <w:smallCaps/>
      <w:color w:val="FFFFFF"/>
      <w:sz w:val="24"/>
      <w:szCs w:val="24"/>
      <w:shd w:val="clear" w:color="auto" w:fill="595959"/>
    </w:rPr>
  </w:style>
  <w:style w:type="character" w:customStyle="1" w:styleId="Heading5Char">
    <w:name w:val="Heading 5 Char"/>
    <w:basedOn w:val="DefaultParagraphFont"/>
    <w:link w:val="Heading5"/>
    <w:uiPriority w:val="99"/>
    <w:locked/>
    <w:rsid w:val="00417AC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417ACA"/>
    <w:rPr>
      <w:rFonts w:ascii="Times New Roman" w:hAnsi="Times New Roman" w:cs="Times New Roman"/>
      <w:b/>
      <w:bCs/>
      <w:smallCaps/>
      <w:sz w:val="24"/>
      <w:szCs w:val="24"/>
    </w:rPr>
  </w:style>
  <w:style w:type="character" w:customStyle="1" w:styleId="Heading7Char">
    <w:name w:val="Heading 7 Char"/>
    <w:basedOn w:val="DefaultParagraphFont"/>
    <w:link w:val="Heading7"/>
    <w:uiPriority w:val="99"/>
    <w:locked/>
    <w:rsid w:val="00417ACA"/>
    <w:rPr>
      <w:rFonts w:ascii="Times New Roman" w:hAnsi="Times New Roman" w:cs="Times New Roman"/>
      <w:b/>
      <w:bCs/>
      <w:sz w:val="24"/>
      <w:szCs w:val="24"/>
    </w:rPr>
  </w:style>
  <w:style w:type="character" w:customStyle="1" w:styleId="Heading8Char">
    <w:name w:val="Heading 8 Char"/>
    <w:basedOn w:val="DefaultParagraphFont"/>
    <w:link w:val="Heading8"/>
    <w:uiPriority w:val="99"/>
    <w:locked/>
    <w:rsid w:val="00417ACA"/>
    <w:rPr>
      <w:rFonts w:ascii="Times New Roman" w:hAnsi="Times New Roman" w:cs="Times New Roman"/>
      <w:b/>
      <w:bCs/>
      <w:sz w:val="24"/>
      <w:szCs w:val="24"/>
    </w:rPr>
  </w:style>
  <w:style w:type="character" w:customStyle="1" w:styleId="Heading9Char">
    <w:name w:val="Heading 9 Char"/>
    <w:basedOn w:val="DefaultParagraphFont"/>
    <w:link w:val="Heading9"/>
    <w:uiPriority w:val="99"/>
    <w:locked/>
    <w:rsid w:val="00417ACA"/>
    <w:rPr>
      <w:rFonts w:ascii="Times New Roman" w:hAnsi="Times New Roman" w:cs="Times New Roman"/>
      <w:b/>
      <w:bCs/>
      <w:sz w:val="24"/>
      <w:szCs w:val="24"/>
    </w:rPr>
  </w:style>
  <w:style w:type="paragraph" w:styleId="BalloonText">
    <w:name w:val="Balloon Text"/>
    <w:basedOn w:val="Normal"/>
    <w:link w:val="BalloonTextChar1"/>
    <w:uiPriority w:val="99"/>
    <w:semiHidden/>
    <w:rsid w:val="00417A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E93EBC"/>
    <w:rPr>
      <w:rFonts w:ascii="Lucida Grande" w:hAnsi="Lucida Grande" w:cs="Times New Roman"/>
      <w:sz w:val="18"/>
      <w:szCs w:val="18"/>
    </w:rPr>
  </w:style>
  <w:style w:type="character" w:customStyle="1" w:styleId="BalloonTextChar4">
    <w:name w:val="Balloon Text Char4"/>
    <w:basedOn w:val="DefaultParagraphFont"/>
    <w:link w:val="BalloonText"/>
    <w:uiPriority w:val="99"/>
    <w:semiHidden/>
    <w:locked/>
    <w:rsid w:val="00E93EBC"/>
    <w:rPr>
      <w:rFonts w:ascii="Lucida Grande" w:hAnsi="Lucida Grande" w:cs="Times New Roman"/>
      <w:sz w:val="18"/>
      <w:szCs w:val="18"/>
    </w:rPr>
  </w:style>
  <w:style w:type="character" w:customStyle="1" w:styleId="BalloonTextChar3">
    <w:name w:val="Balloon Text Char3"/>
    <w:basedOn w:val="DefaultParagraphFont"/>
    <w:link w:val="BalloonText"/>
    <w:uiPriority w:val="99"/>
    <w:semiHidden/>
    <w:locked/>
    <w:rsid w:val="00E93EBC"/>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sid w:val="00E93EBC"/>
    <w:rPr>
      <w:rFonts w:ascii="Lucida Grande" w:hAnsi="Lucida Grande" w:cs="Times New Roman"/>
      <w:sz w:val="18"/>
      <w:szCs w:val="18"/>
    </w:rPr>
  </w:style>
  <w:style w:type="paragraph" w:styleId="Footer">
    <w:name w:val="footer"/>
    <w:basedOn w:val="Normal"/>
    <w:link w:val="FooterChar"/>
    <w:uiPriority w:val="99"/>
    <w:rsid w:val="00417AC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417ACA"/>
    <w:rPr>
      <w:rFonts w:ascii="Times New Roman" w:hAnsi="Times New Roman" w:cs="Times New Roman"/>
      <w:sz w:val="24"/>
      <w:szCs w:val="24"/>
    </w:rPr>
  </w:style>
  <w:style w:type="character" w:styleId="PageNumber">
    <w:name w:val="page number"/>
    <w:basedOn w:val="DefaultParagraphFont"/>
    <w:uiPriority w:val="99"/>
    <w:rsid w:val="00417ACA"/>
    <w:rPr>
      <w:rFonts w:cs="Times New Roman"/>
    </w:rPr>
  </w:style>
  <w:style w:type="paragraph" w:styleId="Header">
    <w:name w:val="header"/>
    <w:basedOn w:val="Normal"/>
    <w:link w:val="HeaderChar"/>
    <w:uiPriority w:val="99"/>
    <w:rsid w:val="00417AC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417ACA"/>
    <w:rPr>
      <w:rFonts w:ascii="Times New Roman" w:hAnsi="Times New Roman" w:cs="Times New Roman"/>
      <w:sz w:val="24"/>
      <w:szCs w:val="24"/>
    </w:rPr>
  </w:style>
  <w:style w:type="paragraph" w:styleId="BodyText">
    <w:name w:val="Body Text"/>
    <w:basedOn w:val="Normal"/>
    <w:link w:val="BodyTextChar"/>
    <w:uiPriority w:val="99"/>
    <w:rsid w:val="00417ACA"/>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locked/>
    <w:rsid w:val="00417ACA"/>
    <w:rPr>
      <w:rFonts w:ascii="Times New Roman" w:hAnsi="Times New Roman" w:cs="Times New Roman"/>
      <w:sz w:val="24"/>
      <w:szCs w:val="24"/>
    </w:rPr>
  </w:style>
  <w:style w:type="paragraph" w:styleId="Caption">
    <w:name w:val="caption"/>
    <w:basedOn w:val="Normal"/>
    <w:next w:val="Normal"/>
    <w:uiPriority w:val="99"/>
    <w:qFormat/>
    <w:rsid w:val="00417ACA"/>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uiPriority w:val="99"/>
    <w:rsid w:val="00417ACA"/>
    <w:pPr>
      <w:spacing w:after="0" w:line="240" w:lineRule="auto"/>
    </w:pPr>
    <w:rPr>
      <w:rFonts w:ascii="Times New Roman" w:eastAsia="Times New Roman" w:hAnsi="Times New Roman"/>
      <w:b/>
      <w:bCs/>
      <w:smallCaps/>
      <w:sz w:val="24"/>
      <w:szCs w:val="24"/>
    </w:rPr>
  </w:style>
  <w:style w:type="character" w:customStyle="1" w:styleId="BodyText2Char">
    <w:name w:val="Body Text 2 Char"/>
    <w:basedOn w:val="DefaultParagraphFont"/>
    <w:link w:val="BodyText2"/>
    <w:uiPriority w:val="99"/>
    <w:locked/>
    <w:rsid w:val="00417ACA"/>
    <w:rPr>
      <w:rFonts w:ascii="Times New Roman" w:hAnsi="Times New Roman" w:cs="Times New Roman"/>
      <w:b/>
      <w:bCs/>
      <w:smallCaps/>
      <w:sz w:val="24"/>
      <w:szCs w:val="24"/>
    </w:rPr>
  </w:style>
  <w:style w:type="paragraph" w:customStyle="1" w:styleId="Outline">
    <w:name w:val="Outline"/>
    <w:basedOn w:val="Normal"/>
    <w:uiPriority w:val="99"/>
    <w:rsid w:val="00417ACA"/>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uiPriority w:val="99"/>
    <w:rsid w:val="00417ACA"/>
    <w:pPr>
      <w:spacing w:after="0" w:line="240" w:lineRule="auto"/>
      <w:ind w:left="360"/>
    </w:pPr>
    <w:rPr>
      <w:rFonts w:ascii="Times New Roman" w:eastAsia="Times New Roman" w:hAnsi="Times New Roman"/>
      <w:i/>
      <w:iCs/>
      <w:szCs w:val="24"/>
    </w:rPr>
  </w:style>
  <w:style w:type="character" w:customStyle="1" w:styleId="BodyTextIndent2Char">
    <w:name w:val="Body Text Indent 2 Char"/>
    <w:basedOn w:val="DefaultParagraphFont"/>
    <w:link w:val="BodyTextIndent2"/>
    <w:uiPriority w:val="99"/>
    <w:locked/>
    <w:rsid w:val="00417ACA"/>
    <w:rPr>
      <w:rFonts w:ascii="Times New Roman" w:hAnsi="Times New Roman" w:cs="Times New Roman"/>
      <w:i/>
      <w:iCs/>
      <w:sz w:val="24"/>
      <w:szCs w:val="24"/>
    </w:rPr>
  </w:style>
  <w:style w:type="character" w:styleId="Hyperlink">
    <w:name w:val="Hyperlink"/>
    <w:basedOn w:val="DefaultParagraphFont"/>
    <w:uiPriority w:val="99"/>
    <w:rsid w:val="00417ACA"/>
    <w:rPr>
      <w:rFonts w:cs="Times New Roman"/>
      <w:color w:val="0000FF"/>
      <w:u w:val="single"/>
    </w:rPr>
  </w:style>
  <w:style w:type="paragraph" w:styleId="BodyTextIndent">
    <w:name w:val="Body Text Indent"/>
    <w:basedOn w:val="Normal"/>
    <w:link w:val="BodyTextIndentChar"/>
    <w:uiPriority w:val="99"/>
    <w:rsid w:val="00417ACA"/>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417ACA"/>
    <w:rPr>
      <w:rFonts w:ascii="Times New Roman" w:hAnsi="Times New Roman" w:cs="Times New Roman"/>
      <w:sz w:val="24"/>
      <w:szCs w:val="24"/>
    </w:rPr>
  </w:style>
  <w:style w:type="paragraph" w:styleId="BodyTextIndent3">
    <w:name w:val="Body Text Indent 3"/>
    <w:basedOn w:val="Normal"/>
    <w:link w:val="BodyTextIndent3Char"/>
    <w:uiPriority w:val="99"/>
    <w:rsid w:val="00417ACA"/>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417ACA"/>
    <w:rPr>
      <w:rFonts w:ascii="Times New Roman" w:hAnsi="Times New Roman" w:cs="Times New Roman"/>
      <w:sz w:val="24"/>
      <w:szCs w:val="24"/>
    </w:rPr>
  </w:style>
  <w:style w:type="character" w:customStyle="1" w:styleId="BalloonTextChar1">
    <w:name w:val="Balloon Text Char1"/>
    <w:basedOn w:val="DefaultParagraphFont"/>
    <w:link w:val="BalloonText"/>
    <w:uiPriority w:val="99"/>
    <w:semiHidden/>
    <w:locked/>
    <w:rsid w:val="00417ACA"/>
    <w:rPr>
      <w:rFonts w:ascii="Tahoma" w:hAnsi="Tahoma" w:cs="Tahoma"/>
      <w:sz w:val="16"/>
      <w:szCs w:val="16"/>
    </w:rPr>
  </w:style>
  <w:style w:type="table" w:styleId="TableGrid">
    <w:name w:val="Table Grid"/>
    <w:basedOn w:val="TableNormal"/>
    <w:uiPriority w:val="99"/>
    <w:rsid w:val="00417AC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
    <w:basedOn w:val="Normal"/>
    <w:link w:val="FootnoteTextChar1"/>
    <w:uiPriority w:val="99"/>
    <w:rsid w:val="00417ACA"/>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link w:val="FootnoteText"/>
    <w:uiPriority w:val="99"/>
    <w:locked/>
    <w:rsid w:val="00826328"/>
    <w:rPr>
      <w:rFonts w:cs="Times New Roman"/>
      <w:sz w:val="20"/>
      <w:szCs w:val="20"/>
      <w:lang w:val="en-US" w:eastAsia="en-US"/>
    </w:rPr>
  </w:style>
  <w:style w:type="character" w:customStyle="1" w:styleId="FootnoteTextChar1">
    <w:name w:val="Footnote Text Char1"/>
    <w:aliases w:val="Geneva 9 Char1,Font: Geneva 9 Char1,Boston 10 Char1,f Char1,otnote Text Char1,Footnote Char1,ft Char1,Char Char Char Char Char1,single space Char1,Fußnote Char1,ADB Char Char Char2,ADB Char Char Char Char1,FOOTNOTES Char,fn Char"/>
    <w:basedOn w:val="DefaultParagraphFont"/>
    <w:link w:val="FootnoteText"/>
    <w:uiPriority w:val="99"/>
    <w:locked/>
    <w:rsid w:val="00417ACA"/>
    <w:rPr>
      <w:rFonts w:ascii="Times New Roman" w:hAnsi="Times New Roman" w:cs="Times New Roman"/>
      <w:sz w:val="20"/>
      <w:szCs w:val="20"/>
    </w:rPr>
  </w:style>
  <w:style w:type="character" w:styleId="FootnoteReference">
    <w:name w:val="footnote reference"/>
    <w:aliases w:val="16 Point,Superscript 6 Point,Superscript 6 Point + 11 pt,ftref,BVI fnr,BVI fnr Car Car,BVI fnr Car,BVI fnr Car Car Car Car,Footnote text"/>
    <w:basedOn w:val="DefaultParagraphFont"/>
    <w:uiPriority w:val="99"/>
    <w:rsid w:val="00417ACA"/>
    <w:rPr>
      <w:rFonts w:cs="Times New Roman"/>
      <w:vertAlign w:val="superscript"/>
    </w:rPr>
  </w:style>
  <w:style w:type="character" w:styleId="FollowedHyperlink">
    <w:name w:val="FollowedHyperlink"/>
    <w:basedOn w:val="DefaultParagraphFont"/>
    <w:uiPriority w:val="99"/>
    <w:rsid w:val="00417ACA"/>
    <w:rPr>
      <w:rFonts w:cs="Times New Roman"/>
      <w:color w:val="606420"/>
      <w:u w:val="single"/>
    </w:rPr>
  </w:style>
  <w:style w:type="paragraph" w:styleId="DocumentMap">
    <w:name w:val="Document Map"/>
    <w:basedOn w:val="Normal"/>
    <w:link w:val="DocumentMapChar"/>
    <w:uiPriority w:val="99"/>
    <w:semiHidden/>
    <w:rsid w:val="00417A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417ACA"/>
    <w:rPr>
      <w:rFonts w:ascii="Tahoma" w:hAnsi="Tahoma" w:cs="Tahoma"/>
      <w:sz w:val="20"/>
      <w:szCs w:val="20"/>
      <w:shd w:val="clear" w:color="auto" w:fill="000080"/>
    </w:rPr>
  </w:style>
  <w:style w:type="paragraph" w:customStyle="1" w:styleId="MainParanoChapter">
    <w:name w:val="Main Para no Chapter #"/>
    <w:basedOn w:val="Normal"/>
    <w:link w:val="MainParanoChapterChar"/>
    <w:autoRedefine/>
    <w:uiPriority w:val="99"/>
    <w:rsid w:val="00417ACA"/>
    <w:pPr>
      <w:numPr>
        <w:numId w:val="3"/>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417ACA"/>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autoRedefine/>
    <w:uiPriority w:val="99"/>
    <w:qFormat/>
    <w:rsid w:val="00EB2D1A"/>
    <w:pPr>
      <w:autoSpaceDE w:val="0"/>
      <w:autoSpaceDN w:val="0"/>
      <w:adjustRightInd w:val="0"/>
      <w:spacing w:after="0" w:line="240" w:lineRule="auto"/>
      <w:contextualSpacing/>
    </w:pPr>
    <w:rPr>
      <w:rFonts w:ascii="Times New Roman" w:eastAsia="Times New Roman" w:hAnsi="Times New Roman"/>
      <w:szCs w:val="18"/>
      <w:lang w:val="en-GB"/>
    </w:rPr>
  </w:style>
  <w:style w:type="character" w:customStyle="1" w:styleId="MainParanoChapterChar">
    <w:name w:val="Main Para no Chapter # Char"/>
    <w:basedOn w:val="DefaultParagraphFont"/>
    <w:link w:val="MainParanoChapter"/>
    <w:uiPriority w:val="99"/>
    <w:locked/>
    <w:rsid w:val="00417ACA"/>
    <w:rPr>
      <w:rFonts w:ascii="Times New Roman" w:hAnsi="Times New Roman" w:cs="Times New Roman"/>
      <w:color w:val="000000"/>
      <w:sz w:val="24"/>
      <w:szCs w:val="24"/>
    </w:rPr>
  </w:style>
  <w:style w:type="paragraph" w:styleId="NoSpacing">
    <w:name w:val="No Spacing"/>
    <w:uiPriority w:val="99"/>
    <w:qFormat/>
    <w:rsid w:val="00417ACA"/>
    <w:rPr>
      <w:rFonts w:eastAsia="Times New Roman"/>
    </w:rPr>
  </w:style>
  <w:style w:type="character" w:styleId="CommentReference">
    <w:name w:val="annotation reference"/>
    <w:basedOn w:val="DefaultParagraphFont"/>
    <w:uiPriority w:val="99"/>
    <w:rsid w:val="00417ACA"/>
    <w:rPr>
      <w:rFonts w:cs="Times New Roman"/>
      <w:sz w:val="16"/>
      <w:szCs w:val="16"/>
    </w:rPr>
  </w:style>
  <w:style w:type="paragraph" w:styleId="CommentText">
    <w:name w:val="annotation text"/>
    <w:basedOn w:val="Normal"/>
    <w:link w:val="CommentTextChar"/>
    <w:uiPriority w:val="99"/>
    <w:rsid w:val="00417AC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417A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417ACA"/>
    <w:rPr>
      <w:b/>
      <w:bCs/>
    </w:rPr>
  </w:style>
  <w:style w:type="character" w:customStyle="1" w:styleId="CommentSubjectChar">
    <w:name w:val="Comment Subject Char"/>
    <w:basedOn w:val="CommentTextChar"/>
    <w:link w:val="CommentSubject"/>
    <w:uiPriority w:val="99"/>
    <w:locked/>
    <w:rsid w:val="00417ACA"/>
    <w:rPr>
      <w:b/>
      <w:bCs/>
    </w:rPr>
  </w:style>
  <w:style w:type="paragraph" w:customStyle="1" w:styleId="A">
    <w:name w:val="A"/>
    <w:basedOn w:val="Normal"/>
    <w:uiPriority w:val="99"/>
    <w:rsid w:val="003E4003"/>
    <w:pPr>
      <w:numPr>
        <w:numId w:val="4"/>
      </w:numPr>
      <w:spacing w:after="100" w:line="240" w:lineRule="auto"/>
      <w:jc w:val="both"/>
    </w:pPr>
    <w:rPr>
      <w:rFonts w:ascii="Times New Roman" w:eastAsia="Times New Roman" w:hAnsi="Times New Roman"/>
    </w:rPr>
  </w:style>
  <w:style w:type="paragraph" w:customStyle="1" w:styleId="aaa">
    <w:name w:val="aaa"/>
    <w:basedOn w:val="A"/>
    <w:uiPriority w:val="99"/>
    <w:rsid w:val="003E4003"/>
    <w:pPr>
      <w:jc w:val="left"/>
    </w:pPr>
  </w:style>
  <w:style w:type="paragraph" w:customStyle="1" w:styleId="B">
    <w:name w:val="B"/>
    <w:basedOn w:val="Normal"/>
    <w:link w:val="BChar"/>
    <w:uiPriority w:val="99"/>
    <w:rsid w:val="00BC594C"/>
    <w:pPr>
      <w:spacing w:before="80" w:after="0" w:line="240" w:lineRule="auto"/>
    </w:pPr>
    <w:rPr>
      <w:rFonts w:ascii="Times New Roman" w:eastAsia="Times New Roman" w:hAnsi="Times New Roman"/>
      <w:sz w:val="18"/>
      <w:szCs w:val="18"/>
    </w:rPr>
  </w:style>
  <w:style w:type="character" w:customStyle="1" w:styleId="BChar">
    <w:name w:val="B Char"/>
    <w:basedOn w:val="DefaultParagraphFont"/>
    <w:link w:val="B"/>
    <w:uiPriority w:val="99"/>
    <w:locked/>
    <w:rsid w:val="00BC594C"/>
    <w:rPr>
      <w:rFonts w:ascii="Times New Roman" w:hAnsi="Times New Roman" w:cs="Times New Roman"/>
      <w:sz w:val="18"/>
      <w:szCs w:val="18"/>
    </w:rPr>
  </w:style>
  <w:style w:type="paragraph" w:customStyle="1" w:styleId="Normal1">
    <w:name w:val="Normal1"/>
    <w:uiPriority w:val="99"/>
    <w:rsid w:val="0050127C"/>
    <w:pPr>
      <w:widowControl w:val="0"/>
    </w:pPr>
    <w:rPr>
      <w:rFonts w:ascii="Arial" w:eastAsia="Times New Roman" w:hAnsi="Arial"/>
      <w:b/>
      <w:sz w:val="20"/>
      <w:szCs w:val="20"/>
      <w:lang w:val="ru-RU" w:eastAsia="ru-RU"/>
    </w:rPr>
  </w:style>
  <w:style w:type="character" w:customStyle="1" w:styleId="sciname">
    <w:name w:val="sciname"/>
    <w:basedOn w:val="DefaultParagraphFont"/>
    <w:uiPriority w:val="99"/>
    <w:rsid w:val="005342F6"/>
    <w:rPr>
      <w:rFonts w:cs="Times New Roman"/>
      <w:i/>
      <w:iCs/>
    </w:rPr>
  </w:style>
  <w:style w:type="paragraph" w:customStyle="1" w:styleId="aaaa">
    <w:name w:val="aaaa"/>
    <w:basedOn w:val="A"/>
    <w:uiPriority w:val="99"/>
    <w:rsid w:val="008D379B"/>
    <w:pPr>
      <w:numPr>
        <w:numId w:val="0"/>
      </w:numPr>
      <w:tabs>
        <w:tab w:val="num" w:pos="360"/>
        <w:tab w:val="num" w:pos="720"/>
      </w:tabs>
      <w:jc w:val="left"/>
    </w:pPr>
  </w:style>
  <w:style w:type="paragraph" w:customStyle="1" w:styleId="a0">
    <w:name w:val="Стиль"/>
    <w:uiPriority w:val="99"/>
    <w:rsid w:val="00F75E84"/>
    <w:pPr>
      <w:widowControl w:val="0"/>
      <w:autoSpaceDE w:val="0"/>
      <w:autoSpaceDN w:val="0"/>
      <w:adjustRightInd w:val="0"/>
      <w:spacing w:before="100" w:after="100"/>
    </w:pPr>
    <w:rPr>
      <w:rFonts w:ascii="Times New Roman" w:eastAsia="Times New Roman" w:hAnsi="Times New Roman"/>
      <w:sz w:val="24"/>
      <w:szCs w:val="20"/>
      <w:lang w:val="ru-RU"/>
    </w:rPr>
  </w:style>
  <w:style w:type="character" w:customStyle="1" w:styleId="apple-style-span">
    <w:name w:val="apple-style-span"/>
    <w:basedOn w:val="DefaultParagraphFont"/>
    <w:uiPriority w:val="99"/>
    <w:rsid w:val="00F75E84"/>
    <w:rPr>
      <w:rFonts w:cs="Times New Roman"/>
    </w:rPr>
  </w:style>
  <w:style w:type="character" w:styleId="Strong">
    <w:name w:val="Strong"/>
    <w:basedOn w:val="DefaultParagraphFont"/>
    <w:uiPriority w:val="99"/>
    <w:qFormat/>
    <w:rsid w:val="00A11823"/>
    <w:rPr>
      <w:rFonts w:cs="Times New Roman"/>
      <w:b/>
      <w:bCs/>
    </w:rPr>
  </w:style>
  <w:style w:type="paragraph" w:styleId="Revision">
    <w:name w:val="Revision"/>
    <w:hidden/>
    <w:uiPriority w:val="99"/>
    <w:rsid w:val="0092386A"/>
  </w:style>
  <w:style w:type="paragraph" w:customStyle="1" w:styleId="ParaCharChar">
    <w:name w:val="Para Char Char"/>
    <w:basedOn w:val="Normal"/>
    <w:link w:val="ParaCharCharChar"/>
    <w:autoRedefine/>
    <w:uiPriority w:val="99"/>
    <w:rsid w:val="00535E03"/>
    <w:pPr>
      <w:numPr>
        <w:numId w:val="6"/>
      </w:numPr>
      <w:tabs>
        <w:tab w:val="left" w:pos="720"/>
      </w:tabs>
      <w:spacing w:before="120" w:after="0" w:line="240" w:lineRule="auto"/>
      <w:jc w:val="both"/>
    </w:pPr>
    <w:rPr>
      <w:rFonts w:ascii="Times New Roman" w:eastAsia="Times New Roman" w:hAnsi="Times New Roman"/>
      <w:bCs/>
      <w:iCs/>
      <w:noProof/>
      <w:color w:val="000000"/>
      <w:lang w:val="en-GB"/>
    </w:rPr>
  </w:style>
  <w:style w:type="character" w:customStyle="1" w:styleId="ParaCharCharChar">
    <w:name w:val="Para Char Char Char"/>
    <w:basedOn w:val="DefaultParagraphFont"/>
    <w:link w:val="ParaCharChar"/>
    <w:uiPriority w:val="99"/>
    <w:locked/>
    <w:rsid w:val="00535E03"/>
    <w:rPr>
      <w:rFonts w:ascii="Times New Roman" w:hAnsi="Times New Roman" w:cs="Times New Roman"/>
      <w:bCs/>
      <w:iCs/>
      <w:noProof/>
      <w:color w:val="000000"/>
      <w:sz w:val="22"/>
      <w:szCs w:val="22"/>
      <w:lang w:val="en-GB"/>
    </w:rPr>
  </w:style>
  <w:style w:type="paragraph" w:customStyle="1" w:styleId="TableText">
    <w:name w:val="TableText"/>
    <w:link w:val="TableTextChar"/>
    <w:autoRedefine/>
    <w:uiPriority w:val="99"/>
    <w:rsid w:val="00144583"/>
    <w:pPr>
      <w:tabs>
        <w:tab w:val="left" w:pos="-720"/>
      </w:tabs>
      <w:suppressAutoHyphens/>
    </w:pPr>
    <w:rPr>
      <w:rFonts w:ascii="Times New Roman" w:eastAsia="Times New Roman" w:hAnsi="Times New Roman"/>
      <w:sz w:val="18"/>
      <w:szCs w:val="18"/>
      <w:lang w:val="en-GB"/>
    </w:rPr>
  </w:style>
  <w:style w:type="character" w:customStyle="1" w:styleId="TableTextChar">
    <w:name w:val="TableText Char"/>
    <w:basedOn w:val="DefaultParagraphFont"/>
    <w:link w:val="TableText"/>
    <w:uiPriority w:val="99"/>
    <w:locked/>
    <w:rsid w:val="00144583"/>
    <w:rPr>
      <w:rFonts w:ascii="Times New Roman" w:hAnsi="Times New Roman" w:cs="Times New Roman"/>
      <w:sz w:val="18"/>
      <w:szCs w:val="18"/>
      <w:lang w:val="en-GB" w:eastAsia="en-US" w:bidi="ar-SA"/>
    </w:rPr>
  </w:style>
  <w:style w:type="paragraph" w:customStyle="1" w:styleId="Bb">
    <w:name w:val="Bb"/>
    <w:basedOn w:val="Normal"/>
    <w:uiPriority w:val="99"/>
    <w:rsid w:val="00F65EF7"/>
    <w:pPr>
      <w:spacing w:after="120" w:line="240" w:lineRule="auto"/>
    </w:pPr>
    <w:rPr>
      <w:rFonts w:ascii="Times New Roman" w:eastAsia="Times New Roman" w:hAnsi="Times New Roman"/>
    </w:rPr>
  </w:style>
  <w:style w:type="table" w:customStyle="1" w:styleId="TableGrid1">
    <w:name w:val="Table Grid1"/>
    <w:uiPriority w:val="99"/>
    <w:rsid w:val="00467F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8082844">
      <w:marLeft w:val="0"/>
      <w:marRight w:val="0"/>
      <w:marTop w:val="0"/>
      <w:marBottom w:val="0"/>
      <w:divBdr>
        <w:top w:val="none" w:sz="0" w:space="0" w:color="auto"/>
        <w:left w:val="none" w:sz="0" w:space="0" w:color="auto"/>
        <w:bottom w:val="none" w:sz="0" w:space="0" w:color="auto"/>
        <w:right w:val="none" w:sz="0" w:space="0" w:color="auto"/>
      </w:divBdr>
    </w:div>
    <w:div w:id="788082845">
      <w:marLeft w:val="0"/>
      <w:marRight w:val="0"/>
      <w:marTop w:val="0"/>
      <w:marBottom w:val="0"/>
      <w:divBdr>
        <w:top w:val="none" w:sz="0" w:space="0" w:color="auto"/>
        <w:left w:val="none" w:sz="0" w:space="0" w:color="auto"/>
        <w:bottom w:val="none" w:sz="0" w:space="0" w:color="auto"/>
        <w:right w:val="none" w:sz="0" w:space="0" w:color="auto"/>
      </w:divBdr>
    </w:div>
    <w:div w:id="788082846">
      <w:marLeft w:val="0"/>
      <w:marRight w:val="0"/>
      <w:marTop w:val="0"/>
      <w:marBottom w:val="0"/>
      <w:divBdr>
        <w:top w:val="none" w:sz="0" w:space="0" w:color="auto"/>
        <w:left w:val="none" w:sz="0" w:space="0" w:color="auto"/>
        <w:bottom w:val="none" w:sz="0" w:space="0" w:color="auto"/>
        <w:right w:val="none" w:sz="0" w:space="0" w:color="auto"/>
      </w:divBdr>
    </w:div>
    <w:div w:id="788082847">
      <w:marLeft w:val="0"/>
      <w:marRight w:val="0"/>
      <w:marTop w:val="0"/>
      <w:marBottom w:val="0"/>
      <w:divBdr>
        <w:top w:val="none" w:sz="0" w:space="0" w:color="auto"/>
        <w:left w:val="none" w:sz="0" w:space="0" w:color="auto"/>
        <w:bottom w:val="none" w:sz="0" w:space="0" w:color="auto"/>
        <w:right w:val="none" w:sz="0" w:space="0" w:color="auto"/>
      </w:divBdr>
    </w:div>
    <w:div w:id="788082848">
      <w:marLeft w:val="0"/>
      <w:marRight w:val="0"/>
      <w:marTop w:val="0"/>
      <w:marBottom w:val="0"/>
      <w:divBdr>
        <w:top w:val="none" w:sz="0" w:space="0" w:color="auto"/>
        <w:left w:val="none" w:sz="0" w:space="0" w:color="auto"/>
        <w:bottom w:val="none" w:sz="0" w:space="0" w:color="auto"/>
        <w:right w:val="none" w:sz="0" w:space="0" w:color="auto"/>
      </w:divBdr>
    </w:div>
    <w:div w:id="788082849">
      <w:marLeft w:val="0"/>
      <w:marRight w:val="0"/>
      <w:marTop w:val="0"/>
      <w:marBottom w:val="0"/>
      <w:divBdr>
        <w:top w:val="none" w:sz="0" w:space="0" w:color="auto"/>
        <w:left w:val="none" w:sz="0" w:space="0" w:color="auto"/>
        <w:bottom w:val="none" w:sz="0" w:space="0" w:color="auto"/>
        <w:right w:val="none" w:sz="0" w:space="0" w:color="auto"/>
      </w:divBdr>
    </w:div>
    <w:div w:id="788082850">
      <w:marLeft w:val="0"/>
      <w:marRight w:val="0"/>
      <w:marTop w:val="0"/>
      <w:marBottom w:val="0"/>
      <w:divBdr>
        <w:top w:val="none" w:sz="0" w:space="0" w:color="auto"/>
        <w:left w:val="none" w:sz="0" w:space="0" w:color="auto"/>
        <w:bottom w:val="none" w:sz="0" w:space="0" w:color="auto"/>
        <w:right w:val="none" w:sz="0" w:space="0" w:color="auto"/>
      </w:divBdr>
    </w:div>
    <w:div w:id="788082851">
      <w:marLeft w:val="0"/>
      <w:marRight w:val="0"/>
      <w:marTop w:val="0"/>
      <w:marBottom w:val="0"/>
      <w:divBdr>
        <w:top w:val="none" w:sz="0" w:space="0" w:color="auto"/>
        <w:left w:val="none" w:sz="0" w:space="0" w:color="auto"/>
        <w:bottom w:val="none" w:sz="0" w:space="0" w:color="auto"/>
        <w:right w:val="none" w:sz="0" w:space="0" w:color="auto"/>
      </w:divBdr>
    </w:div>
    <w:div w:id="788082852">
      <w:marLeft w:val="0"/>
      <w:marRight w:val="0"/>
      <w:marTop w:val="0"/>
      <w:marBottom w:val="0"/>
      <w:divBdr>
        <w:top w:val="none" w:sz="0" w:space="0" w:color="auto"/>
        <w:left w:val="none" w:sz="0" w:space="0" w:color="auto"/>
        <w:bottom w:val="none" w:sz="0" w:space="0" w:color="auto"/>
        <w:right w:val="none" w:sz="0" w:space="0" w:color="auto"/>
      </w:divBdr>
    </w:div>
    <w:div w:id="788082853">
      <w:marLeft w:val="0"/>
      <w:marRight w:val="0"/>
      <w:marTop w:val="0"/>
      <w:marBottom w:val="0"/>
      <w:divBdr>
        <w:top w:val="none" w:sz="0" w:space="0" w:color="auto"/>
        <w:left w:val="none" w:sz="0" w:space="0" w:color="auto"/>
        <w:bottom w:val="none" w:sz="0" w:space="0" w:color="auto"/>
        <w:right w:val="none" w:sz="0" w:space="0" w:color="auto"/>
      </w:divBdr>
    </w:div>
    <w:div w:id="788082859">
      <w:marLeft w:val="0"/>
      <w:marRight w:val="0"/>
      <w:marTop w:val="0"/>
      <w:marBottom w:val="0"/>
      <w:divBdr>
        <w:top w:val="none" w:sz="0" w:space="0" w:color="auto"/>
        <w:left w:val="none" w:sz="0" w:space="0" w:color="auto"/>
        <w:bottom w:val="none" w:sz="0" w:space="0" w:color="auto"/>
        <w:right w:val="none" w:sz="0" w:space="0" w:color="auto"/>
      </w:divBdr>
      <w:divsChild>
        <w:div w:id="788082854">
          <w:marLeft w:val="547"/>
          <w:marRight w:val="0"/>
          <w:marTop w:val="96"/>
          <w:marBottom w:val="0"/>
          <w:divBdr>
            <w:top w:val="none" w:sz="0" w:space="0" w:color="auto"/>
            <w:left w:val="none" w:sz="0" w:space="0" w:color="auto"/>
            <w:bottom w:val="none" w:sz="0" w:space="0" w:color="auto"/>
            <w:right w:val="none" w:sz="0" w:space="0" w:color="auto"/>
          </w:divBdr>
        </w:div>
        <w:div w:id="788082855">
          <w:marLeft w:val="547"/>
          <w:marRight w:val="0"/>
          <w:marTop w:val="96"/>
          <w:marBottom w:val="0"/>
          <w:divBdr>
            <w:top w:val="none" w:sz="0" w:space="0" w:color="auto"/>
            <w:left w:val="none" w:sz="0" w:space="0" w:color="auto"/>
            <w:bottom w:val="none" w:sz="0" w:space="0" w:color="auto"/>
            <w:right w:val="none" w:sz="0" w:space="0" w:color="auto"/>
          </w:divBdr>
        </w:div>
        <w:div w:id="788082856">
          <w:marLeft w:val="547"/>
          <w:marRight w:val="0"/>
          <w:marTop w:val="96"/>
          <w:marBottom w:val="0"/>
          <w:divBdr>
            <w:top w:val="none" w:sz="0" w:space="0" w:color="auto"/>
            <w:left w:val="none" w:sz="0" w:space="0" w:color="auto"/>
            <w:bottom w:val="none" w:sz="0" w:space="0" w:color="auto"/>
            <w:right w:val="none" w:sz="0" w:space="0" w:color="auto"/>
          </w:divBdr>
        </w:div>
        <w:div w:id="788082857">
          <w:marLeft w:val="547"/>
          <w:marRight w:val="0"/>
          <w:marTop w:val="96"/>
          <w:marBottom w:val="0"/>
          <w:divBdr>
            <w:top w:val="none" w:sz="0" w:space="0" w:color="auto"/>
            <w:left w:val="none" w:sz="0" w:space="0" w:color="auto"/>
            <w:bottom w:val="none" w:sz="0" w:space="0" w:color="auto"/>
            <w:right w:val="none" w:sz="0" w:space="0" w:color="auto"/>
          </w:divBdr>
        </w:div>
        <w:div w:id="788082858">
          <w:marLeft w:val="547"/>
          <w:marRight w:val="0"/>
          <w:marTop w:val="96"/>
          <w:marBottom w:val="0"/>
          <w:divBdr>
            <w:top w:val="none" w:sz="0" w:space="0" w:color="auto"/>
            <w:left w:val="none" w:sz="0" w:space="0" w:color="auto"/>
            <w:bottom w:val="none" w:sz="0" w:space="0" w:color="auto"/>
            <w:right w:val="none" w:sz="0" w:space="0" w:color="auto"/>
          </w:divBdr>
        </w:div>
        <w:div w:id="788082860">
          <w:marLeft w:val="547"/>
          <w:marRight w:val="0"/>
          <w:marTop w:val="96"/>
          <w:marBottom w:val="0"/>
          <w:divBdr>
            <w:top w:val="none" w:sz="0" w:space="0" w:color="auto"/>
            <w:left w:val="none" w:sz="0" w:space="0" w:color="auto"/>
            <w:bottom w:val="none" w:sz="0" w:space="0" w:color="auto"/>
            <w:right w:val="none" w:sz="0" w:space="0" w:color="auto"/>
          </w:divBdr>
        </w:div>
        <w:div w:id="78808286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web.org/uploadedFiles/Projects/Templates_and_Guidelines/OFP%20Endorsement%20Template-Aug9rev.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gef.org/gef/sites/thegef.org/files/documents/CPE-Global_Environmental_Benefits_Assessment_Outline.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gefweb.org/uploadedFiles/Documents/Council_Documents__(PDF_DOC)/GEF_31/C.31.12%20Operational%20Guidelines%20for%20Incremental%20Cos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0458E-ADD8-4572-A901-F2C540F2945C}"/>
</file>

<file path=customXml/itemProps2.xml><?xml version="1.0" encoding="utf-8"?>
<ds:datastoreItem xmlns:ds="http://schemas.openxmlformats.org/officeDocument/2006/customXml" ds:itemID="{2995ECE7-92F7-4DCD-AD66-DE47E39AD03C}"/>
</file>

<file path=customXml/itemProps3.xml><?xml version="1.0" encoding="utf-8"?>
<ds:datastoreItem xmlns:ds="http://schemas.openxmlformats.org/officeDocument/2006/customXml" ds:itemID="{18DEDA3F-D291-4D45-85E4-E7B242C0DDF5}"/>
</file>

<file path=docProps/app.xml><?xml version="1.0" encoding="utf-8"?>
<Properties xmlns="http://schemas.openxmlformats.org/officeDocument/2006/extended-properties" xmlns:vt="http://schemas.openxmlformats.org/officeDocument/2006/docPropsVTypes">
  <Template>Normal.dotm</Template>
  <TotalTime>1</TotalTime>
  <Pages>14</Pages>
  <Words>9924</Words>
  <Characters>58965</Characters>
  <Application>Microsoft Office Word</Application>
  <DocSecurity>0</DocSecurity>
  <Lines>491</Lines>
  <Paragraphs>137</Paragraphs>
  <ScaleCrop>false</ScaleCrop>
  <Company>UNDP Russia</Company>
  <LinksUpToDate>false</LinksUpToDate>
  <CharactersWithSpaces>68752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IDENTIFICATION FORM (PIF)</dc:title>
  <dc:creator>maxim.vergeichik</dc:creator>
  <cp:lastModifiedBy>wb155260</cp:lastModifiedBy>
  <cp:revision>2</cp:revision>
  <cp:lastPrinted>2011-03-09T13:07:00Z</cp:lastPrinted>
  <dcterms:created xsi:type="dcterms:W3CDTF">2011-04-25T20:42:00Z</dcterms:created>
  <dcterms:modified xsi:type="dcterms:W3CDTF">2011-04-25T20:42:00Z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