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BF" w:rsidRPr="0056236E" w:rsidRDefault="00476A59">
      <w:pPr>
        <w:rPr>
          <w:rFonts w:cs="Times New Roman"/>
          <w:sz w:val="22"/>
        </w:rPr>
      </w:pPr>
      <w:r>
        <w:rPr>
          <w:noProof/>
          <w:szCs w:val="20"/>
          <w:lang w:val="en-US" w:eastAsia="en-US" w:bidi="ar-SA"/>
        </w:rPr>
        <mc:AlternateContent>
          <mc:Choice Requires="wps">
            <w:drawing>
              <wp:anchor distT="0" distB="0" distL="114300" distR="114300" simplePos="0" relativeHeight="251657216" behindDoc="0" locked="0" layoutInCell="1" allowOverlap="1">
                <wp:simplePos x="0" y="0"/>
                <wp:positionH relativeFrom="page">
                  <wp:posOffset>2286635</wp:posOffset>
                </wp:positionH>
                <wp:positionV relativeFrom="paragraph">
                  <wp:posOffset>-226060</wp:posOffset>
                </wp:positionV>
                <wp:extent cx="4343400" cy="568325"/>
                <wp:effectExtent l="635" t="2540" r="0" b="635"/>
                <wp:wrapSquare wrapText="bothSides"/>
                <wp:docPr id="2"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F5A" w:rsidRDefault="00A80F5A">
                            <w:pPr>
                              <w:pStyle w:val="Standard"/>
                              <w:autoSpaceDE w:val="0"/>
                              <w:ind w:right="-900"/>
                            </w:pPr>
                            <w:r>
                              <w:rPr>
                                <w:rStyle w:val="Policepardfaut"/>
                                <w:b/>
                                <w:bCs/>
                                <w:caps/>
                                <w:color w:val="000000"/>
                                <w:sz w:val="30"/>
                              </w:rPr>
                              <w:t>Project Identification Form (PIF)</w:t>
                            </w:r>
                          </w:p>
                          <w:p w:rsidR="00A80F5A" w:rsidRDefault="00A80F5A">
                            <w:pPr>
                              <w:pStyle w:val="Standard"/>
                              <w:autoSpaceDE w:val="0"/>
                            </w:pPr>
                            <w:bookmarkStart w:id="0" w:name="Dropdown7"/>
                            <w:r>
                              <w:rPr>
                                <w:rStyle w:val="Policepardfaut"/>
                                <w:b/>
                                <w:bCs/>
                                <w:smallCaps/>
                                <w:color w:val="000000"/>
                                <w:sz w:val="20"/>
                              </w:rPr>
                              <w:t xml:space="preserve">Project Type: </w:t>
                            </w:r>
                            <w:bookmarkEnd w:id="0"/>
                            <w:r>
                              <w:rPr>
                                <w:rStyle w:val="Policepardfaut"/>
                                <w:b/>
                                <w:bCs/>
                                <w:smallCaps/>
                                <w:color w:val="000000"/>
                                <w:sz w:val="20"/>
                              </w:rPr>
                              <w:t>Full-sized project</w:t>
                            </w:r>
                          </w:p>
                          <w:p w:rsidR="00A80F5A" w:rsidRDefault="00A80F5A">
                            <w:pPr>
                              <w:pStyle w:val="Standard"/>
                              <w:autoSpaceDE w:val="0"/>
                            </w:pPr>
                            <w:r>
                              <w:rPr>
                                <w:rStyle w:val="Policepardfaut"/>
                                <w:b/>
                                <w:bCs/>
                                <w:smallCaps/>
                                <w:sz w:val="20"/>
                              </w:rPr>
                              <w:t>Type of Trust Fund: GEF Trust Fund</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dre1" o:spid="_x0000_s1026" type="#_x0000_t202" style="position:absolute;margin-left:180.05pt;margin-top:-17.8pt;width:342pt;height:4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" filled="f" stroked="f">
                <v:textbox inset="0,0,0,0">
                  <w:txbxContent>
                    <w:p w:rsidR="00A80F5A" w:rsidRDefault="00A80F5A">
                      <w:pPr>
                        <w:pStyle w:val="Standard"/>
                        <w:autoSpaceDE w:val="0"/>
                        <w:ind w:right="-900"/>
                      </w:pPr>
                      <w:r>
                        <w:rPr>
                          <w:rStyle w:val="Policepardfaut"/>
                          <w:b/>
                          <w:bCs/>
                          <w:caps/>
                          <w:color w:val="000000"/>
                          <w:sz w:val="30"/>
                        </w:rPr>
                        <w:t>Project Identification Form (PIF)</w:t>
                      </w:r>
                    </w:p>
                    <w:p w:rsidR="00A80F5A" w:rsidRDefault="00A80F5A">
                      <w:pPr>
                        <w:pStyle w:val="Standard"/>
                        <w:autoSpaceDE w:val="0"/>
                      </w:pPr>
                      <w:bookmarkStart w:id="1" w:name="Dropdown7"/>
                      <w:r>
                        <w:rPr>
                          <w:rStyle w:val="Policepardfaut"/>
                          <w:b/>
                          <w:bCs/>
                          <w:smallCaps/>
                          <w:color w:val="000000"/>
                          <w:sz w:val="20"/>
                        </w:rPr>
                        <w:t xml:space="preserve">Project Type: </w:t>
                      </w:r>
                      <w:bookmarkEnd w:id="1"/>
                      <w:r>
                        <w:rPr>
                          <w:rStyle w:val="Policepardfaut"/>
                          <w:b/>
                          <w:bCs/>
                          <w:smallCaps/>
                          <w:color w:val="000000"/>
                          <w:sz w:val="20"/>
                        </w:rPr>
                        <w:t>Full-sized project</w:t>
                      </w:r>
                    </w:p>
                    <w:p w:rsidR="00A80F5A" w:rsidRDefault="00A80F5A">
                      <w:pPr>
                        <w:pStyle w:val="Standard"/>
                        <w:autoSpaceDE w:val="0"/>
                      </w:pPr>
                      <w:r>
                        <w:rPr>
                          <w:rStyle w:val="Policepardfaut"/>
                          <w:b/>
                          <w:bCs/>
                          <w:smallCaps/>
                          <w:sz w:val="20"/>
                        </w:rPr>
                        <w:t>Type of Trust Fund: GEF Trust Fund</w:t>
                      </w:r>
                    </w:p>
                  </w:txbxContent>
                </v:textbox>
                <w10:wrap type="square" anchorx="page"/>
              </v:shape>
            </w:pict>
          </mc:Fallback>
        </mc:AlternateContent>
      </w:r>
      <w:r w:rsidR="0002455C" w:rsidRPr="0056236E">
        <w:rPr>
          <w:noProof/>
          <w:lang w:val="en-US" w:eastAsia="en-US" w:bidi="ar-SA"/>
        </w:rPr>
        <w:drawing>
          <wp:anchor distT="0" distB="0" distL="114300" distR="114300" simplePos="0" relativeHeight="251658240" behindDoc="0" locked="0" layoutInCell="1" allowOverlap="1">
            <wp:simplePos x="0" y="0"/>
            <wp:positionH relativeFrom="column">
              <wp:posOffset>266700</wp:posOffset>
            </wp:positionH>
            <wp:positionV relativeFrom="paragraph">
              <wp:posOffset>-332740</wp:posOffset>
            </wp:positionV>
            <wp:extent cx="723265" cy="741045"/>
            <wp:effectExtent l="19050" t="0" r="635" b="0"/>
            <wp:wrapSquare wrapText="bothSides"/>
            <wp:docPr id="4"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8" cstate="print"/>
                    <a:srcRect/>
                    <a:stretch>
                      <a:fillRect/>
                    </a:stretch>
                  </pic:blipFill>
                  <pic:spPr bwMode="auto">
                    <a:xfrm>
                      <a:off x="0" y="0"/>
                      <a:ext cx="723265" cy="741045"/>
                    </a:xfrm>
                    <a:prstGeom prst="rect">
                      <a:avLst/>
                    </a:prstGeom>
                    <a:solidFill>
                      <a:srgbClr val="FFFFFF"/>
                    </a:solidFill>
                    <a:ln w="9525">
                      <a:noFill/>
                      <a:miter lim="800000"/>
                      <a:headEnd/>
                      <a:tailEnd/>
                    </a:ln>
                  </pic:spPr>
                </pic:pic>
              </a:graphicData>
            </a:graphic>
          </wp:anchor>
        </w:drawing>
      </w:r>
      <w:r w:rsidR="000E03BF" w:rsidRPr="0056236E">
        <w:rPr>
          <w:rFonts w:cs="Times New Roman"/>
          <w:sz w:val="22"/>
        </w:rPr>
        <w:tab/>
      </w:r>
      <w:r w:rsidR="000E03BF" w:rsidRPr="0056236E">
        <w:rPr>
          <w:rFonts w:cs="Times New Roman"/>
          <w:sz w:val="22"/>
        </w:rPr>
        <w:tab/>
      </w:r>
    </w:p>
    <w:p w:rsidR="000E03BF" w:rsidRPr="0056236E" w:rsidRDefault="000E03BF">
      <w:pPr>
        <w:rPr>
          <w:rFonts w:cs="Times New Roman"/>
          <w:sz w:val="22"/>
        </w:rPr>
      </w:pPr>
    </w:p>
    <w:p w:rsidR="000E03BF" w:rsidRPr="0056236E" w:rsidRDefault="000E03BF">
      <w:pPr>
        <w:rPr>
          <w:rFonts w:cs="Times New Roman"/>
          <w:sz w:val="22"/>
        </w:rPr>
      </w:pPr>
    </w:p>
    <w:p w:rsidR="000E03BF" w:rsidRPr="0056236E" w:rsidRDefault="000E03BF">
      <w:pPr>
        <w:rPr>
          <w:rFonts w:cs="Times New Roman"/>
          <w:b/>
          <w:sz w:val="22"/>
        </w:rPr>
      </w:pPr>
      <w:r w:rsidRPr="0056236E">
        <w:rPr>
          <w:rFonts w:cs="Times New Roman"/>
          <w:b/>
          <w:sz w:val="22"/>
        </w:rPr>
        <w:t>PART I: Project Identification</w:t>
      </w:r>
    </w:p>
    <w:tbl>
      <w:tblPr>
        <w:tblW w:w="10676" w:type="dxa"/>
        <w:tblInd w:w="-576" w:type="dxa"/>
        <w:tblLayout w:type="fixed"/>
        <w:tblCellMar>
          <w:left w:w="10" w:type="dxa"/>
          <w:right w:w="10" w:type="dxa"/>
        </w:tblCellMar>
        <w:tblLook w:val="0000" w:firstRow="0" w:lastRow="0" w:firstColumn="0" w:lastColumn="0" w:noHBand="0" w:noVBand="0"/>
      </w:tblPr>
      <w:tblGrid>
        <w:gridCol w:w="2584"/>
        <w:gridCol w:w="3207"/>
        <w:gridCol w:w="2474"/>
        <w:gridCol w:w="2411"/>
      </w:tblGrid>
      <w:tr w:rsidR="000E03BF" w:rsidRPr="00FB3987">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Project Title:</w:t>
            </w:r>
          </w:p>
        </w:tc>
        <w:bookmarkStart w:id="2" w:name="ProjectTitle"/>
        <w:tc>
          <w:tcPr>
            <w:tcW w:w="80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843A2E" w:rsidP="000E03BF">
            <w:pPr>
              <w:pStyle w:val="Standard"/>
              <w:widowControl w:val="0"/>
              <w:snapToGrid w:val="0"/>
              <w:rPr>
                <w:sz w:val="22"/>
              </w:rPr>
            </w:pPr>
            <w:r w:rsidRPr="0056236E">
              <w:rPr>
                <w:rStyle w:val="Policepardfaut"/>
                <w:sz w:val="22"/>
              </w:rPr>
              <w:fldChar w:fldCharType="begin"/>
            </w:r>
            <w:r w:rsidR="000E03BF" w:rsidRPr="0056236E">
              <w:rPr>
                <w:rStyle w:val="Policepardfaut"/>
                <w:sz w:val="22"/>
              </w:rPr>
              <w:instrText xml:space="preserve"> FILLIN "ProjectTitle" </w:instrText>
            </w:r>
            <w:r w:rsidRPr="0056236E">
              <w:rPr>
                <w:rStyle w:val="Policepardfaut"/>
                <w:sz w:val="22"/>
              </w:rPr>
              <w:fldChar w:fldCharType="separate"/>
            </w:r>
            <w:r w:rsidR="000E03BF" w:rsidRPr="0056236E">
              <w:rPr>
                <w:rStyle w:val="Policepardfaut"/>
                <w:sz w:val="22"/>
              </w:rPr>
              <w:t xml:space="preserve">Delivering the transition to energy efficient lighting </w:t>
            </w:r>
            <w:r w:rsidRPr="0056236E">
              <w:rPr>
                <w:rStyle w:val="Policepardfaut"/>
                <w:sz w:val="22"/>
              </w:rPr>
              <w:fldChar w:fldCharType="end"/>
            </w:r>
            <w:bookmarkEnd w:id="2"/>
          </w:p>
        </w:tc>
      </w:tr>
      <w:tr w:rsidR="000E03BF" w:rsidRPr="0056236E">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Country (ies):</w:t>
            </w:r>
          </w:p>
        </w:tc>
        <w:tc>
          <w:tcPr>
            <w:tcW w:w="320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lang w:val="es-ES"/>
              </w:rPr>
            </w:pPr>
            <w:r w:rsidRPr="0056236E">
              <w:rPr>
                <w:rStyle w:val="Policepardfaut"/>
                <w:sz w:val="22"/>
                <w:lang w:val="es-ES"/>
              </w:rPr>
              <w:t>Yemen</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GEF Project ID:</w:t>
            </w:r>
            <w:r w:rsidRPr="0056236E">
              <w:rPr>
                <w:rStyle w:val="Footnoteanchor"/>
                <w:sz w:val="22"/>
              </w:rPr>
              <w:footnoteReference w:id="1"/>
            </w:r>
          </w:p>
        </w:tc>
        <w:bookmarkStart w:id="3" w:name="GEF_ID"/>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843A2E" w:rsidP="00611606">
            <w:pPr>
              <w:pStyle w:val="Standard"/>
              <w:widowControl w:val="0"/>
              <w:snapToGrid w:val="0"/>
              <w:rPr>
                <w:sz w:val="22"/>
              </w:rPr>
            </w:pPr>
            <w:r w:rsidRPr="0056236E">
              <w:rPr>
                <w:rStyle w:val="Policepardfaut"/>
                <w:sz w:val="22"/>
              </w:rPr>
              <w:fldChar w:fldCharType="begin"/>
            </w:r>
            <w:r w:rsidR="000E03BF" w:rsidRPr="0056236E">
              <w:rPr>
                <w:rStyle w:val="Policepardfaut"/>
                <w:sz w:val="22"/>
              </w:rPr>
              <w:instrText xml:space="preserve"> FILLIN "GEF_ID" </w:instrText>
            </w:r>
            <w:r w:rsidRPr="0056236E">
              <w:rPr>
                <w:rStyle w:val="Policepardfaut"/>
                <w:sz w:val="22"/>
              </w:rPr>
              <w:fldChar w:fldCharType="separate"/>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Pr="0056236E">
              <w:rPr>
                <w:rStyle w:val="Policepardfaut"/>
                <w:sz w:val="22"/>
              </w:rPr>
              <w:fldChar w:fldCharType="end"/>
            </w:r>
            <w:bookmarkEnd w:id="3"/>
            <w:r w:rsidR="000E03BF" w:rsidRPr="0056236E">
              <w:rPr>
                <w:rStyle w:val="Policepardfaut"/>
                <w:sz w:val="22"/>
              </w:rPr>
              <w:t>5152</w:t>
            </w:r>
          </w:p>
        </w:tc>
      </w:tr>
      <w:tr w:rsidR="000E03BF" w:rsidRPr="0056236E">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GEF Agency(ies):</w:t>
            </w:r>
          </w:p>
        </w:tc>
        <w:tc>
          <w:tcPr>
            <w:tcW w:w="320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sz w:val="22"/>
              </w:rPr>
              <w:t xml:space="preserve">UNEP      </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GEF Agency Project ID:</w:t>
            </w:r>
          </w:p>
        </w:tc>
        <w:bookmarkStart w:id="4" w:name="agencyID"/>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843A2E" w:rsidP="00611606">
            <w:pPr>
              <w:pStyle w:val="Standard"/>
              <w:widowControl w:val="0"/>
              <w:snapToGrid w:val="0"/>
              <w:rPr>
                <w:sz w:val="22"/>
              </w:rPr>
            </w:pPr>
            <w:r w:rsidRPr="0056236E">
              <w:rPr>
                <w:rStyle w:val="Policepardfaut"/>
                <w:sz w:val="22"/>
              </w:rPr>
              <w:fldChar w:fldCharType="begin"/>
            </w:r>
            <w:r w:rsidR="000E03BF" w:rsidRPr="0056236E">
              <w:rPr>
                <w:rStyle w:val="Policepardfaut"/>
                <w:sz w:val="22"/>
              </w:rPr>
              <w:instrText xml:space="preserve"> FILLIN "agencyID" </w:instrText>
            </w:r>
            <w:r w:rsidRPr="0056236E">
              <w:rPr>
                <w:rStyle w:val="Policepardfaut"/>
                <w:sz w:val="22"/>
              </w:rPr>
              <w:fldChar w:fldCharType="separate"/>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Pr="0056236E">
              <w:rPr>
                <w:rStyle w:val="Policepardfaut"/>
                <w:sz w:val="22"/>
              </w:rPr>
              <w:fldChar w:fldCharType="end"/>
            </w:r>
            <w:bookmarkEnd w:id="4"/>
            <w:r w:rsidR="000C0BEA" w:rsidRPr="0056236E">
              <w:rPr>
                <w:rStyle w:val="Policepardfaut"/>
                <w:sz w:val="22"/>
              </w:rPr>
              <w:t>00938</w:t>
            </w:r>
          </w:p>
        </w:tc>
      </w:tr>
      <w:tr w:rsidR="000E03BF" w:rsidRPr="0056236E">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Other Executing Partner(s):</w:t>
            </w:r>
          </w:p>
        </w:tc>
        <w:tc>
          <w:tcPr>
            <w:tcW w:w="320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bookmarkStart w:id="5" w:name="ExecutingAgency"/>
            <w:r w:rsidRPr="0056236E">
              <w:rPr>
                <w:rStyle w:val="Policepardfaut"/>
                <w:sz w:val="22"/>
              </w:rPr>
              <w:t>Public Electricity Corporation</w:t>
            </w:r>
            <w:r w:rsidRPr="0056236E">
              <w:rPr>
                <w:sz w:val="22"/>
              </w:rPr>
              <w:t xml:space="preserve"> </w:t>
            </w:r>
            <w:r w:rsidR="00843A2E" w:rsidRPr="0056236E">
              <w:rPr>
                <w:sz w:val="22"/>
              </w:rPr>
              <w:fldChar w:fldCharType="begin"/>
            </w:r>
            <w:r w:rsidRPr="0056236E">
              <w:rPr>
                <w:sz w:val="22"/>
              </w:rPr>
              <w:instrText xml:space="preserve"> FILLIN "ExecutingAgency" </w:instrText>
            </w:r>
            <w:r w:rsidR="00843A2E" w:rsidRPr="0056236E">
              <w:rPr>
                <w:sz w:val="22"/>
              </w:rPr>
              <w:fldChar w:fldCharType="end"/>
            </w:r>
            <w:bookmarkEnd w:id="5"/>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Submission Date:</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ED5A7C" w:rsidP="00190615">
            <w:pPr>
              <w:pStyle w:val="Standard"/>
              <w:widowControl w:val="0"/>
              <w:snapToGrid w:val="0"/>
              <w:rPr>
                <w:sz w:val="22"/>
              </w:rPr>
            </w:pPr>
            <w:r w:rsidRPr="0056236E">
              <w:rPr>
                <w:rStyle w:val="Policepardfaut"/>
                <w:sz w:val="22"/>
              </w:rPr>
              <w:t>0</w:t>
            </w:r>
            <w:r w:rsidR="00190615">
              <w:rPr>
                <w:rStyle w:val="Policepardfaut"/>
                <w:sz w:val="22"/>
              </w:rPr>
              <w:t>2</w:t>
            </w:r>
            <w:r w:rsidRPr="0056236E">
              <w:rPr>
                <w:rStyle w:val="Policepardfaut"/>
                <w:sz w:val="22"/>
              </w:rPr>
              <w:t>/</w:t>
            </w:r>
            <w:r w:rsidR="00190615">
              <w:rPr>
                <w:rStyle w:val="Policepardfaut"/>
                <w:sz w:val="22"/>
              </w:rPr>
              <w:t>12</w:t>
            </w:r>
            <w:r w:rsidRPr="0056236E">
              <w:rPr>
                <w:rStyle w:val="Policepardfaut"/>
                <w:sz w:val="22"/>
              </w:rPr>
              <w:t>/2013</w:t>
            </w:r>
          </w:p>
        </w:tc>
      </w:tr>
      <w:tr w:rsidR="000E03BF" w:rsidRPr="0056236E">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GEF Focal Area (s):</w:t>
            </w:r>
          </w:p>
        </w:tc>
        <w:tc>
          <w:tcPr>
            <w:tcW w:w="320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Climate change</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Project Duration (Months)</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611606">
            <w:pPr>
              <w:pStyle w:val="Standard"/>
              <w:widowControl w:val="0"/>
              <w:snapToGrid w:val="0"/>
              <w:rPr>
                <w:sz w:val="22"/>
              </w:rPr>
            </w:pPr>
            <w:r w:rsidRPr="0056236E">
              <w:rPr>
                <w:rStyle w:val="Policepardfaut"/>
                <w:sz w:val="22"/>
              </w:rPr>
              <w:t>36</w:t>
            </w:r>
          </w:p>
        </w:tc>
      </w:tr>
      <w:tr w:rsidR="000E03BF" w:rsidRPr="0056236E">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Name of parent program (if applicable):</w:t>
            </w:r>
          </w:p>
          <w:p w:rsidR="000E03BF" w:rsidRPr="0056236E" w:rsidRDefault="000E03BF">
            <w:pPr>
              <w:pStyle w:val="Standard"/>
              <w:widowControl w:val="0"/>
              <w:numPr>
                <w:ilvl w:val="0"/>
                <w:numId w:val="24"/>
              </w:numPr>
              <w:ind w:left="270" w:hanging="270"/>
              <w:rPr>
                <w:sz w:val="22"/>
              </w:rPr>
            </w:pPr>
            <w:r w:rsidRPr="0056236E">
              <w:rPr>
                <w:rStyle w:val="Policepardfaut"/>
                <w:sz w:val="22"/>
              </w:rPr>
              <w:t>For SFM/RED</w:t>
            </w:r>
            <w:bookmarkStart w:id="6" w:name="CheckSFM"/>
            <w:bookmarkEnd w:id="6"/>
            <w:r w:rsidRPr="0056236E">
              <w:rPr>
                <w:rStyle w:val="Policepardfaut"/>
                <w:sz w:val="22"/>
              </w:rPr>
              <w:t>D +</w:t>
            </w:r>
          </w:p>
        </w:tc>
        <w:tc>
          <w:tcPr>
            <w:tcW w:w="320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Agency Fee ($):</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9A6DD7" w:rsidP="00FE5AA3">
            <w:pPr>
              <w:pStyle w:val="Standard"/>
              <w:widowControl w:val="0"/>
              <w:snapToGrid w:val="0"/>
              <w:rPr>
                <w:sz w:val="22"/>
              </w:rPr>
            </w:pPr>
            <w:r w:rsidRPr="0056236E">
              <w:rPr>
                <w:sz w:val="22"/>
              </w:rPr>
              <w:t>192,71</w:t>
            </w:r>
            <w:r w:rsidR="00FE5AA3">
              <w:rPr>
                <w:sz w:val="22"/>
              </w:rPr>
              <w:t>8</w:t>
            </w:r>
          </w:p>
        </w:tc>
      </w:tr>
    </w:tbl>
    <w:p w:rsidR="000E03BF" w:rsidRPr="0056236E" w:rsidRDefault="000E03BF">
      <w:pPr>
        <w:rPr>
          <w:rFonts w:cs="Times New Roman"/>
          <w:color w:val="FF0000"/>
          <w:sz w:val="22"/>
          <w:lang w:val="en-US"/>
        </w:rPr>
      </w:pPr>
      <w:r w:rsidRPr="0056236E">
        <w:rPr>
          <w:rStyle w:val="Policepardfaut"/>
          <w:rFonts w:cs="Times New Roman"/>
          <w:b/>
          <w:smallCaps/>
          <w:sz w:val="22"/>
          <w:lang w:val="en-US"/>
        </w:rPr>
        <w:t xml:space="preserve">A.  </w:t>
      </w:r>
      <w:hyperlink r:id="rId9" w:history="1">
        <w:r w:rsidRPr="0056236E">
          <w:rPr>
            <w:rStyle w:val="Internetlink"/>
            <w:rFonts w:cs="Times New Roman"/>
            <w:b/>
            <w:smallCaps/>
            <w:color w:val="auto"/>
            <w:sz w:val="22"/>
            <w:lang w:val="en-US"/>
          </w:rPr>
          <w:t>Focal AREA STRATEGY Framework</w:t>
        </w:r>
      </w:hyperlink>
      <w:r w:rsidRPr="0056236E">
        <w:rPr>
          <w:rStyle w:val="FootnoteSymbol"/>
          <w:rFonts w:cs="Times New Roman"/>
          <w:b/>
          <w:smallCaps/>
          <w:sz w:val="22"/>
        </w:rPr>
        <w:footnoteReference w:id="2"/>
      </w:r>
      <w:r w:rsidRPr="0056236E">
        <w:rPr>
          <w:rStyle w:val="Policepardfaut"/>
          <w:rFonts w:cs="Times New Roman"/>
          <w:b/>
          <w:smallCaps/>
          <w:sz w:val="22"/>
          <w:lang w:val="en-US"/>
        </w:rPr>
        <w:t>:</w:t>
      </w:r>
    </w:p>
    <w:tbl>
      <w:tblPr>
        <w:tblW w:w="10721" w:type="dxa"/>
        <w:jc w:val="center"/>
        <w:tblLayout w:type="fixed"/>
        <w:tblCellMar>
          <w:left w:w="10" w:type="dxa"/>
          <w:right w:w="10" w:type="dxa"/>
        </w:tblCellMar>
        <w:tblLook w:val="0000" w:firstRow="0" w:lastRow="0" w:firstColumn="0" w:lastColumn="0" w:noHBand="0" w:noVBand="0"/>
      </w:tblPr>
      <w:tblGrid>
        <w:gridCol w:w="1595"/>
        <w:gridCol w:w="2455"/>
        <w:gridCol w:w="2702"/>
        <w:gridCol w:w="981"/>
        <w:gridCol w:w="1560"/>
        <w:gridCol w:w="1428"/>
      </w:tblGrid>
      <w:tr w:rsidR="000E03BF" w:rsidRPr="0056236E" w:rsidTr="008743D2">
        <w:trPr>
          <w:trHeight w:val="260"/>
          <w:jc w:val="center"/>
        </w:trPr>
        <w:tc>
          <w:tcPr>
            <w:tcW w:w="159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keepLines/>
              <w:widowControl w:val="0"/>
              <w:snapToGrid w:val="0"/>
              <w:spacing w:before="480"/>
              <w:ind w:left="72"/>
              <w:jc w:val="center"/>
              <w:outlineLvl w:val="9"/>
              <w:rPr>
                <w:sz w:val="22"/>
              </w:rPr>
            </w:pPr>
            <w:r w:rsidRPr="0056236E">
              <w:rPr>
                <w:rStyle w:val="Policepardfaut"/>
                <w:bCs w:val="0"/>
                <w:iCs/>
                <w:sz w:val="22"/>
              </w:rPr>
              <w:t>Focal Area Objectives</w:t>
            </w:r>
          </w:p>
        </w:tc>
        <w:tc>
          <w:tcPr>
            <w:tcW w:w="245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keepLines/>
              <w:widowControl w:val="0"/>
              <w:snapToGrid w:val="0"/>
              <w:spacing w:before="480"/>
              <w:ind w:left="72"/>
              <w:jc w:val="center"/>
              <w:outlineLvl w:val="9"/>
              <w:rPr>
                <w:bCs w:val="0"/>
                <w:iCs/>
                <w:sz w:val="22"/>
              </w:rPr>
            </w:pPr>
            <w:r w:rsidRPr="0056236E">
              <w:rPr>
                <w:bCs w:val="0"/>
                <w:iCs/>
                <w:sz w:val="22"/>
              </w:rPr>
              <w:t>Expected FA Outcomes</w:t>
            </w:r>
          </w:p>
        </w:tc>
        <w:tc>
          <w:tcPr>
            <w:tcW w:w="27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snapToGrid w:val="0"/>
              <w:ind w:left="72"/>
              <w:jc w:val="center"/>
              <w:outlineLvl w:val="9"/>
              <w:rPr>
                <w:bCs w:val="0"/>
                <w:iCs/>
                <w:sz w:val="22"/>
              </w:rPr>
            </w:pPr>
            <w:r w:rsidRPr="0056236E">
              <w:rPr>
                <w:bCs w:val="0"/>
                <w:iCs/>
                <w:sz w:val="22"/>
              </w:rPr>
              <w:t>Expected FA Outputs</w:t>
            </w:r>
          </w:p>
        </w:tc>
        <w:tc>
          <w:tcPr>
            <w:tcW w:w="9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Titre3"/>
              <w:snapToGrid w:val="0"/>
              <w:jc w:val="center"/>
              <w:outlineLvl w:val="9"/>
              <w:rPr>
                <w:bCs w:val="0"/>
                <w:iCs/>
                <w:sz w:val="22"/>
              </w:rPr>
            </w:pPr>
            <w:r w:rsidRPr="0056236E">
              <w:rPr>
                <w:bCs w:val="0"/>
                <w:iCs/>
                <w:sz w:val="22"/>
              </w:rPr>
              <w:t>Trust Fund</w:t>
            </w:r>
          </w:p>
        </w:tc>
        <w:tc>
          <w:tcPr>
            <w:tcW w:w="15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snapToGrid w:val="0"/>
              <w:jc w:val="center"/>
              <w:outlineLvl w:val="9"/>
              <w:rPr>
                <w:bCs w:val="0"/>
                <w:iCs/>
                <w:sz w:val="22"/>
              </w:rPr>
            </w:pPr>
            <w:r w:rsidRPr="0056236E">
              <w:rPr>
                <w:bCs w:val="0"/>
                <w:iCs/>
                <w:sz w:val="22"/>
              </w:rPr>
              <w:t xml:space="preserve">Indicative  </w:t>
            </w:r>
          </w:p>
          <w:p w:rsidR="000E03BF" w:rsidRPr="0056236E" w:rsidRDefault="000E03BF">
            <w:pPr>
              <w:pStyle w:val="Titre3"/>
              <w:jc w:val="center"/>
              <w:outlineLvl w:val="9"/>
              <w:rPr>
                <w:bCs w:val="0"/>
                <w:iCs/>
                <w:sz w:val="22"/>
              </w:rPr>
            </w:pPr>
            <w:r w:rsidRPr="0056236E">
              <w:rPr>
                <w:bCs w:val="0"/>
                <w:iCs/>
                <w:sz w:val="22"/>
              </w:rPr>
              <w:t>Grant Amount</w:t>
            </w:r>
          </w:p>
          <w:p w:rsidR="000E03BF" w:rsidRPr="0056236E" w:rsidRDefault="000E03BF">
            <w:pPr>
              <w:pStyle w:val="Titre3"/>
              <w:jc w:val="center"/>
              <w:outlineLvl w:val="9"/>
              <w:rPr>
                <w:bCs w:val="0"/>
                <w:iCs/>
                <w:sz w:val="22"/>
              </w:rPr>
            </w:pPr>
            <w:r w:rsidRPr="0056236E">
              <w:rPr>
                <w:bCs w:val="0"/>
                <w:iCs/>
                <w:sz w:val="22"/>
              </w:rPr>
              <w:t>($)</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snapToGrid w:val="0"/>
              <w:jc w:val="center"/>
              <w:outlineLvl w:val="9"/>
              <w:rPr>
                <w:bCs w:val="0"/>
                <w:iCs/>
                <w:sz w:val="22"/>
              </w:rPr>
            </w:pPr>
            <w:r w:rsidRPr="0056236E">
              <w:rPr>
                <w:bCs w:val="0"/>
                <w:iCs/>
                <w:sz w:val="22"/>
              </w:rPr>
              <w:t>Indicative Co-financing</w:t>
            </w:r>
          </w:p>
          <w:p w:rsidR="000E03BF" w:rsidRPr="0056236E" w:rsidRDefault="000E03BF">
            <w:pPr>
              <w:pStyle w:val="Titre3"/>
              <w:jc w:val="center"/>
              <w:outlineLvl w:val="9"/>
              <w:rPr>
                <w:sz w:val="22"/>
              </w:rPr>
            </w:pPr>
            <w:r w:rsidRPr="0056236E">
              <w:rPr>
                <w:bCs w:val="0"/>
                <w:iCs/>
                <w:sz w:val="22"/>
              </w:rPr>
              <w:t>($)</w:t>
            </w:r>
          </w:p>
        </w:tc>
      </w:tr>
      <w:tr w:rsidR="000E03BF" w:rsidRPr="0056236E" w:rsidTr="008743D2">
        <w:trPr>
          <w:jc w:val="center"/>
        </w:trPr>
        <w:tc>
          <w:tcPr>
            <w:tcW w:w="159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snapToGrid w:val="0"/>
              <w:rPr>
                <w:sz w:val="22"/>
              </w:rPr>
            </w:pPr>
            <w:r w:rsidRPr="0056236E">
              <w:rPr>
                <w:rStyle w:val="Policepardfaut"/>
                <w:sz w:val="22"/>
              </w:rPr>
              <w:t xml:space="preserve">CCM-1   </w:t>
            </w:r>
            <w:bookmarkStart w:id="7" w:name="sec_fa_obj_01"/>
            <w:r w:rsidRPr="0056236E">
              <w:rPr>
                <w:rStyle w:val="Policepardfaut"/>
                <w:sz w:val="22"/>
              </w:rPr>
              <w:t>(select)</w:t>
            </w:r>
            <w:bookmarkEnd w:id="7"/>
          </w:p>
        </w:tc>
        <w:tc>
          <w:tcPr>
            <w:tcW w:w="245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rPr>
                <w:rFonts w:cs="Times New Roman"/>
                <w:sz w:val="22"/>
                <w:lang w:val="en-US"/>
              </w:rPr>
            </w:pPr>
            <w:r w:rsidRPr="0056236E">
              <w:rPr>
                <w:rFonts w:cs="Times New Roman"/>
                <w:sz w:val="22"/>
                <w:lang w:val="en-US"/>
              </w:rPr>
              <w:t>Technology successfully demonstrated, deployed and transferred</w:t>
            </w:r>
          </w:p>
          <w:p w:rsidR="000E03BF" w:rsidRPr="0056236E" w:rsidRDefault="000E03BF">
            <w:pPr>
              <w:rPr>
                <w:rFonts w:cs="Times New Roman"/>
                <w:sz w:val="22"/>
                <w:lang w:val="en-US"/>
              </w:rPr>
            </w:pPr>
          </w:p>
          <w:p w:rsidR="000E03BF" w:rsidRPr="0056236E" w:rsidRDefault="000E03BF">
            <w:pPr>
              <w:pStyle w:val="Standard"/>
              <w:widowControl w:val="0"/>
              <w:snapToGrid w:val="0"/>
              <w:rPr>
                <w:sz w:val="22"/>
              </w:rPr>
            </w:pPr>
            <w:r w:rsidRPr="0056236E">
              <w:rPr>
                <w:rStyle w:val="Policepardfaut"/>
                <w:sz w:val="22"/>
              </w:rPr>
              <w:t>Indicator: Percentage of technology demonstration reaching its planned goals</w:t>
            </w:r>
          </w:p>
        </w:tc>
        <w:tc>
          <w:tcPr>
            <w:tcW w:w="27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Innovative low-carbon technologies demonstrated and deployed on the ground</w:t>
            </w:r>
            <w:r w:rsidRPr="0056236E">
              <w:rPr>
                <w:rStyle w:val="Policepardfaut"/>
                <w:sz w:val="22"/>
              </w:rPr>
              <w:t> </w:t>
            </w:r>
            <w:r w:rsidRPr="0056236E">
              <w:rPr>
                <w:rStyle w:val="Policepardfaut"/>
                <w:sz w:val="22"/>
              </w:rPr>
              <w:t> </w:t>
            </w:r>
          </w:p>
        </w:tc>
        <w:tc>
          <w:tcPr>
            <w:tcW w:w="9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jc w:val="center"/>
              <w:rPr>
                <w:sz w:val="22"/>
              </w:rPr>
            </w:pPr>
            <w:r w:rsidRPr="0056236E">
              <w:rPr>
                <w:sz w:val="22"/>
              </w:rPr>
              <w:t>GEFTF</w:t>
            </w:r>
          </w:p>
        </w:tc>
        <w:tc>
          <w:tcPr>
            <w:tcW w:w="15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r w:rsidRPr="0056236E" w:rsidDel="00AD2CED">
              <w:rPr>
                <w:sz w:val="22"/>
              </w:rPr>
              <w:t>330</w:t>
            </w:r>
            <w:r w:rsidRPr="0056236E">
              <w:rPr>
                <w:sz w:val="22"/>
              </w:rPr>
              <w:t>,697</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r w:rsidRPr="0056236E" w:rsidDel="00AD2CED">
              <w:rPr>
                <w:sz w:val="22"/>
              </w:rPr>
              <w:t>1</w:t>
            </w:r>
            <w:r w:rsidRPr="0056236E">
              <w:rPr>
                <w:sz w:val="22"/>
              </w:rPr>
              <w:t>,</w:t>
            </w:r>
            <w:r w:rsidRPr="0056236E" w:rsidDel="00AD2CED">
              <w:rPr>
                <w:sz w:val="22"/>
              </w:rPr>
              <w:t>3</w:t>
            </w:r>
            <w:r w:rsidR="00A80F5A">
              <w:rPr>
                <w:sz w:val="22"/>
              </w:rPr>
              <w:t>25</w:t>
            </w:r>
            <w:r w:rsidRPr="0056236E">
              <w:rPr>
                <w:sz w:val="22"/>
              </w:rPr>
              <w:t>,000</w:t>
            </w:r>
          </w:p>
        </w:tc>
      </w:tr>
      <w:tr w:rsidR="000E03BF" w:rsidRPr="0056236E" w:rsidTr="008743D2">
        <w:trPr>
          <w:jc w:val="center"/>
        </w:trPr>
        <w:tc>
          <w:tcPr>
            <w:tcW w:w="159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 xml:space="preserve">CCM-1   </w:t>
            </w:r>
            <w:bookmarkStart w:id="8" w:name="sec_fa_obj_02"/>
            <w:r w:rsidRPr="0056236E">
              <w:rPr>
                <w:rStyle w:val="Policepardfaut"/>
                <w:sz w:val="22"/>
              </w:rPr>
              <w:t>(select)</w:t>
            </w:r>
            <w:bookmarkEnd w:id="8"/>
          </w:p>
        </w:tc>
        <w:tc>
          <w:tcPr>
            <w:tcW w:w="245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rPr>
                <w:rFonts w:cs="Times New Roman"/>
                <w:sz w:val="22"/>
                <w:lang w:val="en-US"/>
              </w:rPr>
            </w:pPr>
            <w:r w:rsidRPr="0056236E">
              <w:rPr>
                <w:rFonts w:cs="Times New Roman"/>
                <w:sz w:val="22"/>
                <w:lang w:val="en-US"/>
              </w:rPr>
              <w:t>Enabling policy environment and mechanisms created for</w:t>
            </w:r>
          </w:p>
          <w:p w:rsidR="000E03BF" w:rsidRPr="0056236E" w:rsidRDefault="000E03BF">
            <w:pPr>
              <w:rPr>
                <w:rFonts w:cs="Times New Roman"/>
                <w:sz w:val="22"/>
                <w:lang w:val="en-US"/>
              </w:rPr>
            </w:pPr>
            <w:r w:rsidRPr="0056236E">
              <w:rPr>
                <w:rFonts w:cs="Times New Roman"/>
                <w:sz w:val="22"/>
                <w:lang w:val="en-US"/>
              </w:rPr>
              <w:t>technology transfer</w:t>
            </w:r>
          </w:p>
          <w:p w:rsidR="000E03BF" w:rsidRPr="0056236E" w:rsidRDefault="000E03BF">
            <w:pPr>
              <w:rPr>
                <w:rFonts w:cs="Times New Roman"/>
                <w:sz w:val="22"/>
                <w:lang w:val="en-US"/>
              </w:rPr>
            </w:pPr>
          </w:p>
          <w:p w:rsidR="000E03BF" w:rsidRPr="0056236E" w:rsidRDefault="000E03BF">
            <w:pPr>
              <w:pStyle w:val="Standard"/>
              <w:widowControl w:val="0"/>
              <w:snapToGrid w:val="0"/>
              <w:rPr>
                <w:sz w:val="22"/>
              </w:rPr>
            </w:pPr>
            <w:r w:rsidRPr="0056236E">
              <w:rPr>
                <w:rStyle w:val="Policepardfaut"/>
                <w:sz w:val="22"/>
              </w:rPr>
              <w:t>Indicator: Extent to which policies and mechanisms are adopted for technology transfer</w:t>
            </w:r>
          </w:p>
        </w:tc>
        <w:bookmarkStart w:id="9" w:name="ExpectedFAOutput_02"/>
        <w:tc>
          <w:tcPr>
            <w:tcW w:w="27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843A2E">
            <w:pPr>
              <w:pStyle w:val="Standard"/>
              <w:widowControl w:val="0"/>
              <w:snapToGrid w:val="0"/>
              <w:rPr>
                <w:sz w:val="22"/>
              </w:rPr>
            </w:pPr>
            <w:r w:rsidRPr="0056236E">
              <w:rPr>
                <w:rStyle w:val="Policepardfaut"/>
                <w:sz w:val="22"/>
              </w:rPr>
              <w:fldChar w:fldCharType="begin"/>
            </w:r>
            <w:r w:rsidR="000E03BF" w:rsidRPr="0056236E">
              <w:rPr>
                <w:rStyle w:val="Policepardfaut"/>
                <w:sz w:val="22"/>
              </w:rPr>
              <w:instrText xml:space="preserve"> FILLIN "ExpectedFAOutput_02" </w:instrText>
            </w:r>
            <w:r w:rsidRPr="0056236E">
              <w:rPr>
                <w:rStyle w:val="Policepardfaut"/>
                <w:sz w:val="22"/>
              </w:rPr>
              <w:fldChar w:fldCharType="separate"/>
            </w:r>
            <w:r w:rsidR="000E03BF" w:rsidRPr="0056236E">
              <w:rPr>
                <w:rStyle w:val="Policepardfaut"/>
                <w:sz w:val="22"/>
              </w:rPr>
              <w:t>National strategies for the deployment and commercialization of innovative low-carbon technologies adopted</w:t>
            </w:r>
            <w:r w:rsidRPr="0056236E">
              <w:rPr>
                <w:rStyle w:val="Policepardfaut"/>
                <w:sz w:val="22"/>
              </w:rPr>
              <w:fldChar w:fldCharType="end"/>
            </w:r>
            <w:bookmarkEnd w:id="9"/>
          </w:p>
        </w:tc>
        <w:tc>
          <w:tcPr>
            <w:tcW w:w="9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GEFTF</w:t>
            </w:r>
          </w:p>
        </w:tc>
        <w:tc>
          <w:tcPr>
            <w:tcW w:w="15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r w:rsidRPr="0056236E" w:rsidDel="00AD2CED">
              <w:rPr>
                <w:sz w:val="22"/>
              </w:rPr>
              <w:t>330,696</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r w:rsidRPr="0056236E" w:rsidDel="00AD2CED">
              <w:rPr>
                <w:sz w:val="22"/>
              </w:rPr>
              <w:t>1</w:t>
            </w:r>
            <w:r w:rsidRPr="0056236E">
              <w:rPr>
                <w:sz w:val="22"/>
              </w:rPr>
              <w:t>,</w:t>
            </w:r>
            <w:r w:rsidRPr="0056236E" w:rsidDel="00AD2CED">
              <w:rPr>
                <w:sz w:val="22"/>
              </w:rPr>
              <w:t>3</w:t>
            </w:r>
            <w:r w:rsidR="00A80F5A">
              <w:rPr>
                <w:sz w:val="22"/>
              </w:rPr>
              <w:t>25</w:t>
            </w:r>
            <w:r w:rsidRPr="0056236E">
              <w:rPr>
                <w:sz w:val="22"/>
              </w:rPr>
              <w:t>,000</w:t>
            </w:r>
          </w:p>
        </w:tc>
      </w:tr>
      <w:tr w:rsidR="000E03BF" w:rsidRPr="0056236E" w:rsidTr="008743D2">
        <w:trPr>
          <w:jc w:val="center"/>
        </w:trPr>
        <w:tc>
          <w:tcPr>
            <w:tcW w:w="159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keepNext/>
              <w:keepLines/>
              <w:widowControl w:val="0"/>
              <w:snapToGrid w:val="0"/>
              <w:spacing w:before="200"/>
              <w:outlineLvl w:val="1"/>
              <w:rPr>
                <w:sz w:val="22"/>
              </w:rPr>
            </w:pPr>
            <w:r w:rsidRPr="0056236E">
              <w:rPr>
                <w:sz w:val="22"/>
              </w:rPr>
              <w:t>CCM-2</w:t>
            </w:r>
          </w:p>
        </w:tc>
        <w:tc>
          <w:tcPr>
            <w:tcW w:w="245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611606" w:rsidRPr="0056236E" w:rsidRDefault="00611606" w:rsidP="000E03BF">
            <w:pPr>
              <w:pStyle w:val="Standard"/>
              <w:widowControl w:val="0"/>
              <w:snapToGrid w:val="0"/>
              <w:rPr>
                <w:sz w:val="22"/>
              </w:rPr>
            </w:pPr>
          </w:p>
          <w:p w:rsidR="000D0398" w:rsidRPr="00FC5CFD" w:rsidRDefault="000D0398" w:rsidP="000D0398">
            <w:pPr>
              <w:pStyle w:val="Standard"/>
              <w:widowControl w:val="0"/>
              <w:snapToGrid w:val="0"/>
              <w:rPr>
                <w:sz w:val="22"/>
              </w:rPr>
            </w:pPr>
            <w:r w:rsidRPr="00FC5CFD">
              <w:rPr>
                <w:sz w:val="22"/>
              </w:rPr>
              <w:t>Appropriate Policy, legal and regulatory frameworks adopted and enforced.</w:t>
            </w:r>
          </w:p>
          <w:p w:rsidR="000D0398" w:rsidRPr="0056236E" w:rsidRDefault="000D0398" w:rsidP="000D0398">
            <w:pPr>
              <w:pStyle w:val="Standard"/>
              <w:keepNext/>
              <w:keepLines/>
              <w:widowControl w:val="0"/>
              <w:snapToGrid w:val="0"/>
              <w:spacing w:before="200"/>
              <w:outlineLvl w:val="1"/>
              <w:rPr>
                <w:sz w:val="22"/>
              </w:rPr>
            </w:pPr>
            <w:r w:rsidRPr="00FC5CFD">
              <w:rPr>
                <w:sz w:val="22"/>
              </w:rPr>
              <w:t xml:space="preserve">Indicator: Extent to which energy efficiency policies and regulation are adopted and enforced </w:t>
            </w:r>
          </w:p>
        </w:tc>
        <w:tc>
          <w:tcPr>
            <w:tcW w:w="27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611606" w:rsidRPr="0056236E" w:rsidRDefault="000D0398">
            <w:pPr>
              <w:pStyle w:val="Standard"/>
              <w:keepNext/>
              <w:keepLines/>
              <w:widowControl w:val="0"/>
              <w:snapToGrid w:val="0"/>
              <w:spacing w:before="200"/>
              <w:outlineLvl w:val="1"/>
              <w:rPr>
                <w:sz w:val="22"/>
              </w:rPr>
            </w:pPr>
            <w:r w:rsidRPr="00FC5CFD">
              <w:rPr>
                <w:sz w:val="22"/>
              </w:rPr>
              <w:t>National policy, legal and regulatory frameworks are adopted and enforced to promote market transformation to energy efficient lighting.</w:t>
            </w:r>
          </w:p>
        </w:tc>
        <w:tc>
          <w:tcPr>
            <w:tcW w:w="9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611606" w:rsidRPr="00FB3987" w:rsidRDefault="00611606" w:rsidP="004B7FA6">
            <w:pPr>
              <w:rPr>
                <w:sz w:val="22"/>
                <w:szCs w:val="22"/>
                <w:lang w:val="en-US"/>
              </w:rPr>
            </w:pPr>
          </w:p>
          <w:p w:rsidR="000E03BF" w:rsidRPr="0056236E" w:rsidRDefault="000E03BF" w:rsidP="004B7FA6">
            <w:pPr>
              <w:rPr>
                <w:sz w:val="22"/>
                <w:szCs w:val="22"/>
              </w:rPr>
            </w:pPr>
            <w:r w:rsidRPr="0056236E">
              <w:rPr>
                <w:sz w:val="22"/>
                <w:szCs w:val="22"/>
              </w:rPr>
              <w:t>GEFTF</w:t>
            </w:r>
          </w:p>
        </w:tc>
        <w:tc>
          <w:tcPr>
            <w:tcW w:w="15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611606" w:rsidRPr="0056236E" w:rsidRDefault="00611606">
            <w:pPr>
              <w:pStyle w:val="Standard"/>
              <w:widowControl w:val="0"/>
              <w:snapToGrid w:val="0"/>
              <w:jc w:val="right"/>
              <w:rPr>
                <w:rStyle w:val="Policepardfaut"/>
                <w:sz w:val="22"/>
              </w:rPr>
            </w:pPr>
          </w:p>
          <w:p w:rsidR="000E03BF" w:rsidRPr="0056236E" w:rsidRDefault="00611606">
            <w:pPr>
              <w:pStyle w:val="Standard"/>
              <w:widowControl w:val="0"/>
              <w:snapToGrid w:val="0"/>
              <w:jc w:val="right"/>
              <w:rPr>
                <w:sz w:val="22"/>
              </w:rPr>
            </w:pPr>
            <w:r w:rsidRPr="0056236E">
              <w:rPr>
                <w:rStyle w:val="Policepardfaut"/>
                <w:sz w:val="22"/>
              </w:rPr>
              <w:t>1,225,000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606" w:rsidRPr="0056236E" w:rsidRDefault="00611606" w:rsidP="000E03BF">
            <w:pPr>
              <w:pStyle w:val="Standard"/>
              <w:widowControl w:val="0"/>
              <w:snapToGrid w:val="0"/>
              <w:jc w:val="right"/>
              <w:rPr>
                <w:rStyle w:val="Policepardfaut"/>
                <w:sz w:val="22"/>
              </w:rPr>
            </w:pPr>
            <w:bookmarkStart w:id="10" w:name="A_CO_03"/>
          </w:p>
          <w:p w:rsidR="000E03BF" w:rsidRPr="0056236E" w:rsidRDefault="00611606" w:rsidP="000E03BF">
            <w:pPr>
              <w:pStyle w:val="Standard"/>
              <w:widowControl w:val="0"/>
              <w:snapToGrid w:val="0"/>
              <w:jc w:val="right"/>
              <w:rPr>
                <w:sz w:val="22"/>
              </w:rPr>
            </w:pPr>
            <w:r w:rsidRPr="0056236E">
              <w:rPr>
                <w:rStyle w:val="Policepardfaut"/>
                <w:sz w:val="22"/>
              </w:rPr>
              <w:t>6,5</w:t>
            </w:r>
            <w:r w:rsidR="00A80F5A">
              <w:rPr>
                <w:rStyle w:val="Policepardfaut"/>
                <w:sz w:val="22"/>
              </w:rPr>
              <w:t>25</w:t>
            </w:r>
            <w:r w:rsidR="000E03BF" w:rsidRPr="0056236E">
              <w:rPr>
                <w:rStyle w:val="Policepardfaut"/>
                <w:sz w:val="22"/>
              </w:rPr>
              <w:t>,000</w:t>
            </w:r>
            <w:r w:rsidR="00843A2E" w:rsidRPr="0056236E">
              <w:rPr>
                <w:rStyle w:val="Policepardfaut"/>
                <w:sz w:val="22"/>
              </w:rPr>
              <w:fldChar w:fldCharType="begin"/>
            </w:r>
            <w:r w:rsidR="000E03BF" w:rsidRPr="0056236E">
              <w:rPr>
                <w:rStyle w:val="Policepardfaut"/>
                <w:sz w:val="22"/>
              </w:rPr>
              <w:instrText xml:space="preserve"> FILLIN "A_CO_03" </w:instrText>
            </w:r>
            <w:r w:rsidR="00843A2E" w:rsidRPr="0056236E">
              <w:rPr>
                <w:rStyle w:val="Policepardfaut"/>
                <w:sz w:val="22"/>
              </w:rPr>
              <w:fldChar w:fldCharType="separate"/>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843A2E" w:rsidRPr="0056236E">
              <w:rPr>
                <w:rStyle w:val="Policepardfaut"/>
                <w:sz w:val="22"/>
              </w:rPr>
              <w:fldChar w:fldCharType="end"/>
            </w:r>
            <w:bookmarkEnd w:id="10"/>
          </w:p>
        </w:tc>
      </w:tr>
      <w:tr w:rsidR="000E03BF" w:rsidRPr="0056236E" w:rsidTr="008743D2">
        <w:trPr>
          <w:jc w:val="center"/>
        </w:trPr>
        <w:tc>
          <w:tcPr>
            <w:tcW w:w="159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CHEM-3</w:t>
            </w:r>
          </w:p>
        </w:tc>
        <w:tc>
          <w:tcPr>
            <w:tcW w:w="245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Development of capacity building for collection and recycling program to effectively manage mercury content.</w:t>
            </w:r>
          </w:p>
        </w:tc>
        <w:tc>
          <w:tcPr>
            <w:tcW w:w="27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Conducting training of collection and recycling process.</w:t>
            </w:r>
          </w:p>
        </w:tc>
        <w:tc>
          <w:tcPr>
            <w:tcW w:w="9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ind w:left="-83"/>
              <w:jc w:val="both"/>
              <w:rPr>
                <w:sz w:val="22"/>
                <w:szCs w:val="22"/>
              </w:rPr>
            </w:pPr>
            <w:r w:rsidRPr="0056236E">
              <w:rPr>
                <w:sz w:val="22"/>
                <w:szCs w:val="22"/>
              </w:rPr>
              <w:t>GEF</w:t>
            </w:r>
            <w:r w:rsidR="009A416B" w:rsidRPr="0056236E">
              <w:rPr>
                <w:sz w:val="22"/>
                <w:szCs w:val="22"/>
              </w:rPr>
              <w:t>TF</w:t>
            </w:r>
            <w:r w:rsidRPr="0056236E">
              <w:rPr>
                <w:sz w:val="22"/>
                <w:szCs w:val="22"/>
              </w:rPr>
              <w:t xml:space="preserve"> </w:t>
            </w:r>
          </w:p>
          <w:p w:rsidR="000E03BF" w:rsidRPr="0056236E" w:rsidRDefault="000E03BF">
            <w:pPr>
              <w:pStyle w:val="Standard"/>
              <w:widowControl w:val="0"/>
              <w:snapToGrid w:val="0"/>
              <w:rPr>
                <w:sz w:val="22"/>
              </w:rPr>
            </w:pPr>
          </w:p>
        </w:tc>
        <w:tc>
          <w:tcPr>
            <w:tcW w:w="15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9A416B">
            <w:pPr>
              <w:pStyle w:val="Standard"/>
              <w:widowControl w:val="0"/>
              <w:snapToGrid w:val="0"/>
              <w:jc w:val="right"/>
              <w:rPr>
                <w:sz w:val="22"/>
              </w:rPr>
            </w:pPr>
            <w:r w:rsidRPr="0056236E">
              <w:rPr>
                <w:sz w:val="22"/>
              </w:rPr>
              <w:t>45,622</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jc w:val="right"/>
              <w:rPr>
                <w:sz w:val="22"/>
              </w:rPr>
            </w:pPr>
          </w:p>
        </w:tc>
      </w:tr>
      <w:tr w:rsidR="000E03BF" w:rsidRPr="0056236E" w:rsidTr="000D0398">
        <w:trPr>
          <w:trHeight w:val="287"/>
          <w:jc w:val="center"/>
        </w:trPr>
        <w:tc>
          <w:tcPr>
            <w:tcW w:w="6752" w:type="dxa"/>
            <w:gridSpan w:val="3"/>
            <w:tcBorders>
              <w:top w:val="single" w:sz="4" w:space="0" w:color="000000"/>
              <w:left w:val="single" w:sz="4" w:space="0" w:color="000000"/>
              <w:bottom w:val="double" w:sz="2"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jc w:val="right"/>
              <w:rPr>
                <w:sz w:val="22"/>
              </w:rPr>
            </w:pPr>
            <w:r w:rsidRPr="0056236E">
              <w:rPr>
                <w:sz w:val="22"/>
              </w:rPr>
              <w:t>Sub-Total</w:t>
            </w:r>
          </w:p>
        </w:tc>
        <w:tc>
          <w:tcPr>
            <w:tcW w:w="9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keepNext/>
              <w:keepLines/>
              <w:widowControl w:val="0"/>
              <w:snapToGrid w:val="0"/>
              <w:spacing w:before="200"/>
              <w:jc w:val="right"/>
              <w:outlineLvl w:val="1"/>
              <w:rPr>
                <w:sz w:val="22"/>
              </w:rPr>
            </w:pPr>
          </w:p>
        </w:tc>
        <w:tc>
          <w:tcPr>
            <w:tcW w:w="15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611606" w:rsidP="009A416B">
            <w:pPr>
              <w:jc w:val="right"/>
            </w:pPr>
            <w:r w:rsidRPr="0056236E">
              <w:t>1,932,015</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A80F5A" w:rsidP="009A416B">
            <w:pPr>
              <w:jc w:val="right"/>
            </w:pPr>
            <w:r>
              <w:t>9,175</w:t>
            </w:r>
            <w:r w:rsidR="000E03BF" w:rsidRPr="0056236E">
              <w:t>,000</w:t>
            </w:r>
          </w:p>
        </w:tc>
      </w:tr>
      <w:tr w:rsidR="000E03BF" w:rsidRPr="0056236E" w:rsidTr="000D0398">
        <w:trPr>
          <w:trHeight w:val="354"/>
          <w:jc w:val="center"/>
        </w:trPr>
        <w:tc>
          <w:tcPr>
            <w:tcW w:w="6752" w:type="dxa"/>
            <w:gridSpan w:val="3"/>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jc w:val="right"/>
              <w:rPr>
                <w:sz w:val="22"/>
              </w:rPr>
            </w:pPr>
            <w:r w:rsidRPr="0056236E">
              <w:rPr>
                <w:rStyle w:val="Policepardfaut"/>
                <w:sz w:val="22"/>
              </w:rPr>
              <w:t xml:space="preserve"> Project Management Cost</w:t>
            </w:r>
            <w:r w:rsidRPr="0056236E">
              <w:rPr>
                <w:rStyle w:val="FootnoteSymbol"/>
                <w:sz w:val="22"/>
              </w:rPr>
              <w:footnoteReference w:id="3"/>
            </w:r>
          </w:p>
        </w:tc>
        <w:tc>
          <w:tcPr>
            <w:tcW w:w="981" w:type="dxa"/>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jc w:val="center"/>
              <w:rPr>
                <w:sz w:val="22"/>
              </w:rPr>
            </w:pPr>
            <w:r w:rsidRPr="0056236E">
              <w:rPr>
                <w:sz w:val="22"/>
                <w:szCs w:val="22"/>
              </w:rPr>
              <w:t>GEFTF</w:t>
            </w:r>
          </w:p>
        </w:tc>
        <w:tc>
          <w:tcPr>
            <w:tcW w:w="1560" w:type="dxa"/>
            <w:tcBorders>
              <w:top w:val="single" w:sz="4" w:space="0" w:color="000000"/>
              <w:left w:val="single" w:sz="4" w:space="0" w:color="000000"/>
              <w:bottom w:val="double" w:sz="2" w:space="0" w:color="000000"/>
            </w:tcBorders>
            <w:shd w:val="clear" w:color="auto" w:fill="FFFFFF"/>
            <w:tcMar>
              <w:top w:w="0" w:type="dxa"/>
              <w:left w:w="108" w:type="dxa"/>
              <w:bottom w:w="0" w:type="dxa"/>
              <w:right w:w="108" w:type="dxa"/>
            </w:tcMar>
          </w:tcPr>
          <w:p w:rsidR="000E03BF" w:rsidRPr="0056236E" w:rsidRDefault="00611606" w:rsidP="000E03BF">
            <w:pPr>
              <w:pStyle w:val="Standard"/>
              <w:widowControl w:val="0"/>
              <w:snapToGrid w:val="0"/>
              <w:jc w:val="right"/>
              <w:rPr>
                <w:sz w:val="22"/>
              </w:rPr>
            </w:pPr>
            <w:r w:rsidRPr="0056236E">
              <w:rPr>
                <w:sz w:val="22"/>
              </w:rPr>
              <w:t>96,601</w:t>
            </w:r>
          </w:p>
        </w:tc>
        <w:tc>
          <w:tcPr>
            <w:tcW w:w="1428" w:type="dxa"/>
            <w:tcBorders>
              <w:top w:val="single" w:sz="4" w:space="0" w:color="000000"/>
              <w:left w:val="single" w:sz="4" w:space="0" w:color="000000"/>
              <w:bottom w:val="double" w:sz="2" w:space="0" w:color="000000"/>
              <w:right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jc w:val="right"/>
              <w:rPr>
                <w:sz w:val="22"/>
              </w:rPr>
            </w:pPr>
            <w:r w:rsidRPr="0056236E">
              <w:rPr>
                <w:sz w:val="22"/>
              </w:rPr>
              <w:t>480,000</w:t>
            </w:r>
          </w:p>
        </w:tc>
      </w:tr>
      <w:tr w:rsidR="000E03BF" w:rsidRPr="0056236E" w:rsidTr="008743D2">
        <w:trPr>
          <w:jc w:val="center"/>
        </w:trPr>
        <w:tc>
          <w:tcPr>
            <w:tcW w:w="6752" w:type="dxa"/>
            <w:gridSpan w:val="3"/>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0E03BF" w:rsidRPr="0056236E" w:rsidRDefault="000E03BF">
            <w:pPr>
              <w:pStyle w:val="Standard"/>
              <w:snapToGrid w:val="0"/>
              <w:jc w:val="right"/>
              <w:rPr>
                <w:b/>
                <w:sz w:val="22"/>
              </w:rPr>
            </w:pPr>
            <w:r w:rsidRPr="0056236E">
              <w:rPr>
                <w:b/>
                <w:sz w:val="22"/>
              </w:rPr>
              <w:lastRenderedPageBreak/>
              <w:t>Total Project Cost</w:t>
            </w:r>
          </w:p>
        </w:tc>
        <w:tc>
          <w:tcPr>
            <w:tcW w:w="981" w:type="dxa"/>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0E03BF" w:rsidRPr="0056236E" w:rsidRDefault="000E03BF">
            <w:pPr>
              <w:pStyle w:val="Standard"/>
              <w:keepNext/>
              <w:keepLines/>
              <w:widowControl w:val="0"/>
              <w:snapToGrid w:val="0"/>
              <w:spacing w:before="200"/>
              <w:jc w:val="right"/>
              <w:outlineLvl w:val="1"/>
              <w:rPr>
                <w:sz w:val="22"/>
              </w:rPr>
            </w:pPr>
          </w:p>
        </w:tc>
        <w:tc>
          <w:tcPr>
            <w:tcW w:w="1560" w:type="dxa"/>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0E03BF" w:rsidRPr="0056236E" w:rsidRDefault="00411428" w:rsidP="004A15BF">
            <w:pPr>
              <w:pStyle w:val="Standard"/>
              <w:widowControl w:val="0"/>
              <w:snapToGrid w:val="0"/>
              <w:jc w:val="right"/>
              <w:rPr>
                <w:sz w:val="22"/>
              </w:rPr>
            </w:pPr>
            <w:r w:rsidRPr="0056236E">
              <w:rPr>
                <w:sz w:val="22"/>
              </w:rPr>
              <w:t>2,028,616</w:t>
            </w:r>
          </w:p>
        </w:tc>
        <w:tc>
          <w:tcPr>
            <w:tcW w:w="1428" w:type="dxa"/>
            <w:tcBorders>
              <w:top w:val="double" w:sz="2" w:space="0" w:color="000000"/>
              <w:left w:val="single" w:sz="4" w:space="0" w:color="000000"/>
              <w:bottom w:val="double" w:sz="2" w:space="0" w:color="000000"/>
              <w:right w:val="single" w:sz="4" w:space="0" w:color="000000"/>
            </w:tcBorders>
            <w:shd w:val="clear" w:color="auto" w:fill="FFFFFF"/>
            <w:tcMar>
              <w:top w:w="0" w:type="dxa"/>
              <w:left w:w="108" w:type="dxa"/>
              <w:bottom w:w="0" w:type="dxa"/>
              <w:right w:w="108" w:type="dxa"/>
            </w:tcMar>
          </w:tcPr>
          <w:p w:rsidR="000E03BF" w:rsidRPr="0056236E" w:rsidRDefault="00A80F5A" w:rsidP="000E03BF">
            <w:pPr>
              <w:pStyle w:val="Standard"/>
              <w:widowControl w:val="0"/>
              <w:snapToGrid w:val="0"/>
              <w:jc w:val="right"/>
              <w:rPr>
                <w:sz w:val="22"/>
              </w:rPr>
            </w:pPr>
            <w:r>
              <w:rPr>
                <w:sz w:val="22"/>
              </w:rPr>
              <w:t>9,655</w:t>
            </w:r>
            <w:r w:rsidR="000E03BF" w:rsidRPr="0056236E">
              <w:rPr>
                <w:sz w:val="22"/>
              </w:rPr>
              <w:t>,000</w:t>
            </w:r>
          </w:p>
        </w:tc>
      </w:tr>
    </w:tbl>
    <w:p w:rsidR="000E03BF" w:rsidRPr="0056236E" w:rsidRDefault="000E03BF">
      <w:pPr>
        <w:pStyle w:val="Pieddepage"/>
        <w:numPr>
          <w:ilvl w:val="0"/>
          <w:numId w:val="25"/>
        </w:numPr>
        <w:tabs>
          <w:tab w:val="clear" w:pos="4680"/>
          <w:tab w:val="clear" w:pos="9360"/>
        </w:tabs>
        <w:spacing w:before="120" w:after="80"/>
        <w:ind w:hanging="1350"/>
        <w:rPr>
          <w:rFonts w:cs="Times New Roman"/>
          <w:b/>
          <w:smallCaps/>
          <w:sz w:val="22"/>
          <w:lang w:val="en-US"/>
        </w:rPr>
      </w:pPr>
      <w:r w:rsidRPr="0056236E">
        <w:rPr>
          <w:rFonts w:cs="Times New Roman"/>
          <w:b/>
          <w:smallCaps/>
          <w:sz w:val="22"/>
          <w:lang w:val="en-US"/>
        </w:rPr>
        <w:t>B. Project Framework</w:t>
      </w:r>
    </w:p>
    <w:tbl>
      <w:tblPr>
        <w:tblW w:w="10923" w:type="dxa"/>
        <w:jc w:val="center"/>
        <w:tblLayout w:type="fixed"/>
        <w:tblCellMar>
          <w:left w:w="10" w:type="dxa"/>
          <w:right w:w="10" w:type="dxa"/>
        </w:tblCellMar>
        <w:tblLook w:val="0000" w:firstRow="0" w:lastRow="0" w:firstColumn="0" w:lastColumn="0" w:noHBand="0" w:noVBand="0"/>
      </w:tblPr>
      <w:tblGrid>
        <w:gridCol w:w="1925"/>
        <w:gridCol w:w="870"/>
        <w:gridCol w:w="2150"/>
        <w:gridCol w:w="2502"/>
        <w:gridCol w:w="800"/>
        <w:gridCol w:w="1289"/>
        <w:gridCol w:w="1387"/>
      </w:tblGrid>
      <w:tr w:rsidR="000E03BF" w:rsidRPr="00FB3987">
        <w:trPr>
          <w:trHeight w:val="260"/>
          <w:jc w:val="center"/>
        </w:trPr>
        <w:tc>
          <w:tcPr>
            <w:tcW w:w="1092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iCs/>
                <w:sz w:val="22"/>
              </w:rPr>
              <w:t xml:space="preserve">Project Objective: </w:t>
            </w:r>
            <w:bookmarkStart w:id="11" w:name="projObj"/>
            <w:r w:rsidR="00843A2E" w:rsidRPr="0056236E">
              <w:rPr>
                <w:rStyle w:val="Policepardfaut"/>
                <w:iCs/>
                <w:sz w:val="22"/>
              </w:rPr>
              <w:fldChar w:fldCharType="begin"/>
            </w:r>
            <w:r w:rsidRPr="0056236E">
              <w:rPr>
                <w:rStyle w:val="Policepardfaut"/>
                <w:iCs/>
                <w:sz w:val="22"/>
              </w:rPr>
              <w:instrText xml:space="preserve"> FILLIN "projObj" </w:instrText>
            </w:r>
            <w:r w:rsidR="00843A2E" w:rsidRPr="0056236E">
              <w:rPr>
                <w:rStyle w:val="Policepardfaut"/>
                <w:iCs/>
                <w:sz w:val="22"/>
              </w:rPr>
              <w:fldChar w:fldCharType="separate"/>
            </w:r>
            <w:r w:rsidRPr="0056236E">
              <w:rPr>
                <w:rStyle w:val="Policepardfaut"/>
                <w:iCs/>
                <w:sz w:val="22"/>
              </w:rPr>
              <w:t>Promote the rapid utilization of high energy efficient lighting technologies through the transformation of efficient lighting products markets, thereby reducing electrical demand and consumption and the related greenhouse gas (GHG) emissions.</w:t>
            </w:r>
            <w:r w:rsidR="00843A2E" w:rsidRPr="0056236E">
              <w:rPr>
                <w:rStyle w:val="Policepardfaut"/>
                <w:iCs/>
                <w:sz w:val="22"/>
              </w:rPr>
              <w:fldChar w:fldCharType="end"/>
            </w:r>
            <w:bookmarkEnd w:id="11"/>
          </w:p>
        </w:tc>
      </w:tr>
      <w:tr w:rsidR="000E03BF" w:rsidRPr="0056236E" w:rsidTr="00D70E52">
        <w:trPr>
          <w:trHeight w:val="260"/>
          <w:jc w:val="center"/>
        </w:trPr>
        <w:tc>
          <w:tcPr>
            <w:tcW w:w="192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widowControl w:val="0"/>
              <w:snapToGrid w:val="0"/>
              <w:ind w:left="72"/>
              <w:jc w:val="center"/>
              <w:outlineLvl w:val="9"/>
              <w:rPr>
                <w:bCs w:val="0"/>
                <w:iCs/>
                <w:sz w:val="22"/>
              </w:rPr>
            </w:pPr>
            <w:r w:rsidRPr="0056236E">
              <w:rPr>
                <w:bCs w:val="0"/>
                <w:iCs/>
                <w:sz w:val="22"/>
              </w:rPr>
              <w:t>Project Component</w:t>
            </w:r>
          </w:p>
        </w:tc>
        <w:tc>
          <w:tcPr>
            <w:tcW w:w="87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widowControl w:val="0"/>
              <w:snapToGrid w:val="0"/>
              <w:ind w:left="72"/>
              <w:jc w:val="center"/>
              <w:outlineLvl w:val="9"/>
              <w:rPr>
                <w:bCs w:val="0"/>
                <w:iCs/>
                <w:sz w:val="22"/>
              </w:rPr>
            </w:pPr>
            <w:r w:rsidRPr="0056236E">
              <w:rPr>
                <w:bCs w:val="0"/>
                <w:iCs/>
                <w:sz w:val="22"/>
              </w:rPr>
              <w:t>Grant Type</w:t>
            </w:r>
          </w:p>
          <w:p w:rsidR="000E03BF" w:rsidRPr="0056236E" w:rsidRDefault="000E03BF">
            <w:pPr>
              <w:pStyle w:val="Titre3"/>
              <w:keepLines/>
              <w:widowControl w:val="0"/>
              <w:spacing w:before="480"/>
              <w:ind w:left="72"/>
              <w:jc w:val="center"/>
              <w:outlineLvl w:val="9"/>
              <w:rPr>
                <w:bCs w:val="0"/>
                <w:iCs/>
                <w:sz w:val="22"/>
              </w:rPr>
            </w:pPr>
          </w:p>
        </w:tc>
        <w:tc>
          <w:tcPr>
            <w:tcW w:w="215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widowControl w:val="0"/>
              <w:snapToGrid w:val="0"/>
              <w:ind w:left="72"/>
              <w:jc w:val="center"/>
              <w:outlineLvl w:val="9"/>
              <w:rPr>
                <w:bCs w:val="0"/>
                <w:iCs/>
                <w:sz w:val="22"/>
              </w:rPr>
            </w:pPr>
            <w:r w:rsidRPr="0056236E">
              <w:rPr>
                <w:bCs w:val="0"/>
                <w:iCs/>
                <w:sz w:val="22"/>
              </w:rPr>
              <w:t>Expected Outcomes</w:t>
            </w:r>
          </w:p>
        </w:tc>
        <w:tc>
          <w:tcPr>
            <w:tcW w:w="25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0E03BF" w:rsidRPr="0056236E" w:rsidRDefault="000E03BF">
            <w:pPr>
              <w:pStyle w:val="Titre3"/>
              <w:widowControl w:val="0"/>
              <w:snapToGrid w:val="0"/>
              <w:ind w:left="72"/>
              <w:jc w:val="center"/>
              <w:outlineLvl w:val="9"/>
              <w:rPr>
                <w:bCs w:val="0"/>
                <w:iCs/>
                <w:sz w:val="22"/>
              </w:rPr>
            </w:pPr>
            <w:r w:rsidRPr="0056236E">
              <w:rPr>
                <w:bCs w:val="0"/>
                <w:iCs/>
                <w:sz w:val="22"/>
              </w:rPr>
              <w:t>Expected Outputs</w:t>
            </w:r>
          </w:p>
        </w:tc>
        <w:tc>
          <w:tcPr>
            <w:tcW w:w="8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Titre3"/>
              <w:widowControl w:val="0"/>
              <w:snapToGrid w:val="0"/>
              <w:jc w:val="center"/>
              <w:outlineLvl w:val="9"/>
              <w:rPr>
                <w:bCs w:val="0"/>
                <w:iCs/>
                <w:sz w:val="22"/>
              </w:rPr>
            </w:pPr>
            <w:r w:rsidRPr="0056236E">
              <w:rPr>
                <w:bCs w:val="0"/>
                <w:iCs/>
                <w:sz w:val="22"/>
              </w:rPr>
              <w:t>Trust Fund</w:t>
            </w:r>
          </w:p>
        </w:tc>
        <w:tc>
          <w:tcPr>
            <w:tcW w:w="12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Titre3"/>
              <w:widowControl w:val="0"/>
              <w:snapToGrid w:val="0"/>
              <w:jc w:val="center"/>
              <w:outlineLvl w:val="9"/>
              <w:rPr>
                <w:bCs w:val="0"/>
                <w:iCs/>
                <w:sz w:val="22"/>
              </w:rPr>
            </w:pPr>
            <w:r w:rsidRPr="0056236E">
              <w:rPr>
                <w:bCs w:val="0"/>
                <w:iCs/>
                <w:sz w:val="22"/>
              </w:rPr>
              <w:t>Indicative</w:t>
            </w:r>
          </w:p>
          <w:p w:rsidR="000E03BF" w:rsidRPr="0056236E" w:rsidRDefault="000E03BF">
            <w:pPr>
              <w:pStyle w:val="Titre3"/>
              <w:widowControl w:val="0"/>
              <w:jc w:val="center"/>
              <w:outlineLvl w:val="9"/>
              <w:rPr>
                <w:bCs w:val="0"/>
                <w:iCs/>
                <w:sz w:val="22"/>
              </w:rPr>
            </w:pPr>
            <w:r w:rsidRPr="0056236E">
              <w:rPr>
                <w:bCs w:val="0"/>
                <w:iCs/>
                <w:sz w:val="22"/>
              </w:rPr>
              <w:t>Grant Amount ($)</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0E03BF">
            <w:pPr>
              <w:pStyle w:val="Titre3"/>
              <w:widowControl w:val="0"/>
              <w:snapToGrid w:val="0"/>
              <w:jc w:val="center"/>
              <w:outlineLvl w:val="9"/>
              <w:rPr>
                <w:bCs w:val="0"/>
                <w:iCs/>
                <w:sz w:val="22"/>
              </w:rPr>
            </w:pPr>
            <w:r w:rsidRPr="0056236E">
              <w:rPr>
                <w:bCs w:val="0"/>
                <w:iCs/>
                <w:sz w:val="22"/>
              </w:rPr>
              <w:t>Indicative Cofinancing</w:t>
            </w:r>
          </w:p>
          <w:p w:rsidR="000E03BF" w:rsidRPr="0056236E" w:rsidRDefault="000E03BF">
            <w:pPr>
              <w:pStyle w:val="Titre3"/>
              <w:widowControl w:val="0"/>
              <w:jc w:val="center"/>
              <w:outlineLvl w:val="9"/>
              <w:rPr>
                <w:bCs w:val="0"/>
                <w:iCs/>
                <w:sz w:val="22"/>
              </w:rPr>
            </w:pPr>
            <w:r w:rsidRPr="0056236E">
              <w:rPr>
                <w:bCs w:val="0"/>
                <w:iCs/>
                <w:sz w:val="22"/>
              </w:rPr>
              <w:t>($)</w:t>
            </w:r>
          </w:p>
        </w:tc>
      </w:tr>
      <w:tr w:rsidR="000E03BF" w:rsidRPr="0056236E" w:rsidTr="00D70E52">
        <w:trPr>
          <w:jc w:val="center"/>
        </w:trPr>
        <w:tc>
          <w:tcPr>
            <w:tcW w:w="192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1. National policy and regulation development to promote the rapid transition to efficient lighting</w:t>
            </w:r>
          </w:p>
        </w:tc>
        <w:tc>
          <w:tcPr>
            <w:tcW w:w="87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TA</w:t>
            </w:r>
          </w:p>
        </w:tc>
        <w:tc>
          <w:tcPr>
            <w:tcW w:w="215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sz w:val="22"/>
              </w:rPr>
              <w:t xml:space="preserve">1.1 National Efficient Lighting Strategy that employs an integrated policy approach to phasing out  inefficient incandescent lamps  </w:t>
            </w:r>
          </w:p>
        </w:tc>
        <w:tc>
          <w:tcPr>
            <w:tcW w:w="25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rPr>
                <w:rFonts w:cs="Times New Roman"/>
                <w:sz w:val="22"/>
                <w:lang w:val="en-US"/>
              </w:rPr>
            </w:pPr>
            <w:r w:rsidRPr="0056236E">
              <w:rPr>
                <w:rFonts w:cs="Times New Roman"/>
                <w:sz w:val="22"/>
                <w:lang w:val="en-US"/>
              </w:rPr>
              <w:t>1.1.1 Comprehensive policies implemented to ensure a successful transition to efficient lighting market including  financial mechanisms to support countries in their efforts, and,  standards and labeling activities harmonized regionally to achieve maximum lighting market transformation</w:t>
            </w:r>
          </w:p>
          <w:p w:rsidR="000E03BF" w:rsidRPr="0056236E" w:rsidRDefault="000E03BF">
            <w:pPr>
              <w:rPr>
                <w:rFonts w:cs="Times New Roman"/>
                <w:sz w:val="22"/>
                <w:lang w:val="en-US"/>
              </w:rPr>
            </w:pPr>
          </w:p>
          <w:p w:rsidR="000E03BF" w:rsidRPr="0056236E" w:rsidRDefault="000E03BF">
            <w:pPr>
              <w:rPr>
                <w:rFonts w:cs="Times New Roman"/>
                <w:sz w:val="22"/>
                <w:lang w:val="en-US"/>
              </w:rPr>
            </w:pPr>
            <w:r w:rsidRPr="0056236E">
              <w:rPr>
                <w:rFonts w:cs="Times New Roman"/>
                <w:sz w:val="22"/>
                <w:lang w:val="en-US"/>
              </w:rPr>
              <w:t>1.1.2 National or regional legislation to establish and enforce minimum energy performance standards (MEPS) for lamps</w:t>
            </w:r>
          </w:p>
          <w:p w:rsidR="000E03BF" w:rsidRPr="0056236E" w:rsidRDefault="000E03BF">
            <w:pPr>
              <w:rPr>
                <w:rFonts w:cs="Times New Roman"/>
                <w:sz w:val="22"/>
                <w:lang w:val="en-US"/>
              </w:rPr>
            </w:pPr>
          </w:p>
          <w:p w:rsidR="000E03BF" w:rsidRPr="0056236E" w:rsidRDefault="000E03BF">
            <w:pPr>
              <w:rPr>
                <w:rFonts w:cs="Times New Roman"/>
                <w:sz w:val="22"/>
                <w:lang w:val="en-US"/>
              </w:rPr>
            </w:pPr>
            <w:r w:rsidRPr="0056236E">
              <w:rPr>
                <w:rFonts w:cs="Times New Roman"/>
                <w:sz w:val="22"/>
                <w:lang w:val="en-US"/>
              </w:rPr>
              <w:t xml:space="preserve"> 1.1.3. Monitoring, verification and enforcement (MVE) frameworks created in countries and regions to ensure compliance</w:t>
            </w:r>
          </w:p>
          <w:p w:rsidR="000E03BF" w:rsidRPr="0056236E" w:rsidRDefault="000E03BF">
            <w:pPr>
              <w:rPr>
                <w:rFonts w:cs="Times New Roman"/>
                <w:sz w:val="22"/>
                <w:lang w:val="en-US"/>
              </w:rPr>
            </w:pPr>
          </w:p>
          <w:p w:rsidR="000E03BF" w:rsidRPr="0056236E" w:rsidRDefault="000E03BF">
            <w:pPr>
              <w:rPr>
                <w:rFonts w:cs="Times New Roman"/>
                <w:sz w:val="22"/>
                <w:lang w:val="en-US"/>
              </w:rPr>
            </w:pPr>
            <w:r w:rsidRPr="0056236E">
              <w:rPr>
                <w:rFonts w:cs="Times New Roman"/>
                <w:sz w:val="22"/>
                <w:lang w:val="en-US"/>
              </w:rPr>
              <w:t>1.1.4 Enabling regulatory environment and legal frameworks  to ensure environmentally sound life-cycle management of lamps</w:t>
            </w:r>
          </w:p>
          <w:p w:rsidR="000E03BF" w:rsidRPr="0056236E" w:rsidRDefault="000E03BF">
            <w:pPr>
              <w:rPr>
                <w:rFonts w:cs="Times New Roman"/>
                <w:sz w:val="22"/>
                <w:lang w:val="en-US"/>
              </w:rPr>
            </w:pPr>
          </w:p>
          <w:p w:rsidR="000E03BF" w:rsidRPr="0056236E" w:rsidRDefault="000E03BF" w:rsidP="000E03BF">
            <w:pPr>
              <w:rPr>
                <w:rFonts w:cs="Times New Roman"/>
                <w:sz w:val="22"/>
                <w:lang w:val="en-US"/>
              </w:rPr>
            </w:pPr>
            <w:r w:rsidRPr="0056236E">
              <w:rPr>
                <w:rFonts w:cs="Times New Roman"/>
                <w:sz w:val="22"/>
                <w:lang w:val="en-US"/>
              </w:rPr>
              <w:t xml:space="preserve">1.1.5 Public communications and awareness raising activities designed and implemented to increase public acceptance of high efficiency products, with an understanding of economic and environmental benefits   </w:t>
            </w:r>
          </w:p>
        </w:tc>
        <w:tc>
          <w:tcPr>
            <w:tcW w:w="8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D70E52">
            <w:pPr>
              <w:pStyle w:val="Standard"/>
              <w:widowControl w:val="0"/>
              <w:snapToGrid w:val="0"/>
              <w:ind w:hanging="108"/>
              <w:rPr>
                <w:sz w:val="22"/>
              </w:rPr>
            </w:pPr>
            <w:r w:rsidRPr="0056236E">
              <w:rPr>
                <w:sz w:val="22"/>
              </w:rPr>
              <w:t>GEFTF</w:t>
            </w:r>
          </w:p>
        </w:tc>
        <w:tc>
          <w:tcPr>
            <w:tcW w:w="12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bookmarkStart w:id="12" w:name="B_GA_01"/>
            <w:r w:rsidRPr="0056236E">
              <w:rPr>
                <w:rStyle w:val="Policepardfaut"/>
                <w:sz w:val="22"/>
              </w:rPr>
              <w:t xml:space="preserve">100,000 </w:t>
            </w:r>
            <w:bookmarkEnd w:id="12"/>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bookmarkStart w:id="13" w:name="B_CO_01"/>
            <w:r w:rsidRPr="0056236E">
              <w:rPr>
                <w:rStyle w:val="Policepardfaut"/>
                <w:sz w:val="22"/>
              </w:rPr>
              <w:t>400,000</w:t>
            </w:r>
            <w:r w:rsidR="00843A2E" w:rsidRPr="0056236E">
              <w:rPr>
                <w:rStyle w:val="Policepardfaut"/>
                <w:sz w:val="22"/>
              </w:rPr>
              <w:fldChar w:fldCharType="begin"/>
            </w:r>
            <w:r w:rsidRPr="0056236E">
              <w:rPr>
                <w:rStyle w:val="Policepardfaut"/>
                <w:sz w:val="22"/>
              </w:rPr>
              <w:instrText xml:space="preserve"> FILLIN "B_CO_01"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13"/>
          </w:p>
        </w:tc>
      </w:tr>
      <w:tr w:rsidR="000E03BF" w:rsidRPr="0056236E" w:rsidTr="00D70E52">
        <w:trPr>
          <w:jc w:val="center"/>
        </w:trPr>
        <w:tc>
          <w:tcPr>
            <w:tcW w:w="192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 xml:space="preserve">2. Creation of monitoring, verification and enforcement </w:t>
            </w:r>
            <w:r w:rsidRPr="0056236E">
              <w:rPr>
                <w:rStyle w:val="Policepardfaut"/>
                <w:sz w:val="22"/>
              </w:rPr>
              <w:lastRenderedPageBreak/>
              <w:t>(MVE) capacities in countries and regions to ensure an effective transition to efficient lighting markets</w:t>
            </w:r>
          </w:p>
        </w:tc>
        <w:tc>
          <w:tcPr>
            <w:tcW w:w="87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lastRenderedPageBreak/>
              <w:t>TA</w:t>
            </w:r>
          </w:p>
        </w:tc>
        <w:tc>
          <w:tcPr>
            <w:tcW w:w="215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 xml:space="preserve">2.1 Implementation of a well-functioning MVE system including the creation </w:t>
            </w:r>
            <w:r w:rsidRPr="0056236E">
              <w:rPr>
                <w:rStyle w:val="Policepardfaut"/>
                <w:sz w:val="22"/>
              </w:rPr>
              <w:lastRenderedPageBreak/>
              <w:t>of testing capacities at regional and national levels</w:t>
            </w:r>
          </w:p>
        </w:tc>
        <w:tc>
          <w:tcPr>
            <w:tcW w:w="25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rPr>
                <w:rFonts w:cs="Times New Roman"/>
                <w:sz w:val="22"/>
                <w:lang w:val="en-US"/>
              </w:rPr>
            </w:pPr>
            <w:r w:rsidRPr="0056236E">
              <w:rPr>
                <w:rFonts w:cs="Times New Roman"/>
                <w:sz w:val="22"/>
                <w:lang w:val="en-US"/>
              </w:rPr>
              <w:lastRenderedPageBreak/>
              <w:t xml:space="preserve">2.1.1 Implementation of legal and administrative processes to improve compliance with national </w:t>
            </w:r>
            <w:r w:rsidRPr="0056236E">
              <w:rPr>
                <w:rFonts w:cs="Times New Roman"/>
                <w:sz w:val="22"/>
                <w:lang w:val="en-US"/>
              </w:rPr>
              <w:lastRenderedPageBreak/>
              <w:t>or regional standards</w:t>
            </w:r>
          </w:p>
          <w:p w:rsidR="000E03BF" w:rsidRPr="0056236E" w:rsidRDefault="000E03BF">
            <w:pPr>
              <w:rPr>
                <w:rFonts w:cs="Times New Roman"/>
                <w:sz w:val="22"/>
                <w:lang w:val="en-US"/>
              </w:rPr>
            </w:pPr>
          </w:p>
          <w:p w:rsidR="000E03BF" w:rsidRPr="0056236E" w:rsidRDefault="000E03BF">
            <w:pPr>
              <w:rPr>
                <w:rFonts w:cs="Times New Roman"/>
                <w:sz w:val="22"/>
                <w:lang w:val="en-US"/>
              </w:rPr>
            </w:pPr>
            <w:r w:rsidRPr="0056236E">
              <w:rPr>
                <w:rFonts w:cs="Times New Roman"/>
                <w:sz w:val="22"/>
                <w:lang w:val="en-US"/>
              </w:rPr>
              <w:t>2.1.2 Technical training and support to government authorities and customs administrations</w:t>
            </w:r>
          </w:p>
          <w:p w:rsidR="000E03BF" w:rsidRPr="0056236E" w:rsidRDefault="000E03BF">
            <w:pPr>
              <w:rPr>
                <w:rFonts w:cs="Times New Roman"/>
                <w:sz w:val="22"/>
                <w:lang w:val="en-US"/>
              </w:rPr>
            </w:pPr>
          </w:p>
          <w:p w:rsidR="000E03BF" w:rsidRPr="0056236E" w:rsidRDefault="000E03BF" w:rsidP="000E03BF">
            <w:pPr>
              <w:rPr>
                <w:rFonts w:cs="Times New Roman"/>
                <w:sz w:val="22"/>
                <w:lang w:val="en-US"/>
              </w:rPr>
            </w:pPr>
            <w:r w:rsidRPr="0056236E">
              <w:rPr>
                <w:rFonts w:cs="Times New Roman"/>
                <w:sz w:val="22"/>
                <w:lang w:val="en-US"/>
              </w:rPr>
              <w:t>2.1.3 Creation or strengthening of national and regional laboratories to verify compliance with standards</w:t>
            </w:r>
          </w:p>
        </w:tc>
        <w:tc>
          <w:tcPr>
            <w:tcW w:w="8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D70E52">
            <w:pPr>
              <w:pStyle w:val="Standard"/>
              <w:widowControl w:val="0"/>
              <w:snapToGrid w:val="0"/>
              <w:ind w:hanging="108"/>
              <w:rPr>
                <w:sz w:val="22"/>
              </w:rPr>
            </w:pPr>
            <w:r w:rsidRPr="0056236E">
              <w:rPr>
                <w:sz w:val="22"/>
              </w:rPr>
              <w:lastRenderedPageBreak/>
              <w:t>GEFTF</w:t>
            </w:r>
          </w:p>
        </w:tc>
        <w:tc>
          <w:tcPr>
            <w:tcW w:w="12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C50F29" w:rsidP="000E03BF">
            <w:pPr>
              <w:pStyle w:val="Standard"/>
              <w:widowControl w:val="0"/>
              <w:snapToGrid w:val="0"/>
              <w:jc w:val="right"/>
              <w:rPr>
                <w:sz w:val="22"/>
              </w:rPr>
            </w:pPr>
            <w:bookmarkStart w:id="14" w:name="B_GA_02"/>
            <w:r w:rsidRPr="0056236E">
              <w:rPr>
                <w:rStyle w:val="Policepardfaut"/>
                <w:sz w:val="22"/>
              </w:rPr>
              <w:t>6</w:t>
            </w:r>
            <w:r w:rsidR="000E03BF" w:rsidRPr="0056236E">
              <w:rPr>
                <w:rStyle w:val="Policepardfaut"/>
                <w:sz w:val="22"/>
              </w:rPr>
              <w:t xml:space="preserve">50,000  </w:t>
            </w:r>
            <w:bookmarkEnd w:id="14"/>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A80F5A" w:rsidP="000E03BF">
            <w:pPr>
              <w:pStyle w:val="Standard"/>
              <w:widowControl w:val="0"/>
              <w:snapToGrid w:val="0"/>
              <w:jc w:val="right"/>
              <w:rPr>
                <w:sz w:val="22"/>
              </w:rPr>
            </w:pPr>
            <w:bookmarkStart w:id="15" w:name="B_CO_02"/>
            <w:r>
              <w:rPr>
                <w:rStyle w:val="Policepardfaut"/>
                <w:sz w:val="22"/>
              </w:rPr>
              <w:t>3,025</w:t>
            </w:r>
            <w:r w:rsidR="000E03BF" w:rsidRPr="0056236E">
              <w:rPr>
                <w:rStyle w:val="Policepardfaut"/>
                <w:sz w:val="22"/>
              </w:rPr>
              <w:t>,000</w:t>
            </w:r>
            <w:r w:rsidR="00843A2E" w:rsidRPr="0056236E">
              <w:rPr>
                <w:rStyle w:val="Policepardfaut"/>
                <w:sz w:val="22"/>
              </w:rPr>
              <w:fldChar w:fldCharType="begin"/>
            </w:r>
            <w:r w:rsidR="000E03BF" w:rsidRPr="0056236E">
              <w:rPr>
                <w:rStyle w:val="Policepardfaut"/>
                <w:sz w:val="22"/>
              </w:rPr>
              <w:instrText xml:space="preserve"> FILLIN "B_CO_02" </w:instrText>
            </w:r>
            <w:r w:rsidR="00843A2E" w:rsidRPr="0056236E">
              <w:rPr>
                <w:rStyle w:val="Policepardfaut"/>
                <w:sz w:val="22"/>
              </w:rPr>
              <w:fldChar w:fldCharType="separate"/>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843A2E" w:rsidRPr="0056236E">
              <w:rPr>
                <w:rStyle w:val="Policepardfaut"/>
                <w:sz w:val="22"/>
              </w:rPr>
              <w:fldChar w:fldCharType="end"/>
            </w:r>
            <w:bookmarkEnd w:id="15"/>
          </w:p>
        </w:tc>
      </w:tr>
      <w:tr w:rsidR="000E03BF" w:rsidRPr="0056236E" w:rsidTr="00D70E52">
        <w:trPr>
          <w:trHeight w:val="1415"/>
          <w:jc w:val="center"/>
        </w:trPr>
        <w:tc>
          <w:tcPr>
            <w:tcW w:w="1925" w:type="dxa"/>
            <w:vMerge w:val="restart"/>
            <w:tcBorders>
              <w:top w:val="single" w:sz="4" w:space="0" w:color="000000"/>
              <w:left w:val="single" w:sz="4" w:space="0" w:color="000000"/>
            </w:tcBorders>
            <w:shd w:val="clear" w:color="auto" w:fill="FFFFFF"/>
            <w:tcMar>
              <w:top w:w="0" w:type="dxa"/>
              <w:left w:w="108" w:type="dxa"/>
              <w:bottom w:w="0" w:type="dxa"/>
              <w:right w:w="108" w:type="dxa"/>
            </w:tcMar>
          </w:tcPr>
          <w:p w:rsidR="000E03BF" w:rsidRPr="0056236E" w:rsidRDefault="000E03BF">
            <w:pPr>
              <w:rPr>
                <w:rFonts w:cs="Times New Roman"/>
                <w:sz w:val="22"/>
                <w:lang w:val="en-US"/>
              </w:rPr>
            </w:pPr>
            <w:r w:rsidRPr="0056236E">
              <w:rPr>
                <w:rFonts w:cs="Times New Roman"/>
                <w:sz w:val="22"/>
                <w:lang w:val="en-US"/>
              </w:rPr>
              <w:lastRenderedPageBreak/>
              <w:t>3. Ensuring an environmentally sound management and sustainable transition to efficient lighting</w:t>
            </w:r>
          </w:p>
          <w:p w:rsidR="000E03BF" w:rsidRPr="0056236E" w:rsidRDefault="000E03BF">
            <w:pPr>
              <w:pStyle w:val="Standard"/>
              <w:widowControl w:val="0"/>
              <w:snapToGrid w:val="0"/>
              <w:rPr>
                <w:sz w:val="22"/>
              </w:rPr>
            </w:pPr>
          </w:p>
        </w:tc>
        <w:tc>
          <w:tcPr>
            <w:tcW w:w="870" w:type="dxa"/>
            <w:vMerge w:val="restart"/>
            <w:tcBorders>
              <w:top w:val="single" w:sz="4" w:space="0" w:color="000000"/>
              <w:left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TA</w:t>
            </w:r>
          </w:p>
        </w:tc>
        <w:tc>
          <w:tcPr>
            <w:tcW w:w="2150" w:type="dxa"/>
            <w:vMerge w:val="restart"/>
            <w:tcBorders>
              <w:top w:val="single" w:sz="4" w:space="0" w:color="000000"/>
              <w:left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sz w:val="22"/>
              </w:rPr>
              <w:t>3.1 Implementation of national systems to collect, recycling or responsibly dispose of spent lighting products that may contain valuable and/or hazardous materials</w:t>
            </w:r>
          </w:p>
        </w:tc>
        <w:tc>
          <w:tcPr>
            <w:tcW w:w="2502"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rsidR="000E03BF" w:rsidRPr="0056236E" w:rsidRDefault="000E03BF" w:rsidP="000E03BF">
            <w:pPr>
              <w:rPr>
                <w:rFonts w:cs="Times New Roman"/>
                <w:sz w:val="22"/>
                <w:szCs w:val="22"/>
                <w:lang w:val="en-US"/>
              </w:rPr>
            </w:pPr>
            <w:r w:rsidRPr="0056236E">
              <w:rPr>
                <w:rFonts w:cs="Times New Roman"/>
                <w:sz w:val="22"/>
                <w:szCs w:val="22"/>
                <w:lang w:val="en-US"/>
              </w:rPr>
              <w:t>3.1.1 Development of a national framework and strategy for environment-tally sound management of lighting products</w:t>
            </w:r>
          </w:p>
          <w:p w:rsidR="000E03BF" w:rsidRPr="0056236E" w:rsidRDefault="000E03BF">
            <w:pPr>
              <w:pStyle w:val="Standard"/>
              <w:widowControl w:val="0"/>
              <w:snapToGrid w:val="0"/>
              <w:rPr>
                <w:sz w:val="22"/>
              </w:rPr>
            </w:pPr>
          </w:p>
        </w:tc>
        <w:tc>
          <w:tcPr>
            <w:tcW w:w="800"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rsidR="000E03BF" w:rsidRPr="0056236E" w:rsidRDefault="009A416B" w:rsidP="009A416B">
            <w:pPr>
              <w:pStyle w:val="Standard"/>
              <w:widowControl w:val="0"/>
              <w:snapToGrid w:val="0"/>
              <w:ind w:left="-108" w:right="-52"/>
              <w:rPr>
                <w:sz w:val="22"/>
              </w:rPr>
            </w:pPr>
            <w:r w:rsidRPr="0056236E">
              <w:rPr>
                <w:sz w:val="22"/>
                <w:szCs w:val="22"/>
              </w:rPr>
              <w:t>GEFTF</w:t>
            </w:r>
          </w:p>
        </w:tc>
        <w:tc>
          <w:tcPr>
            <w:tcW w:w="1289"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rsidR="000E03BF" w:rsidRPr="0056236E" w:rsidRDefault="009A416B" w:rsidP="000E03BF">
            <w:pPr>
              <w:pStyle w:val="Standard"/>
              <w:widowControl w:val="0"/>
              <w:snapToGrid w:val="0"/>
              <w:jc w:val="right"/>
              <w:rPr>
                <w:sz w:val="22"/>
              </w:rPr>
            </w:pPr>
            <w:r w:rsidRPr="0056236E">
              <w:rPr>
                <w:sz w:val="22"/>
              </w:rPr>
              <w:t>45,622</w:t>
            </w:r>
          </w:p>
        </w:tc>
        <w:tc>
          <w:tcPr>
            <w:tcW w:w="13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r w:rsidRPr="0056236E">
              <w:rPr>
                <w:sz w:val="22"/>
              </w:rPr>
              <w:t>50,000</w:t>
            </w:r>
          </w:p>
        </w:tc>
      </w:tr>
      <w:tr w:rsidR="000E03BF" w:rsidRPr="0056236E" w:rsidTr="00D70E52">
        <w:trPr>
          <w:trHeight w:val="1878"/>
          <w:jc w:val="center"/>
        </w:trPr>
        <w:tc>
          <w:tcPr>
            <w:tcW w:w="1925" w:type="dxa"/>
            <w:vMerge/>
            <w:tcBorders>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rPr>
                <w:rFonts w:cs="Times New Roman"/>
                <w:sz w:val="22"/>
                <w:lang w:val="en-US"/>
              </w:rPr>
            </w:pPr>
          </w:p>
        </w:tc>
        <w:tc>
          <w:tcPr>
            <w:tcW w:w="870" w:type="dxa"/>
            <w:vMerge/>
            <w:tcBorders>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p>
        </w:tc>
        <w:tc>
          <w:tcPr>
            <w:tcW w:w="2150" w:type="dxa"/>
            <w:vMerge/>
            <w:tcBorders>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rPr>
                <w:rStyle w:val="Policepardfaut"/>
                <w:sz w:val="22"/>
              </w:rPr>
            </w:pPr>
          </w:p>
        </w:tc>
        <w:tc>
          <w:tcPr>
            <w:tcW w:w="2502" w:type="dxa"/>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rPr>
                <w:rFonts w:cs="Times New Roman"/>
                <w:sz w:val="22"/>
                <w:szCs w:val="22"/>
                <w:lang w:val="en-US"/>
              </w:rPr>
            </w:pPr>
            <w:r w:rsidRPr="0056236E">
              <w:rPr>
                <w:rFonts w:cs="Times New Roman"/>
                <w:sz w:val="22"/>
                <w:szCs w:val="22"/>
                <w:lang w:val="en-US"/>
              </w:rPr>
              <w:t>3.1.2 Provide training to governmental authorities, retailers and collection services</w:t>
            </w:r>
          </w:p>
          <w:p w:rsidR="000E03BF" w:rsidRPr="0056236E" w:rsidRDefault="000E03BF" w:rsidP="000E03BF">
            <w:pPr>
              <w:rPr>
                <w:rFonts w:cs="Times New Roman"/>
                <w:sz w:val="22"/>
                <w:szCs w:val="22"/>
                <w:lang w:val="en-US"/>
              </w:rPr>
            </w:pPr>
          </w:p>
          <w:p w:rsidR="000E03BF" w:rsidRPr="0056236E" w:rsidRDefault="000E03BF" w:rsidP="000E03BF">
            <w:pPr>
              <w:rPr>
                <w:rFonts w:cs="Times New Roman"/>
                <w:sz w:val="22"/>
                <w:szCs w:val="22"/>
                <w:lang w:val="en-US"/>
              </w:rPr>
            </w:pPr>
            <w:r w:rsidRPr="0056236E">
              <w:rPr>
                <w:rFonts w:cs="Times New Roman"/>
                <w:sz w:val="22"/>
                <w:szCs w:val="22"/>
                <w:lang w:val="en-US"/>
              </w:rPr>
              <w:t>3.1.3 Awareness raising and communication campaigns to promote collection and recycling of spent lamps</w:t>
            </w:r>
          </w:p>
          <w:p w:rsidR="000E03BF" w:rsidRPr="0056236E" w:rsidRDefault="000E03BF" w:rsidP="000E03BF">
            <w:pPr>
              <w:rPr>
                <w:rFonts w:cs="Times New Roman"/>
                <w:sz w:val="22"/>
                <w:szCs w:val="22"/>
                <w:lang w:val="en-US"/>
              </w:rPr>
            </w:pPr>
          </w:p>
          <w:p w:rsidR="000E03BF" w:rsidRPr="0056236E" w:rsidRDefault="000E03BF" w:rsidP="000E03BF">
            <w:pPr>
              <w:rPr>
                <w:rFonts w:cs="Times New Roman"/>
                <w:sz w:val="22"/>
                <w:szCs w:val="22"/>
                <w:lang w:val="en-US"/>
              </w:rPr>
            </w:pPr>
            <w:r w:rsidRPr="0056236E">
              <w:rPr>
                <w:rFonts w:cs="Times New Roman"/>
                <w:sz w:val="22"/>
                <w:szCs w:val="22"/>
                <w:lang w:val="en-US"/>
              </w:rPr>
              <w:t>3.1.4 Implementation of  waste management systems for spent lamps, including facilities and international coordination for the environmentally sound export/import of lamp waste</w:t>
            </w:r>
          </w:p>
        </w:tc>
        <w:tc>
          <w:tcPr>
            <w:tcW w:w="800" w:type="dxa"/>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D70E52">
            <w:pPr>
              <w:pStyle w:val="Standard"/>
              <w:widowControl w:val="0"/>
              <w:snapToGrid w:val="0"/>
              <w:ind w:left="-108"/>
              <w:rPr>
                <w:sz w:val="22"/>
                <w:szCs w:val="22"/>
              </w:rPr>
            </w:pPr>
            <w:r w:rsidRPr="0056236E">
              <w:rPr>
                <w:sz w:val="22"/>
                <w:szCs w:val="22"/>
              </w:rPr>
              <w:t>GEFTF</w:t>
            </w:r>
          </w:p>
          <w:p w:rsidR="000E03BF" w:rsidRPr="0056236E" w:rsidRDefault="000E03BF" w:rsidP="000E03BF">
            <w:pPr>
              <w:pStyle w:val="Standard"/>
              <w:widowControl w:val="0"/>
              <w:snapToGrid w:val="0"/>
              <w:rPr>
                <w:sz w:val="22"/>
              </w:rPr>
            </w:pPr>
          </w:p>
        </w:tc>
        <w:tc>
          <w:tcPr>
            <w:tcW w:w="1289" w:type="dxa"/>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611606" w:rsidP="000E03BF">
            <w:pPr>
              <w:pStyle w:val="Standard"/>
              <w:widowControl w:val="0"/>
              <w:snapToGrid w:val="0"/>
              <w:jc w:val="right"/>
              <w:rPr>
                <w:sz w:val="22"/>
              </w:rPr>
            </w:pPr>
            <w:r w:rsidRPr="0056236E">
              <w:rPr>
                <w:rStyle w:val="Policepardfaut"/>
                <w:sz w:val="22"/>
              </w:rPr>
              <w:t>4</w:t>
            </w:r>
            <w:r w:rsidR="000E03BF" w:rsidRPr="0056236E">
              <w:rPr>
                <w:rStyle w:val="Policepardfaut"/>
                <w:sz w:val="22"/>
              </w:rPr>
              <w:t xml:space="preserve">75,000  </w:t>
            </w:r>
          </w:p>
        </w:tc>
        <w:tc>
          <w:tcPr>
            <w:tcW w:w="138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A80F5A" w:rsidP="000E03BF">
            <w:pPr>
              <w:pStyle w:val="Standard"/>
              <w:widowControl w:val="0"/>
              <w:snapToGrid w:val="0"/>
              <w:jc w:val="right"/>
              <w:rPr>
                <w:sz w:val="22"/>
              </w:rPr>
            </w:pPr>
            <w:r>
              <w:rPr>
                <w:rStyle w:val="Policepardfaut"/>
                <w:sz w:val="22"/>
              </w:rPr>
              <w:t>3,100</w:t>
            </w:r>
            <w:r w:rsidR="000E03BF" w:rsidRPr="0056236E">
              <w:rPr>
                <w:rStyle w:val="Policepardfaut"/>
                <w:sz w:val="22"/>
              </w:rPr>
              <w:t>,000</w:t>
            </w:r>
          </w:p>
        </w:tc>
      </w:tr>
      <w:tr w:rsidR="000E03BF" w:rsidRPr="0056236E" w:rsidTr="00D70E52">
        <w:trPr>
          <w:jc w:val="center"/>
        </w:trPr>
        <w:tc>
          <w:tcPr>
            <w:tcW w:w="192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 xml:space="preserve"> 4. Lighting innovation: accelerating the use of solid state lighting (including light emitting diodes (LEDs) and controls</w:t>
            </w:r>
          </w:p>
        </w:tc>
        <w:tc>
          <w:tcPr>
            <w:tcW w:w="87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TA</w:t>
            </w:r>
          </w:p>
        </w:tc>
        <w:tc>
          <w:tcPr>
            <w:tcW w:w="215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sz w:val="22"/>
              </w:rPr>
              <w:t xml:space="preserve">4.1 Achieve consensus on the increased use of solid state lighting and lighting controls in the domestic, commercial/industrial and outdoor lighting applications </w:t>
            </w:r>
          </w:p>
        </w:tc>
        <w:tc>
          <w:tcPr>
            <w:tcW w:w="25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spacing w:before="60" w:after="60"/>
              <w:rPr>
                <w:rFonts w:cs="Times New Roman"/>
                <w:sz w:val="22"/>
                <w:lang w:val="en-US"/>
              </w:rPr>
            </w:pPr>
            <w:r w:rsidRPr="0056236E">
              <w:rPr>
                <w:rFonts w:cs="Times New Roman"/>
                <w:sz w:val="22"/>
                <w:lang w:val="en-US"/>
              </w:rPr>
              <w:t xml:space="preserve">4.1.1 Enhance National Efficient Lighting Strategy with more stringent MEPS, taking into account advanced lighting technologies and systems. </w:t>
            </w:r>
          </w:p>
          <w:p w:rsidR="000E03BF" w:rsidRPr="0056236E" w:rsidRDefault="000E03BF" w:rsidP="000E03BF">
            <w:pPr>
              <w:spacing w:before="60" w:after="60"/>
              <w:rPr>
                <w:rFonts w:cs="Times New Roman"/>
                <w:sz w:val="22"/>
                <w:lang w:val="en-US"/>
              </w:rPr>
            </w:pPr>
          </w:p>
          <w:p w:rsidR="000E03BF" w:rsidRPr="0056236E" w:rsidRDefault="000E03BF" w:rsidP="000E03BF">
            <w:pPr>
              <w:spacing w:before="60" w:after="60"/>
              <w:rPr>
                <w:rFonts w:cs="Times New Roman"/>
                <w:sz w:val="22"/>
                <w:lang w:val="en-US"/>
              </w:rPr>
            </w:pPr>
            <w:r w:rsidRPr="0056236E">
              <w:rPr>
                <w:rFonts w:cs="Times New Roman"/>
                <w:sz w:val="22"/>
                <w:lang w:val="en-US"/>
              </w:rPr>
              <w:t xml:space="preserve">4.1.2 Set supporting policies to increase user acceptance and demand for high efficiency products and systems. </w:t>
            </w:r>
          </w:p>
          <w:p w:rsidR="000E03BF" w:rsidRPr="0056236E" w:rsidRDefault="000E03BF" w:rsidP="000E03BF">
            <w:pPr>
              <w:spacing w:before="60" w:after="60"/>
              <w:rPr>
                <w:rFonts w:cs="Times New Roman"/>
                <w:sz w:val="22"/>
                <w:lang w:val="en-US"/>
              </w:rPr>
            </w:pPr>
          </w:p>
          <w:p w:rsidR="000E03BF" w:rsidRPr="0056236E" w:rsidRDefault="000E03BF" w:rsidP="000E03BF">
            <w:pPr>
              <w:rPr>
                <w:rFonts w:cs="Times New Roman"/>
                <w:sz w:val="22"/>
                <w:lang w:val="en-US"/>
              </w:rPr>
            </w:pPr>
            <w:r w:rsidRPr="0056236E">
              <w:rPr>
                <w:rFonts w:cs="Times New Roman"/>
                <w:sz w:val="22"/>
                <w:lang w:val="en-US"/>
              </w:rPr>
              <w:t xml:space="preserve">4.1.3. MVE scheme to ensure high quality products that will deliver the expected energy and GHG emission benefits. </w:t>
            </w:r>
          </w:p>
          <w:p w:rsidR="000E03BF" w:rsidRPr="0056236E" w:rsidRDefault="000E03BF" w:rsidP="000E03BF">
            <w:pPr>
              <w:rPr>
                <w:rFonts w:cs="Times New Roman"/>
                <w:sz w:val="22"/>
                <w:lang w:val="en-US"/>
              </w:rPr>
            </w:pPr>
          </w:p>
          <w:p w:rsidR="000E03BF" w:rsidRPr="0056236E" w:rsidRDefault="000E03BF" w:rsidP="000E03BF">
            <w:pPr>
              <w:rPr>
                <w:rFonts w:cs="Times New Roman"/>
                <w:sz w:val="22"/>
                <w:lang w:val="en-US"/>
              </w:rPr>
            </w:pPr>
          </w:p>
        </w:tc>
        <w:tc>
          <w:tcPr>
            <w:tcW w:w="8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D70E52">
            <w:pPr>
              <w:pStyle w:val="Standard"/>
              <w:widowControl w:val="0"/>
              <w:snapToGrid w:val="0"/>
              <w:ind w:hanging="108"/>
              <w:rPr>
                <w:sz w:val="22"/>
              </w:rPr>
            </w:pPr>
            <w:r w:rsidRPr="0056236E">
              <w:rPr>
                <w:sz w:val="22"/>
              </w:rPr>
              <w:t>GEFTF</w:t>
            </w:r>
          </w:p>
        </w:tc>
        <w:tc>
          <w:tcPr>
            <w:tcW w:w="12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4A15BF">
            <w:pPr>
              <w:pStyle w:val="Standard"/>
              <w:widowControl w:val="0"/>
              <w:snapToGrid w:val="0"/>
              <w:jc w:val="right"/>
              <w:rPr>
                <w:sz w:val="22"/>
              </w:rPr>
            </w:pPr>
            <w:bookmarkStart w:id="16" w:name="B_GA_04"/>
            <w:r w:rsidRPr="0056236E">
              <w:rPr>
                <w:rStyle w:val="Policepardfaut"/>
                <w:sz w:val="22"/>
              </w:rPr>
              <w:t xml:space="preserve">390,000 </w:t>
            </w:r>
            <w:bookmarkEnd w:id="16"/>
            <w:r w:rsidR="00843A2E" w:rsidRPr="0056236E">
              <w:rPr>
                <w:rStyle w:val="Policepardfaut"/>
                <w:sz w:val="22"/>
              </w:rPr>
              <w:fldChar w:fldCharType="begin"/>
            </w:r>
            <w:r w:rsidRPr="0056236E">
              <w:rPr>
                <w:rStyle w:val="Policepardfaut"/>
                <w:sz w:val="22"/>
              </w:rPr>
              <w:instrText xml:space="preserve"> FILLIN "B_GA_01"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r w:rsidR="00843A2E" w:rsidRPr="0056236E">
              <w:rPr>
                <w:rStyle w:val="Policepardfaut"/>
                <w:sz w:val="22"/>
              </w:rPr>
              <w:fldChar w:fldCharType="begin"/>
            </w:r>
            <w:r w:rsidRPr="0056236E">
              <w:rPr>
                <w:rStyle w:val="Policepardfaut"/>
                <w:sz w:val="22"/>
              </w:rPr>
              <w:instrText xml:space="preserve"> FILLIN "B_GA_02"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bookmarkStart w:id="17" w:name="B_CO_04"/>
            <w:r w:rsidRPr="0056236E">
              <w:rPr>
                <w:rStyle w:val="Policepardfaut"/>
                <w:sz w:val="22"/>
              </w:rPr>
              <w:t xml:space="preserve">2,600,000 </w:t>
            </w:r>
            <w:r w:rsidR="00843A2E" w:rsidRPr="0056236E">
              <w:rPr>
                <w:rStyle w:val="Policepardfaut"/>
                <w:sz w:val="22"/>
              </w:rPr>
              <w:fldChar w:fldCharType="begin"/>
            </w:r>
            <w:r w:rsidRPr="0056236E">
              <w:rPr>
                <w:rStyle w:val="Policepardfaut"/>
                <w:sz w:val="22"/>
              </w:rPr>
              <w:instrText xml:space="preserve"> FILLIN "B_CO_04"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17"/>
          </w:p>
        </w:tc>
      </w:tr>
      <w:tr w:rsidR="000E03BF" w:rsidRPr="0056236E" w:rsidTr="00D70E52">
        <w:trPr>
          <w:jc w:val="center"/>
        </w:trPr>
        <w:tc>
          <w:tcPr>
            <w:tcW w:w="192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 xml:space="preserve"> </w:t>
            </w:r>
            <w:bookmarkStart w:id="18" w:name="projComp_05"/>
            <w:r w:rsidR="00843A2E" w:rsidRPr="0056236E">
              <w:rPr>
                <w:rStyle w:val="Policepardfaut"/>
                <w:sz w:val="22"/>
              </w:rPr>
              <w:fldChar w:fldCharType="begin"/>
            </w:r>
            <w:r w:rsidRPr="0056236E">
              <w:rPr>
                <w:rStyle w:val="Policepardfaut"/>
                <w:sz w:val="22"/>
              </w:rPr>
              <w:instrText xml:space="preserve"> FILLIN "projComp_05"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18"/>
          </w:p>
        </w:tc>
        <w:tc>
          <w:tcPr>
            <w:tcW w:w="87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bookmarkStart w:id="19" w:name="GrantType_05"/>
            <w:r w:rsidRPr="0056236E" w:rsidDel="00AD2CED">
              <w:rPr>
                <w:sz w:val="22"/>
              </w:rPr>
              <w:t>TA</w:t>
            </w:r>
            <w:bookmarkEnd w:id="19"/>
          </w:p>
        </w:tc>
        <w:tc>
          <w:tcPr>
            <w:tcW w:w="215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bookmarkStart w:id="20" w:name="ExpectedOutCome_05"/>
            <w:r w:rsidRPr="0056236E">
              <w:rPr>
                <w:rStyle w:val="Policepardfaut"/>
                <w:sz w:val="22"/>
                <w:szCs w:val="22"/>
              </w:rPr>
              <w:t xml:space="preserve">4.2 </w:t>
            </w:r>
            <w:r w:rsidRPr="0056236E">
              <w:rPr>
                <w:rStyle w:val="Policepardfaut"/>
                <w:sz w:val="22"/>
              </w:rPr>
              <w:t xml:space="preserve">Demonstrate the </w:t>
            </w:r>
            <w:r w:rsidRPr="0056236E">
              <w:rPr>
                <w:rStyle w:val="Policepardfaut"/>
                <w:sz w:val="22"/>
              </w:rPr>
              <w:lastRenderedPageBreak/>
              <w:t>sustainable benefits of advanced lighting systems.</w:t>
            </w:r>
            <w:bookmarkEnd w:id="20"/>
          </w:p>
        </w:tc>
        <w:tc>
          <w:tcPr>
            <w:tcW w:w="25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bookmarkStart w:id="21" w:name="ExpectedOutput_05"/>
            <w:r w:rsidRPr="0056236E">
              <w:rPr>
                <w:sz w:val="22"/>
              </w:rPr>
              <w:lastRenderedPageBreak/>
              <w:t xml:space="preserve">4.2.1 Support the design </w:t>
            </w:r>
            <w:r w:rsidRPr="0056236E">
              <w:rPr>
                <w:sz w:val="22"/>
              </w:rPr>
              <w:lastRenderedPageBreak/>
              <w:t xml:space="preserve">and evaluation of a demonstration programme for locally-appropriate LEDs and lighting controls among country selected stakeholder groups (i.e. low income residents). </w:t>
            </w:r>
            <w:bookmarkEnd w:id="21"/>
          </w:p>
        </w:tc>
        <w:tc>
          <w:tcPr>
            <w:tcW w:w="8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D70E52">
            <w:pPr>
              <w:pStyle w:val="Standard"/>
              <w:widowControl w:val="0"/>
              <w:snapToGrid w:val="0"/>
              <w:ind w:hanging="108"/>
              <w:rPr>
                <w:sz w:val="22"/>
              </w:rPr>
            </w:pPr>
            <w:r w:rsidRPr="0056236E">
              <w:rPr>
                <w:sz w:val="22"/>
              </w:rPr>
              <w:lastRenderedPageBreak/>
              <w:t>GEFTF</w:t>
            </w:r>
          </w:p>
        </w:tc>
        <w:tc>
          <w:tcPr>
            <w:tcW w:w="12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bookmarkStart w:id="22" w:name="B_GA_05"/>
            <w:r w:rsidRPr="0056236E">
              <w:rPr>
                <w:rStyle w:val="Policepardfaut"/>
                <w:sz w:val="22"/>
              </w:rPr>
              <w:t>50,000</w:t>
            </w:r>
            <w:r w:rsidR="00843A2E" w:rsidRPr="0056236E">
              <w:rPr>
                <w:rStyle w:val="Policepardfaut"/>
                <w:sz w:val="22"/>
              </w:rPr>
              <w:fldChar w:fldCharType="begin"/>
            </w:r>
            <w:r w:rsidRPr="0056236E">
              <w:rPr>
                <w:rStyle w:val="Policepardfaut"/>
                <w:sz w:val="22"/>
              </w:rPr>
              <w:instrText xml:space="preserve"> FILLIN "B_GA_05"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22"/>
          </w:p>
        </w:tc>
        <w:bookmarkStart w:id="23" w:name="B_CO_05"/>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843A2E">
            <w:pPr>
              <w:pStyle w:val="Standard"/>
              <w:widowControl w:val="0"/>
              <w:snapToGrid w:val="0"/>
              <w:jc w:val="right"/>
              <w:rPr>
                <w:sz w:val="22"/>
              </w:rPr>
            </w:pPr>
            <w:r w:rsidRPr="0056236E">
              <w:rPr>
                <w:rStyle w:val="Policepardfaut"/>
                <w:sz w:val="22"/>
              </w:rPr>
              <w:fldChar w:fldCharType="begin"/>
            </w:r>
            <w:r w:rsidR="000E03BF" w:rsidRPr="0056236E">
              <w:rPr>
                <w:rStyle w:val="Policepardfaut"/>
                <w:sz w:val="22"/>
              </w:rPr>
              <w:instrText xml:space="preserve"> FILLIN "B_CO_05" </w:instrText>
            </w:r>
            <w:r w:rsidRPr="0056236E">
              <w:rPr>
                <w:rStyle w:val="Policepardfaut"/>
                <w:sz w:val="22"/>
              </w:rPr>
              <w:fldChar w:fldCharType="separate"/>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Pr="0056236E">
              <w:rPr>
                <w:rStyle w:val="Policepardfaut"/>
                <w:sz w:val="22"/>
              </w:rPr>
              <w:fldChar w:fldCharType="end"/>
            </w:r>
            <w:bookmarkEnd w:id="23"/>
          </w:p>
        </w:tc>
      </w:tr>
      <w:tr w:rsidR="000E03BF" w:rsidRPr="0056236E" w:rsidTr="00D70E52">
        <w:trPr>
          <w:jc w:val="center"/>
        </w:trPr>
        <w:tc>
          <w:tcPr>
            <w:tcW w:w="192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lastRenderedPageBreak/>
              <w:t xml:space="preserve"> </w:t>
            </w:r>
            <w:bookmarkStart w:id="24" w:name="projComp_06"/>
            <w:r w:rsidR="00843A2E" w:rsidRPr="0056236E">
              <w:rPr>
                <w:rStyle w:val="Policepardfaut"/>
                <w:sz w:val="22"/>
              </w:rPr>
              <w:fldChar w:fldCharType="begin"/>
            </w:r>
            <w:r w:rsidRPr="0056236E">
              <w:rPr>
                <w:rStyle w:val="Policepardfaut"/>
                <w:sz w:val="22"/>
              </w:rPr>
              <w:instrText xml:space="preserve"> FILLIN "projComp_06"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24"/>
          </w:p>
        </w:tc>
        <w:tc>
          <w:tcPr>
            <w:tcW w:w="87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pPr>
              <w:pStyle w:val="Standard"/>
              <w:widowControl w:val="0"/>
              <w:snapToGrid w:val="0"/>
              <w:rPr>
                <w:sz w:val="22"/>
              </w:rPr>
            </w:pPr>
            <w:bookmarkStart w:id="25" w:name="GrantType_06"/>
            <w:r w:rsidRPr="0056236E" w:rsidDel="00A33031">
              <w:rPr>
                <w:sz w:val="22"/>
                <w:szCs w:val="22"/>
              </w:rPr>
              <w:t>INV</w:t>
            </w:r>
            <w:r w:rsidRPr="0056236E" w:rsidDel="00AD2CED">
              <w:rPr>
                <w:sz w:val="22"/>
              </w:rPr>
              <w:t xml:space="preserve"> </w:t>
            </w:r>
            <w:bookmarkEnd w:id="25"/>
          </w:p>
        </w:tc>
        <w:bookmarkStart w:id="26" w:name="ExpectedOutCome_06"/>
        <w:tc>
          <w:tcPr>
            <w:tcW w:w="215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843A2E">
            <w:pPr>
              <w:pStyle w:val="Standard"/>
              <w:widowControl w:val="0"/>
              <w:snapToGrid w:val="0"/>
              <w:rPr>
                <w:sz w:val="22"/>
              </w:rPr>
            </w:pPr>
            <w:r w:rsidRPr="0056236E">
              <w:rPr>
                <w:rStyle w:val="Policepardfaut"/>
                <w:sz w:val="22"/>
              </w:rPr>
              <w:fldChar w:fldCharType="begin"/>
            </w:r>
            <w:r w:rsidR="000E03BF" w:rsidRPr="0056236E">
              <w:rPr>
                <w:rStyle w:val="Policepardfaut"/>
                <w:sz w:val="22"/>
              </w:rPr>
              <w:instrText xml:space="preserve"> FILLIN "ExpectedOutCome_06" </w:instrText>
            </w:r>
            <w:r w:rsidRPr="0056236E">
              <w:rPr>
                <w:rStyle w:val="Policepardfaut"/>
                <w:sz w:val="22"/>
              </w:rPr>
              <w:fldChar w:fldCharType="separate"/>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Pr="0056236E">
              <w:rPr>
                <w:rStyle w:val="Policepardfaut"/>
                <w:sz w:val="22"/>
              </w:rPr>
              <w:fldChar w:fldCharType="end"/>
            </w:r>
            <w:bookmarkEnd w:id="26"/>
          </w:p>
        </w:tc>
        <w:bookmarkStart w:id="27" w:name="ExpectedOutput_06"/>
        <w:tc>
          <w:tcPr>
            <w:tcW w:w="25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843A2E">
            <w:pPr>
              <w:pStyle w:val="Standard"/>
              <w:widowControl w:val="0"/>
              <w:snapToGrid w:val="0"/>
              <w:rPr>
                <w:sz w:val="22"/>
              </w:rPr>
            </w:pPr>
            <w:r w:rsidRPr="0056236E">
              <w:rPr>
                <w:rStyle w:val="Policepardfaut"/>
                <w:sz w:val="22"/>
                <w:szCs w:val="22"/>
              </w:rPr>
              <w:fldChar w:fldCharType="begin"/>
            </w:r>
            <w:r w:rsidR="000E03BF" w:rsidRPr="0056236E">
              <w:rPr>
                <w:rStyle w:val="Policepardfaut"/>
                <w:sz w:val="22"/>
                <w:szCs w:val="22"/>
              </w:rPr>
              <w:instrText xml:space="preserve"> FILLIN "ExpectedOutput_06" </w:instrText>
            </w:r>
            <w:r w:rsidRPr="0056236E">
              <w:rPr>
                <w:rStyle w:val="Policepardfaut"/>
                <w:sz w:val="22"/>
                <w:szCs w:val="22"/>
              </w:rPr>
              <w:fldChar w:fldCharType="separate"/>
            </w:r>
            <w:r w:rsidR="000E03BF" w:rsidRPr="0056236E">
              <w:rPr>
                <w:rStyle w:val="Policepardfaut"/>
                <w:sz w:val="22"/>
              </w:rPr>
              <w:t xml:space="preserve">4.2.2 Procure and install (LED and controls systems) demonstrations.  </w:t>
            </w:r>
            <w:r w:rsidR="000E03BF" w:rsidRPr="0056236E">
              <w:rPr>
                <w:rStyle w:val="Policepardfaut"/>
                <w:rFonts w:ascii="Lucida Grande" w:hAnsi="Lucida Grande"/>
                <w:sz w:val="22"/>
                <w:szCs w:val="22"/>
              </w:rPr>
              <w:t>  </w:t>
            </w:r>
            <w:r w:rsidRPr="0056236E">
              <w:rPr>
                <w:rStyle w:val="Policepardfaut"/>
                <w:sz w:val="22"/>
                <w:szCs w:val="22"/>
              </w:rPr>
              <w:fldChar w:fldCharType="end"/>
            </w:r>
            <w:bookmarkEnd w:id="27"/>
          </w:p>
        </w:tc>
        <w:tc>
          <w:tcPr>
            <w:tcW w:w="8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D70E52">
            <w:pPr>
              <w:pStyle w:val="Standard"/>
              <w:widowControl w:val="0"/>
              <w:snapToGrid w:val="0"/>
              <w:ind w:hanging="108"/>
              <w:rPr>
                <w:sz w:val="22"/>
              </w:rPr>
            </w:pPr>
            <w:r w:rsidRPr="0056236E" w:rsidDel="00AD2CED">
              <w:rPr>
                <w:sz w:val="22"/>
              </w:rPr>
              <w:t>GEFTF</w:t>
            </w:r>
          </w:p>
        </w:tc>
        <w:tc>
          <w:tcPr>
            <w:tcW w:w="12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0E03BF" w:rsidRPr="0056236E" w:rsidRDefault="000E03BF" w:rsidP="000E03BF">
            <w:pPr>
              <w:pStyle w:val="Standard"/>
              <w:widowControl w:val="0"/>
              <w:snapToGrid w:val="0"/>
              <w:jc w:val="right"/>
              <w:rPr>
                <w:sz w:val="22"/>
              </w:rPr>
            </w:pPr>
            <w:bookmarkStart w:id="28" w:name="B_GA_06"/>
            <w:r w:rsidRPr="0056236E">
              <w:rPr>
                <w:rStyle w:val="Policepardfaut"/>
                <w:sz w:val="22"/>
              </w:rPr>
              <w:t>221,393</w:t>
            </w:r>
            <w:r w:rsidR="00843A2E" w:rsidRPr="0056236E">
              <w:rPr>
                <w:rStyle w:val="Policepardfaut"/>
                <w:sz w:val="22"/>
              </w:rPr>
              <w:fldChar w:fldCharType="begin"/>
            </w:r>
            <w:r w:rsidRPr="0056236E">
              <w:rPr>
                <w:rStyle w:val="Policepardfaut"/>
                <w:sz w:val="22"/>
              </w:rPr>
              <w:instrText xml:space="preserve"> FILLIN "B_GA_06"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28"/>
          </w:p>
        </w:tc>
        <w:bookmarkStart w:id="29" w:name="B_CO_06"/>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03BF" w:rsidRPr="0056236E" w:rsidRDefault="00843A2E">
            <w:pPr>
              <w:pStyle w:val="Standard"/>
              <w:widowControl w:val="0"/>
              <w:snapToGrid w:val="0"/>
              <w:jc w:val="right"/>
              <w:rPr>
                <w:sz w:val="22"/>
              </w:rPr>
            </w:pPr>
            <w:r w:rsidRPr="0056236E">
              <w:rPr>
                <w:rStyle w:val="Policepardfaut"/>
                <w:sz w:val="22"/>
              </w:rPr>
              <w:fldChar w:fldCharType="begin"/>
            </w:r>
            <w:r w:rsidR="000E03BF" w:rsidRPr="0056236E">
              <w:rPr>
                <w:rStyle w:val="Policepardfaut"/>
                <w:sz w:val="22"/>
              </w:rPr>
              <w:instrText xml:space="preserve"> FILLIN "B_CO_06" </w:instrText>
            </w:r>
            <w:r w:rsidRPr="0056236E">
              <w:rPr>
                <w:rStyle w:val="Policepardfaut"/>
                <w:sz w:val="22"/>
              </w:rPr>
              <w:fldChar w:fldCharType="separate"/>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Pr="0056236E">
              <w:rPr>
                <w:rStyle w:val="Policepardfaut"/>
                <w:sz w:val="22"/>
              </w:rPr>
              <w:fldChar w:fldCharType="end"/>
            </w:r>
            <w:bookmarkEnd w:id="29"/>
          </w:p>
        </w:tc>
      </w:tr>
      <w:tr w:rsidR="00611606" w:rsidRPr="0056236E" w:rsidTr="00D70E52">
        <w:trPr>
          <w:jc w:val="center"/>
        </w:trPr>
        <w:tc>
          <w:tcPr>
            <w:tcW w:w="7447" w:type="dxa"/>
            <w:gridSpan w:val="4"/>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611606" w:rsidRPr="0056236E" w:rsidRDefault="00611606">
            <w:pPr>
              <w:pStyle w:val="Standard"/>
              <w:widowControl w:val="0"/>
              <w:snapToGrid w:val="0"/>
              <w:jc w:val="right"/>
              <w:rPr>
                <w:sz w:val="22"/>
              </w:rPr>
            </w:pPr>
            <w:r w:rsidRPr="0056236E">
              <w:rPr>
                <w:sz w:val="22"/>
              </w:rPr>
              <w:t>Sub-Total</w:t>
            </w:r>
          </w:p>
        </w:tc>
        <w:tc>
          <w:tcPr>
            <w:tcW w:w="8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611606" w:rsidRPr="0056236E" w:rsidRDefault="00611606">
            <w:pPr>
              <w:pStyle w:val="Standard"/>
              <w:keepNext/>
              <w:keepLines/>
              <w:widowControl w:val="0"/>
              <w:snapToGrid w:val="0"/>
              <w:spacing w:before="200"/>
              <w:jc w:val="right"/>
              <w:outlineLvl w:val="1"/>
              <w:rPr>
                <w:sz w:val="22"/>
              </w:rPr>
            </w:pPr>
          </w:p>
        </w:tc>
        <w:tc>
          <w:tcPr>
            <w:tcW w:w="12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611606" w:rsidRPr="0056236E" w:rsidRDefault="00C50F29" w:rsidP="00A80F5A">
            <w:pPr>
              <w:jc w:val="right"/>
            </w:pPr>
            <w:r w:rsidRPr="0056236E">
              <w:t>1,932,015</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1606" w:rsidRPr="0056236E" w:rsidRDefault="00A80F5A" w:rsidP="000E03BF">
            <w:pPr>
              <w:pStyle w:val="Standard"/>
              <w:widowControl w:val="0"/>
              <w:snapToGrid w:val="0"/>
              <w:jc w:val="right"/>
              <w:rPr>
                <w:sz w:val="22"/>
              </w:rPr>
            </w:pPr>
            <w:r>
              <w:rPr>
                <w:sz w:val="22"/>
              </w:rPr>
              <w:t>9,175</w:t>
            </w:r>
            <w:r w:rsidR="00611606" w:rsidRPr="0056236E">
              <w:rPr>
                <w:sz w:val="22"/>
              </w:rPr>
              <w:t>,000</w:t>
            </w:r>
          </w:p>
        </w:tc>
      </w:tr>
      <w:tr w:rsidR="00611606" w:rsidRPr="0056236E" w:rsidTr="00D70E52">
        <w:trPr>
          <w:jc w:val="center"/>
        </w:trPr>
        <w:tc>
          <w:tcPr>
            <w:tcW w:w="7447" w:type="dxa"/>
            <w:gridSpan w:val="4"/>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611606" w:rsidRPr="0056236E" w:rsidRDefault="00611606">
            <w:pPr>
              <w:pStyle w:val="Standard"/>
              <w:widowControl w:val="0"/>
              <w:snapToGrid w:val="0"/>
              <w:jc w:val="right"/>
              <w:rPr>
                <w:sz w:val="22"/>
              </w:rPr>
            </w:pPr>
            <w:r w:rsidRPr="0056236E">
              <w:rPr>
                <w:rStyle w:val="Policepardfaut"/>
                <w:sz w:val="22"/>
              </w:rPr>
              <w:t>Project Management Cost</w:t>
            </w:r>
            <w:r w:rsidRPr="0056236E">
              <w:rPr>
                <w:rStyle w:val="FootnoteSymbol"/>
                <w:sz w:val="22"/>
              </w:rPr>
              <w:footnoteReference w:id="4"/>
            </w:r>
          </w:p>
        </w:tc>
        <w:tc>
          <w:tcPr>
            <w:tcW w:w="800" w:type="dxa"/>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611606" w:rsidRPr="0056236E" w:rsidRDefault="00611606" w:rsidP="00D70E52">
            <w:pPr>
              <w:pStyle w:val="Standard"/>
              <w:widowControl w:val="0"/>
              <w:snapToGrid w:val="0"/>
              <w:ind w:hanging="108"/>
              <w:rPr>
                <w:sz w:val="22"/>
              </w:rPr>
            </w:pPr>
            <w:r w:rsidRPr="0056236E" w:rsidDel="00AD2CED">
              <w:rPr>
                <w:sz w:val="22"/>
              </w:rPr>
              <w:t>GEFTF</w:t>
            </w:r>
          </w:p>
        </w:tc>
        <w:tc>
          <w:tcPr>
            <w:tcW w:w="1289" w:type="dxa"/>
            <w:tcBorders>
              <w:top w:val="single" w:sz="4" w:space="0" w:color="000000"/>
              <w:left w:val="single" w:sz="4" w:space="0" w:color="000000"/>
              <w:bottom w:val="double" w:sz="2" w:space="0" w:color="000000"/>
            </w:tcBorders>
            <w:shd w:val="clear" w:color="auto" w:fill="FFFFFF"/>
            <w:tcMar>
              <w:top w:w="0" w:type="dxa"/>
              <w:left w:w="108" w:type="dxa"/>
              <w:bottom w:w="0" w:type="dxa"/>
              <w:right w:w="108" w:type="dxa"/>
            </w:tcMar>
          </w:tcPr>
          <w:p w:rsidR="00611606" w:rsidRPr="0056236E" w:rsidRDefault="00C50F29" w:rsidP="00A80F5A">
            <w:pPr>
              <w:pStyle w:val="Standard"/>
              <w:widowControl w:val="0"/>
              <w:snapToGrid w:val="0"/>
              <w:jc w:val="right"/>
              <w:rPr>
                <w:sz w:val="22"/>
              </w:rPr>
            </w:pPr>
            <w:r w:rsidRPr="0056236E">
              <w:rPr>
                <w:sz w:val="22"/>
              </w:rPr>
              <w:t>96</w:t>
            </w:r>
            <w:r w:rsidR="00CA36AF" w:rsidRPr="0056236E">
              <w:rPr>
                <w:sz w:val="22"/>
              </w:rPr>
              <w:t>,</w:t>
            </w:r>
            <w:r w:rsidRPr="0056236E">
              <w:rPr>
                <w:sz w:val="22"/>
              </w:rPr>
              <w:t>601</w:t>
            </w:r>
          </w:p>
        </w:tc>
        <w:tc>
          <w:tcPr>
            <w:tcW w:w="1387" w:type="dxa"/>
            <w:tcBorders>
              <w:top w:val="single" w:sz="4" w:space="0" w:color="000000"/>
              <w:left w:val="single" w:sz="4" w:space="0" w:color="000000"/>
              <w:bottom w:val="double" w:sz="2" w:space="0" w:color="000000"/>
              <w:right w:val="single" w:sz="4" w:space="0" w:color="000000"/>
            </w:tcBorders>
            <w:shd w:val="clear" w:color="auto" w:fill="FFFFFF"/>
            <w:tcMar>
              <w:top w:w="0" w:type="dxa"/>
              <w:left w:w="108" w:type="dxa"/>
              <w:bottom w:w="0" w:type="dxa"/>
              <w:right w:w="108" w:type="dxa"/>
            </w:tcMar>
          </w:tcPr>
          <w:p w:rsidR="00611606" w:rsidRPr="0056236E" w:rsidRDefault="00611606" w:rsidP="000E03BF">
            <w:pPr>
              <w:pStyle w:val="Standard"/>
              <w:widowControl w:val="0"/>
              <w:snapToGrid w:val="0"/>
              <w:jc w:val="right"/>
              <w:rPr>
                <w:sz w:val="22"/>
              </w:rPr>
            </w:pPr>
            <w:r w:rsidRPr="0056236E">
              <w:rPr>
                <w:sz w:val="22"/>
              </w:rPr>
              <w:t>480,000</w:t>
            </w:r>
          </w:p>
        </w:tc>
      </w:tr>
      <w:tr w:rsidR="00611606" w:rsidRPr="0056236E" w:rsidTr="00D70E52">
        <w:trPr>
          <w:jc w:val="center"/>
        </w:trPr>
        <w:tc>
          <w:tcPr>
            <w:tcW w:w="7447" w:type="dxa"/>
            <w:gridSpan w:val="4"/>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611606" w:rsidRPr="0056236E" w:rsidRDefault="00611606">
            <w:pPr>
              <w:pStyle w:val="Standard"/>
              <w:widowControl w:val="0"/>
              <w:snapToGrid w:val="0"/>
              <w:jc w:val="right"/>
              <w:rPr>
                <w:b/>
                <w:sz w:val="22"/>
              </w:rPr>
            </w:pPr>
            <w:r w:rsidRPr="0056236E">
              <w:rPr>
                <w:b/>
                <w:sz w:val="22"/>
              </w:rPr>
              <w:t>Total Project Costs</w:t>
            </w:r>
          </w:p>
        </w:tc>
        <w:tc>
          <w:tcPr>
            <w:tcW w:w="800" w:type="dxa"/>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611606" w:rsidRPr="0056236E" w:rsidRDefault="00611606">
            <w:pPr>
              <w:pStyle w:val="Standard"/>
              <w:keepNext/>
              <w:keepLines/>
              <w:widowControl w:val="0"/>
              <w:snapToGrid w:val="0"/>
              <w:spacing w:before="200"/>
              <w:jc w:val="right"/>
              <w:outlineLvl w:val="1"/>
              <w:rPr>
                <w:sz w:val="22"/>
              </w:rPr>
            </w:pPr>
          </w:p>
        </w:tc>
        <w:tc>
          <w:tcPr>
            <w:tcW w:w="1289" w:type="dxa"/>
            <w:tcBorders>
              <w:top w:val="double" w:sz="2" w:space="0" w:color="000000"/>
              <w:left w:val="single" w:sz="4" w:space="0" w:color="000000"/>
              <w:bottom w:val="double" w:sz="2" w:space="0" w:color="000000"/>
            </w:tcBorders>
            <w:shd w:val="clear" w:color="auto" w:fill="FFFFFF"/>
            <w:tcMar>
              <w:top w:w="0" w:type="dxa"/>
              <w:left w:w="108" w:type="dxa"/>
              <w:bottom w:w="0" w:type="dxa"/>
              <w:right w:w="108" w:type="dxa"/>
            </w:tcMar>
          </w:tcPr>
          <w:p w:rsidR="00611606" w:rsidRPr="0056236E" w:rsidRDefault="00C50F29" w:rsidP="00A80F5A">
            <w:pPr>
              <w:pStyle w:val="Standard"/>
              <w:widowControl w:val="0"/>
              <w:snapToGrid w:val="0"/>
              <w:jc w:val="right"/>
              <w:rPr>
                <w:sz w:val="22"/>
              </w:rPr>
            </w:pPr>
            <w:r w:rsidRPr="0056236E">
              <w:rPr>
                <w:sz w:val="22"/>
              </w:rPr>
              <w:t>2</w:t>
            </w:r>
            <w:r w:rsidR="008257AF" w:rsidRPr="0056236E">
              <w:rPr>
                <w:sz w:val="22"/>
              </w:rPr>
              <w:t>,</w:t>
            </w:r>
            <w:r w:rsidRPr="0056236E">
              <w:rPr>
                <w:sz w:val="22"/>
              </w:rPr>
              <w:t>028</w:t>
            </w:r>
            <w:r w:rsidR="008257AF" w:rsidRPr="0056236E">
              <w:rPr>
                <w:sz w:val="22"/>
              </w:rPr>
              <w:t>,</w:t>
            </w:r>
            <w:r w:rsidRPr="0056236E">
              <w:rPr>
                <w:sz w:val="22"/>
              </w:rPr>
              <w:t>616</w:t>
            </w:r>
          </w:p>
        </w:tc>
        <w:tc>
          <w:tcPr>
            <w:tcW w:w="1387" w:type="dxa"/>
            <w:tcBorders>
              <w:top w:val="double" w:sz="2" w:space="0" w:color="000000"/>
              <w:left w:val="single" w:sz="4" w:space="0" w:color="000000"/>
              <w:bottom w:val="double" w:sz="2" w:space="0" w:color="000000"/>
              <w:right w:val="single" w:sz="4" w:space="0" w:color="000000"/>
            </w:tcBorders>
            <w:shd w:val="clear" w:color="auto" w:fill="FFFFFF"/>
            <w:tcMar>
              <w:top w:w="0" w:type="dxa"/>
              <w:left w:w="108" w:type="dxa"/>
              <w:bottom w:w="0" w:type="dxa"/>
              <w:right w:w="108" w:type="dxa"/>
            </w:tcMar>
          </w:tcPr>
          <w:p w:rsidR="00611606" w:rsidRPr="0056236E" w:rsidRDefault="00A80F5A" w:rsidP="000E03BF">
            <w:pPr>
              <w:pStyle w:val="Standard"/>
              <w:widowControl w:val="0"/>
              <w:snapToGrid w:val="0"/>
              <w:jc w:val="right"/>
              <w:rPr>
                <w:sz w:val="22"/>
              </w:rPr>
            </w:pPr>
            <w:r>
              <w:rPr>
                <w:sz w:val="22"/>
              </w:rPr>
              <w:t>9,655</w:t>
            </w:r>
            <w:r w:rsidR="00611606" w:rsidRPr="0056236E">
              <w:rPr>
                <w:sz w:val="22"/>
              </w:rPr>
              <w:t>,000</w:t>
            </w:r>
          </w:p>
        </w:tc>
      </w:tr>
    </w:tbl>
    <w:p w:rsidR="000E03BF" w:rsidRPr="0056236E" w:rsidRDefault="000E03BF">
      <w:pPr>
        <w:pStyle w:val="Standard"/>
        <w:ind w:right="-547"/>
        <w:rPr>
          <w:sz w:val="22"/>
        </w:rPr>
      </w:pPr>
    </w:p>
    <w:p w:rsidR="000E03BF" w:rsidRPr="0056236E" w:rsidRDefault="000E03BF">
      <w:pPr>
        <w:pStyle w:val="Pieddepage"/>
        <w:numPr>
          <w:ilvl w:val="0"/>
          <w:numId w:val="20"/>
        </w:numPr>
        <w:tabs>
          <w:tab w:val="clear" w:pos="4680"/>
          <w:tab w:val="clear" w:pos="9360"/>
        </w:tabs>
        <w:spacing w:before="240" w:after="80"/>
        <w:ind w:hanging="1440"/>
        <w:rPr>
          <w:rFonts w:cs="Times New Roman"/>
          <w:sz w:val="22"/>
          <w:lang w:val="en-US"/>
        </w:rPr>
      </w:pPr>
      <w:r w:rsidRPr="0056236E">
        <w:rPr>
          <w:rStyle w:val="Policepardfaut"/>
          <w:rFonts w:cs="Times New Roman"/>
          <w:b/>
          <w:smallCaps/>
          <w:sz w:val="22"/>
          <w:lang w:val="en-US"/>
        </w:rPr>
        <w:t xml:space="preserve">C. Indicative </w:t>
      </w:r>
      <w:hyperlink r:id="rId10" w:history="1">
        <w:r w:rsidRPr="0056236E">
          <w:rPr>
            <w:rStyle w:val="Internetlink"/>
            <w:rFonts w:cs="Times New Roman"/>
            <w:b/>
            <w:smallCaps/>
            <w:color w:val="auto"/>
            <w:sz w:val="22"/>
            <w:lang w:val="en-US"/>
          </w:rPr>
          <w:t>Co-financing</w:t>
        </w:r>
      </w:hyperlink>
      <w:r w:rsidRPr="0056236E">
        <w:rPr>
          <w:rStyle w:val="Policepardfaut"/>
          <w:rFonts w:cs="Times New Roman"/>
          <w:b/>
          <w:smallCaps/>
          <w:sz w:val="22"/>
          <w:lang w:val="en-US"/>
        </w:rPr>
        <w:t xml:space="preserve"> for the project by source and by name if available, ($)</w:t>
      </w:r>
    </w:p>
    <w:tbl>
      <w:tblPr>
        <w:tblW w:w="10393" w:type="dxa"/>
        <w:tblInd w:w="-730" w:type="dxa"/>
        <w:tblLayout w:type="fixed"/>
        <w:tblCellMar>
          <w:left w:w="10" w:type="dxa"/>
          <w:right w:w="10" w:type="dxa"/>
        </w:tblCellMar>
        <w:tblLook w:val="0000" w:firstRow="0" w:lastRow="0" w:firstColumn="0" w:lastColumn="0" w:noHBand="0" w:noVBand="0"/>
      </w:tblPr>
      <w:tblGrid>
        <w:gridCol w:w="3598"/>
        <w:gridCol w:w="3155"/>
        <w:gridCol w:w="2253"/>
        <w:gridCol w:w="1387"/>
      </w:tblGrid>
      <w:tr w:rsidR="000E03BF" w:rsidRPr="0056236E">
        <w:trPr>
          <w:cantSplit/>
        </w:trPr>
        <w:tc>
          <w:tcPr>
            <w:tcW w:w="35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snapToGrid w:val="0"/>
              <w:jc w:val="center"/>
              <w:rPr>
                <w:b/>
                <w:sz w:val="22"/>
              </w:rPr>
            </w:pPr>
            <w:r w:rsidRPr="0056236E">
              <w:rPr>
                <w:b/>
                <w:sz w:val="22"/>
              </w:rPr>
              <w:t>Sources of Co-financing</w:t>
            </w:r>
          </w:p>
        </w:tc>
        <w:tc>
          <w:tcPr>
            <w:tcW w:w="31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snapToGrid w:val="0"/>
              <w:jc w:val="center"/>
              <w:rPr>
                <w:b/>
                <w:sz w:val="22"/>
              </w:rPr>
            </w:pPr>
            <w:r w:rsidRPr="0056236E">
              <w:rPr>
                <w:b/>
                <w:sz w:val="22"/>
              </w:rPr>
              <w:t>Name of Co-financier</w:t>
            </w:r>
          </w:p>
        </w:tc>
        <w:tc>
          <w:tcPr>
            <w:tcW w:w="2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snapToGrid w:val="0"/>
              <w:ind w:left="5"/>
              <w:jc w:val="center"/>
              <w:rPr>
                <w:b/>
                <w:sz w:val="22"/>
              </w:rPr>
            </w:pPr>
            <w:r w:rsidRPr="0056236E">
              <w:rPr>
                <w:b/>
                <w:sz w:val="22"/>
              </w:rPr>
              <w:t>Type of Co-financing</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03BF" w:rsidRPr="0056236E" w:rsidRDefault="000E03BF">
            <w:pPr>
              <w:pStyle w:val="Standard"/>
              <w:snapToGrid w:val="0"/>
              <w:ind w:left="-6"/>
              <w:jc w:val="center"/>
              <w:rPr>
                <w:b/>
                <w:sz w:val="22"/>
              </w:rPr>
            </w:pPr>
            <w:r w:rsidRPr="0056236E">
              <w:rPr>
                <w:b/>
                <w:sz w:val="22"/>
              </w:rPr>
              <w:t>Amount ($)</w:t>
            </w:r>
          </w:p>
        </w:tc>
      </w:tr>
      <w:tr w:rsidR="000E03BF" w:rsidRPr="0056236E">
        <w:trPr>
          <w:cantSplit/>
        </w:trPr>
        <w:tc>
          <w:tcPr>
            <w:tcW w:w="359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NoSpacing"/>
              <w:rPr>
                <w:sz w:val="22"/>
              </w:rPr>
            </w:pPr>
            <w:r w:rsidRPr="0056236E">
              <w:rPr>
                <w:sz w:val="22"/>
              </w:rPr>
              <w:t>Government Contribution</w:t>
            </w:r>
          </w:p>
        </w:tc>
        <w:tc>
          <w:tcPr>
            <w:tcW w:w="315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sz w:val="22"/>
              </w:rPr>
              <w:t>Government Ministries and Agencies</w:t>
            </w:r>
            <w:r w:rsidR="00843A2E" w:rsidRPr="0056236E">
              <w:rPr>
                <w:sz w:val="22"/>
              </w:rPr>
              <w:fldChar w:fldCharType="begin"/>
            </w:r>
            <w:r w:rsidRPr="0056236E">
              <w:rPr>
                <w:sz w:val="22"/>
              </w:rPr>
              <w:instrText xml:space="preserve"> FILLIN "ExecutingAgency" </w:instrText>
            </w:r>
            <w:r w:rsidR="00843A2E" w:rsidRPr="0056236E">
              <w:rPr>
                <w:sz w:val="22"/>
              </w:rPr>
              <w:fldChar w:fldCharType="end"/>
            </w:r>
          </w:p>
        </w:tc>
        <w:tc>
          <w:tcPr>
            <w:tcW w:w="2253"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 xml:space="preserve">In-kind </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ind w:left="-6"/>
              <w:jc w:val="right"/>
              <w:rPr>
                <w:sz w:val="22"/>
              </w:rPr>
            </w:pPr>
            <w:bookmarkStart w:id="30" w:name="C_COAMT_02"/>
            <w:r w:rsidRPr="0056236E">
              <w:rPr>
                <w:rStyle w:val="Policepardfaut"/>
                <w:sz w:val="22"/>
              </w:rPr>
              <w:t>6,225,000</w:t>
            </w:r>
            <w:r w:rsidR="00843A2E" w:rsidRPr="0056236E">
              <w:rPr>
                <w:rStyle w:val="Policepardfaut"/>
                <w:sz w:val="22"/>
              </w:rPr>
              <w:fldChar w:fldCharType="begin"/>
            </w:r>
            <w:r w:rsidRPr="0056236E">
              <w:rPr>
                <w:rStyle w:val="Policepardfaut"/>
                <w:sz w:val="22"/>
              </w:rPr>
              <w:instrText xml:space="preserve"> FILLIN "C_COAMT_02"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30"/>
          </w:p>
        </w:tc>
      </w:tr>
      <w:tr w:rsidR="000E03BF" w:rsidRPr="0056236E">
        <w:trPr>
          <w:cantSplit/>
        </w:trPr>
        <w:tc>
          <w:tcPr>
            <w:tcW w:w="359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GEF Implementing Agency</w:t>
            </w:r>
          </w:p>
        </w:tc>
        <w:tc>
          <w:tcPr>
            <w:tcW w:w="315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sz w:val="22"/>
              </w:rPr>
              <w:t>UNEP</w:t>
            </w:r>
            <w:r w:rsidR="00843A2E" w:rsidRPr="0056236E">
              <w:rPr>
                <w:rStyle w:val="Policepardfaut"/>
                <w:sz w:val="22"/>
              </w:rPr>
              <w:fldChar w:fldCharType="begin"/>
            </w:r>
            <w:r w:rsidRPr="0056236E">
              <w:rPr>
                <w:rStyle w:val="Policepardfaut"/>
                <w:sz w:val="22"/>
              </w:rPr>
              <w:instrText xml:space="preserve"> FILLIN "CofinanciarName_04"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p>
        </w:tc>
        <w:tc>
          <w:tcPr>
            <w:tcW w:w="2253"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In-kind</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A80F5A" w:rsidP="000E03BF">
            <w:pPr>
              <w:pStyle w:val="Standard"/>
              <w:widowControl w:val="0"/>
              <w:snapToGrid w:val="0"/>
              <w:ind w:left="-6"/>
              <w:jc w:val="right"/>
              <w:rPr>
                <w:sz w:val="22"/>
              </w:rPr>
            </w:pPr>
            <w:r>
              <w:rPr>
                <w:rStyle w:val="Policepardfaut"/>
                <w:sz w:val="22"/>
              </w:rPr>
              <w:t>100</w:t>
            </w:r>
            <w:r w:rsidR="000E03BF" w:rsidRPr="0056236E">
              <w:rPr>
                <w:rStyle w:val="Policepardfaut"/>
                <w:sz w:val="22"/>
              </w:rPr>
              <w:t>,000</w:t>
            </w:r>
          </w:p>
        </w:tc>
      </w:tr>
      <w:tr w:rsidR="000E03BF" w:rsidRPr="0056236E">
        <w:trPr>
          <w:cantSplit/>
        </w:trPr>
        <w:tc>
          <w:tcPr>
            <w:tcW w:w="359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Private Sector</w:t>
            </w:r>
            <w:r w:rsidRPr="0056236E">
              <w:rPr>
                <w:rStyle w:val="FootnoteReference"/>
                <w:sz w:val="22"/>
              </w:rPr>
              <w:footnoteReference w:id="5"/>
            </w:r>
          </w:p>
        </w:tc>
        <w:tc>
          <w:tcPr>
            <w:tcW w:w="315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Osram</w:t>
            </w:r>
          </w:p>
        </w:tc>
        <w:tc>
          <w:tcPr>
            <w:tcW w:w="2253"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In-kind</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ind w:left="-6"/>
              <w:jc w:val="right"/>
              <w:rPr>
                <w:sz w:val="22"/>
              </w:rPr>
            </w:pPr>
            <w:bookmarkStart w:id="31" w:name="C_COAMT_04"/>
            <w:r w:rsidRPr="0056236E">
              <w:rPr>
                <w:rStyle w:val="Policepardfaut"/>
                <w:sz w:val="22"/>
              </w:rPr>
              <w:t>1,200,000</w:t>
            </w:r>
            <w:r w:rsidR="00843A2E" w:rsidRPr="0056236E">
              <w:rPr>
                <w:rStyle w:val="Policepardfaut"/>
                <w:sz w:val="22"/>
              </w:rPr>
              <w:fldChar w:fldCharType="begin"/>
            </w:r>
            <w:r w:rsidRPr="0056236E">
              <w:rPr>
                <w:rStyle w:val="Policepardfaut"/>
                <w:sz w:val="22"/>
              </w:rPr>
              <w:instrText xml:space="preserve"> FILLIN "C_COAMT_04"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31"/>
          </w:p>
        </w:tc>
      </w:tr>
      <w:tr w:rsidR="000E03BF" w:rsidRPr="0056236E">
        <w:trPr>
          <w:cantSplit/>
        </w:trPr>
        <w:tc>
          <w:tcPr>
            <w:tcW w:w="359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Private Sector</w:t>
            </w:r>
          </w:p>
        </w:tc>
        <w:tc>
          <w:tcPr>
            <w:tcW w:w="315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rStyle w:val="Policepardfaut"/>
                <w:sz w:val="22"/>
              </w:rPr>
              <w:t>Philips Lighting</w:t>
            </w:r>
            <w:r w:rsidR="00843A2E" w:rsidRPr="0056236E">
              <w:rPr>
                <w:rStyle w:val="Policepardfaut"/>
                <w:sz w:val="22"/>
              </w:rPr>
              <w:fldChar w:fldCharType="begin"/>
            </w:r>
            <w:r w:rsidRPr="0056236E">
              <w:rPr>
                <w:rStyle w:val="Policepardfaut"/>
                <w:sz w:val="22"/>
              </w:rPr>
              <w:instrText xml:space="preserve"> FILLIN "CofinanciarName_06"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p>
        </w:tc>
        <w:tc>
          <w:tcPr>
            <w:tcW w:w="2253"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ind w:left="5"/>
              <w:rPr>
                <w:sz w:val="22"/>
              </w:rPr>
            </w:pPr>
            <w:r w:rsidRPr="0056236E">
              <w:rPr>
                <w:sz w:val="22"/>
              </w:rPr>
              <w:t>In-kind</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ind w:left="-6"/>
              <w:jc w:val="right"/>
              <w:rPr>
                <w:sz w:val="22"/>
              </w:rPr>
            </w:pPr>
            <w:bookmarkStart w:id="32" w:name="C_COAMT_05"/>
            <w:r w:rsidRPr="0056236E">
              <w:rPr>
                <w:rStyle w:val="Policepardfaut"/>
                <w:sz w:val="22"/>
              </w:rPr>
              <w:t>1,200,000</w:t>
            </w:r>
            <w:r w:rsidR="00843A2E" w:rsidRPr="0056236E">
              <w:rPr>
                <w:rStyle w:val="Policepardfaut"/>
                <w:sz w:val="22"/>
              </w:rPr>
              <w:fldChar w:fldCharType="begin"/>
            </w:r>
            <w:r w:rsidRPr="0056236E">
              <w:rPr>
                <w:rStyle w:val="Policepardfaut"/>
                <w:sz w:val="22"/>
              </w:rPr>
              <w:instrText xml:space="preserve"> FILLIN "C_COAMT_05"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32"/>
          </w:p>
        </w:tc>
      </w:tr>
      <w:tr w:rsidR="000E03BF" w:rsidRPr="0056236E">
        <w:trPr>
          <w:cantSplit/>
        </w:trPr>
        <w:tc>
          <w:tcPr>
            <w:tcW w:w="359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r w:rsidRPr="0056236E">
              <w:rPr>
                <w:sz w:val="22"/>
              </w:rPr>
              <w:t>Private Sector</w:t>
            </w:r>
          </w:p>
        </w:tc>
        <w:tc>
          <w:tcPr>
            <w:tcW w:w="315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rStyle w:val="Policepardfaut"/>
              </w:rPr>
            </w:pPr>
            <w:r w:rsidRPr="0056236E">
              <w:rPr>
                <w:sz w:val="22"/>
              </w:rPr>
              <w:t>National Lighting Test Center (China)</w:t>
            </w:r>
          </w:p>
        </w:tc>
        <w:tc>
          <w:tcPr>
            <w:tcW w:w="2253"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ind w:left="5"/>
              <w:rPr>
                <w:sz w:val="22"/>
              </w:rPr>
            </w:pPr>
            <w:r w:rsidRPr="0056236E">
              <w:rPr>
                <w:sz w:val="22"/>
              </w:rPr>
              <w:t>In-kind</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ind w:left="-6"/>
              <w:jc w:val="right"/>
              <w:rPr>
                <w:sz w:val="22"/>
              </w:rPr>
            </w:pPr>
            <w:bookmarkStart w:id="33" w:name="C_COAMT_06"/>
            <w:r w:rsidRPr="0056236E">
              <w:rPr>
                <w:rStyle w:val="Policepardfaut"/>
                <w:sz w:val="22"/>
              </w:rPr>
              <w:t>930,000</w:t>
            </w:r>
            <w:r w:rsidR="00843A2E" w:rsidRPr="0056236E">
              <w:rPr>
                <w:rStyle w:val="Policepardfaut"/>
                <w:sz w:val="22"/>
              </w:rPr>
              <w:fldChar w:fldCharType="begin"/>
            </w:r>
            <w:r w:rsidRPr="0056236E">
              <w:rPr>
                <w:rStyle w:val="Policepardfaut"/>
                <w:sz w:val="22"/>
              </w:rPr>
              <w:instrText xml:space="preserve"> FILLIN "C_COAMT_06"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33"/>
          </w:p>
        </w:tc>
      </w:tr>
      <w:tr w:rsidR="000E03BF" w:rsidRPr="0056236E">
        <w:trPr>
          <w:cantSplit/>
        </w:trPr>
        <w:tc>
          <w:tcPr>
            <w:tcW w:w="3598" w:type="dxa"/>
            <w:tcBorders>
              <w:top w:val="double" w:sz="2" w:space="0" w:color="000000"/>
              <w:left w:val="single" w:sz="4" w:space="0" w:color="000000"/>
              <w:bottom w:val="double" w:sz="2"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b/>
                <w:sz w:val="22"/>
              </w:rPr>
              <w:t>Total Co-financing</w:t>
            </w:r>
          </w:p>
        </w:tc>
        <w:tc>
          <w:tcPr>
            <w:tcW w:w="3155" w:type="dxa"/>
            <w:tcBorders>
              <w:top w:val="double" w:sz="2" w:space="0" w:color="000000"/>
              <w:left w:val="single" w:sz="4" w:space="0" w:color="000000"/>
              <w:bottom w:val="double" w:sz="2" w:space="0" w:color="000000"/>
            </w:tcBorders>
            <w:shd w:val="clear" w:color="auto" w:fill="CCCCCC"/>
            <w:tcMar>
              <w:top w:w="0" w:type="dxa"/>
              <w:left w:w="108" w:type="dxa"/>
              <w:bottom w:w="0" w:type="dxa"/>
              <w:right w:w="108" w:type="dxa"/>
            </w:tcMar>
          </w:tcPr>
          <w:p w:rsidR="000E03BF" w:rsidRPr="0056236E" w:rsidRDefault="000E03BF">
            <w:pPr>
              <w:pStyle w:val="Standard"/>
              <w:widowControl w:val="0"/>
              <w:snapToGrid w:val="0"/>
              <w:jc w:val="right"/>
              <w:rPr>
                <w:sz w:val="22"/>
              </w:rPr>
            </w:pPr>
          </w:p>
        </w:tc>
        <w:tc>
          <w:tcPr>
            <w:tcW w:w="2253" w:type="dxa"/>
            <w:tcBorders>
              <w:top w:val="double" w:sz="2" w:space="0" w:color="000000"/>
              <w:left w:val="single" w:sz="4" w:space="0" w:color="000000"/>
              <w:bottom w:val="double" w:sz="2" w:space="0" w:color="000000"/>
            </w:tcBorders>
            <w:shd w:val="clear" w:color="auto" w:fill="CCCCCC"/>
            <w:tcMar>
              <w:top w:w="0" w:type="dxa"/>
              <w:left w:w="108" w:type="dxa"/>
              <w:bottom w:w="0" w:type="dxa"/>
              <w:right w:w="108" w:type="dxa"/>
            </w:tcMar>
          </w:tcPr>
          <w:p w:rsidR="000E03BF" w:rsidRPr="0056236E" w:rsidRDefault="000E03BF">
            <w:pPr>
              <w:pStyle w:val="Standard"/>
              <w:widowControl w:val="0"/>
              <w:snapToGrid w:val="0"/>
              <w:ind w:left="5"/>
              <w:jc w:val="right"/>
              <w:rPr>
                <w:sz w:val="22"/>
              </w:rPr>
            </w:pPr>
          </w:p>
        </w:tc>
        <w:tc>
          <w:tcPr>
            <w:tcW w:w="1387" w:type="dxa"/>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rsidR="000E03BF" w:rsidRPr="0056236E" w:rsidRDefault="00A80F5A" w:rsidP="000E03BF">
            <w:pPr>
              <w:pStyle w:val="Standard"/>
              <w:widowControl w:val="0"/>
              <w:snapToGrid w:val="0"/>
              <w:ind w:left="-196"/>
              <w:jc w:val="right"/>
              <w:rPr>
                <w:sz w:val="22"/>
              </w:rPr>
            </w:pPr>
            <w:r>
              <w:rPr>
                <w:sz w:val="22"/>
              </w:rPr>
              <w:t>9,655</w:t>
            </w:r>
            <w:r w:rsidR="000E03BF" w:rsidRPr="0056236E">
              <w:rPr>
                <w:sz w:val="22"/>
              </w:rPr>
              <w:t>,000</w:t>
            </w:r>
          </w:p>
        </w:tc>
      </w:tr>
      <w:tr w:rsidR="000E03BF" w:rsidRPr="0056236E">
        <w:trPr>
          <w:cantSplit/>
        </w:trPr>
        <w:tc>
          <w:tcPr>
            <w:tcW w:w="3598" w:type="dxa"/>
            <w:tcBorders>
              <w:top w:val="double" w:sz="2" w:space="0" w:color="000000"/>
              <w:left w:val="single" w:sz="4" w:space="0" w:color="000000"/>
              <w:bottom w:val="double" w:sz="2"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p>
        </w:tc>
        <w:tc>
          <w:tcPr>
            <w:tcW w:w="3155" w:type="dxa"/>
            <w:tcBorders>
              <w:top w:val="double" w:sz="2" w:space="0" w:color="000000"/>
              <w:left w:val="single" w:sz="4" w:space="0" w:color="000000"/>
              <w:bottom w:val="double" w:sz="2" w:space="0" w:color="000000"/>
            </w:tcBorders>
            <w:shd w:val="clear" w:color="auto" w:fill="CCCCCC"/>
            <w:tcMar>
              <w:top w:w="0" w:type="dxa"/>
              <w:left w:w="108" w:type="dxa"/>
              <w:bottom w:w="0" w:type="dxa"/>
              <w:right w:w="108" w:type="dxa"/>
            </w:tcMar>
          </w:tcPr>
          <w:p w:rsidR="000E03BF" w:rsidRPr="0056236E" w:rsidRDefault="000E03BF">
            <w:pPr>
              <w:pStyle w:val="Standard"/>
              <w:widowControl w:val="0"/>
              <w:snapToGrid w:val="0"/>
              <w:jc w:val="right"/>
              <w:rPr>
                <w:sz w:val="22"/>
              </w:rPr>
            </w:pPr>
          </w:p>
        </w:tc>
        <w:tc>
          <w:tcPr>
            <w:tcW w:w="2253" w:type="dxa"/>
            <w:tcBorders>
              <w:top w:val="double" w:sz="2" w:space="0" w:color="000000"/>
              <w:left w:val="single" w:sz="4" w:space="0" w:color="000000"/>
              <w:bottom w:val="double" w:sz="2" w:space="0" w:color="000000"/>
            </w:tcBorders>
            <w:shd w:val="clear" w:color="auto" w:fill="CCCCCC"/>
            <w:tcMar>
              <w:top w:w="0" w:type="dxa"/>
              <w:left w:w="108" w:type="dxa"/>
              <w:bottom w:w="0" w:type="dxa"/>
              <w:right w:w="108" w:type="dxa"/>
            </w:tcMar>
          </w:tcPr>
          <w:p w:rsidR="000E03BF" w:rsidRPr="0056236E" w:rsidRDefault="000E03BF">
            <w:pPr>
              <w:pStyle w:val="Standard"/>
              <w:widowControl w:val="0"/>
              <w:snapToGrid w:val="0"/>
              <w:ind w:left="5"/>
              <w:jc w:val="right"/>
              <w:rPr>
                <w:sz w:val="22"/>
              </w:rPr>
            </w:pPr>
          </w:p>
        </w:tc>
        <w:tc>
          <w:tcPr>
            <w:tcW w:w="1387" w:type="dxa"/>
            <w:tcBorders>
              <w:top w:val="double" w:sz="2" w:space="0" w:color="000000"/>
              <w:left w:val="single" w:sz="4" w:space="0" w:color="000000"/>
              <w:bottom w:val="double" w:sz="2" w:space="0" w:color="000000"/>
              <w:right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ind w:left="-196"/>
              <w:jc w:val="right"/>
              <w:rPr>
                <w:sz w:val="22"/>
              </w:rPr>
            </w:pPr>
          </w:p>
        </w:tc>
      </w:tr>
    </w:tbl>
    <w:p w:rsidR="000E03BF" w:rsidRPr="0056236E" w:rsidRDefault="000E03BF">
      <w:pPr>
        <w:rPr>
          <w:rFonts w:cs="Times New Roman"/>
          <w:bCs/>
          <w:smallCaps/>
          <w:sz w:val="22"/>
          <w:vertAlign w:val="superscript"/>
          <w:lang w:val="en-US"/>
        </w:rPr>
      </w:pPr>
    </w:p>
    <w:p w:rsidR="000E03BF" w:rsidRPr="0056236E" w:rsidRDefault="000E03BF">
      <w:pPr>
        <w:rPr>
          <w:rFonts w:cs="Times New Roman"/>
          <w:b/>
          <w:bCs/>
          <w:smallCaps/>
          <w:sz w:val="22"/>
          <w:vertAlign w:val="superscript"/>
          <w:lang w:val="en-US"/>
        </w:rPr>
      </w:pPr>
    </w:p>
    <w:p w:rsidR="000E03BF" w:rsidRPr="0056236E" w:rsidRDefault="000E03BF">
      <w:pPr>
        <w:rPr>
          <w:rFonts w:cs="Times New Roman"/>
          <w:b/>
          <w:bCs/>
          <w:smallCaps/>
          <w:sz w:val="22"/>
          <w:vertAlign w:val="superscript"/>
          <w:lang w:val="en-US"/>
        </w:rPr>
      </w:pPr>
    </w:p>
    <w:p w:rsidR="000E03BF" w:rsidRPr="0056236E" w:rsidRDefault="000E03BF">
      <w:pPr>
        <w:pStyle w:val="Pieddepage"/>
        <w:widowControl/>
        <w:numPr>
          <w:ilvl w:val="0"/>
          <w:numId w:val="20"/>
        </w:numPr>
        <w:tabs>
          <w:tab w:val="clear" w:pos="4680"/>
          <w:tab w:val="clear" w:pos="9360"/>
        </w:tabs>
        <w:spacing w:before="240" w:after="80"/>
        <w:ind w:left="-720"/>
        <w:rPr>
          <w:rFonts w:cs="Times New Roman"/>
          <w:sz w:val="22"/>
          <w:lang w:val="en-US"/>
        </w:rPr>
      </w:pPr>
      <w:r w:rsidRPr="0056236E">
        <w:rPr>
          <w:rStyle w:val="Policepardfaut"/>
          <w:rFonts w:cs="Times New Roman"/>
          <w:b/>
          <w:smallCaps/>
          <w:sz w:val="22"/>
          <w:lang w:val="en-US"/>
        </w:rPr>
        <w:t>GEF/LDCF/SCCF/NPIF  Resources Requested by Agency, Focal Area and Country</w:t>
      </w:r>
      <w:r w:rsidRPr="0056236E">
        <w:rPr>
          <w:rStyle w:val="FootnoteSymbol"/>
          <w:rFonts w:cs="Times New Roman"/>
          <w:b/>
          <w:bCs/>
          <w:caps/>
          <w:sz w:val="22"/>
          <w:lang w:val="en-US"/>
        </w:rPr>
        <w:t>1</w:t>
      </w:r>
    </w:p>
    <w:p w:rsidR="000E03BF" w:rsidRPr="0056236E" w:rsidRDefault="000E03BF">
      <w:pPr>
        <w:rPr>
          <w:rFonts w:cs="Times New Roman"/>
          <w:bCs/>
          <w:smallCaps/>
          <w:sz w:val="22"/>
          <w:vertAlign w:val="superscript"/>
          <w:lang w:val="en-US"/>
        </w:rPr>
      </w:pPr>
    </w:p>
    <w:tbl>
      <w:tblPr>
        <w:tblW w:w="10381" w:type="dxa"/>
        <w:tblInd w:w="-730" w:type="dxa"/>
        <w:tblLayout w:type="fixed"/>
        <w:tblCellMar>
          <w:left w:w="10" w:type="dxa"/>
          <w:right w:w="10" w:type="dxa"/>
        </w:tblCellMar>
        <w:tblLook w:val="0000" w:firstRow="0" w:lastRow="0" w:firstColumn="0" w:lastColumn="0" w:noHBand="0" w:noVBand="0"/>
      </w:tblPr>
      <w:tblGrid>
        <w:gridCol w:w="1168"/>
        <w:gridCol w:w="1438"/>
        <w:gridCol w:w="2122"/>
        <w:gridCol w:w="1681"/>
        <w:gridCol w:w="1216"/>
        <w:gridCol w:w="1403"/>
        <w:gridCol w:w="1353"/>
      </w:tblGrid>
      <w:tr w:rsidR="000E03BF" w:rsidRPr="0056236E" w:rsidTr="00411428">
        <w:trPr>
          <w:trHeight w:val="260"/>
        </w:trPr>
        <w:tc>
          <w:tcPr>
            <w:tcW w:w="11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widowControl w:val="0"/>
              <w:snapToGrid w:val="0"/>
              <w:jc w:val="center"/>
              <w:rPr>
                <w:b/>
                <w:sz w:val="22"/>
              </w:rPr>
            </w:pPr>
            <w:r w:rsidRPr="0056236E">
              <w:rPr>
                <w:b/>
                <w:sz w:val="22"/>
              </w:rPr>
              <w:t>GEF Agency</w:t>
            </w:r>
          </w:p>
        </w:tc>
        <w:tc>
          <w:tcPr>
            <w:tcW w:w="143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widowControl w:val="0"/>
              <w:snapToGrid w:val="0"/>
              <w:jc w:val="center"/>
              <w:rPr>
                <w:b/>
                <w:sz w:val="22"/>
              </w:rPr>
            </w:pPr>
            <w:r w:rsidRPr="0056236E">
              <w:rPr>
                <w:b/>
                <w:sz w:val="22"/>
              </w:rPr>
              <w:t>Type of Trust Fund</w:t>
            </w:r>
          </w:p>
        </w:tc>
        <w:tc>
          <w:tcPr>
            <w:tcW w:w="21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widowControl w:val="0"/>
              <w:snapToGrid w:val="0"/>
              <w:jc w:val="center"/>
              <w:rPr>
                <w:b/>
                <w:sz w:val="22"/>
              </w:rPr>
            </w:pPr>
            <w:r w:rsidRPr="0056236E">
              <w:rPr>
                <w:b/>
                <w:sz w:val="22"/>
              </w:rPr>
              <w:t>Focal Area</w:t>
            </w:r>
          </w:p>
        </w:tc>
        <w:tc>
          <w:tcPr>
            <w:tcW w:w="16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widowControl w:val="0"/>
              <w:snapToGrid w:val="0"/>
              <w:jc w:val="center"/>
              <w:rPr>
                <w:b/>
                <w:sz w:val="22"/>
              </w:rPr>
            </w:pPr>
            <w:r w:rsidRPr="0056236E">
              <w:rPr>
                <w:b/>
                <w:sz w:val="22"/>
              </w:rPr>
              <w:t>Country</w:t>
            </w:r>
          </w:p>
          <w:p w:rsidR="000E03BF" w:rsidRPr="0056236E" w:rsidRDefault="000E03BF">
            <w:pPr>
              <w:pStyle w:val="Standard"/>
              <w:widowControl w:val="0"/>
              <w:snapToGrid w:val="0"/>
              <w:jc w:val="center"/>
              <w:rPr>
                <w:b/>
                <w:sz w:val="22"/>
              </w:rPr>
            </w:pPr>
            <w:r w:rsidRPr="0056236E">
              <w:rPr>
                <w:b/>
                <w:sz w:val="22"/>
              </w:rPr>
              <w:t>Name/Global</w:t>
            </w:r>
          </w:p>
        </w:tc>
        <w:tc>
          <w:tcPr>
            <w:tcW w:w="12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widowControl w:val="0"/>
              <w:snapToGrid w:val="0"/>
              <w:jc w:val="center"/>
              <w:rPr>
                <w:b/>
                <w:sz w:val="22"/>
              </w:rPr>
            </w:pPr>
            <w:r w:rsidRPr="0056236E">
              <w:rPr>
                <w:b/>
                <w:sz w:val="22"/>
              </w:rPr>
              <w:t>Grant Amount (a)</w:t>
            </w:r>
          </w:p>
        </w:tc>
        <w:tc>
          <w:tcPr>
            <w:tcW w:w="14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E03BF" w:rsidRPr="0056236E" w:rsidRDefault="000E03BF">
            <w:pPr>
              <w:pStyle w:val="Standard"/>
              <w:widowControl w:val="0"/>
              <w:snapToGrid w:val="0"/>
              <w:jc w:val="center"/>
              <w:rPr>
                <w:sz w:val="22"/>
              </w:rPr>
            </w:pPr>
            <w:r w:rsidRPr="0056236E">
              <w:rPr>
                <w:rStyle w:val="Policepardfaut"/>
                <w:b/>
                <w:sz w:val="22"/>
              </w:rPr>
              <w:t>Agency Fee (b)</w:t>
            </w:r>
            <w:r w:rsidRPr="0056236E">
              <w:rPr>
                <w:rStyle w:val="Policepardfaut"/>
                <w:b/>
                <w:sz w:val="22"/>
                <w:vertAlign w:val="superscript"/>
              </w:rPr>
              <w:t>2</w:t>
            </w:r>
            <w:r w:rsidR="0056236E" w:rsidRPr="0056236E">
              <w:rPr>
                <w:rStyle w:val="Policepardfaut"/>
                <w:b/>
                <w:sz w:val="22"/>
                <w:vertAlign w:val="superscript"/>
              </w:rPr>
              <w:t xml:space="preserve"> </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03BF" w:rsidRPr="0056236E" w:rsidRDefault="000E03BF">
            <w:pPr>
              <w:pStyle w:val="Standard"/>
              <w:widowControl w:val="0"/>
              <w:snapToGrid w:val="0"/>
              <w:ind w:firstLine="195"/>
              <w:jc w:val="center"/>
              <w:rPr>
                <w:sz w:val="22"/>
              </w:rPr>
            </w:pPr>
            <w:r w:rsidRPr="0056236E">
              <w:rPr>
                <w:b/>
                <w:sz w:val="22"/>
              </w:rPr>
              <w:t>Total c=a+b</w:t>
            </w:r>
          </w:p>
        </w:tc>
      </w:tr>
      <w:tr w:rsidR="000E03BF" w:rsidRPr="0056236E" w:rsidTr="00411428">
        <w:trPr>
          <w:trHeight w:val="253"/>
        </w:trPr>
        <w:tc>
          <w:tcPr>
            <w:tcW w:w="116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UNEP</w:t>
            </w:r>
          </w:p>
        </w:tc>
        <w:tc>
          <w:tcPr>
            <w:tcW w:w="143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9A416B">
            <w:pPr>
              <w:pStyle w:val="Standard"/>
              <w:widowControl w:val="0"/>
              <w:snapToGrid w:val="0"/>
              <w:rPr>
                <w:sz w:val="22"/>
              </w:rPr>
            </w:pPr>
            <w:r w:rsidRPr="0056236E">
              <w:rPr>
                <w:sz w:val="22"/>
              </w:rPr>
              <w:t>GEF</w:t>
            </w:r>
            <w:r w:rsidR="000E03BF" w:rsidRPr="0056236E">
              <w:rPr>
                <w:sz w:val="22"/>
              </w:rPr>
              <w:t>TF</w:t>
            </w:r>
          </w:p>
        </w:tc>
        <w:tc>
          <w:tcPr>
            <w:tcW w:w="2122"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CCM</w:t>
            </w:r>
          </w:p>
        </w:tc>
        <w:tc>
          <w:tcPr>
            <w:tcW w:w="1681"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rStyle w:val="Policepardfaut"/>
                <w:sz w:val="22"/>
              </w:rPr>
              <w:t xml:space="preserve">Yemen </w:t>
            </w:r>
          </w:p>
        </w:tc>
        <w:tc>
          <w:tcPr>
            <w:tcW w:w="1216"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56236E" w:rsidP="0056236E">
            <w:pPr>
              <w:pStyle w:val="Standard"/>
              <w:widowControl w:val="0"/>
              <w:snapToGrid w:val="0"/>
              <w:jc w:val="right"/>
              <w:rPr>
                <w:sz w:val="22"/>
              </w:rPr>
            </w:pPr>
            <w:r w:rsidRPr="0056236E">
              <w:rPr>
                <w:sz w:val="22"/>
              </w:rPr>
              <w:t>1,982,994</w:t>
            </w:r>
          </w:p>
        </w:tc>
        <w:tc>
          <w:tcPr>
            <w:tcW w:w="1403"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56236E" w:rsidP="00FE5AA3">
            <w:pPr>
              <w:pStyle w:val="Standard"/>
              <w:widowControl w:val="0"/>
              <w:snapToGrid w:val="0"/>
              <w:jc w:val="right"/>
              <w:rPr>
                <w:sz w:val="22"/>
              </w:rPr>
            </w:pPr>
            <w:r w:rsidRPr="0056236E">
              <w:rPr>
                <w:sz w:val="22"/>
              </w:rPr>
              <w:t>188,</w:t>
            </w:r>
            <w:r w:rsidR="00FE5AA3">
              <w:rPr>
                <w:sz w:val="22"/>
              </w:rPr>
              <w:t>384</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56236E" w:rsidP="00FE5AA3">
            <w:pPr>
              <w:pStyle w:val="Standard"/>
              <w:widowControl w:val="0"/>
              <w:snapToGrid w:val="0"/>
              <w:jc w:val="right"/>
              <w:rPr>
                <w:sz w:val="22"/>
              </w:rPr>
            </w:pPr>
            <w:r w:rsidRPr="0056236E">
              <w:rPr>
                <w:sz w:val="22"/>
              </w:rPr>
              <w:t>2,171,3</w:t>
            </w:r>
            <w:r w:rsidR="00FE5AA3">
              <w:rPr>
                <w:sz w:val="22"/>
              </w:rPr>
              <w:t>78</w:t>
            </w:r>
          </w:p>
        </w:tc>
      </w:tr>
      <w:tr w:rsidR="000E03BF" w:rsidRPr="0056236E" w:rsidTr="00411428">
        <w:trPr>
          <w:trHeight w:val="253"/>
        </w:trPr>
        <w:tc>
          <w:tcPr>
            <w:tcW w:w="116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UNEP</w:t>
            </w:r>
          </w:p>
        </w:tc>
        <w:tc>
          <w:tcPr>
            <w:tcW w:w="143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9A416B">
            <w:pPr>
              <w:pStyle w:val="Standard"/>
              <w:widowControl w:val="0"/>
              <w:snapToGrid w:val="0"/>
              <w:rPr>
                <w:sz w:val="22"/>
              </w:rPr>
            </w:pPr>
            <w:r w:rsidRPr="0056236E">
              <w:rPr>
                <w:sz w:val="22"/>
              </w:rPr>
              <w:t>GEF</w:t>
            </w:r>
            <w:r w:rsidR="000E03BF" w:rsidRPr="0056236E">
              <w:rPr>
                <w:sz w:val="22"/>
              </w:rPr>
              <w:t>TF</w:t>
            </w:r>
          </w:p>
        </w:tc>
        <w:tc>
          <w:tcPr>
            <w:tcW w:w="2122"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611606">
            <w:pPr>
              <w:pStyle w:val="Standard"/>
              <w:widowControl w:val="0"/>
              <w:snapToGrid w:val="0"/>
              <w:rPr>
                <w:sz w:val="22"/>
              </w:rPr>
            </w:pPr>
            <w:r w:rsidRPr="0056236E">
              <w:rPr>
                <w:sz w:val="22"/>
              </w:rPr>
              <w:t>CHEM</w:t>
            </w:r>
          </w:p>
        </w:tc>
        <w:tc>
          <w:tcPr>
            <w:tcW w:w="1681"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widowControl w:val="0"/>
              <w:snapToGrid w:val="0"/>
              <w:rPr>
                <w:sz w:val="22"/>
              </w:rPr>
            </w:pPr>
            <w:r w:rsidRPr="0056236E">
              <w:rPr>
                <w:sz w:val="22"/>
              </w:rPr>
              <w:t>Yemen</w:t>
            </w:r>
          </w:p>
        </w:tc>
        <w:tc>
          <w:tcPr>
            <w:tcW w:w="1216"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9A416B" w:rsidP="0056236E">
            <w:pPr>
              <w:pStyle w:val="Standard"/>
              <w:widowControl w:val="0"/>
              <w:snapToGrid w:val="0"/>
              <w:jc w:val="right"/>
              <w:rPr>
                <w:sz w:val="22"/>
              </w:rPr>
            </w:pPr>
            <w:r w:rsidRPr="0056236E">
              <w:rPr>
                <w:sz w:val="22"/>
              </w:rPr>
              <w:t>45,622</w:t>
            </w:r>
          </w:p>
        </w:tc>
        <w:tc>
          <w:tcPr>
            <w:tcW w:w="1403"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9A416B" w:rsidP="00FE5AA3">
            <w:pPr>
              <w:pStyle w:val="Standard"/>
              <w:widowControl w:val="0"/>
              <w:snapToGrid w:val="0"/>
              <w:jc w:val="right"/>
              <w:rPr>
                <w:sz w:val="22"/>
              </w:rPr>
            </w:pPr>
            <w:r w:rsidRPr="0056236E">
              <w:rPr>
                <w:sz w:val="22"/>
              </w:rPr>
              <w:t>4,3</w:t>
            </w:r>
            <w:r w:rsidR="00FE5AA3">
              <w:rPr>
                <w:sz w:val="22"/>
              </w:rPr>
              <w:t>34</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FE5AA3" w:rsidP="0056236E">
            <w:pPr>
              <w:pStyle w:val="Standard"/>
              <w:widowControl w:val="0"/>
              <w:snapToGrid w:val="0"/>
              <w:jc w:val="right"/>
              <w:rPr>
                <w:sz w:val="22"/>
              </w:rPr>
            </w:pPr>
            <w:r>
              <w:rPr>
                <w:sz w:val="22"/>
              </w:rPr>
              <w:t>49,956</w:t>
            </w:r>
          </w:p>
        </w:tc>
      </w:tr>
      <w:tr w:rsidR="0056236E" w:rsidRPr="0056236E" w:rsidTr="00411428">
        <w:trPr>
          <w:trHeight w:val="253"/>
        </w:trPr>
        <w:tc>
          <w:tcPr>
            <w:tcW w:w="6409" w:type="dxa"/>
            <w:gridSpan w:val="4"/>
            <w:tcBorders>
              <w:top w:val="double" w:sz="2" w:space="0" w:color="000000"/>
              <w:left w:val="single" w:sz="4" w:space="0" w:color="000000"/>
              <w:bottom w:val="single" w:sz="4" w:space="0" w:color="000000"/>
            </w:tcBorders>
            <w:tcMar>
              <w:top w:w="0" w:type="dxa"/>
              <w:left w:w="108" w:type="dxa"/>
              <w:bottom w:w="0" w:type="dxa"/>
              <w:right w:w="108" w:type="dxa"/>
            </w:tcMar>
          </w:tcPr>
          <w:p w:rsidR="0056236E" w:rsidRPr="0056236E" w:rsidRDefault="0056236E">
            <w:pPr>
              <w:pStyle w:val="Standard"/>
              <w:widowControl w:val="0"/>
              <w:snapToGrid w:val="0"/>
              <w:rPr>
                <w:sz w:val="22"/>
              </w:rPr>
            </w:pPr>
            <w:r w:rsidRPr="0056236E">
              <w:rPr>
                <w:rStyle w:val="Policepardfaut"/>
                <w:b/>
                <w:sz w:val="22"/>
              </w:rPr>
              <w:t>Total Grant Resources</w:t>
            </w:r>
          </w:p>
        </w:tc>
        <w:tc>
          <w:tcPr>
            <w:tcW w:w="1216" w:type="dxa"/>
            <w:tcBorders>
              <w:top w:val="double" w:sz="2" w:space="0" w:color="000000"/>
              <w:left w:val="single" w:sz="4" w:space="0" w:color="000000"/>
              <w:bottom w:val="single" w:sz="4" w:space="0" w:color="000000"/>
            </w:tcBorders>
            <w:tcMar>
              <w:top w:w="0" w:type="dxa"/>
              <w:left w:w="108" w:type="dxa"/>
              <w:bottom w:w="0" w:type="dxa"/>
              <w:right w:w="108" w:type="dxa"/>
            </w:tcMar>
          </w:tcPr>
          <w:p w:rsidR="0056236E" w:rsidRPr="0056236E" w:rsidRDefault="0056236E" w:rsidP="0056236E">
            <w:pPr>
              <w:pStyle w:val="Standard"/>
              <w:widowControl w:val="0"/>
              <w:snapToGrid w:val="0"/>
              <w:ind w:left="-150"/>
              <w:jc w:val="right"/>
              <w:rPr>
                <w:b/>
                <w:sz w:val="22"/>
              </w:rPr>
            </w:pPr>
            <w:r w:rsidRPr="0056236E">
              <w:rPr>
                <w:b/>
                <w:sz w:val="22"/>
              </w:rPr>
              <w:t>2,028,616</w:t>
            </w:r>
          </w:p>
        </w:tc>
        <w:tc>
          <w:tcPr>
            <w:tcW w:w="1403" w:type="dxa"/>
            <w:tcBorders>
              <w:top w:val="double" w:sz="2" w:space="0" w:color="000000"/>
              <w:left w:val="single" w:sz="4" w:space="0" w:color="000000"/>
              <w:bottom w:val="single" w:sz="4" w:space="0" w:color="000000"/>
            </w:tcBorders>
            <w:tcMar>
              <w:top w:w="0" w:type="dxa"/>
              <w:left w:w="108" w:type="dxa"/>
              <w:bottom w:w="0" w:type="dxa"/>
              <w:right w:w="108" w:type="dxa"/>
            </w:tcMar>
          </w:tcPr>
          <w:p w:rsidR="0056236E" w:rsidRPr="0056236E" w:rsidRDefault="0056236E" w:rsidP="00FE5AA3">
            <w:pPr>
              <w:pStyle w:val="Standard"/>
              <w:widowControl w:val="0"/>
              <w:snapToGrid w:val="0"/>
              <w:jc w:val="right"/>
              <w:rPr>
                <w:b/>
                <w:sz w:val="22"/>
              </w:rPr>
            </w:pPr>
            <w:r w:rsidRPr="0056236E">
              <w:rPr>
                <w:b/>
                <w:sz w:val="22"/>
              </w:rPr>
              <w:t>192,71</w:t>
            </w:r>
            <w:r w:rsidR="00FE5AA3">
              <w:rPr>
                <w:b/>
                <w:sz w:val="22"/>
              </w:rPr>
              <w:t>8</w:t>
            </w:r>
          </w:p>
        </w:tc>
        <w:tc>
          <w:tcPr>
            <w:tcW w:w="1353" w:type="dxa"/>
            <w:tcBorders>
              <w:top w:val="double" w:sz="2"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236E" w:rsidRPr="0056236E" w:rsidRDefault="0056236E" w:rsidP="00FE5AA3">
            <w:pPr>
              <w:pStyle w:val="Standard"/>
              <w:widowControl w:val="0"/>
              <w:snapToGrid w:val="0"/>
              <w:jc w:val="right"/>
              <w:rPr>
                <w:b/>
                <w:sz w:val="22"/>
              </w:rPr>
            </w:pPr>
            <w:r w:rsidRPr="0056236E">
              <w:rPr>
                <w:b/>
                <w:sz w:val="22"/>
              </w:rPr>
              <w:t>2,221,33</w:t>
            </w:r>
            <w:r w:rsidR="00FE5AA3">
              <w:rPr>
                <w:b/>
                <w:sz w:val="22"/>
              </w:rPr>
              <w:t>4</w:t>
            </w:r>
          </w:p>
        </w:tc>
      </w:tr>
    </w:tbl>
    <w:p w:rsidR="000E03BF" w:rsidRPr="0056236E" w:rsidRDefault="000E03BF">
      <w:pPr>
        <w:rPr>
          <w:rFonts w:cs="Times New Roman"/>
          <w:bCs/>
          <w:smallCaps/>
          <w:sz w:val="22"/>
          <w:vertAlign w:val="superscript"/>
          <w:lang w:val="en-US"/>
        </w:rPr>
      </w:pPr>
    </w:p>
    <w:p w:rsidR="000E03BF" w:rsidRPr="0056236E" w:rsidRDefault="000E03BF">
      <w:pPr>
        <w:rPr>
          <w:rFonts w:cs="Times New Roman"/>
          <w:b/>
          <w:sz w:val="22"/>
        </w:rPr>
      </w:pPr>
    </w:p>
    <w:p w:rsidR="00827B66" w:rsidRPr="0056236E" w:rsidRDefault="00827B66">
      <w:pPr>
        <w:rPr>
          <w:rFonts w:cs="Times New Roman"/>
          <w:b/>
          <w:sz w:val="22"/>
        </w:rPr>
      </w:pPr>
    </w:p>
    <w:p w:rsidR="00827B66" w:rsidRPr="0056236E" w:rsidRDefault="00827B66">
      <w:pPr>
        <w:rPr>
          <w:rFonts w:cs="Times New Roman"/>
          <w:b/>
          <w:sz w:val="22"/>
        </w:rPr>
      </w:pPr>
    </w:p>
    <w:p w:rsidR="000E03BF" w:rsidRPr="0056236E" w:rsidRDefault="00ED5A7C">
      <w:pPr>
        <w:rPr>
          <w:rFonts w:cs="Times New Roman"/>
          <w:b/>
          <w:sz w:val="22"/>
        </w:rPr>
      </w:pPr>
      <w:r w:rsidRPr="0056236E">
        <w:rPr>
          <w:rFonts w:cs="Times New Roman"/>
          <w:b/>
          <w:sz w:val="22"/>
        </w:rPr>
        <w:t>P</w:t>
      </w:r>
      <w:r w:rsidR="000E03BF" w:rsidRPr="0056236E">
        <w:rPr>
          <w:rFonts w:cs="Times New Roman"/>
          <w:b/>
          <w:sz w:val="22"/>
        </w:rPr>
        <w:t>ART II: Project Justification</w:t>
      </w:r>
    </w:p>
    <w:p w:rsidR="000E03BF" w:rsidRPr="0056236E" w:rsidRDefault="000E03BF">
      <w:pPr>
        <w:rPr>
          <w:rFonts w:cs="Times New Roman"/>
          <w:sz w:val="22"/>
        </w:rPr>
      </w:pPr>
    </w:p>
    <w:p w:rsidR="000E03BF" w:rsidRPr="0056236E" w:rsidRDefault="000E03BF">
      <w:pPr>
        <w:pStyle w:val="Standard"/>
        <w:numPr>
          <w:ilvl w:val="0"/>
          <w:numId w:val="26"/>
        </w:numPr>
        <w:spacing w:after="80"/>
        <w:ind w:left="360"/>
        <w:rPr>
          <w:b/>
          <w:sz w:val="22"/>
        </w:rPr>
      </w:pPr>
      <w:r w:rsidRPr="0056236E">
        <w:rPr>
          <w:rStyle w:val="Policepardfaut"/>
          <w:b/>
          <w:smallCaps/>
          <w:sz w:val="22"/>
        </w:rPr>
        <w:t>Description of the consistency of the project with:</w:t>
      </w:r>
    </w:p>
    <w:p w:rsidR="000E03BF" w:rsidRPr="0056236E" w:rsidRDefault="000E03BF">
      <w:pPr>
        <w:pStyle w:val="Standard"/>
        <w:spacing w:after="80"/>
        <w:ind w:left="360"/>
        <w:rPr>
          <w:sz w:val="22"/>
        </w:rPr>
      </w:pPr>
      <w:r w:rsidRPr="0056236E">
        <w:rPr>
          <w:rStyle w:val="Policepardfaut"/>
          <w:sz w:val="22"/>
        </w:rPr>
        <w:t xml:space="preserve">A.1.1   the </w:t>
      </w:r>
      <w:hyperlink r:id="rId11" w:history="1">
        <w:r w:rsidRPr="0056236E">
          <w:rPr>
            <w:rStyle w:val="Internetlink"/>
            <w:color w:val="auto"/>
            <w:sz w:val="22"/>
          </w:rPr>
          <w:t>GEF focal area</w:t>
        </w:r>
      </w:hyperlink>
      <w:r w:rsidRPr="0056236E">
        <w:rPr>
          <w:rStyle w:val="Policepardfaut"/>
          <w:sz w:val="22"/>
        </w:rPr>
        <w:t>/</w:t>
      </w:r>
      <w:hyperlink r:id="rId12" w:history="1">
        <w:r w:rsidRPr="0056236E">
          <w:rPr>
            <w:rStyle w:val="Internetlink"/>
            <w:color w:val="auto"/>
            <w:sz w:val="22"/>
          </w:rPr>
          <w:t>LDCF/SCCF</w:t>
        </w:r>
      </w:hyperlink>
      <w:r w:rsidRPr="0056236E">
        <w:rPr>
          <w:rStyle w:val="Policepardfaut"/>
          <w:sz w:val="22"/>
        </w:rPr>
        <w:t xml:space="preserve"> strategies </w:t>
      </w:r>
      <w:hyperlink r:id="rId13" w:history="1">
        <w:r w:rsidRPr="0056236E">
          <w:rPr>
            <w:rStyle w:val="Internetlink"/>
            <w:color w:val="auto"/>
            <w:sz w:val="22"/>
          </w:rPr>
          <w:t>/NPIF</w:t>
        </w:r>
      </w:hyperlink>
      <w:r w:rsidRPr="0056236E">
        <w:rPr>
          <w:rStyle w:val="Policepardfaut"/>
          <w:sz w:val="22"/>
        </w:rPr>
        <w:t xml:space="preserve"> Initiative:  </w:t>
      </w:r>
    </w:p>
    <w:tbl>
      <w:tblPr>
        <w:tblW w:w="9214" w:type="dxa"/>
        <w:tblInd w:w="-142" w:type="dxa"/>
        <w:tblLayout w:type="fixed"/>
        <w:tblCellMar>
          <w:left w:w="10" w:type="dxa"/>
          <w:right w:w="10" w:type="dxa"/>
        </w:tblCellMar>
        <w:tblLook w:val="0000" w:firstRow="0" w:lastRow="0" w:firstColumn="0" w:lastColumn="0" w:noHBand="0" w:noVBand="0"/>
      </w:tblPr>
      <w:tblGrid>
        <w:gridCol w:w="9214"/>
      </w:tblGrid>
      <w:tr w:rsidR="000E03BF" w:rsidRPr="00FB3987">
        <w:tc>
          <w:tcPr>
            <w:tcW w:w="9214" w:type="dxa"/>
            <w:tcMar>
              <w:top w:w="0" w:type="dxa"/>
              <w:left w:w="108" w:type="dxa"/>
              <w:bottom w:w="0" w:type="dxa"/>
              <w:right w:w="108" w:type="dxa"/>
            </w:tcMar>
          </w:tcPr>
          <w:p w:rsidR="000E03BF" w:rsidRPr="0056236E" w:rsidRDefault="000E03BF">
            <w:pPr>
              <w:spacing w:after="80"/>
              <w:jc w:val="both"/>
              <w:rPr>
                <w:rFonts w:cs="Times New Roman"/>
                <w:sz w:val="22"/>
                <w:lang w:val="en-US"/>
              </w:rPr>
            </w:pPr>
            <w:bookmarkStart w:id="34" w:name="FA_Strategy"/>
          </w:p>
          <w:p w:rsidR="000E03BF" w:rsidRPr="0056236E" w:rsidRDefault="000E03BF">
            <w:pPr>
              <w:spacing w:after="80"/>
              <w:jc w:val="both"/>
              <w:rPr>
                <w:rFonts w:cs="Times New Roman"/>
                <w:sz w:val="22"/>
                <w:lang w:val="en-US"/>
              </w:rPr>
            </w:pPr>
            <w:r w:rsidRPr="0056236E">
              <w:rPr>
                <w:rFonts w:cs="Times New Roman"/>
                <w:sz w:val="22"/>
                <w:lang w:val="en-US"/>
              </w:rPr>
              <w:t xml:space="preserve">The proposed project supports GEF climate change focal area objective CCM-1 that deals with the promotion, demonstration, deployment, and transfer of innovative low-carbon technologies, particularly high efficiency and usage-controlling lighting technologies. Lighting is a major electricity-consuming appliance system in all buildings, sectors and industries, so the project is consistent with GEF climate change focal area objective CCM-2 that deals with the promotion of </w:t>
            </w:r>
            <w:r w:rsidRPr="0056236E">
              <w:rPr>
                <w:rFonts w:cs="Times New Roman"/>
                <w:sz w:val="22"/>
                <w:lang w:val="en-US"/>
              </w:rPr>
              <w:lastRenderedPageBreak/>
              <w:t xml:space="preserve">market transformation for energy efficiency in industry and the building sectors. </w:t>
            </w:r>
          </w:p>
          <w:p w:rsidR="000E03BF" w:rsidRPr="0056236E" w:rsidRDefault="000E03BF">
            <w:pPr>
              <w:keepNext/>
              <w:keepLines/>
              <w:spacing w:before="200" w:after="80"/>
              <w:jc w:val="both"/>
              <w:outlineLvl w:val="2"/>
              <w:rPr>
                <w:rFonts w:cs="Times New Roman"/>
                <w:sz w:val="22"/>
                <w:lang w:val="en-US"/>
              </w:rPr>
            </w:pPr>
          </w:p>
          <w:p w:rsidR="000E03BF" w:rsidRPr="0056236E" w:rsidRDefault="000E03BF">
            <w:pPr>
              <w:spacing w:after="80"/>
              <w:jc w:val="both"/>
              <w:rPr>
                <w:rStyle w:val="Policepardfaut"/>
                <w:lang w:val="en-US"/>
              </w:rPr>
            </w:pPr>
            <w:r w:rsidRPr="0056236E">
              <w:rPr>
                <w:rStyle w:val="Policepardfaut"/>
                <w:rFonts w:cs="Times New Roman"/>
                <w:sz w:val="22"/>
                <w:lang w:val="en-US"/>
              </w:rPr>
              <w:t>“The Global Market Transformation for Energy Efficient Lighting project” (known as “the en.lighten initiative”) is accelerating global market transformation to sustainable lighting technologies. It serves as the global umbrella initiative for all GEF efficient lighting projects. The proposed project builds upon the success and the need for support to additional countries that has been generated by the “en.lighten initiative”, funded by the Global Environment Facility (GEF) Earth Fund and implemented by the United Nations Environment Programme (UNEP).</w:t>
            </w:r>
          </w:p>
          <w:p w:rsidR="000E03BF" w:rsidRPr="0056236E" w:rsidRDefault="000E03BF">
            <w:pPr>
              <w:spacing w:after="80"/>
              <w:jc w:val="both"/>
              <w:rPr>
                <w:rStyle w:val="Policepardfaut"/>
                <w:lang w:val="en-US"/>
              </w:rPr>
            </w:pPr>
          </w:p>
          <w:p w:rsidR="000E03BF" w:rsidRPr="0056236E" w:rsidRDefault="000E03BF">
            <w:pPr>
              <w:spacing w:after="80"/>
              <w:jc w:val="both"/>
              <w:rPr>
                <w:rFonts w:cs="Times New Roman"/>
                <w:sz w:val="22"/>
                <w:lang w:val="en-US"/>
              </w:rPr>
            </w:pPr>
            <w:r w:rsidRPr="0056236E">
              <w:rPr>
                <w:rStyle w:val="Policepardfaut"/>
                <w:rFonts w:cs="Times New Roman"/>
                <w:sz w:val="22"/>
                <w:lang w:val="en-US"/>
              </w:rPr>
              <w:t xml:space="preserve">To assist countries in accelerating market transformation to environmentally sustainable, efficient lighting, the en.lighten initiative established a Center of Excellence with a global network of lighting specialists, governments, lighting manufacturers and civil sector organizations en.lighten developed a consensual method and best practice guidance, published online as, “The Efficient Lighting Toolkit.” en.lighten works with governments to generate a global consensus to phase-out inefficient incandescent lamps by 31 December 2016. </w:t>
            </w:r>
          </w:p>
          <w:p w:rsidR="000E03BF" w:rsidRPr="0056236E" w:rsidRDefault="000E03BF">
            <w:pPr>
              <w:spacing w:after="80"/>
              <w:jc w:val="both"/>
              <w:rPr>
                <w:rStyle w:val="Policepardfaut"/>
                <w:lang w:val="en-US"/>
              </w:rPr>
            </w:pPr>
          </w:p>
          <w:p w:rsidR="000E03BF" w:rsidRPr="0056236E" w:rsidRDefault="000E03BF">
            <w:pPr>
              <w:spacing w:after="80"/>
              <w:jc w:val="both"/>
              <w:rPr>
                <w:rFonts w:cs="Times New Roman"/>
                <w:sz w:val="22"/>
                <w:lang w:val="en-US"/>
              </w:rPr>
            </w:pPr>
            <w:r w:rsidRPr="0056236E">
              <w:rPr>
                <w:rStyle w:val="Policepardfaut"/>
                <w:rFonts w:cs="Times New Roman"/>
                <w:sz w:val="22"/>
                <w:lang w:val="en-US"/>
              </w:rPr>
              <w:t xml:space="preserve">As of July 2012, 47 countries have joined the en.lighten Global Partnership Programme. The Partnership is a quick start mechanism that delivers technical assistance from en.lighten and its private sector partners. Additional countries are expected to join the Global Partnership in 2012-2013.. Although the en.lighten initiative has started to assist some Global Partners, it is unable to meet the extensive requests of its growing number of members, each of which seeks significant policy and technical support for its efforts to phase out inefficient lamps and introduce high efficiency products.  </w:t>
            </w:r>
          </w:p>
          <w:p w:rsidR="000E03BF" w:rsidRPr="0056236E" w:rsidRDefault="000E03BF">
            <w:pPr>
              <w:spacing w:after="80"/>
              <w:jc w:val="both"/>
              <w:rPr>
                <w:rFonts w:cs="Times New Roman"/>
                <w:sz w:val="22"/>
                <w:lang w:val="en-US"/>
              </w:rPr>
            </w:pPr>
          </w:p>
          <w:p w:rsidR="000E03BF" w:rsidRPr="0056236E" w:rsidRDefault="000E03BF">
            <w:pPr>
              <w:spacing w:after="80"/>
              <w:jc w:val="both"/>
              <w:rPr>
                <w:rFonts w:cs="Times New Roman"/>
                <w:sz w:val="22"/>
                <w:lang w:val="en-US"/>
              </w:rPr>
            </w:pPr>
            <w:r w:rsidRPr="0056236E">
              <w:rPr>
                <w:rFonts w:cs="Times New Roman"/>
                <w:sz w:val="22"/>
                <w:lang w:val="en-US"/>
              </w:rPr>
              <w:t xml:space="preserve">Through the project the GEF will expand assistance to Yemen to transform the lighting market to save energy through efficient lamps, including compact fluorescent lamps (CFLs), LED lamps, and lighting controls while at the same time it will help to protect the environment from the release of mercury from spent CFLs. The project will expand its strong partnership with private sector companies, technical organizations and international agencies and initiatives to encourage lighting innovation.   </w:t>
            </w:r>
          </w:p>
          <w:p w:rsidR="000E03BF" w:rsidRPr="0056236E" w:rsidRDefault="000E03BF">
            <w:pPr>
              <w:keepNext/>
              <w:keepLines/>
              <w:spacing w:before="200" w:after="80"/>
              <w:jc w:val="both"/>
              <w:outlineLvl w:val="2"/>
              <w:rPr>
                <w:rFonts w:cs="Times New Roman"/>
                <w:sz w:val="22"/>
                <w:lang w:val="en-US"/>
              </w:rPr>
            </w:pPr>
          </w:p>
          <w:tbl>
            <w:tblPr>
              <w:tblW w:w="8983" w:type="dxa"/>
              <w:tblLayout w:type="fixed"/>
              <w:tblCellMar>
                <w:left w:w="10" w:type="dxa"/>
                <w:right w:w="10" w:type="dxa"/>
              </w:tblCellMar>
              <w:tblLook w:val="0000" w:firstRow="0" w:lastRow="0" w:firstColumn="0" w:lastColumn="0" w:noHBand="0" w:noVBand="0"/>
            </w:tblPr>
            <w:tblGrid>
              <w:gridCol w:w="8983"/>
            </w:tblGrid>
            <w:tr w:rsidR="000E03BF" w:rsidRPr="00FB3987">
              <w:tc>
                <w:tcPr>
                  <w:tcW w:w="8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both"/>
                    <w:rPr>
                      <w:rFonts w:cs="Times New Roman"/>
                      <w:sz w:val="22"/>
                      <w:lang w:val="en-US"/>
                    </w:rPr>
                  </w:pPr>
                </w:p>
                <w:p w:rsidR="000E03BF" w:rsidRPr="0056236E" w:rsidRDefault="000E03BF" w:rsidP="000E03BF">
                  <w:pPr>
                    <w:autoSpaceDE w:val="0"/>
                    <w:jc w:val="center"/>
                    <w:rPr>
                      <w:rFonts w:cs="Times New Roman"/>
                      <w:b/>
                      <w:sz w:val="22"/>
                      <w:lang w:val="en-US"/>
                    </w:rPr>
                  </w:pPr>
                  <w:r w:rsidRPr="0056236E">
                    <w:rPr>
                      <w:rFonts w:cs="Times New Roman"/>
                      <w:b/>
                      <w:sz w:val="22"/>
                      <w:lang w:val="en-US"/>
                    </w:rPr>
                    <w:t>The en.lighten initiative’s suggested Integrated Policy Approach</w:t>
                  </w:r>
                </w:p>
                <w:p w:rsidR="000E03BF" w:rsidRPr="0056236E" w:rsidRDefault="000E03BF">
                  <w:pPr>
                    <w:keepNext/>
                    <w:keepLines/>
                    <w:autoSpaceDE w:val="0"/>
                    <w:spacing w:before="480"/>
                    <w:outlineLvl w:val="0"/>
                    <w:rPr>
                      <w:rFonts w:cs="Times New Roman"/>
                      <w:sz w:val="22"/>
                      <w:lang w:val="en-US"/>
                    </w:rPr>
                  </w:pPr>
                </w:p>
                <w:p w:rsidR="000E03BF" w:rsidRPr="0056236E" w:rsidRDefault="000E03BF">
                  <w:pPr>
                    <w:jc w:val="both"/>
                    <w:rPr>
                      <w:rFonts w:cs="Times New Roman"/>
                      <w:sz w:val="22"/>
                      <w:lang w:val="en-US"/>
                    </w:rPr>
                  </w:pPr>
                  <w:r w:rsidRPr="0056236E">
                    <w:rPr>
                      <w:rStyle w:val="Policepardfaut"/>
                      <w:rFonts w:cs="Times New Roman"/>
                      <w:sz w:val="22"/>
                      <w:lang w:val="en-US"/>
                    </w:rPr>
                    <w:t xml:space="preserve">The task forces of international experts convened by the en.lighten initiative in 2010 to 2012 concluded that using an integrated policy approach would ensures that all pertinent policy aspects related to energy efficient lighting would be considered when countries develop their phase-out strategies. The outcome of this public-private consultation process  includes four elements: </w:t>
                  </w:r>
                </w:p>
                <w:p w:rsidR="000E03BF" w:rsidRPr="0056236E" w:rsidRDefault="000E03BF">
                  <w:pPr>
                    <w:keepNext/>
                    <w:keepLines/>
                    <w:spacing w:before="200"/>
                    <w:outlineLvl w:val="2"/>
                    <w:rPr>
                      <w:rFonts w:cs="Times New Roman"/>
                      <w:sz w:val="22"/>
                      <w:lang w:val="en-US"/>
                    </w:rPr>
                  </w:pPr>
                </w:p>
                <w:p w:rsidR="000E03BF" w:rsidRPr="0056236E" w:rsidRDefault="000E03BF">
                  <w:pPr>
                    <w:pStyle w:val="Paragraphedeliste"/>
                    <w:widowControl w:val="0"/>
                    <w:numPr>
                      <w:ilvl w:val="0"/>
                      <w:numId w:val="27"/>
                    </w:numPr>
                    <w:suppressAutoHyphens w:val="0"/>
                    <w:textAlignment w:val="auto"/>
                  </w:pPr>
                  <w:r w:rsidRPr="0056236E">
                    <w:t xml:space="preserve">Minimum energy performance standards (MEPS) </w:t>
                  </w:r>
                </w:p>
                <w:p w:rsidR="000E03BF" w:rsidRPr="0056236E" w:rsidRDefault="000E03BF">
                  <w:pPr>
                    <w:pStyle w:val="Paragraphedeliste"/>
                    <w:widowControl w:val="0"/>
                    <w:numPr>
                      <w:ilvl w:val="0"/>
                      <w:numId w:val="27"/>
                    </w:numPr>
                    <w:suppressAutoHyphens w:val="0"/>
                    <w:textAlignment w:val="auto"/>
                  </w:pPr>
                  <w:r w:rsidRPr="0056236E">
                    <w:t>Supporting policies and other mechanisms (fiscal policies, labelling and consumer info</w:t>
                  </w:r>
                  <w:r w:rsidRPr="0056236E">
                    <w:t>r</w:t>
                  </w:r>
                  <w:r w:rsidRPr="0056236E">
                    <w:t>mation) to ensure that MEPS can be implemented successfully and permanently</w:t>
                  </w:r>
                </w:p>
                <w:p w:rsidR="000E03BF" w:rsidRPr="0056236E" w:rsidRDefault="000E03BF">
                  <w:pPr>
                    <w:pStyle w:val="Paragraphedeliste"/>
                    <w:widowControl w:val="0"/>
                    <w:numPr>
                      <w:ilvl w:val="0"/>
                      <w:numId w:val="27"/>
                    </w:numPr>
                    <w:suppressAutoHyphens w:val="0"/>
                    <w:textAlignment w:val="auto"/>
                  </w:pPr>
                  <w:r w:rsidRPr="0056236E">
                    <w:t xml:space="preserve">Monitoring, verification and enforcement (MVE) </w:t>
                  </w:r>
                </w:p>
                <w:p w:rsidR="000E03BF" w:rsidRPr="0056236E" w:rsidRDefault="000E03BF">
                  <w:pPr>
                    <w:pStyle w:val="Paragraphedeliste"/>
                    <w:widowControl w:val="0"/>
                    <w:numPr>
                      <w:ilvl w:val="0"/>
                      <w:numId w:val="27"/>
                    </w:numPr>
                    <w:suppressAutoHyphens w:val="0"/>
                    <w:textAlignment w:val="auto"/>
                  </w:pPr>
                  <w:r w:rsidRPr="0056236E">
                    <w:t xml:space="preserve">Environmentally sound management of lighting products, throughout their life cycles </w:t>
                  </w:r>
                </w:p>
                <w:p w:rsidR="000E03BF" w:rsidRPr="0056236E" w:rsidRDefault="000E03BF">
                  <w:pPr>
                    <w:autoSpaceDE w:val="0"/>
                    <w:rPr>
                      <w:rFonts w:cs="Times New Roman"/>
                      <w:sz w:val="22"/>
                      <w:lang w:val="en-US"/>
                    </w:rPr>
                  </w:pPr>
                </w:p>
                <w:p w:rsidR="000E03BF" w:rsidRPr="0056236E" w:rsidRDefault="000E03BF" w:rsidP="000E03BF">
                  <w:pPr>
                    <w:autoSpaceDE w:val="0"/>
                    <w:jc w:val="both"/>
                    <w:rPr>
                      <w:rFonts w:cs="Times New Roman"/>
                      <w:sz w:val="22"/>
                      <w:lang w:val="en-US"/>
                    </w:rPr>
                  </w:pPr>
                  <w:r w:rsidRPr="0056236E">
                    <w:rPr>
                      <w:rFonts w:cs="Times New Roman"/>
                      <w:sz w:val="22"/>
                      <w:lang w:val="en-US"/>
                    </w:rPr>
                    <w:t>Countries determine how these elements fit within their national context. An integrated approach involves all relevant authorities and stakeholders. This includes Ministries of Energy and Environment, energy efficiency agencies, private sector organizations (lamp manufacturers, retailers, distributors and others in the supply chain) and civil society groups. Establishing an integrated National Efficient Lighting Strategy ensures long-term, substantial energy and financial savings and environmental benefits such as reductions of GHG emissions.</w:t>
                  </w:r>
                </w:p>
                <w:p w:rsidR="000E03BF" w:rsidRPr="0056236E" w:rsidRDefault="000E03BF" w:rsidP="000E03BF">
                  <w:pPr>
                    <w:keepNext/>
                    <w:keepLines/>
                    <w:autoSpaceDE w:val="0"/>
                    <w:spacing w:before="200"/>
                    <w:jc w:val="both"/>
                    <w:outlineLvl w:val="2"/>
                    <w:rPr>
                      <w:rFonts w:cs="Times New Roman"/>
                      <w:sz w:val="22"/>
                      <w:lang w:val="en-US"/>
                    </w:rPr>
                  </w:pPr>
                </w:p>
              </w:tc>
            </w:tr>
          </w:tbl>
          <w:p w:rsidR="000E03BF" w:rsidRPr="0056236E" w:rsidRDefault="000E03BF">
            <w:pPr>
              <w:spacing w:after="80"/>
              <w:jc w:val="both"/>
              <w:rPr>
                <w:rFonts w:cs="Times New Roman"/>
                <w:sz w:val="22"/>
                <w:lang w:val="en-US"/>
              </w:rPr>
            </w:pPr>
          </w:p>
          <w:p w:rsidR="000E03BF" w:rsidRPr="0056236E" w:rsidRDefault="00843A2E">
            <w:pPr>
              <w:pStyle w:val="Standard"/>
              <w:widowControl w:val="0"/>
              <w:spacing w:after="80"/>
              <w:jc w:val="both"/>
              <w:rPr>
                <w:sz w:val="22"/>
              </w:rPr>
            </w:pPr>
            <w:r w:rsidRPr="0056236E">
              <w:rPr>
                <w:sz w:val="22"/>
              </w:rPr>
              <w:lastRenderedPageBreak/>
              <w:fldChar w:fldCharType="begin"/>
            </w:r>
            <w:r w:rsidR="000E03BF" w:rsidRPr="0056236E">
              <w:rPr>
                <w:sz w:val="22"/>
              </w:rPr>
              <w:instrText xml:space="preserve"> FILLIN "FA_Strategy" </w:instrText>
            </w:r>
            <w:r w:rsidRPr="0056236E">
              <w:rPr>
                <w:sz w:val="22"/>
              </w:rPr>
              <w:fldChar w:fldCharType="end"/>
            </w:r>
            <w:bookmarkEnd w:id="34"/>
          </w:p>
        </w:tc>
      </w:tr>
    </w:tbl>
    <w:p w:rsidR="000E03BF" w:rsidRPr="0056236E" w:rsidRDefault="00D70E52" w:rsidP="00F130EC">
      <w:pPr>
        <w:pStyle w:val="Standard"/>
        <w:spacing w:after="80"/>
        <w:ind w:left="1080" w:right="566" w:hanging="720"/>
        <w:jc w:val="both"/>
        <w:rPr>
          <w:sz w:val="22"/>
          <w:szCs w:val="22"/>
        </w:rPr>
      </w:pPr>
      <w:r w:rsidRPr="0056236E">
        <w:rPr>
          <w:sz w:val="22"/>
          <w:szCs w:val="22"/>
        </w:rPr>
        <w:lastRenderedPageBreak/>
        <w:t xml:space="preserve">A.1.2  </w:t>
      </w:r>
      <w:r w:rsidR="000E03BF" w:rsidRPr="0056236E">
        <w:rPr>
          <w:sz w:val="22"/>
          <w:szCs w:val="22"/>
        </w:rPr>
        <w:t xml:space="preserve">For projects funded from LDCF/SCCF:  the LDCF/SCCF eligibility criteria and  priorities:  </w:t>
      </w:r>
    </w:p>
    <w:p w:rsidR="000E03BF" w:rsidRPr="0056236E" w:rsidRDefault="000E03BF" w:rsidP="00F130EC">
      <w:pPr>
        <w:pStyle w:val="Standard"/>
        <w:spacing w:after="80"/>
        <w:ind w:left="993" w:right="566" w:hanging="633"/>
        <w:jc w:val="both"/>
        <w:rPr>
          <w:sz w:val="22"/>
          <w:szCs w:val="22"/>
        </w:rPr>
      </w:pPr>
      <w:r w:rsidRPr="0056236E">
        <w:rPr>
          <w:rStyle w:val="Policepardfaut"/>
          <w:sz w:val="22"/>
          <w:szCs w:val="22"/>
        </w:rPr>
        <w:tab/>
      </w:r>
      <w:r w:rsidRPr="0056236E">
        <w:rPr>
          <w:rStyle w:val="Policepardfaut"/>
          <w:sz w:val="22"/>
          <w:szCs w:val="22"/>
        </w:rPr>
        <w:t> </w:t>
      </w:r>
      <w:r w:rsidRPr="0056236E">
        <w:rPr>
          <w:rStyle w:val="Policepardfaut"/>
          <w:sz w:val="22"/>
          <w:szCs w:val="22"/>
        </w:rPr>
        <w:t>N/A</w:t>
      </w:r>
      <w:r w:rsidRPr="0056236E">
        <w:rPr>
          <w:rStyle w:val="Policepardfaut"/>
          <w:sz w:val="22"/>
          <w:szCs w:val="22"/>
        </w:rPr>
        <w:t> </w:t>
      </w:r>
    </w:p>
    <w:tbl>
      <w:tblPr>
        <w:tblW w:w="8478" w:type="dxa"/>
        <w:tblInd w:w="360" w:type="dxa"/>
        <w:tblLayout w:type="fixed"/>
        <w:tblCellMar>
          <w:left w:w="10" w:type="dxa"/>
          <w:right w:w="10" w:type="dxa"/>
        </w:tblCellMar>
        <w:tblLook w:val="0000" w:firstRow="0" w:lastRow="0" w:firstColumn="0" w:lastColumn="0" w:noHBand="0" w:noVBand="0"/>
      </w:tblPr>
      <w:tblGrid>
        <w:gridCol w:w="8478"/>
      </w:tblGrid>
      <w:tr w:rsidR="000E03BF" w:rsidRPr="0056236E">
        <w:tc>
          <w:tcPr>
            <w:tcW w:w="8478" w:type="dxa"/>
            <w:tcMar>
              <w:top w:w="0" w:type="dxa"/>
              <w:left w:w="108" w:type="dxa"/>
              <w:bottom w:w="0" w:type="dxa"/>
              <w:right w:w="108" w:type="dxa"/>
            </w:tcMar>
          </w:tcPr>
          <w:p w:rsidR="000E03BF" w:rsidRPr="0056236E" w:rsidRDefault="000E03BF" w:rsidP="00F130EC">
            <w:pPr>
              <w:pStyle w:val="Standard"/>
              <w:widowControl w:val="0"/>
              <w:tabs>
                <w:tab w:val="left" w:pos="1224"/>
              </w:tabs>
              <w:snapToGrid w:val="0"/>
              <w:spacing w:after="80"/>
              <w:ind w:left="612" w:right="566" w:hanging="612"/>
              <w:jc w:val="both"/>
              <w:rPr>
                <w:sz w:val="22"/>
                <w:szCs w:val="22"/>
              </w:rPr>
            </w:pPr>
            <w:r w:rsidRPr="0056236E">
              <w:rPr>
                <w:sz w:val="22"/>
                <w:szCs w:val="22"/>
              </w:rPr>
              <w:t>A.1.3   For projects funded from NPIF, relevant eligibility criteria and priorities of the Fund:</w:t>
            </w:r>
          </w:p>
          <w:p w:rsidR="000E03BF" w:rsidRPr="0056236E" w:rsidRDefault="00843A2E" w:rsidP="00F130EC">
            <w:pPr>
              <w:pStyle w:val="Standard"/>
              <w:widowControl w:val="0"/>
              <w:tabs>
                <w:tab w:val="left" w:pos="1062"/>
              </w:tabs>
              <w:spacing w:after="80"/>
              <w:ind w:left="612" w:right="566"/>
              <w:jc w:val="both"/>
              <w:rPr>
                <w:sz w:val="22"/>
                <w:szCs w:val="22"/>
              </w:rPr>
            </w:pPr>
            <w:r w:rsidRPr="0056236E">
              <w:rPr>
                <w:rStyle w:val="Policepardfaut"/>
                <w:sz w:val="22"/>
                <w:szCs w:val="22"/>
              </w:rPr>
              <w:fldChar w:fldCharType="begin"/>
            </w:r>
            <w:r w:rsidR="000E03BF" w:rsidRPr="0056236E">
              <w:rPr>
                <w:rStyle w:val="Policepardfaut"/>
                <w:sz w:val="22"/>
                <w:szCs w:val="22"/>
              </w:rPr>
              <w:instrText xml:space="preserve"> FILLIN "eligibilityCriteria" </w:instrText>
            </w:r>
            <w:r w:rsidRPr="0056236E">
              <w:rPr>
                <w:rStyle w:val="Policepardfaut"/>
                <w:sz w:val="22"/>
                <w:szCs w:val="22"/>
              </w:rPr>
              <w:fldChar w:fldCharType="separate"/>
            </w:r>
            <w:r w:rsidR="000E03BF" w:rsidRPr="0056236E">
              <w:rPr>
                <w:rStyle w:val="Policepardfaut"/>
                <w:sz w:val="22"/>
                <w:szCs w:val="22"/>
              </w:rPr>
              <w:t> </w:t>
            </w:r>
            <w:r w:rsidR="000E03BF" w:rsidRPr="0056236E">
              <w:rPr>
                <w:rStyle w:val="Policepardfaut"/>
                <w:sz w:val="22"/>
                <w:szCs w:val="22"/>
              </w:rPr>
              <w:t>N/A</w:t>
            </w:r>
            <w:r w:rsidRPr="0056236E">
              <w:rPr>
                <w:rStyle w:val="Policepardfaut"/>
                <w:sz w:val="22"/>
                <w:szCs w:val="22"/>
              </w:rPr>
              <w:fldChar w:fldCharType="end"/>
            </w:r>
          </w:p>
        </w:tc>
      </w:tr>
    </w:tbl>
    <w:p w:rsidR="000E03BF" w:rsidRPr="0056236E" w:rsidRDefault="00F130EC" w:rsidP="00F130EC">
      <w:pPr>
        <w:pStyle w:val="Standard"/>
        <w:tabs>
          <w:tab w:val="left" w:pos="9072"/>
        </w:tabs>
        <w:spacing w:after="80"/>
        <w:ind w:left="993" w:right="707" w:hanging="633"/>
        <w:jc w:val="both"/>
        <w:rPr>
          <w:sz w:val="22"/>
          <w:szCs w:val="22"/>
        </w:rPr>
      </w:pPr>
      <w:r w:rsidRPr="0056236E">
        <w:rPr>
          <w:rStyle w:val="Policepardfaut"/>
          <w:sz w:val="22"/>
          <w:szCs w:val="22"/>
        </w:rPr>
        <w:t xml:space="preserve">A.2.   </w:t>
      </w:r>
      <w:r w:rsidR="00D70E52" w:rsidRPr="0056236E">
        <w:rPr>
          <w:rStyle w:val="Policepardfaut"/>
          <w:sz w:val="22"/>
          <w:szCs w:val="22"/>
        </w:rPr>
        <w:t>N</w:t>
      </w:r>
      <w:r w:rsidR="000E03BF" w:rsidRPr="0056236E">
        <w:rPr>
          <w:rStyle w:val="Policepardfaut"/>
          <w:sz w:val="22"/>
          <w:szCs w:val="22"/>
        </w:rPr>
        <w:t xml:space="preserve">ational strategies and plans or reports and assessments under relevant conventions, if applicable, </w:t>
      </w:r>
      <w:r w:rsidR="00D70E52" w:rsidRPr="0056236E">
        <w:rPr>
          <w:rStyle w:val="Policepardfaut"/>
          <w:vanish/>
          <w:sz w:val="22"/>
          <w:szCs w:val="22"/>
        </w:rPr>
        <w:t>N.   n</w:t>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D70E52" w:rsidRPr="0056236E">
        <w:rPr>
          <w:rStyle w:val="Policepardfaut"/>
          <w:vanish/>
          <w:sz w:val="22"/>
          <w:szCs w:val="22"/>
        </w:rPr>
        <w:pgNum/>
      </w:r>
      <w:r w:rsidR="000E03BF" w:rsidRPr="0056236E">
        <w:rPr>
          <w:rStyle w:val="Policepardfaut"/>
          <w:sz w:val="22"/>
          <w:szCs w:val="22"/>
        </w:rPr>
        <w:t>i.e.</w:t>
      </w:r>
      <w:r w:rsidR="00D70E52" w:rsidRPr="0056236E">
        <w:rPr>
          <w:rStyle w:val="Policepardfaut"/>
          <w:sz w:val="22"/>
          <w:szCs w:val="22"/>
        </w:rPr>
        <w:t>,</w:t>
      </w:r>
      <w:r w:rsidR="000E03BF" w:rsidRPr="0056236E">
        <w:rPr>
          <w:rStyle w:val="Policepardfaut"/>
          <w:sz w:val="22"/>
          <w:szCs w:val="22"/>
        </w:rPr>
        <w:t xml:space="preserve"> NAPAS, NAPs, NBSAPs, national communications, TNAs, NIPs, PRSPs, NPFE, etc.:  </w:t>
      </w:r>
    </w:p>
    <w:tbl>
      <w:tblPr>
        <w:tblW w:w="9180" w:type="dxa"/>
        <w:tblInd w:w="-108" w:type="dxa"/>
        <w:tblLayout w:type="fixed"/>
        <w:tblCellMar>
          <w:left w:w="10" w:type="dxa"/>
          <w:right w:w="10" w:type="dxa"/>
        </w:tblCellMar>
        <w:tblLook w:val="0000" w:firstRow="0" w:lastRow="0" w:firstColumn="0" w:lastColumn="0" w:noHBand="0" w:noVBand="0"/>
      </w:tblPr>
      <w:tblGrid>
        <w:gridCol w:w="9180"/>
      </w:tblGrid>
      <w:tr w:rsidR="000E03BF" w:rsidRPr="00FB3987">
        <w:tc>
          <w:tcPr>
            <w:tcW w:w="9180" w:type="dxa"/>
            <w:tcMar>
              <w:top w:w="0" w:type="dxa"/>
              <w:left w:w="108" w:type="dxa"/>
              <w:bottom w:w="0" w:type="dxa"/>
              <w:right w:w="108" w:type="dxa"/>
            </w:tcMar>
          </w:tcPr>
          <w:p w:rsidR="000E03BF" w:rsidRPr="0056236E" w:rsidRDefault="000E03BF" w:rsidP="00F130EC">
            <w:pPr>
              <w:tabs>
                <w:tab w:val="left" w:pos="8964"/>
              </w:tabs>
              <w:autoSpaceDE w:val="0"/>
              <w:jc w:val="both"/>
              <w:rPr>
                <w:rFonts w:cs="Times New Roman"/>
                <w:sz w:val="22"/>
                <w:szCs w:val="22"/>
                <w:lang w:val="en-US"/>
              </w:rPr>
            </w:pPr>
            <w:r w:rsidRPr="0056236E">
              <w:rPr>
                <w:rFonts w:cs="Times New Roman"/>
                <w:sz w:val="22"/>
                <w:szCs w:val="22"/>
                <w:lang w:val="en-US"/>
              </w:rPr>
              <w:t>As non-annex I party to the United Nations Framewo</w:t>
            </w:r>
            <w:r w:rsidR="00F130EC" w:rsidRPr="0056236E">
              <w:rPr>
                <w:rFonts w:cs="Times New Roman"/>
                <w:sz w:val="22"/>
                <w:szCs w:val="22"/>
                <w:lang w:val="en-US"/>
              </w:rPr>
              <w:t>rk Convention on Climate Chang (UN</w:t>
            </w:r>
            <w:r w:rsidRPr="0056236E">
              <w:rPr>
                <w:rFonts w:cs="Times New Roman"/>
                <w:sz w:val="22"/>
                <w:szCs w:val="22"/>
                <w:lang w:val="en-US"/>
              </w:rPr>
              <w:t xml:space="preserve">FCCC), the national communication of Yemen to the UNFCCC clearly identifies energy efficiency as a critical path to reduce CO2 emissions. The project is in line with national priorities of Yemen and will contribute directly to its sustainable development.  </w:t>
            </w:r>
          </w:p>
          <w:p w:rsidR="000E03BF" w:rsidRPr="0056236E" w:rsidRDefault="000E03BF" w:rsidP="00F130EC">
            <w:pPr>
              <w:keepNext/>
              <w:keepLines/>
              <w:autoSpaceDE w:val="0"/>
              <w:spacing w:before="200"/>
              <w:jc w:val="both"/>
              <w:outlineLvl w:val="2"/>
              <w:rPr>
                <w:rFonts w:cs="Times New Roman"/>
                <w:sz w:val="22"/>
                <w:szCs w:val="22"/>
                <w:lang w:val="en-US"/>
              </w:rPr>
            </w:pPr>
            <w:r w:rsidRPr="0056236E">
              <w:rPr>
                <w:rFonts w:cs="Times New Roman"/>
                <w:sz w:val="22"/>
                <w:szCs w:val="22"/>
                <w:lang w:val="en-US"/>
              </w:rPr>
              <w:t>The project is in</w:t>
            </w:r>
            <w:r w:rsidR="00F130EC" w:rsidRPr="0056236E">
              <w:rPr>
                <w:rFonts w:cs="Times New Roman"/>
                <w:sz w:val="22"/>
                <w:szCs w:val="22"/>
                <w:lang w:val="en-US"/>
              </w:rPr>
              <w:t xml:space="preserve"> </w:t>
            </w:r>
            <w:r w:rsidRPr="0056236E">
              <w:rPr>
                <w:rFonts w:cs="Times New Roman"/>
                <w:sz w:val="22"/>
                <w:szCs w:val="22"/>
                <w:lang w:val="en-US"/>
              </w:rPr>
              <w:t xml:space="preserve">line with the national priorities and communications of Yemen. Dating back to the Initial National Communication to the UNFCCC, Yemen has stated the importance of energy-efficiency through standards and labeling as a path to GHG reductions.  </w:t>
            </w:r>
          </w:p>
          <w:p w:rsidR="000E03BF" w:rsidRPr="0056236E" w:rsidRDefault="000E03BF" w:rsidP="00F130EC">
            <w:pPr>
              <w:keepNext/>
              <w:keepLines/>
              <w:autoSpaceDE w:val="0"/>
              <w:spacing w:before="200"/>
              <w:ind w:right="566"/>
              <w:jc w:val="both"/>
              <w:outlineLvl w:val="2"/>
              <w:rPr>
                <w:rFonts w:cs="Times New Roman"/>
                <w:sz w:val="22"/>
                <w:szCs w:val="22"/>
                <w:lang w:val="en-US"/>
              </w:rPr>
            </w:pPr>
          </w:p>
        </w:tc>
      </w:tr>
    </w:tbl>
    <w:p w:rsidR="000E03BF" w:rsidRPr="0056236E" w:rsidRDefault="000E03BF">
      <w:pPr>
        <w:pStyle w:val="Pieddepage"/>
        <w:numPr>
          <w:ilvl w:val="0"/>
          <w:numId w:val="19"/>
        </w:numPr>
        <w:tabs>
          <w:tab w:val="clear" w:pos="4680"/>
          <w:tab w:val="clear" w:pos="9360"/>
        </w:tabs>
        <w:autoSpaceDE w:val="0"/>
        <w:spacing w:after="80"/>
        <w:ind w:left="360"/>
        <w:rPr>
          <w:rFonts w:cs="Times New Roman"/>
          <w:b/>
          <w:sz w:val="22"/>
        </w:rPr>
      </w:pPr>
      <w:r w:rsidRPr="0056236E">
        <w:rPr>
          <w:rStyle w:val="Policepardfaut"/>
          <w:rFonts w:cs="Times New Roman"/>
          <w:b/>
          <w:smallCaps/>
          <w:sz w:val="22"/>
          <w:lang w:val="en-US"/>
        </w:rPr>
        <w:t>Project Overview:</w:t>
      </w:r>
    </w:p>
    <w:p w:rsidR="000E03BF" w:rsidRPr="0056236E" w:rsidRDefault="000E03BF">
      <w:pPr>
        <w:pStyle w:val="Pieddepage"/>
        <w:tabs>
          <w:tab w:val="clear" w:pos="4680"/>
          <w:tab w:val="clear" w:pos="9360"/>
        </w:tabs>
        <w:autoSpaceDE w:val="0"/>
        <w:spacing w:after="80"/>
        <w:ind w:left="360"/>
        <w:rPr>
          <w:rFonts w:cs="Times New Roman"/>
          <w:sz w:val="22"/>
          <w:lang w:val="en-US"/>
        </w:rPr>
      </w:pPr>
      <w:r w:rsidRPr="0056236E">
        <w:rPr>
          <w:rStyle w:val="Policepardfaut"/>
          <w:rFonts w:cs="Times New Roman"/>
          <w:sz w:val="22"/>
          <w:lang w:val="en-US"/>
        </w:rPr>
        <w:t>B.1. Describe the baseline project and the problem that it seeks to address:</w:t>
      </w:r>
    </w:p>
    <w:p w:rsidR="000E03BF" w:rsidRPr="0056236E" w:rsidRDefault="000E03BF">
      <w:pPr>
        <w:pStyle w:val="Paragraphedeliste"/>
        <w:autoSpaceDE w:val="0"/>
        <w:jc w:val="both"/>
        <w:rPr>
          <w:rStyle w:val="Policepardfaut"/>
          <w:rFonts w:cs="Mangal"/>
          <w:sz w:val="24"/>
          <w:lang w:val="en-US"/>
        </w:rPr>
      </w:pPr>
    </w:p>
    <w:p w:rsidR="000E03BF" w:rsidRPr="0056236E" w:rsidRDefault="000E03BF" w:rsidP="000E03BF">
      <w:pPr>
        <w:pStyle w:val="Paragraphedeliste"/>
        <w:numPr>
          <w:ilvl w:val="0"/>
          <w:numId w:val="35"/>
        </w:numPr>
        <w:autoSpaceDE w:val="0"/>
        <w:jc w:val="both"/>
        <w:rPr>
          <w:rFonts w:cs="Mangal"/>
          <w:b/>
          <w:szCs w:val="22"/>
          <w:lang w:val="en-US"/>
        </w:rPr>
      </w:pPr>
      <w:r w:rsidRPr="0056236E">
        <w:rPr>
          <w:rFonts w:cs="Mangal"/>
          <w:b/>
          <w:szCs w:val="22"/>
          <w:lang w:val="en-US"/>
        </w:rPr>
        <w:t xml:space="preserve">Summary of the national energy situation </w:t>
      </w:r>
    </w:p>
    <w:p w:rsidR="000E03BF" w:rsidRPr="0056236E" w:rsidRDefault="000E03BF" w:rsidP="000E03BF">
      <w:pPr>
        <w:pStyle w:val="Paragraphedeliste"/>
        <w:autoSpaceDE w:val="0"/>
        <w:jc w:val="both"/>
        <w:rPr>
          <w:rFonts w:cs="Mangal"/>
          <w:b/>
          <w:szCs w:val="22"/>
          <w:lang w:val="en-US"/>
        </w:rPr>
      </w:pPr>
    </w:p>
    <w:p w:rsidR="000E03BF" w:rsidRPr="0056236E" w:rsidRDefault="000E03BF" w:rsidP="00F130EC">
      <w:pPr>
        <w:ind w:right="566"/>
        <w:jc w:val="both"/>
        <w:rPr>
          <w:rFonts w:cs="Times New Roman"/>
          <w:sz w:val="22"/>
          <w:szCs w:val="22"/>
          <w:lang w:val="en-US"/>
        </w:rPr>
      </w:pPr>
      <w:r w:rsidRPr="0056236E">
        <w:rPr>
          <w:rFonts w:cs="Times New Roman"/>
          <w:sz w:val="22"/>
          <w:szCs w:val="22"/>
          <w:lang w:val="en-US"/>
        </w:rPr>
        <w:t>Yemen is country that has experienced challenges with acute poverty and is experiencing large population growth and urbanization. The country’s economy is largely dependent on oil with about one third of the GDP and almost three quarters of Government revenues coming from oil in the last decades.</w:t>
      </w:r>
      <w:r w:rsidRPr="0056236E">
        <w:rPr>
          <w:rStyle w:val="FootnoteReference"/>
          <w:sz w:val="22"/>
          <w:szCs w:val="22"/>
          <w:lang w:val="en-US"/>
        </w:rPr>
        <w:footnoteReference w:id="6"/>
      </w:r>
      <w:r w:rsidRPr="0056236E">
        <w:rPr>
          <w:rFonts w:cs="Times New Roman"/>
          <w:sz w:val="22"/>
          <w:szCs w:val="22"/>
          <w:lang w:val="en-US"/>
        </w:rPr>
        <w:t xml:space="preserve"> The Yemeni population has the lowest access to electricity rate in the Middle East region with an electrification rate of 39.6%.</w:t>
      </w:r>
      <w:r w:rsidRPr="0056236E">
        <w:rPr>
          <w:rStyle w:val="FootnoteReference"/>
          <w:sz w:val="22"/>
          <w:szCs w:val="22"/>
          <w:lang w:val="en-US"/>
        </w:rPr>
        <w:footnoteReference w:id="7"/>
      </w:r>
      <w:r w:rsidRPr="0056236E">
        <w:rPr>
          <w:rFonts w:cs="Times New Roman"/>
          <w:sz w:val="22"/>
          <w:szCs w:val="22"/>
          <w:lang w:val="en-US"/>
        </w:rPr>
        <w:t xml:space="preserve"> Yemen has experienced frequent electricity capacity constraints with regular rolling blackouts occurring in most cities. In 2009 the power shortages of the country reached 250 MW. Due to the state of the electricity grid, back-up diesel generators are used during grid failures. While increasing production of natural gas is expected to assist in decreasing demand for oil, reserves of both gas and oil are expected to run out in 2040.</w:t>
      </w:r>
      <w:r w:rsidRPr="0056236E">
        <w:rPr>
          <w:rStyle w:val="FootnoteReference"/>
          <w:sz w:val="22"/>
          <w:szCs w:val="22"/>
          <w:lang w:val="en-US"/>
        </w:rPr>
        <w:footnoteReference w:id="8"/>
      </w:r>
      <w:r w:rsidRPr="0056236E">
        <w:rPr>
          <w:rFonts w:cs="Times New Roman"/>
          <w:sz w:val="22"/>
          <w:szCs w:val="22"/>
          <w:lang w:val="en-US"/>
        </w:rPr>
        <w:t xml:space="preserve"> </w:t>
      </w:r>
    </w:p>
    <w:p w:rsidR="000E03BF" w:rsidRPr="0056236E" w:rsidRDefault="000E03BF" w:rsidP="000E03BF">
      <w:pPr>
        <w:jc w:val="both"/>
        <w:rPr>
          <w:rFonts w:cs="Times New Roman"/>
          <w:sz w:val="22"/>
          <w:szCs w:val="22"/>
          <w:lang w:val="en-US"/>
        </w:rPr>
      </w:pPr>
    </w:p>
    <w:p w:rsidR="000E03BF" w:rsidRPr="0056236E" w:rsidRDefault="000E03BF" w:rsidP="00F130EC">
      <w:pPr>
        <w:ind w:right="566"/>
        <w:jc w:val="both"/>
        <w:rPr>
          <w:rFonts w:cs="Times New Roman"/>
          <w:sz w:val="22"/>
          <w:szCs w:val="22"/>
          <w:lang w:val="en-US"/>
        </w:rPr>
      </w:pPr>
      <w:r w:rsidRPr="0056236E">
        <w:rPr>
          <w:rFonts w:cs="Times New Roman"/>
          <w:sz w:val="22"/>
          <w:szCs w:val="22"/>
          <w:lang w:val="en-US"/>
        </w:rPr>
        <w:t xml:space="preserve">These issues present an opportunity for investment into energy efficiency, allowing for decreased strain on the electricity grid. A more stable grid would allow for greater economic development and decreased use of carbon intensive fuels. </w:t>
      </w:r>
    </w:p>
    <w:p w:rsidR="000E03BF" w:rsidRPr="0056236E" w:rsidRDefault="000E03BF" w:rsidP="00F130EC">
      <w:pPr>
        <w:widowControl/>
        <w:numPr>
          <w:ilvl w:val="0"/>
          <w:numId w:val="35"/>
        </w:numPr>
        <w:shd w:val="clear" w:color="auto" w:fill="FFFFFF"/>
        <w:suppressAutoHyphens w:val="0"/>
        <w:autoSpaceDN/>
        <w:spacing w:before="100" w:beforeAutospacing="1" w:after="100" w:afterAutospacing="1"/>
        <w:ind w:right="566"/>
        <w:jc w:val="both"/>
        <w:textAlignment w:val="auto"/>
        <w:rPr>
          <w:b/>
          <w:sz w:val="22"/>
          <w:szCs w:val="22"/>
          <w:lang w:val="en-US"/>
        </w:rPr>
      </w:pPr>
      <w:r w:rsidRPr="0056236E">
        <w:rPr>
          <w:b/>
          <w:sz w:val="22"/>
          <w:szCs w:val="22"/>
          <w:lang w:val="en-US"/>
        </w:rPr>
        <w:t xml:space="preserve">Summary of the national efficient lighting situation </w:t>
      </w:r>
    </w:p>
    <w:p w:rsidR="000E03BF" w:rsidRPr="0056236E" w:rsidRDefault="000E03BF" w:rsidP="00F130EC">
      <w:pPr>
        <w:widowControl/>
        <w:shd w:val="clear" w:color="auto" w:fill="FFFFFF"/>
        <w:suppressAutoHyphens w:val="0"/>
        <w:autoSpaceDN/>
        <w:spacing w:before="100" w:beforeAutospacing="1" w:after="100" w:afterAutospacing="1"/>
        <w:ind w:left="60" w:right="566"/>
        <w:jc w:val="both"/>
        <w:textAlignment w:val="auto"/>
        <w:rPr>
          <w:rStyle w:val="Policepardfaut"/>
          <w:sz w:val="22"/>
          <w:szCs w:val="22"/>
          <w:lang w:val="en-US"/>
        </w:rPr>
      </w:pPr>
      <w:r w:rsidRPr="0056236E">
        <w:rPr>
          <w:rStyle w:val="Policepardfaut"/>
          <w:rFonts w:eastAsia="Times New Roman" w:cs="Times New Roman"/>
          <w:sz w:val="22"/>
          <w:szCs w:val="22"/>
          <w:lang w:val="en-US"/>
        </w:rPr>
        <w:t>Public Electricity Corporation of Yemen has launched a large scale CFL distribution project. Around 500,000 CFLs will be distributed under a CDM project in residential areas.</w:t>
      </w:r>
      <w:r w:rsidRPr="0056236E">
        <w:rPr>
          <w:rStyle w:val="FootnoteReference"/>
          <w:rFonts w:eastAsia="Times New Roman"/>
          <w:sz w:val="22"/>
          <w:szCs w:val="22"/>
          <w:lang w:val="en-US"/>
        </w:rPr>
        <w:footnoteReference w:id="9"/>
      </w:r>
      <w:r w:rsidRPr="0056236E">
        <w:rPr>
          <w:rStyle w:val="Policepardfaut"/>
          <w:rFonts w:cs="Times New Roman"/>
          <w:sz w:val="22"/>
          <w:szCs w:val="22"/>
          <w:lang w:val="en-US"/>
        </w:rPr>
        <w:t xml:space="preserve"> To ensure a true market transformation and lock in the CO</w:t>
      </w:r>
      <w:r w:rsidRPr="0056236E">
        <w:rPr>
          <w:rStyle w:val="Policepardfaut"/>
          <w:rFonts w:cs="Times New Roman"/>
          <w:sz w:val="22"/>
          <w:szCs w:val="22"/>
          <w:vertAlign w:val="subscript"/>
          <w:lang w:val="en-US"/>
        </w:rPr>
        <w:t>2</w:t>
      </w:r>
      <w:r w:rsidRPr="0056236E">
        <w:rPr>
          <w:rStyle w:val="Policepardfaut"/>
          <w:rFonts w:cs="Times New Roman"/>
          <w:sz w:val="22"/>
          <w:szCs w:val="22"/>
          <w:lang w:val="en-US"/>
        </w:rPr>
        <w:t xml:space="preserve"> and electricity savings that will be achieved through the </w:t>
      </w:r>
      <w:r w:rsidRPr="0056236E">
        <w:rPr>
          <w:rStyle w:val="Policepardfaut"/>
          <w:rFonts w:eastAsia="Times New Roman" w:cs="Times New Roman"/>
          <w:sz w:val="22"/>
          <w:szCs w:val="22"/>
          <w:lang w:val="en-US"/>
        </w:rPr>
        <w:t>CFL di</w:t>
      </w:r>
      <w:r w:rsidRPr="0056236E">
        <w:rPr>
          <w:rStyle w:val="Policepardfaut"/>
          <w:rFonts w:eastAsia="Times New Roman" w:cs="Times New Roman"/>
          <w:sz w:val="22"/>
          <w:szCs w:val="22"/>
          <w:lang w:val="en-US"/>
        </w:rPr>
        <w:t>s</w:t>
      </w:r>
      <w:r w:rsidRPr="0056236E">
        <w:rPr>
          <w:rStyle w:val="Policepardfaut"/>
          <w:rFonts w:eastAsia="Times New Roman" w:cs="Times New Roman"/>
          <w:sz w:val="22"/>
          <w:szCs w:val="22"/>
          <w:lang w:val="en-US"/>
        </w:rPr>
        <w:t>tribution project</w:t>
      </w:r>
      <w:r w:rsidRPr="0056236E">
        <w:rPr>
          <w:rStyle w:val="Policepardfaut"/>
          <w:rFonts w:cs="Times New Roman"/>
          <w:sz w:val="22"/>
          <w:szCs w:val="22"/>
          <w:lang w:val="en-US"/>
        </w:rPr>
        <w:t xml:space="preserve">, Yemen needs to establish a regulatory framework and </w:t>
      </w:r>
      <w:r w:rsidRPr="0056236E">
        <w:rPr>
          <w:rStyle w:val="Policepardfaut"/>
          <w:sz w:val="22"/>
          <w:szCs w:val="22"/>
          <w:lang w:val="en-US"/>
        </w:rPr>
        <w:t xml:space="preserve">MEPS for lighting. These standards should be aligned with global best practice. Moreover, a robust lamp quality control and an enforcement system need to be put in place to block low performance, incompliant and bad quality products from entering the market. </w:t>
      </w:r>
    </w:p>
    <w:p w:rsidR="000E03BF" w:rsidRPr="0056236E" w:rsidRDefault="000E03BF" w:rsidP="00F130EC">
      <w:pPr>
        <w:widowControl/>
        <w:shd w:val="clear" w:color="auto" w:fill="FFFFFF"/>
        <w:suppressAutoHyphens w:val="0"/>
        <w:autoSpaceDN/>
        <w:spacing w:before="100" w:beforeAutospacing="1" w:after="100" w:afterAutospacing="1"/>
        <w:ind w:right="566"/>
        <w:jc w:val="both"/>
        <w:textAlignment w:val="auto"/>
        <w:rPr>
          <w:rStyle w:val="Policepardfaut"/>
          <w:sz w:val="22"/>
          <w:szCs w:val="22"/>
          <w:lang w:val="en-US"/>
        </w:rPr>
      </w:pPr>
      <w:r w:rsidRPr="0056236E">
        <w:rPr>
          <w:rStyle w:val="Policepardfaut"/>
          <w:sz w:val="22"/>
          <w:szCs w:val="22"/>
          <w:lang w:val="en-US"/>
        </w:rPr>
        <w:t xml:space="preserve">Special attention should also be given to reducing mercury waste from spent CFLs, especially after distributing 500 000 CFLs. Authorities should make people aware about the necessity to collect and eventually recycle the CFLs through education campaigns and the establishment of CFL collection points throughout the country. To build on the momentum generated by the </w:t>
      </w:r>
      <w:r w:rsidRPr="0056236E">
        <w:rPr>
          <w:rStyle w:val="Policepardfaut"/>
          <w:rFonts w:eastAsia="Times New Roman" w:cs="Times New Roman"/>
          <w:sz w:val="22"/>
          <w:szCs w:val="22"/>
          <w:lang w:val="en-US"/>
        </w:rPr>
        <w:t>CFL distribution project</w:t>
      </w:r>
      <w:r w:rsidRPr="0056236E">
        <w:rPr>
          <w:rStyle w:val="Policepardfaut"/>
          <w:sz w:val="22"/>
          <w:szCs w:val="22"/>
          <w:lang w:val="en-US"/>
        </w:rPr>
        <w:t xml:space="preserve"> in </w:t>
      </w:r>
      <w:r w:rsidRPr="0056236E">
        <w:rPr>
          <w:rStyle w:val="Policepardfaut"/>
          <w:sz w:val="22"/>
          <w:szCs w:val="22"/>
          <w:lang w:val="en-US"/>
        </w:rPr>
        <w:lastRenderedPageBreak/>
        <w:t>the residential sector, promotion of efficient lighting in other sectors (commercial, industrial and ou</w:t>
      </w:r>
      <w:r w:rsidRPr="0056236E">
        <w:rPr>
          <w:rStyle w:val="Policepardfaut"/>
          <w:sz w:val="22"/>
          <w:szCs w:val="22"/>
          <w:lang w:val="en-US"/>
        </w:rPr>
        <w:t>t</w:t>
      </w:r>
      <w:r w:rsidRPr="0056236E">
        <w:rPr>
          <w:rStyle w:val="Policepardfaut"/>
          <w:sz w:val="22"/>
          <w:szCs w:val="22"/>
          <w:lang w:val="en-US"/>
        </w:rPr>
        <w:t xml:space="preserve">door), should also be considered. </w:t>
      </w:r>
    </w:p>
    <w:p w:rsidR="000E03BF" w:rsidRPr="0056236E" w:rsidRDefault="000E03BF" w:rsidP="00F130EC">
      <w:pPr>
        <w:pStyle w:val="Paragraphedeliste"/>
        <w:numPr>
          <w:ilvl w:val="0"/>
          <w:numId w:val="35"/>
        </w:numPr>
        <w:autoSpaceDE w:val="0"/>
        <w:ind w:right="566"/>
        <w:jc w:val="both"/>
        <w:rPr>
          <w:rStyle w:val="Policepardfaut"/>
          <w:rFonts w:cs="Mangal"/>
          <w:szCs w:val="22"/>
          <w:lang w:val="en-US"/>
        </w:rPr>
      </w:pPr>
      <w:r w:rsidRPr="0056236E">
        <w:rPr>
          <w:rStyle w:val="Policepardfaut"/>
          <w:b/>
          <w:szCs w:val="22"/>
          <w:lang w:val="en-US"/>
        </w:rPr>
        <w:t xml:space="preserve">Summary benefits of the transition to energy efficient lighting </w:t>
      </w:r>
    </w:p>
    <w:p w:rsidR="000E03BF" w:rsidRPr="0056236E" w:rsidRDefault="000E03BF" w:rsidP="00F130EC">
      <w:pPr>
        <w:pStyle w:val="Paragraphedeliste"/>
        <w:autoSpaceDE w:val="0"/>
        <w:ind w:right="566"/>
        <w:jc w:val="both"/>
        <w:rPr>
          <w:rStyle w:val="Policepardfaut"/>
          <w:szCs w:val="22"/>
        </w:rPr>
      </w:pPr>
    </w:p>
    <w:p w:rsidR="000E03BF" w:rsidRPr="0056236E" w:rsidRDefault="000E03BF" w:rsidP="00F130EC">
      <w:pPr>
        <w:pStyle w:val="Paragraphedeliste"/>
        <w:autoSpaceDE w:val="0"/>
        <w:ind w:right="566"/>
        <w:jc w:val="both"/>
        <w:rPr>
          <w:rStyle w:val="Policepardfaut"/>
          <w:szCs w:val="22"/>
          <w:lang w:val="en-US"/>
        </w:rPr>
      </w:pPr>
      <w:r w:rsidRPr="0056236E">
        <w:rPr>
          <w:rStyle w:val="Policepardfaut"/>
          <w:szCs w:val="22"/>
          <w:lang w:val="en-US"/>
        </w:rPr>
        <w:t>The transition to efficient lighting in the residential, commercial/industrial and outdoor sectors would result in expected environmental benefits of 156 kiloton</w:t>
      </w:r>
      <w:r w:rsidR="00ED5A7C" w:rsidRPr="0056236E">
        <w:rPr>
          <w:rStyle w:val="Policepardfaut"/>
          <w:szCs w:val="22"/>
          <w:lang w:val="en-US"/>
        </w:rPr>
        <w:t>s</w:t>
      </w:r>
      <w:r w:rsidRPr="0056236E">
        <w:rPr>
          <w:rStyle w:val="Policepardfaut"/>
          <w:szCs w:val="22"/>
          <w:lang w:val="en-US"/>
        </w:rPr>
        <w:t xml:space="preserve"> annual CO</w:t>
      </w:r>
      <w:r w:rsidRPr="0056236E">
        <w:rPr>
          <w:rStyle w:val="Policepardfaut"/>
          <w:szCs w:val="22"/>
          <w:vertAlign w:val="subscript"/>
          <w:lang w:val="en-US"/>
        </w:rPr>
        <w:t>2</w:t>
      </w:r>
      <w:r w:rsidRPr="0056236E">
        <w:rPr>
          <w:rStyle w:val="Policepardfaut"/>
          <w:szCs w:val="22"/>
          <w:lang w:val="en-US"/>
        </w:rPr>
        <w:t xml:space="preserve"> reduction. Annual energy savings would be 286 GWh, 5.1% of total national electricity consumption and 28.1% of lighting electricity consumption. The annual costs savings would be approximately 24.5 million USD. </w:t>
      </w:r>
    </w:p>
    <w:p w:rsidR="00ED5A7C" w:rsidRPr="0056236E" w:rsidRDefault="00ED5A7C" w:rsidP="00F130EC">
      <w:pPr>
        <w:pStyle w:val="Paragraphedeliste"/>
        <w:autoSpaceDE w:val="0"/>
        <w:ind w:right="566"/>
        <w:jc w:val="both"/>
        <w:rPr>
          <w:rStyle w:val="Policepardfaut"/>
        </w:rPr>
      </w:pPr>
    </w:p>
    <w:p w:rsidR="000E03BF" w:rsidRPr="0056236E" w:rsidRDefault="000E03BF" w:rsidP="00F130EC">
      <w:pPr>
        <w:pStyle w:val="Paragraphedeliste"/>
        <w:autoSpaceDE w:val="0"/>
        <w:ind w:right="566"/>
        <w:jc w:val="both"/>
        <w:rPr>
          <w:rStyle w:val="Policepardfaut"/>
        </w:rPr>
      </w:pPr>
    </w:p>
    <w:tbl>
      <w:tblPr>
        <w:tblW w:w="0" w:type="auto"/>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9"/>
        <w:gridCol w:w="2807"/>
        <w:gridCol w:w="3233"/>
      </w:tblGrid>
      <w:tr w:rsidR="000E03BF" w:rsidRPr="0056236E">
        <w:trPr>
          <w:jc w:val="center"/>
        </w:trPr>
        <w:tc>
          <w:tcPr>
            <w:tcW w:w="0" w:type="auto"/>
            <w:gridSpan w:val="3"/>
          </w:tcPr>
          <w:p w:rsidR="000E03BF" w:rsidRPr="0056236E" w:rsidRDefault="000E03BF" w:rsidP="00F130EC">
            <w:pPr>
              <w:ind w:right="566"/>
              <w:jc w:val="center"/>
              <w:rPr>
                <w:rFonts w:eastAsia="Times New Roman" w:cs="Times New Roman"/>
                <w:color w:val="000000"/>
                <w:sz w:val="22"/>
                <w:lang w:val="en-US"/>
              </w:rPr>
            </w:pPr>
          </w:p>
          <w:p w:rsidR="000E03BF" w:rsidRPr="0056236E" w:rsidRDefault="000E03BF" w:rsidP="00F130EC">
            <w:pPr>
              <w:ind w:right="566"/>
              <w:jc w:val="center"/>
              <w:rPr>
                <w:rFonts w:eastAsia="Times New Roman" w:cs="Times New Roman"/>
                <w:color w:val="000000"/>
                <w:sz w:val="22"/>
                <w:lang w:val="en-US"/>
              </w:rPr>
            </w:pPr>
            <w:r w:rsidRPr="0056236E">
              <w:rPr>
                <w:rFonts w:eastAsia="Times New Roman" w:cs="Times New Roman"/>
                <w:color w:val="000000"/>
                <w:sz w:val="22"/>
                <w:lang w:val="en-US"/>
              </w:rPr>
              <w:t>Annual benefits of the transition to efficient lighting in Yemen</w:t>
            </w:r>
          </w:p>
          <w:p w:rsidR="000E03BF" w:rsidRPr="0056236E" w:rsidRDefault="000E03BF" w:rsidP="00F130EC">
            <w:pPr>
              <w:ind w:right="566"/>
              <w:jc w:val="center"/>
              <w:rPr>
                <w:rFonts w:eastAsia="Times New Roman" w:cs="Times New Roman"/>
                <w:color w:val="000000"/>
                <w:sz w:val="22"/>
                <w:lang w:val="en-US"/>
              </w:rPr>
            </w:pPr>
            <w:r w:rsidRPr="0056236E">
              <w:rPr>
                <w:rFonts w:eastAsia="Times New Roman" w:cs="Times New Roman"/>
                <w:color w:val="000000"/>
                <w:sz w:val="22"/>
                <w:lang w:val="en-US"/>
              </w:rPr>
              <w:t>(residential, commercial/industrial and outdoor sectors)</w:t>
            </w:r>
          </w:p>
          <w:p w:rsidR="000E03BF" w:rsidRPr="0056236E" w:rsidRDefault="000E03BF" w:rsidP="00F130EC">
            <w:pPr>
              <w:ind w:right="566"/>
              <w:jc w:val="center"/>
              <w:rPr>
                <w:rFonts w:eastAsia="Times New Roman" w:cs="Times New Roman"/>
                <w:color w:val="000000"/>
                <w:sz w:val="22"/>
                <w:lang w:val="en-US"/>
              </w:rPr>
            </w:pPr>
          </w:p>
        </w:tc>
      </w:tr>
      <w:tr w:rsidR="000E03BF" w:rsidRPr="0056236E">
        <w:trPr>
          <w:jc w:val="center"/>
        </w:trPr>
        <w:tc>
          <w:tcPr>
            <w:tcW w:w="0" w:type="auto"/>
            <w:vAlign w:val="bottom"/>
          </w:tcPr>
          <w:p w:rsidR="000E03BF" w:rsidRPr="0056236E" w:rsidRDefault="000E03BF" w:rsidP="00F130EC">
            <w:pPr>
              <w:ind w:right="566"/>
              <w:jc w:val="center"/>
              <w:rPr>
                <w:rFonts w:eastAsia="Times New Roman" w:cs="Times New Roman"/>
                <w:color w:val="000000"/>
                <w:sz w:val="22"/>
                <w:lang w:val="en-US"/>
              </w:rPr>
            </w:pPr>
            <w:r w:rsidRPr="0056236E">
              <w:rPr>
                <w:rFonts w:eastAsia="Times New Roman" w:cs="Times New Roman"/>
                <w:color w:val="000000"/>
                <w:sz w:val="22"/>
                <w:lang w:val="en-US"/>
              </w:rPr>
              <w:t>CO</w:t>
            </w:r>
            <w:r w:rsidRPr="0056236E">
              <w:rPr>
                <w:rFonts w:eastAsia="Times New Roman" w:cs="Times New Roman"/>
                <w:color w:val="000000"/>
                <w:sz w:val="20"/>
                <w:vertAlign w:val="subscript"/>
                <w:lang w:val="en-US"/>
              </w:rPr>
              <w:t>2</w:t>
            </w:r>
            <w:r w:rsidRPr="0056236E">
              <w:rPr>
                <w:rFonts w:eastAsia="Times New Roman" w:cs="Times New Roman"/>
                <w:color w:val="000000"/>
                <w:sz w:val="22"/>
                <w:lang w:val="en-US"/>
              </w:rPr>
              <w:t xml:space="preserve"> emission reduction (kt)</w:t>
            </w:r>
          </w:p>
        </w:tc>
        <w:tc>
          <w:tcPr>
            <w:tcW w:w="0" w:type="auto"/>
            <w:vAlign w:val="bottom"/>
          </w:tcPr>
          <w:p w:rsidR="000E03BF" w:rsidRPr="0056236E" w:rsidRDefault="000E03BF" w:rsidP="00F130EC">
            <w:pPr>
              <w:ind w:right="566"/>
              <w:jc w:val="center"/>
              <w:rPr>
                <w:rFonts w:eastAsia="Times New Roman" w:cs="Times New Roman"/>
                <w:color w:val="000000"/>
                <w:sz w:val="22"/>
                <w:lang w:val="en-US"/>
              </w:rPr>
            </w:pPr>
            <w:r w:rsidRPr="0056236E">
              <w:rPr>
                <w:rFonts w:eastAsia="Times New Roman" w:cs="Times New Roman"/>
                <w:color w:val="000000"/>
                <w:sz w:val="22"/>
                <w:lang w:val="en-US"/>
              </w:rPr>
              <w:t>Energy savings (GWh)</w:t>
            </w:r>
          </w:p>
        </w:tc>
        <w:tc>
          <w:tcPr>
            <w:tcW w:w="0" w:type="auto"/>
            <w:vAlign w:val="bottom"/>
          </w:tcPr>
          <w:p w:rsidR="000E03BF" w:rsidRPr="0056236E" w:rsidRDefault="000E03BF" w:rsidP="00F130EC">
            <w:pPr>
              <w:ind w:right="566"/>
              <w:jc w:val="center"/>
              <w:rPr>
                <w:rFonts w:eastAsia="Times New Roman" w:cs="Times New Roman"/>
                <w:color w:val="000000"/>
                <w:sz w:val="22"/>
                <w:lang w:val="en-US"/>
              </w:rPr>
            </w:pPr>
            <w:r w:rsidRPr="0056236E">
              <w:rPr>
                <w:rFonts w:eastAsia="Times New Roman" w:cs="Times New Roman"/>
                <w:color w:val="000000"/>
                <w:sz w:val="22"/>
                <w:lang w:val="en-US"/>
              </w:rPr>
              <w:t>Cost savings (million USD)</w:t>
            </w:r>
          </w:p>
        </w:tc>
      </w:tr>
      <w:tr w:rsidR="000E03BF" w:rsidRPr="0056236E">
        <w:trPr>
          <w:jc w:val="center"/>
        </w:trPr>
        <w:tc>
          <w:tcPr>
            <w:tcW w:w="0" w:type="auto"/>
            <w:vAlign w:val="bottom"/>
          </w:tcPr>
          <w:p w:rsidR="000E03BF" w:rsidRPr="0056236E" w:rsidRDefault="000E03BF" w:rsidP="00F130EC">
            <w:pPr>
              <w:ind w:right="566"/>
              <w:jc w:val="center"/>
              <w:rPr>
                <w:rFonts w:eastAsia="Times New Roman" w:cs="Times New Roman"/>
                <w:b/>
                <w:color w:val="000000"/>
                <w:sz w:val="22"/>
                <w:lang w:val="en-US"/>
              </w:rPr>
            </w:pPr>
            <w:r w:rsidRPr="0056236E">
              <w:rPr>
                <w:rFonts w:eastAsia="Times New Roman" w:cs="Times New Roman"/>
                <w:b/>
                <w:color w:val="000000"/>
                <w:sz w:val="22"/>
                <w:lang w:val="en-US"/>
              </w:rPr>
              <w:t>156</w:t>
            </w:r>
          </w:p>
        </w:tc>
        <w:tc>
          <w:tcPr>
            <w:tcW w:w="0" w:type="auto"/>
            <w:vAlign w:val="bottom"/>
          </w:tcPr>
          <w:p w:rsidR="000E03BF" w:rsidRPr="0056236E" w:rsidRDefault="000E03BF" w:rsidP="00F130EC">
            <w:pPr>
              <w:ind w:right="566"/>
              <w:jc w:val="center"/>
              <w:rPr>
                <w:rFonts w:eastAsia="Times New Roman" w:cs="Times New Roman"/>
                <w:b/>
                <w:color w:val="000000"/>
                <w:sz w:val="22"/>
                <w:lang w:val="en-US"/>
              </w:rPr>
            </w:pPr>
            <w:r w:rsidRPr="0056236E">
              <w:rPr>
                <w:rFonts w:eastAsia="Times New Roman" w:cs="Times New Roman"/>
                <w:b/>
                <w:color w:val="000000"/>
                <w:sz w:val="22"/>
                <w:lang w:val="en-US"/>
              </w:rPr>
              <w:t>286</w:t>
            </w:r>
          </w:p>
        </w:tc>
        <w:tc>
          <w:tcPr>
            <w:tcW w:w="0" w:type="auto"/>
            <w:vAlign w:val="bottom"/>
          </w:tcPr>
          <w:p w:rsidR="000E03BF" w:rsidRPr="0056236E" w:rsidRDefault="000E03BF" w:rsidP="00F130EC">
            <w:pPr>
              <w:ind w:right="566"/>
              <w:jc w:val="center"/>
              <w:rPr>
                <w:rFonts w:eastAsia="Times New Roman" w:cs="Times New Roman"/>
                <w:b/>
                <w:color w:val="000000"/>
                <w:sz w:val="22"/>
                <w:lang w:val="en-US"/>
              </w:rPr>
            </w:pPr>
            <w:r w:rsidRPr="0056236E">
              <w:rPr>
                <w:rFonts w:eastAsia="Times New Roman" w:cs="Times New Roman"/>
                <w:b/>
                <w:color w:val="000000"/>
                <w:sz w:val="22"/>
                <w:lang w:val="en-US"/>
              </w:rPr>
              <w:t>24.5</w:t>
            </w:r>
          </w:p>
        </w:tc>
      </w:tr>
    </w:tbl>
    <w:p w:rsidR="000E03BF" w:rsidRPr="0056236E" w:rsidRDefault="000E03BF" w:rsidP="00F130EC">
      <w:pPr>
        <w:pStyle w:val="Paragraphedeliste"/>
        <w:autoSpaceDE w:val="0"/>
        <w:ind w:right="566"/>
        <w:jc w:val="both"/>
        <w:rPr>
          <w:sz w:val="24"/>
          <w:lang w:val="en-US"/>
        </w:rPr>
      </w:pPr>
    </w:p>
    <w:p w:rsidR="000E03BF" w:rsidRPr="0056236E" w:rsidRDefault="000E03BF" w:rsidP="00F130EC">
      <w:pPr>
        <w:pStyle w:val="Paragraphedeliste"/>
        <w:autoSpaceDE w:val="0"/>
        <w:ind w:right="566"/>
        <w:jc w:val="both"/>
        <w:rPr>
          <w:sz w:val="24"/>
          <w:lang w:val="en-US"/>
        </w:rPr>
      </w:pPr>
    </w:p>
    <w:p w:rsidR="00ED5A7C" w:rsidRPr="0056236E" w:rsidRDefault="000E03BF" w:rsidP="00F130EC">
      <w:pPr>
        <w:ind w:right="566"/>
        <w:jc w:val="both"/>
        <w:rPr>
          <w:rStyle w:val="Policepardfaut"/>
          <w:sz w:val="22"/>
          <w:szCs w:val="22"/>
          <w:lang w:val="en-US"/>
        </w:rPr>
      </w:pPr>
      <w:r w:rsidRPr="0056236E">
        <w:rPr>
          <w:rStyle w:val="Policepardfaut"/>
          <w:sz w:val="22"/>
          <w:szCs w:val="22"/>
          <w:lang w:val="en-US"/>
        </w:rPr>
        <w:t>With the phase out of inefficient incandescent lamps, the environmental benefits</w:t>
      </w:r>
      <w:r w:rsidRPr="0056236E">
        <w:rPr>
          <w:rStyle w:val="CommentReference"/>
          <w:rFonts w:cs="Mangal"/>
          <w:sz w:val="22"/>
          <w:szCs w:val="22"/>
          <w:lang w:val="en-US"/>
        </w:rPr>
        <w:t xml:space="preserve"> </w:t>
      </w:r>
      <w:r w:rsidR="00ED5A7C" w:rsidRPr="0056236E">
        <w:rPr>
          <w:rStyle w:val="Policepardfaut"/>
          <w:sz w:val="22"/>
          <w:szCs w:val="22"/>
          <w:lang w:val="en-US"/>
        </w:rPr>
        <w:t>would be 42.4 kilotons</w:t>
      </w:r>
      <w:r w:rsidRPr="0056236E">
        <w:rPr>
          <w:rStyle w:val="Policepardfaut"/>
          <w:sz w:val="22"/>
          <w:szCs w:val="22"/>
          <w:lang w:val="en-US"/>
        </w:rPr>
        <w:t xml:space="preserve"> annual CO</w:t>
      </w:r>
      <w:r w:rsidRPr="0056236E">
        <w:rPr>
          <w:rStyle w:val="Policepardfaut"/>
          <w:sz w:val="22"/>
          <w:szCs w:val="22"/>
          <w:vertAlign w:val="subscript"/>
          <w:lang w:val="en-US"/>
        </w:rPr>
        <w:t>2</w:t>
      </w:r>
      <w:r w:rsidRPr="0056236E">
        <w:rPr>
          <w:rStyle w:val="Policepardfaut"/>
          <w:sz w:val="22"/>
          <w:szCs w:val="22"/>
          <w:lang w:val="en-US"/>
        </w:rPr>
        <w:t xml:space="preserve"> reduction. Annual energy savings would be 78.1 GWh. The annual costs savings would be about 4.9 million USD.</w:t>
      </w:r>
      <w:r w:rsidR="00ED5A7C" w:rsidRPr="0056236E">
        <w:rPr>
          <w:rStyle w:val="Policepardfaut"/>
          <w:sz w:val="22"/>
          <w:szCs w:val="22"/>
          <w:lang w:val="en-US"/>
        </w:rPr>
        <w:t xml:space="preserve"> </w:t>
      </w:r>
      <w:r w:rsidRPr="0056236E">
        <w:rPr>
          <w:rStyle w:val="Policepardfaut"/>
          <w:sz w:val="22"/>
          <w:szCs w:val="22"/>
          <w:lang w:val="en-US"/>
        </w:rPr>
        <w:t>The implementation of MEPS within the project will lead to a larger stock of high performing lighting products with a mix of approximately 85% CFLs, 5% LEDs, and 10% incandescent. Implementing MEPS provide benefits beyond the period of the project through reduced energy consumption and CO2 reductions. Based on a preliminary analysis of the implementation of MEPS across all technologies in 2016, Yemen would have cumulative electric savings of almost 5 TWh and cumulative CO2 reductions of almost 3 TWh 2030.</w:t>
      </w:r>
    </w:p>
    <w:p w:rsidR="00ED5A7C" w:rsidRPr="0056236E" w:rsidRDefault="00ED5A7C" w:rsidP="00F130EC">
      <w:pPr>
        <w:ind w:right="566"/>
        <w:rPr>
          <w:rStyle w:val="Policepardfaut"/>
          <w:rFonts w:cs="Times New Roman"/>
          <w:sz w:val="22"/>
          <w:lang w:val="en-GB"/>
        </w:rPr>
      </w:pPr>
    </w:p>
    <w:p w:rsidR="00ED5A7C" w:rsidRPr="0056236E" w:rsidRDefault="00ED5A7C" w:rsidP="00F130EC">
      <w:pPr>
        <w:pStyle w:val="Paragraphedeliste"/>
        <w:autoSpaceDE w:val="0"/>
        <w:ind w:right="566"/>
        <w:jc w:val="both"/>
        <w:rPr>
          <w:rStyle w:val="Policepardfaut"/>
        </w:rPr>
      </w:pPr>
    </w:p>
    <w:p w:rsidR="00ED5A7C" w:rsidRPr="0056236E" w:rsidRDefault="00ED5A7C" w:rsidP="00F130EC">
      <w:pPr>
        <w:pStyle w:val="Paragraphedeliste"/>
        <w:autoSpaceDE w:val="0"/>
        <w:ind w:right="566"/>
        <w:jc w:val="both"/>
        <w:rPr>
          <w:rStyle w:val="Policepardfau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4690"/>
        <w:gridCol w:w="1229"/>
        <w:gridCol w:w="1229"/>
        <w:gridCol w:w="1360"/>
        <w:gridCol w:w="498"/>
      </w:tblGrid>
      <w:tr w:rsidR="000E03BF" w:rsidRPr="0056236E" w:rsidTr="00F130EC">
        <w:trPr>
          <w:gridBefore w:val="1"/>
          <w:wBefore w:w="600" w:type="dxa"/>
          <w:trHeight w:val="300"/>
        </w:trPr>
        <w:tc>
          <w:tcPr>
            <w:tcW w:w="9006" w:type="dxa"/>
            <w:gridSpan w:val="5"/>
            <w:noWrap/>
          </w:tcPr>
          <w:p w:rsidR="000E03BF" w:rsidRPr="0056236E" w:rsidRDefault="000E03BF" w:rsidP="00F130EC">
            <w:pPr>
              <w:widowControl/>
              <w:suppressAutoHyphens w:val="0"/>
              <w:autoSpaceDN/>
              <w:ind w:right="566"/>
              <w:jc w:val="center"/>
              <w:textAlignment w:val="auto"/>
              <w:rPr>
                <w:rFonts w:ascii="Calibri" w:hAnsi="Calibri" w:cs="Times New Roman"/>
                <w:b/>
                <w:bCs/>
                <w:color w:val="000000"/>
                <w:kern w:val="0"/>
                <w:sz w:val="22"/>
                <w:lang w:val="en-US" w:eastAsia="en-US"/>
              </w:rPr>
            </w:pPr>
            <w:r w:rsidRPr="0056236E">
              <w:rPr>
                <w:rFonts w:ascii="Calibri" w:hAnsi="Calibri" w:cs="Times New Roman"/>
                <w:b/>
                <w:bCs/>
                <w:color w:val="000000"/>
                <w:kern w:val="0"/>
                <w:sz w:val="22"/>
                <w:lang w:val="en-US" w:eastAsia="en-US"/>
              </w:rPr>
              <w:t>Cumulative Benefits of Implementing MEPS Across All Lighting Technologies in 2016</w:t>
            </w:r>
          </w:p>
        </w:tc>
      </w:tr>
      <w:tr w:rsidR="000E03BF" w:rsidRPr="0056236E" w:rsidTr="00F130EC">
        <w:trPr>
          <w:gridBefore w:val="1"/>
          <w:wBefore w:w="600" w:type="dxa"/>
          <w:trHeight w:val="300"/>
        </w:trPr>
        <w:tc>
          <w:tcPr>
            <w:tcW w:w="4690" w:type="dxa"/>
            <w:noWrap/>
          </w:tcPr>
          <w:p w:rsidR="000E03BF" w:rsidRPr="0056236E" w:rsidRDefault="000E03BF" w:rsidP="00F130EC">
            <w:pPr>
              <w:widowControl/>
              <w:suppressAutoHyphens w:val="0"/>
              <w:autoSpaceDN/>
              <w:ind w:right="566"/>
              <w:jc w:val="center"/>
              <w:textAlignment w:val="auto"/>
              <w:rPr>
                <w:rFonts w:ascii="Calibri" w:hAnsi="Calibri" w:cs="Times New Roman"/>
                <w:color w:val="000000"/>
                <w:kern w:val="0"/>
                <w:sz w:val="22"/>
                <w:lang w:val="en-US" w:eastAsia="en-US"/>
              </w:rPr>
            </w:pPr>
          </w:p>
        </w:tc>
        <w:tc>
          <w:tcPr>
            <w:tcW w:w="1229" w:type="dxa"/>
            <w:noWrap/>
          </w:tcPr>
          <w:p w:rsidR="000E03BF" w:rsidRPr="0056236E" w:rsidRDefault="000E03BF" w:rsidP="00F130EC">
            <w:pPr>
              <w:widowControl/>
              <w:suppressAutoHyphens w:val="0"/>
              <w:autoSpaceDN/>
              <w:ind w:right="566"/>
              <w:jc w:val="center"/>
              <w:textAlignment w:val="auto"/>
              <w:rPr>
                <w:rFonts w:ascii="Calibri" w:hAnsi="Calibri" w:cs="Times New Roman"/>
                <w:b/>
                <w:bCs/>
                <w:color w:val="000000"/>
                <w:kern w:val="0"/>
                <w:sz w:val="22"/>
                <w:lang w:val="en-US" w:eastAsia="en-US"/>
              </w:rPr>
            </w:pPr>
            <w:r w:rsidRPr="0056236E">
              <w:rPr>
                <w:rFonts w:ascii="Calibri" w:hAnsi="Calibri" w:cs="Times New Roman"/>
                <w:b/>
                <w:bCs/>
                <w:color w:val="000000"/>
                <w:kern w:val="0"/>
                <w:sz w:val="22"/>
                <w:lang w:val="en-US" w:eastAsia="en-US"/>
              </w:rPr>
              <w:t>2020</w:t>
            </w:r>
          </w:p>
        </w:tc>
        <w:tc>
          <w:tcPr>
            <w:tcW w:w="1229" w:type="dxa"/>
            <w:noWrap/>
          </w:tcPr>
          <w:p w:rsidR="000E03BF" w:rsidRPr="0056236E" w:rsidRDefault="000E03BF" w:rsidP="00F130EC">
            <w:pPr>
              <w:widowControl/>
              <w:suppressAutoHyphens w:val="0"/>
              <w:autoSpaceDN/>
              <w:ind w:right="566"/>
              <w:jc w:val="center"/>
              <w:textAlignment w:val="auto"/>
              <w:rPr>
                <w:rFonts w:ascii="Calibri" w:hAnsi="Calibri" w:cs="Times New Roman"/>
                <w:b/>
                <w:bCs/>
                <w:color w:val="000000"/>
                <w:kern w:val="0"/>
                <w:sz w:val="22"/>
                <w:lang w:val="en-US" w:eastAsia="en-US"/>
              </w:rPr>
            </w:pPr>
            <w:r w:rsidRPr="0056236E">
              <w:rPr>
                <w:rFonts w:ascii="Calibri" w:hAnsi="Calibri" w:cs="Times New Roman"/>
                <w:b/>
                <w:bCs/>
                <w:color w:val="000000"/>
                <w:kern w:val="0"/>
                <w:sz w:val="22"/>
                <w:lang w:val="en-US" w:eastAsia="en-US"/>
              </w:rPr>
              <w:t>2025</w:t>
            </w:r>
          </w:p>
        </w:tc>
        <w:tc>
          <w:tcPr>
            <w:tcW w:w="1858" w:type="dxa"/>
            <w:gridSpan w:val="2"/>
            <w:noWrap/>
          </w:tcPr>
          <w:p w:rsidR="000E03BF" w:rsidRPr="0056236E" w:rsidRDefault="000E03BF" w:rsidP="00F130EC">
            <w:pPr>
              <w:widowControl/>
              <w:suppressAutoHyphens w:val="0"/>
              <w:autoSpaceDN/>
              <w:ind w:right="566"/>
              <w:jc w:val="center"/>
              <w:textAlignment w:val="auto"/>
              <w:rPr>
                <w:rFonts w:ascii="Calibri" w:hAnsi="Calibri" w:cs="Times New Roman"/>
                <w:b/>
                <w:bCs/>
                <w:color w:val="000000"/>
                <w:kern w:val="0"/>
                <w:sz w:val="22"/>
                <w:lang w:val="en-US" w:eastAsia="en-US"/>
              </w:rPr>
            </w:pPr>
            <w:r w:rsidRPr="0056236E">
              <w:rPr>
                <w:rFonts w:ascii="Calibri" w:hAnsi="Calibri" w:cs="Times New Roman"/>
                <w:b/>
                <w:bCs/>
                <w:color w:val="000000"/>
                <w:kern w:val="0"/>
                <w:sz w:val="22"/>
                <w:lang w:val="en-US" w:eastAsia="en-US"/>
              </w:rPr>
              <w:t>2030</w:t>
            </w:r>
          </w:p>
        </w:tc>
      </w:tr>
      <w:tr w:rsidR="000E03BF" w:rsidRPr="0056236E" w:rsidTr="00F130EC">
        <w:trPr>
          <w:gridBefore w:val="1"/>
          <w:wBefore w:w="600" w:type="dxa"/>
          <w:trHeight w:val="600"/>
        </w:trPr>
        <w:tc>
          <w:tcPr>
            <w:tcW w:w="4690" w:type="dxa"/>
          </w:tcPr>
          <w:p w:rsidR="000E03BF" w:rsidRPr="0056236E" w:rsidRDefault="000E03BF" w:rsidP="00F130EC">
            <w:pPr>
              <w:widowControl/>
              <w:suppressAutoHyphens w:val="0"/>
              <w:autoSpaceDN/>
              <w:ind w:right="566"/>
              <w:jc w:val="center"/>
              <w:textAlignment w:val="auto"/>
              <w:rPr>
                <w:rFonts w:ascii="Calibri" w:hAnsi="Calibri" w:cs="Times New Roman"/>
                <w:b/>
                <w:bCs/>
                <w:color w:val="000000"/>
                <w:kern w:val="0"/>
                <w:sz w:val="22"/>
                <w:lang w:val="en-US" w:eastAsia="en-US"/>
              </w:rPr>
            </w:pPr>
            <w:r w:rsidRPr="0056236E">
              <w:rPr>
                <w:rFonts w:ascii="Calibri" w:hAnsi="Calibri" w:cs="Times New Roman"/>
                <w:b/>
                <w:bCs/>
                <w:color w:val="000000"/>
                <w:kern w:val="0"/>
                <w:sz w:val="22"/>
                <w:lang w:val="en-US" w:eastAsia="en-US"/>
              </w:rPr>
              <w:t>Cumulative Electricity Savings from Ligh</w:t>
            </w:r>
            <w:r w:rsidRPr="0056236E">
              <w:rPr>
                <w:rFonts w:ascii="Calibri" w:hAnsi="Calibri" w:cs="Times New Roman"/>
                <w:b/>
                <w:bCs/>
                <w:color w:val="000000"/>
                <w:kern w:val="0"/>
                <w:sz w:val="22"/>
                <w:lang w:val="en-US" w:eastAsia="en-US"/>
              </w:rPr>
              <w:t>t</w:t>
            </w:r>
            <w:r w:rsidRPr="0056236E">
              <w:rPr>
                <w:rFonts w:ascii="Calibri" w:hAnsi="Calibri" w:cs="Times New Roman"/>
                <w:b/>
                <w:bCs/>
                <w:color w:val="000000"/>
                <w:kern w:val="0"/>
                <w:sz w:val="22"/>
                <w:lang w:val="en-US" w:eastAsia="en-US"/>
              </w:rPr>
              <w:t>ing MEPS (TWh/yr)</w:t>
            </w:r>
          </w:p>
        </w:tc>
        <w:tc>
          <w:tcPr>
            <w:tcW w:w="1229" w:type="dxa"/>
            <w:noWrap/>
          </w:tcPr>
          <w:p w:rsidR="000E03BF" w:rsidRPr="0056236E" w:rsidRDefault="000E03BF" w:rsidP="00F130EC">
            <w:pPr>
              <w:widowControl/>
              <w:suppressAutoHyphens w:val="0"/>
              <w:autoSpaceDN/>
              <w:ind w:right="566"/>
              <w:jc w:val="center"/>
              <w:textAlignment w:val="auto"/>
              <w:rPr>
                <w:rFonts w:ascii="Calibri" w:hAnsi="Calibri" w:cs="Times New Roman"/>
                <w:color w:val="000000"/>
                <w:kern w:val="0"/>
                <w:sz w:val="22"/>
                <w:lang w:val="en-US" w:eastAsia="en-US"/>
              </w:rPr>
            </w:pPr>
            <w:r w:rsidRPr="0056236E">
              <w:rPr>
                <w:rFonts w:ascii="Calibri" w:hAnsi="Calibri" w:cs="Times New Roman"/>
                <w:color w:val="000000"/>
                <w:kern w:val="0"/>
                <w:sz w:val="22"/>
                <w:lang w:val="en-US" w:eastAsia="en-US"/>
              </w:rPr>
              <w:t>1.22</w:t>
            </w:r>
          </w:p>
        </w:tc>
        <w:tc>
          <w:tcPr>
            <w:tcW w:w="1229" w:type="dxa"/>
            <w:noWrap/>
          </w:tcPr>
          <w:p w:rsidR="000E03BF" w:rsidRPr="0056236E" w:rsidRDefault="000E03BF" w:rsidP="00F130EC">
            <w:pPr>
              <w:widowControl/>
              <w:suppressAutoHyphens w:val="0"/>
              <w:autoSpaceDN/>
              <w:ind w:right="566"/>
              <w:jc w:val="center"/>
              <w:textAlignment w:val="auto"/>
              <w:rPr>
                <w:rFonts w:ascii="Calibri" w:hAnsi="Calibri" w:cs="Times New Roman"/>
                <w:color w:val="000000"/>
                <w:kern w:val="0"/>
                <w:sz w:val="22"/>
                <w:lang w:val="en-US" w:eastAsia="en-US"/>
              </w:rPr>
            </w:pPr>
            <w:r w:rsidRPr="0056236E">
              <w:rPr>
                <w:rFonts w:ascii="Calibri" w:hAnsi="Calibri" w:cs="Times New Roman"/>
                <w:color w:val="000000"/>
                <w:kern w:val="0"/>
                <w:sz w:val="22"/>
                <w:lang w:val="en-US" w:eastAsia="en-US"/>
              </w:rPr>
              <w:t>2.99</w:t>
            </w:r>
          </w:p>
        </w:tc>
        <w:tc>
          <w:tcPr>
            <w:tcW w:w="1858" w:type="dxa"/>
            <w:gridSpan w:val="2"/>
            <w:noWrap/>
          </w:tcPr>
          <w:p w:rsidR="000E03BF" w:rsidRPr="0056236E" w:rsidRDefault="000E03BF" w:rsidP="00F130EC">
            <w:pPr>
              <w:widowControl/>
              <w:suppressAutoHyphens w:val="0"/>
              <w:autoSpaceDN/>
              <w:ind w:right="566"/>
              <w:jc w:val="center"/>
              <w:textAlignment w:val="auto"/>
              <w:rPr>
                <w:rFonts w:ascii="Calibri" w:hAnsi="Calibri" w:cs="Times New Roman"/>
                <w:color w:val="000000"/>
                <w:kern w:val="0"/>
                <w:sz w:val="22"/>
                <w:lang w:val="en-US" w:eastAsia="en-US"/>
              </w:rPr>
            </w:pPr>
            <w:r w:rsidRPr="0056236E">
              <w:rPr>
                <w:rFonts w:ascii="Calibri" w:hAnsi="Calibri" w:cs="Times New Roman"/>
                <w:color w:val="000000"/>
                <w:kern w:val="0"/>
                <w:sz w:val="22"/>
                <w:lang w:val="en-US" w:eastAsia="en-US"/>
              </w:rPr>
              <w:t>4.93</w:t>
            </w:r>
          </w:p>
        </w:tc>
      </w:tr>
      <w:tr w:rsidR="000E03BF" w:rsidRPr="0056236E" w:rsidTr="00F130EC">
        <w:trPr>
          <w:gridBefore w:val="1"/>
          <w:wBefore w:w="600" w:type="dxa"/>
          <w:trHeight w:val="600"/>
        </w:trPr>
        <w:tc>
          <w:tcPr>
            <w:tcW w:w="4690" w:type="dxa"/>
          </w:tcPr>
          <w:p w:rsidR="000E03BF" w:rsidRPr="0056236E" w:rsidRDefault="000E03BF" w:rsidP="00F130EC">
            <w:pPr>
              <w:widowControl/>
              <w:suppressAutoHyphens w:val="0"/>
              <w:autoSpaceDN/>
              <w:ind w:right="566"/>
              <w:jc w:val="center"/>
              <w:textAlignment w:val="auto"/>
              <w:rPr>
                <w:rFonts w:ascii="Calibri" w:hAnsi="Calibri" w:cs="Times New Roman"/>
                <w:b/>
                <w:bCs/>
                <w:color w:val="000000"/>
                <w:kern w:val="0"/>
                <w:sz w:val="22"/>
                <w:lang w:val="en-US" w:eastAsia="en-US"/>
              </w:rPr>
            </w:pPr>
            <w:r w:rsidRPr="0056236E">
              <w:rPr>
                <w:rFonts w:ascii="Calibri" w:hAnsi="Calibri" w:cs="Times New Roman"/>
                <w:b/>
                <w:bCs/>
                <w:color w:val="000000"/>
                <w:kern w:val="0"/>
                <w:sz w:val="22"/>
                <w:lang w:val="en-US" w:eastAsia="en-US"/>
              </w:rPr>
              <w:t>Cumulative CO2 Savings from Lighting MEPS (Mt CO2)</w:t>
            </w:r>
          </w:p>
        </w:tc>
        <w:tc>
          <w:tcPr>
            <w:tcW w:w="1229" w:type="dxa"/>
            <w:noWrap/>
          </w:tcPr>
          <w:p w:rsidR="000E03BF" w:rsidRPr="0056236E" w:rsidRDefault="000E03BF" w:rsidP="00F130EC">
            <w:pPr>
              <w:widowControl/>
              <w:suppressAutoHyphens w:val="0"/>
              <w:autoSpaceDN/>
              <w:ind w:right="566"/>
              <w:jc w:val="center"/>
              <w:textAlignment w:val="auto"/>
              <w:rPr>
                <w:rFonts w:ascii="Calibri" w:hAnsi="Calibri" w:cs="Times New Roman"/>
                <w:color w:val="000000"/>
                <w:kern w:val="0"/>
                <w:sz w:val="22"/>
                <w:lang w:val="en-US" w:eastAsia="en-US"/>
              </w:rPr>
            </w:pPr>
            <w:r w:rsidRPr="0056236E">
              <w:rPr>
                <w:rFonts w:ascii="Calibri" w:hAnsi="Calibri" w:cs="Times New Roman"/>
                <w:color w:val="000000"/>
                <w:kern w:val="0"/>
                <w:sz w:val="22"/>
                <w:lang w:val="en-US" w:eastAsia="en-US"/>
              </w:rPr>
              <w:t>.66</w:t>
            </w:r>
          </w:p>
        </w:tc>
        <w:tc>
          <w:tcPr>
            <w:tcW w:w="1229" w:type="dxa"/>
            <w:noWrap/>
          </w:tcPr>
          <w:p w:rsidR="000E03BF" w:rsidRPr="0056236E" w:rsidRDefault="000E03BF" w:rsidP="00F130EC">
            <w:pPr>
              <w:widowControl/>
              <w:suppressAutoHyphens w:val="0"/>
              <w:autoSpaceDN/>
              <w:ind w:right="566"/>
              <w:jc w:val="center"/>
              <w:textAlignment w:val="auto"/>
              <w:rPr>
                <w:rFonts w:ascii="Calibri" w:hAnsi="Calibri" w:cs="Times New Roman"/>
                <w:color w:val="000000"/>
                <w:kern w:val="0"/>
                <w:sz w:val="22"/>
                <w:lang w:val="en-US" w:eastAsia="en-US"/>
              </w:rPr>
            </w:pPr>
            <w:r w:rsidRPr="0056236E">
              <w:rPr>
                <w:rFonts w:ascii="Calibri" w:hAnsi="Calibri" w:cs="Times New Roman"/>
                <w:color w:val="000000"/>
                <w:kern w:val="0"/>
                <w:sz w:val="22"/>
                <w:lang w:val="en-US" w:eastAsia="en-US"/>
              </w:rPr>
              <w:t>1.63</w:t>
            </w:r>
          </w:p>
        </w:tc>
        <w:tc>
          <w:tcPr>
            <w:tcW w:w="1858" w:type="dxa"/>
            <w:gridSpan w:val="2"/>
            <w:noWrap/>
          </w:tcPr>
          <w:p w:rsidR="000E03BF" w:rsidRPr="0056236E" w:rsidRDefault="000E03BF" w:rsidP="00F130EC">
            <w:pPr>
              <w:widowControl/>
              <w:suppressAutoHyphens w:val="0"/>
              <w:autoSpaceDN/>
              <w:ind w:right="566"/>
              <w:jc w:val="center"/>
              <w:textAlignment w:val="auto"/>
              <w:rPr>
                <w:rFonts w:ascii="Calibri" w:hAnsi="Calibri" w:cs="Times New Roman"/>
                <w:color w:val="000000"/>
                <w:kern w:val="0"/>
                <w:sz w:val="22"/>
                <w:lang w:val="en-US" w:eastAsia="en-US"/>
              </w:rPr>
            </w:pPr>
            <w:r w:rsidRPr="0056236E">
              <w:rPr>
                <w:rFonts w:ascii="Calibri" w:hAnsi="Calibri" w:cs="Times New Roman"/>
                <w:color w:val="000000"/>
                <w:kern w:val="0"/>
                <w:sz w:val="22"/>
                <w:lang w:val="en-US" w:eastAsia="en-US"/>
              </w:rPr>
              <w:t>2.68</w:t>
            </w:r>
          </w:p>
        </w:tc>
      </w:tr>
      <w:tr w:rsidR="000E03BF" w:rsidRPr="0056236E" w:rsidTr="00F1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98" w:type="dxa"/>
        </w:trPr>
        <w:tc>
          <w:tcPr>
            <w:tcW w:w="9108" w:type="dxa"/>
            <w:gridSpan w:val="5"/>
            <w:tcMar>
              <w:top w:w="0" w:type="dxa"/>
              <w:left w:w="108" w:type="dxa"/>
              <w:bottom w:w="0" w:type="dxa"/>
              <w:right w:w="108" w:type="dxa"/>
            </w:tcMar>
          </w:tcPr>
          <w:p w:rsidR="00F130EC" w:rsidRPr="0056236E" w:rsidRDefault="00ED5A7C" w:rsidP="00F130EC">
            <w:pPr>
              <w:keepNext/>
              <w:keepLines/>
              <w:spacing w:before="480"/>
              <w:ind w:right="-180"/>
              <w:jc w:val="both"/>
              <w:outlineLvl w:val="0"/>
              <w:rPr>
                <w:rStyle w:val="Policepardfaut"/>
                <w:rFonts w:cs="Times New Roman"/>
                <w:sz w:val="22"/>
                <w:lang w:val="en-US"/>
              </w:rPr>
            </w:pPr>
            <w:r w:rsidRPr="0056236E">
              <w:rPr>
                <w:rStyle w:val="Policepardfaut"/>
                <w:rFonts w:cs="Times New Roman"/>
                <w:sz w:val="22"/>
                <w:lang w:val="en-US"/>
              </w:rPr>
              <w:lastRenderedPageBreak/>
              <w:t>B</w:t>
            </w:r>
            <w:r w:rsidR="000E03BF" w:rsidRPr="0056236E">
              <w:rPr>
                <w:rStyle w:val="Policepardfaut"/>
                <w:rFonts w:cs="Times New Roman"/>
                <w:sz w:val="22"/>
                <w:lang w:val="en-US"/>
              </w:rPr>
              <w:t>. 2</w:t>
            </w:r>
            <w:hyperlink r:id="rId14" w:history="1">
              <w:r w:rsidR="000E03BF" w:rsidRPr="0056236E">
                <w:rPr>
                  <w:rStyle w:val="Internetlink"/>
                  <w:rFonts w:cs="Times New Roman"/>
                  <w:color w:val="auto"/>
                  <w:sz w:val="22"/>
                  <w:u w:val="none"/>
                  <w:lang w:val="en-US"/>
                </w:rPr>
                <w:t>. Incremental</w:t>
              </w:r>
            </w:hyperlink>
            <w:r w:rsidR="000E03BF" w:rsidRPr="0056236E">
              <w:rPr>
                <w:rStyle w:val="Policepardfaut"/>
                <w:rFonts w:cs="Times New Roman"/>
                <w:sz w:val="22"/>
                <w:lang w:val="en-US"/>
              </w:rPr>
              <w:t xml:space="preserve"> /</w:t>
            </w:r>
            <w:hyperlink r:id="rId15" w:history="1">
              <w:r w:rsidR="000E03BF" w:rsidRPr="0056236E">
                <w:rPr>
                  <w:rStyle w:val="Internetlink"/>
                  <w:rFonts w:cs="Times New Roman"/>
                  <w:color w:val="auto"/>
                  <w:sz w:val="22"/>
                  <w:u w:val="none"/>
                  <w:lang w:val="en-US"/>
                </w:rPr>
                <w:t>Additional cost reasoning</w:t>
              </w:r>
            </w:hyperlink>
            <w:r w:rsidR="000E03BF" w:rsidRPr="0056236E">
              <w:rPr>
                <w:rStyle w:val="Policepardfaut"/>
                <w:rFonts w:cs="Times New Roman"/>
                <w:sz w:val="22"/>
                <w:lang w:val="en-US"/>
              </w:rPr>
              <w:t>: describe the inc</w:t>
            </w:r>
            <w:r w:rsidR="00F130EC" w:rsidRPr="0056236E">
              <w:rPr>
                <w:rStyle w:val="Policepardfaut"/>
                <w:rFonts w:cs="Times New Roman"/>
                <w:sz w:val="22"/>
                <w:lang w:val="en-US"/>
              </w:rPr>
              <w:t>remental (GEF Trust Fund/NPIF) or</w:t>
            </w:r>
            <w:r w:rsidR="000E03BF" w:rsidRPr="0056236E">
              <w:rPr>
                <w:rStyle w:val="Policepardfaut"/>
                <w:rFonts w:cs="Times New Roman"/>
                <w:sz w:val="22"/>
                <w:lang w:val="en-US"/>
              </w:rPr>
              <w:t>r additional (LDCF/SCCF) activities  requested for GEF/LDCF/SCCF/NPIF  financing and th</w:t>
            </w:r>
            <w:r w:rsidR="00F130EC" w:rsidRPr="0056236E">
              <w:rPr>
                <w:rStyle w:val="Policepardfaut"/>
                <w:rFonts w:cs="Times New Roman"/>
                <w:sz w:val="22"/>
                <w:lang w:val="en-US"/>
              </w:rPr>
              <w:t>e</w:t>
            </w:r>
            <w:r w:rsidR="000E03BF" w:rsidRPr="0056236E">
              <w:rPr>
                <w:rStyle w:val="Policepardfaut"/>
                <w:rFonts w:cs="Times New Roman"/>
                <w:sz w:val="22"/>
                <w:lang w:val="en-US"/>
              </w:rPr>
              <w:t xml:space="preserve">e associated </w:t>
            </w:r>
            <w:hyperlink r:id="rId16" w:history="1">
              <w:r w:rsidR="000E03BF" w:rsidRPr="0056236E">
                <w:rPr>
                  <w:rStyle w:val="Internetlink"/>
                  <w:rFonts w:cs="Times New Roman"/>
                  <w:color w:val="auto"/>
                  <w:sz w:val="22"/>
                  <w:u w:val="none"/>
                  <w:lang w:val="en-US"/>
                </w:rPr>
                <w:t>global environmental benefits</w:t>
              </w:r>
            </w:hyperlink>
            <w:r w:rsidR="000E03BF" w:rsidRPr="0056236E">
              <w:rPr>
                <w:rStyle w:val="Policepardfaut"/>
                <w:rFonts w:cs="Times New Roman"/>
                <w:sz w:val="22"/>
                <w:lang w:val="en-US"/>
              </w:rPr>
              <w:t xml:space="preserve"> (GEF Trust Fund/NPIF</w:t>
            </w:r>
            <w:r w:rsidR="00F130EC" w:rsidRPr="0056236E">
              <w:rPr>
                <w:rStyle w:val="Policepardfaut"/>
                <w:rFonts w:cs="Times New Roman"/>
                <w:sz w:val="22"/>
                <w:lang w:val="en-US"/>
              </w:rPr>
              <w:t xml:space="preserve">) </w:t>
            </w:r>
            <w:r w:rsidR="000E03BF" w:rsidRPr="0056236E">
              <w:rPr>
                <w:rStyle w:val="Policepardfaut"/>
                <w:rFonts w:cs="Times New Roman"/>
                <w:sz w:val="22"/>
                <w:lang w:val="en-US"/>
              </w:rPr>
              <w:t xml:space="preserve">or associated adaptation benefits (LDCF/SCCF) to be delivered by the project:   </w:t>
            </w:r>
          </w:p>
          <w:p w:rsidR="000E03BF" w:rsidRPr="0056236E" w:rsidRDefault="000E03BF" w:rsidP="00F130EC">
            <w:pPr>
              <w:keepNext/>
              <w:keepLines/>
              <w:spacing w:before="480"/>
              <w:ind w:right="-180"/>
              <w:jc w:val="both"/>
              <w:outlineLvl w:val="0"/>
              <w:rPr>
                <w:rFonts w:cs="Times New Roman"/>
                <w:sz w:val="22"/>
                <w:lang w:val="en-US"/>
              </w:rPr>
            </w:pPr>
            <w:r w:rsidRPr="0056236E">
              <w:rPr>
                <w:rFonts w:cs="Times New Roman"/>
                <w:sz w:val="22"/>
                <w:lang w:val="en-US"/>
              </w:rPr>
              <w:t>The project will strengthen the capacity of the Government of Yemen, raise awareness among consumers and interest of lighting industry key players about efficient lighting technologies. The project will speed up the transfer of low-carbon, high efficiency technologies for the lighting sector. This will be translated into comprehensive national policy and regulatory frameworks and create the necessary conditions for technology transfer benefiting Yemen.</w:t>
            </w:r>
          </w:p>
          <w:p w:rsidR="000E03BF" w:rsidRPr="0056236E" w:rsidRDefault="000E03BF" w:rsidP="00F130EC">
            <w:pPr>
              <w:keepNext/>
              <w:keepLines/>
              <w:spacing w:before="200"/>
              <w:ind w:right="-180"/>
              <w:jc w:val="both"/>
              <w:outlineLvl w:val="2"/>
              <w:rPr>
                <w:rFonts w:cs="Times New Roman"/>
                <w:sz w:val="22"/>
                <w:lang w:val="en-US"/>
              </w:rPr>
            </w:pPr>
          </w:p>
          <w:p w:rsidR="000E03BF" w:rsidRPr="0056236E" w:rsidRDefault="000E03BF" w:rsidP="00F130EC">
            <w:pPr>
              <w:ind w:right="-180"/>
              <w:jc w:val="both"/>
              <w:rPr>
                <w:rFonts w:cs="Times New Roman"/>
                <w:sz w:val="22"/>
                <w:lang w:val="en-US"/>
              </w:rPr>
            </w:pPr>
            <w:r w:rsidRPr="0056236E">
              <w:rPr>
                <w:rFonts w:cs="Times New Roman"/>
                <w:sz w:val="22"/>
                <w:lang w:val="en-US"/>
              </w:rPr>
              <w:t>The overall objective of the project is to accelerate the transition to energy efficient lighting technologies in Yemen through the development of a national efficient lighting policy and practical interventions that ensure success of the transition, thereby reducing GHG emissions, mitigating climate change and increasing substantive resources for the development of the Yemen. The project consists of four major components:</w:t>
            </w:r>
          </w:p>
          <w:p w:rsidR="000E03BF" w:rsidRPr="0056236E" w:rsidRDefault="000E03BF" w:rsidP="00F130EC">
            <w:pPr>
              <w:keepNext/>
              <w:keepLines/>
              <w:spacing w:before="200"/>
              <w:ind w:right="-180"/>
              <w:jc w:val="both"/>
              <w:outlineLvl w:val="2"/>
              <w:rPr>
                <w:rFonts w:cs="Times New Roman"/>
                <w:sz w:val="22"/>
                <w:lang w:val="en-US"/>
              </w:rPr>
            </w:pPr>
          </w:p>
          <w:p w:rsidR="000E03BF" w:rsidRPr="0056236E" w:rsidRDefault="000E03BF" w:rsidP="00F130EC">
            <w:pPr>
              <w:ind w:right="-180"/>
              <w:jc w:val="both"/>
              <w:rPr>
                <w:rFonts w:cs="Times New Roman"/>
                <w:b/>
                <w:sz w:val="22"/>
                <w:lang w:val="en-US"/>
              </w:rPr>
            </w:pPr>
            <w:r w:rsidRPr="0056236E">
              <w:rPr>
                <w:rFonts w:cs="Times New Roman"/>
                <w:b/>
                <w:sz w:val="22"/>
                <w:lang w:val="en-US"/>
              </w:rPr>
              <w:t>Component 1: National policy development to promote the rapid transition to efficient lighting</w:t>
            </w:r>
          </w:p>
          <w:p w:rsidR="000E03BF" w:rsidRPr="0056236E" w:rsidRDefault="000E03BF" w:rsidP="00F130EC">
            <w:pPr>
              <w:ind w:right="-180"/>
              <w:jc w:val="both"/>
              <w:rPr>
                <w:rFonts w:cs="Times New Roman"/>
                <w:sz w:val="22"/>
                <w:lang w:val="en-US"/>
              </w:rPr>
            </w:pPr>
          </w:p>
          <w:p w:rsidR="000E03BF" w:rsidRPr="0056236E" w:rsidRDefault="000E03BF" w:rsidP="00F130EC">
            <w:pPr>
              <w:ind w:right="-180"/>
              <w:jc w:val="both"/>
              <w:rPr>
                <w:rFonts w:cs="Times New Roman"/>
                <w:sz w:val="22"/>
                <w:lang w:val="en-US"/>
              </w:rPr>
            </w:pPr>
            <w:r w:rsidRPr="0056236E">
              <w:rPr>
                <w:rFonts w:cs="Times New Roman"/>
                <w:sz w:val="22"/>
                <w:lang w:val="en-US"/>
              </w:rPr>
              <w:t>This component will develop a National Efficient Lighting Strategy in Yemen leading to the progressive phase-out of inefficient incandescent lamps following a country-led approach. The strategy will set national objectives and a detailed roadmap to phase-out inefficient incandescent lamps. Activities will include:</w:t>
            </w:r>
          </w:p>
          <w:p w:rsidR="000E03BF" w:rsidRPr="0056236E" w:rsidRDefault="000E03BF" w:rsidP="00F130EC">
            <w:pPr>
              <w:keepNext/>
              <w:keepLines/>
              <w:spacing w:before="200"/>
              <w:ind w:right="-180"/>
              <w:jc w:val="both"/>
              <w:outlineLvl w:val="2"/>
              <w:rPr>
                <w:rFonts w:cs="Times New Roman"/>
                <w:sz w:val="22"/>
                <w:lang w:val="en-US"/>
              </w:rPr>
            </w:pPr>
          </w:p>
          <w:p w:rsidR="000E03BF" w:rsidRPr="0056236E" w:rsidRDefault="000E03BF" w:rsidP="00F130EC">
            <w:pPr>
              <w:pStyle w:val="Paragraphedeliste"/>
              <w:widowControl w:val="0"/>
              <w:numPr>
                <w:ilvl w:val="0"/>
                <w:numId w:val="34"/>
              </w:numPr>
              <w:suppressAutoHyphens w:val="0"/>
              <w:ind w:right="-180"/>
              <w:jc w:val="both"/>
              <w:textAlignment w:val="auto"/>
              <w:rPr>
                <w:lang w:val="en-US"/>
              </w:rPr>
            </w:pPr>
            <w:r w:rsidRPr="0056236E">
              <w:rPr>
                <w:lang w:val="en-US"/>
              </w:rPr>
              <w:t>Identifying national phase-out and efficient lighting objectives.</w:t>
            </w:r>
          </w:p>
          <w:p w:rsidR="000E03BF" w:rsidRPr="0056236E" w:rsidRDefault="000E03BF" w:rsidP="00F130EC">
            <w:pPr>
              <w:pStyle w:val="Paragraphedeliste"/>
              <w:widowControl w:val="0"/>
              <w:numPr>
                <w:ilvl w:val="0"/>
                <w:numId w:val="34"/>
              </w:numPr>
              <w:suppressAutoHyphens w:val="0"/>
              <w:ind w:right="-180"/>
              <w:jc w:val="both"/>
              <w:textAlignment w:val="auto"/>
              <w:rPr>
                <w:lang w:val="en-US"/>
              </w:rPr>
            </w:pPr>
            <w:r w:rsidRPr="0056236E">
              <w:rPr>
                <w:lang w:val="en-US"/>
              </w:rPr>
              <w:t>Establishing national mandatory lighting MEPS, based on global best practice, accepted inte</w:t>
            </w:r>
            <w:r w:rsidRPr="0056236E">
              <w:rPr>
                <w:lang w:val="en-US"/>
              </w:rPr>
              <w:t>r</w:t>
            </w:r>
            <w:r w:rsidRPr="0056236E">
              <w:rPr>
                <w:lang w:val="en-US"/>
              </w:rPr>
              <w:t>national standards and Yemen conditions.</w:t>
            </w:r>
          </w:p>
          <w:p w:rsidR="000E03BF" w:rsidRPr="0056236E" w:rsidRDefault="000E03BF" w:rsidP="00F130EC">
            <w:pPr>
              <w:pStyle w:val="Paragraphedeliste"/>
              <w:numPr>
                <w:ilvl w:val="0"/>
                <w:numId w:val="34"/>
              </w:numPr>
              <w:suppressAutoHyphens w:val="0"/>
              <w:ind w:right="-180"/>
              <w:jc w:val="both"/>
              <w:textAlignment w:val="auto"/>
            </w:pPr>
            <w:r w:rsidRPr="0056236E">
              <w:rPr>
                <w:lang w:val="en-US"/>
              </w:rPr>
              <w:t>Creating policy support mechanisms such as: economic and financial incentives and tools, i</w:t>
            </w:r>
            <w:r w:rsidRPr="0056236E">
              <w:rPr>
                <w:lang w:val="en-US"/>
              </w:rPr>
              <w:t>n</w:t>
            </w:r>
            <w:r w:rsidRPr="0056236E">
              <w:rPr>
                <w:lang w:val="en-US"/>
              </w:rPr>
              <w:t>formation and awareness raising campaigns, labeling schemes and other market-based actions.</w:t>
            </w:r>
          </w:p>
          <w:p w:rsidR="000E03BF" w:rsidRPr="0056236E" w:rsidRDefault="000E03BF" w:rsidP="00F130EC">
            <w:pPr>
              <w:pStyle w:val="Paragraphedeliste"/>
              <w:widowControl w:val="0"/>
              <w:numPr>
                <w:ilvl w:val="0"/>
                <w:numId w:val="34"/>
              </w:numPr>
              <w:suppressAutoHyphens w:val="0"/>
              <w:ind w:right="-180"/>
              <w:jc w:val="both"/>
              <w:textAlignment w:val="auto"/>
              <w:rPr>
                <w:lang w:val="en-US"/>
              </w:rPr>
            </w:pPr>
            <w:r w:rsidRPr="0056236E">
              <w:rPr>
                <w:lang w:val="en-US"/>
              </w:rPr>
              <w:t>Designing a national quality control mechanism to ensure compliance with the lighting MEPS</w:t>
            </w:r>
          </w:p>
          <w:p w:rsidR="000E03BF" w:rsidRPr="0056236E" w:rsidRDefault="000E03BF" w:rsidP="00F130EC">
            <w:pPr>
              <w:pStyle w:val="Paragraphedeliste"/>
              <w:widowControl w:val="0"/>
              <w:numPr>
                <w:ilvl w:val="0"/>
                <w:numId w:val="34"/>
              </w:numPr>
              <w:suppressAutoHyphens w:val="0"/>
              <w:ind w:right="-180"/>
              <w:jc w:val="both"/>
              <w:textAlignment w:val="auto"/>
            </w:pPr>
            <w:r w:rsidRPr="0056236E">
              <w:rPr>
                <w:lang w:val="en-US"/>
              </w:rPr>
              <w:t>Designing an environmentally sound management scheme with a robust legal framework</w:t>
            </w:r>
          </w:p>
          <w:p w:rsidR="000E03BF" w:rsidRPr="0056236E" w:rsidRDefault="000E03BF" w:rsidP="00F130EC">
            <w:pPr>
              <w:pStyle w:val="Paragraphedeliste"/>
              <w:numPr>
                <w:ilvl w:val="0"/>
                <w:numId w:val="34"/>
              </w:numPr>
              <w:suppressAutoHyphens w:val="0"/>
              <w:ind w:right="-180"/>
              <w:jc w:val="both"/>
              <w:textAlignment w:val="auto"/>
            </w:pPr>
            <w:r w:rsidRPr="0056236E">
              <w:rPr>
                <w:lang w:val="en-US"/>
              </w:rPr>
              <w:t>Creating a locally appropriate communication, information and awareness raising campaign</w:t>
            </w:r>
          </w:p>
          <w:p w:rsidR="000E03BF" w:rsidRPr="0056236E" w:rsidRDefault="000E03BF" w:rsidP="00F130EC">
            <w:pPr>
              <w:pStyle w:val="Paragraphedeliste"/>
              <w:widowControl w:val="0"/>
              <w:numPr>
                <w:ilvl w:val="0"/>
                <w:numId w:val="34"/>
              </w:numPr>
              <w:suppressAutoHyphens w:val="0"/>
              <w:ind w:right="-180"/>
              <w:jc w:val="both"/>
              <w:textAlignment w:val="auto"/>
              <w:rPr>
                <w:lang w:val="en-US"/>
              </w:rPr>
            </w:pPr>
            <w:r w:rsidRPr="0056236E">
              <w:rPr>
                <w:lang w:val="en-US"/>
              </w:rPr>
              <w:t>Establishing roles, responsibilities and an achievable timeline for implementing the strategy.</w:t>
            </w:r>
          </w:p>
          <w:p w:rsidR="000E03BF" w:rsidRPr="0056236E" w:rsidRDefault="000E03BF" w:rsidP="00F130EC">
            <w:pPr>
              <w:pStyle w:val="Paragraphedeliste"/>
              <w:widowControl w:val="0"/>
              <w:numPr>
                <w:ilvl w:val="0"/>
                <w:numId w:val="34"/>
              </w:numPr>
              <w:suppressAutoHyphens w:val="0"/>
              <w:ind w:right="-180"/>
              <w:jc w:val="both"/>
              <w:textAlignment w:val="auto"/>
              <w:rPr>
                <w:lang w:val="en-US"/>
              </w:rPr>
            </w:pPr>
            <w:r w:rsidRPr="0056236E">
              <w:rPr>
                <w:lang w:val="en-US"/>
              </w:rPr>
              <w:t>Considering how to best finance the strategy to address initial costs and to measure and ca</w:t>
            </w:r>
            <w:r w:rsidRPr="0056236E">
              <w:rPr>
                <w:lang w:val="en-US"/>
              </w:rPr>
              <w:t>p</w:t>
            </w:r>
            <w:r w:rsidRPr="0056236E">
              <w:rPr>
                <w:lang w:val="en-US"/>
              </w:rPr>
              <w:t>ture long-term economic benefits</w:t>
            </w:r>
          </w:p>
          <w:p w:rsidR="000E03BF" w:rsidRPr="0056236E" w:rsidRDefault="000E03BF" w:rsidP="00F130EC">
            <w:pPr>
              <w:pStyle w:val="Paragraphedeliste"/>
              <w:widowControl w:val="0"/>
              <w:ind w:right="-180"/>
              <w:jc w:val="both"/>
              <w:rPr>
                <w:lang w:val="en-US"/>
              </w:rPr>
            </w:pPr>
          </w:p>
          <w:p w:rsidR="000E03BF" w:rsidRPr="0056236E" w:rsidRDefault="000E03BF" w:rsidP="00F130EC">
            <w:pPr>
              <w:ind w:right="-180"/>
              <w:jc w:val="both"/>
              <w:rPr>
                <w:rFonts w:cs="Times New Roman"/>
                <w:sz w:val="22"/>
                <w:lang w:val="en-US"/>
              </w:rPr>
            </w:pPr>
            <w:r w:rsidRPr="0056236E">
              <w:rPr>
                <w:rFonts w:cs="Times New Roman"/>
                <w:sz w:val="22"/>
                <w:lang w:val="en-US"/>
              </w:rPr>
              <w:t>Yemen’s strategy will be developed in consultation with the relevant national public and private stakeholders following a participatory, multi-stakeholder process. To complete the strategy Yemen will receive direct technical assistance from UNEP. Yemen will be supported via existing en.lighten methodology and guidance. The en.lighten global Centre of Excellence with its network of efficient lighting experts will support Yemen officials and stakeholders in assessing the most appropriate channels to ensure the transition. en.lighten’s online support center will help to strengthen Yemen’s capacities by delivering targeted information, technical webinars and training videos.</w:t>
            </w:r>
          </w:p>
          <w:p w:rsidR="000E03BF" w:rsidRPr="0056236E" w:rsidRDefault="000E03BF" w:rsidP="00F130EC">
            <w:pPr>
              <w:ind w:right="-180"/>
              <w:jc w:val="both"/>
              <w:rPr>
                <w:rFonts w:cs="Times New Roman"/>
                <w:sz w:val="22"/>
                <w:lang w:val="en-US"/>
              </w:rPr>
            </w:pPr>
          </w:p>
          <w:p w:rsidR="000E03BF" w:rsidRPr="0056236E" w:rsidRDefault="000E03BF" w:rsidP="00F130EC">
            <w:pPr>
              <w:ind w:right="-180"/>
              <w:jc w:val="both"/>
              <w:rPr>
                <w:rFonts w:cs="Times New Roman"/>
                <w:sz w:val="22"/>
                <w:lang w:val="en-US"/>
              </w:rPr>
            </w:pPr>
            <w:r w:rsidRPr="0056236E">
              <w:rPr>
                <w:rFonts w:cs="Times New Roman"/>
                <w:sz w:val="22"/>
                <w:lang w:val="en-US"/>
              </w:rPr>
              <w:t>Key actors include governmental authorities such as the Ministries of Energy, Environment and Economy. This activity will be directly supported and co-financed by UNEP and its private sector partners. en.lighten has an existing Partnership with the Ministry of Electricty</w:t>
            </w:r>
          </w:p>
          <w:p w:rsidR="000E03BF" w:rsidRPr="0056236E" w:rsidRDefault="000E03BF" w:rsidP="00F130EC">
            <w:pPr>
              <w:keepNext/>
              <w:keepLines/>
              <w:spacing w:before="200"/>
              <w:ind w:right="-180"/>
              <w:jc w:val="both"/>
              <w:outlineLvl w:val="2"/>
              <w:rPr>
                <w:rFonts w:cs="Times New Roman"/>
                <w:sz w:val="22"/>
                <w:lang w:val="en-US"/>
              </w:rPr>
            </w:pPr>
          </w:p>
          <w:p w:rsidR="000E03BF" w:rsidRPr="0056236E" w:rsidRDefault="000E03BF" w:rsidP="00F130EC">
            <w:pPr>
              <w:ind w:right="-180"/>
              <w:jc w:val="both"/>
              <w:rPr>
                <w:rFonts w:cs="Times New Roman"/>
                <w:sz w:val="22"/>
                <w:lang w:val="en-US"/>
              </w:rPr>
            </w:pPr>
            <w:r w:rsidRPr="0056236E">
              <w:rPr>
                <w:rFonts w:cs="Times New Roman"/>
                <w:sz w:val="22"/>
                <w:lang w:val="en-US"/>
              </w:rPr>
              <w:t>Expected outputs :</w:t>
            </w:r>
          </w:p>
          <w:p w:rsidR="000E03BF" w:rsidRPr="0056236E" w:rsidRDefault="000E03BF" w:rsidP="00F130EC">
            <w:pPr>
              <w:ind w:right="-180"/>
              <w:jc w:val="both"/>
              <w:rPr>
                <w:rFonts w:cs="Times New Roman"/>
                <w:sz w:val="22"/>
                <w:lang w:val="en-US"/>
              </w:rPr>
            </w:pPr>
          </w:p>
          <w:p w:rsidR="000E03BF" w:rsidRPr="0056236E" w:rsidRDefault="000E03BF" w:rsidP="00F130EC">
            <w:pPr>
              <w:ind w:right="-180"/>
              <w:jc w:val="both"/>
              <w:rPr>
                <w:rFonts w:cs="Times New Roman"/>
                <w:sz w:val="22"/>
                <w:lang w:val="en-US"/>
              </w:rPr>
            </w:pPr>
            <w:r w:rsidRPr="0056236E">
              <w:rPr>
                <w:rFonts w:cs="Times New Roman"/>
                <w:sz w:val="22"/>
                <w:lang w:val="en-US"/>
              </w:rPr>
              <w:t>1.1.1 Comprehensive policy developed and implemented to ensure a successful transition to efficient lighting market including standards, financial mechanisms to support countries in their efforts to implement their national transition plans;</w:t>
            </w:r>
          </w:p>
          <w:p w:rsidR="000E03BF" w:rsidRPr="0056236E" w:rsidRDefault="000E03BF" w:rsidP="00F130EC">
            <w:pPr>
              <w:ind w:right="-180"/>
              <w:jc w:val="both"/>
              <w:rPr>
                <w:rFonts w:cs="Times New Roman"/>
                <w:sz w:val="22"/>
                <w:lang w:val="en-US"/>
              </w:rPr>
            </w:pPr>
            <w:r w:rsidRPr="0056236E">
              <w:rPr>
                <w:rFonts w:cs="Times New Roman"/>
                <w:sz w:val="22"/>
                <w:lang w:val="en-US"/>
              </w:rPr>
              <w:t>1.1.2 National legislation set and enforced including MEPS to promote efficient lighting;</w:t>
            </w:r>
          </w:p>
          <w:p w:rsidR="000E03BF" w:rsidRPr="0056236E" w:rsidRDefault="000E03BF" w:rsidP="00F130EC">
            <w:pPr>
              <w:ind w:right="-180"/>
              <w:jc w:val="both"/>
              <w:rPr>
                <w:rFonts w:cs="Times New Roman"/>
                <w:sz w:val="22"/>
                <w:lang w:val="en-US"/>
              </w:rPr>
            </w:pPr>
            <w:r w:rsidRPr="0056236E">
              <w:rPr>
                <w:rFonts w:cs="Times New Roman"/>
                <w:sz w:val="22"/>
                <w:lang w:val="en-US"/>
              </w:rPr>
              <w:t>1.1.3 MVE framework created to ensure compliance of lighting products in the market; and,</w:t>
            </w:r>
          </w:p>
          <w:p w:rsidR="000E03BF" w:rsidRPr="0056236E" w:rsidRDefault="000E03BF" w:rsidP="00F130EC">
            <w:pPr>
              <w:ind w:right="-180"/>
              <w:jc w:val="both"/>
              <w:rPr>
                <w:rFonts w:cs="Times New Roman"/>
                <w:sz w:val="22"/>
                <w:lang w:val="en-US"/>
              </w:rPr>
            </w:pPr>
            <w:r w:rsidRPr="0056236E">
              <w:rPr>
                <w:rFonts w:cs="Times New Roman"/>
                <w:sz w:val="22"/>
                <w:lang w:val="en-US"/>
              </w:rPr>
              <w:lastRenderedPageBreak/>
              <w:t>1.1.4 Regulatory environment and legal frameworks that ensure environmentally sound management of spent lamps.</w:t>
            </w:r>
          </w:p>
          <w:p w:rsidR="000E03BF" w:rsidRPr="0056236E" w:rsidRDefault="000E03BF" w:rsidP="00F130EC">
            <w:pPr>
              <w:ind w:right="-180"/>
              <w:jc w:val="both"/>
              <w:rPr>
                <w:rFonts w:cs="Times New Roman"/>
                <w:sz w:val="22"/>
                <w:lang w:val="en-US"/>
              </w:rPr>
            </w:pPr>
            <w:r w:rsidRPr="0056236E">
              <w:rPr>
                <w:rFonts w:cs="Times New Roman"/>
                <w:sz w:val="22"/>
                <w:lang w:val="en-US"/>
              </w:rPr>
              <w:t>1.1.5 Communications and awareness raising campaign implemented to increase public demand for efficient lighting.</w:t>
            </w:r>
          </w:p>
          <w:p w:rsidR="000E03BF" w:rsidRPr="0056236E" w:rsidRDefault="000E03BF" w:rsidP="00F130EC">
            <w:pPr>
              <w:keepNext/>
              <w:keepLines/>
              <w:autoSpaceDE w:val="0"/>
              <w:spacing w:before="200"/>
              <w:jc w:val="both"/>
              <w:outlineLvl w:val="2"/>
              <w:rPr>
                <w:rFonts w:cs="Times New Roman"/>
                <w:sz w:val="22"/>
                <w:lang w:val="en-US"/>
              </w:rPr>
            </w:pPr>
          </w:p>
          <w:p w:rsidR="000E03BF" w:rsidRPr="0056236E" w:rsidRDefault="000E03BF" w:rsidP="00F130EC">
            <w:pPr>
              <w:jc w:val="both"/>
              <w:rPr>
                <w:rFonts w:cs="Times New Roman"/>
                <w:b/>
                <w:sz w:val="22"/>
                <w:lang w:val="en-US"/>
              </w:rPr>
            </w:pPr>
            <w:r w:rsidRPr="0056236E">
              <w:rPr>
                <w:rFonts w:cs="Times New Roman"/>
                <w:b/>
                <w:sz w:val="22"/>
                <w:lang w:val="en-US"/>
              </w:rPr>
              <w:t>Component 2: Creating MVE capacities to ensure an effective transition to efficient lighting</w:t>
            </w: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The success of a transition strategy depends on a well-functioning system of monitoring, control, and testing facilities to ensure enforcement and full compliance with MEPS. International experience indicates that unless effective market surveillance systems are established and enforced, substandard products continue to enter national markets, reducing energy and financial savings and thus spoil the market for high performance products.  Poor quality products disappoint users and lead to complaints about the transition to efficient lighting. MVE activities include:  continuous assessment of the process to verify product efficiency; validating declarations of conformance; and, enforcing actions against suppliers or retailers of non-compliant products.</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This project component will develop or strengthen the operational elements that will guarantee compliance with lighting MEPS. If necessary, lighting test facilities will be developed according to the specific needs and situation in Yemen. Any MVE scheme will comply with Yemen’s legal system and with the framework of Component 1 (above).</w:t>
            </w: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To enhance the MVE capacity in Yemen, en.lighten will facilitate sharing of information and skills between neighboring or similar countries. The project will encourage regional cooperation and harmonization to strengthen MVE schemes and to discourage entry of poor-performance products.</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 xml:space="preserve">Key actors include governmental authorities in charge of market control and customs, such as </w:t>
            </w:r>
            <w:r w:rsidRPr="0056236E">
              <w:rPr>
                <w:rFonts w:cs="Times New Roman"/>
                <w:lang w:val="en-US"/>
              </w:rPr>
              <w:t>Ministry of Trade</w:t>
            </w:r>
            <w:r w:rsidRPr="0056236E">
              <w:rPr>
                <w:rFonts w:cs="Times New Roman"/>
                <w:sz w:val="22"/>
                <w:lang w:val="en-US"/>
              </w:rPr>
              <w:t xml:space="preserve"> This component will be directly supported and co-financed by the National Lighting Test Center (Beijing) and its joint collaboration with UNEP, the Global Efficient Lighting Center, also located in Beijing.</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Expected outputs:</w:t>
            </w: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2.1.1 Implementation of legal and administrative processes to improve compliance with national MEPS;</w:t>
            </w:r>
          </w:p>
          <w:p w:rsidR="000E03BF" w:rsidRPr="0056236E" w:rsidRDefault="000E03BF" w:rsidP="00F130EC">
            <w:pPr>
              <w:jc w:val="both"/>
              <w:rPr>
                <w:rFonts w:cs="Times New Roman"/>
                <w:sz w:val="22"/>
                <w:lang w:val="en-US"/>
              </w:rPr>
            </w:pPr>
            <w:r w:rsidRPr="0056236E">
              <w:rPr>
                <w:rFonts w:cs="Times New Roman"/>
                <w:sz w:val="22"/>
                <w:lang w:val="en-US"/>
              </w:rPr>
              <w:t>2.1.2 Technical training and support to government trade and customs authorities; and,</w:t>
            </w:r>
          </w:p>
          <w:p w:rsidR="000E03BF" w:rsidRPr="0056236E" w:rsidRDefault="000E03BF" w:rsidP="00F130EC">
            <w:pPr>
              <w:jc w:val="both"/>
              <w:rPr>
                <w:rFonts w:cs="Times New Roman"/>
                <w:sz w:val="22"/>
                <w:lang w:val="en-US"/>
              </w:rPr>
            </w:pPr>
            <w:r w:rsidRPr="0056236E">
              <w:rPr>
                <w:rFonts w:cs="Times New Roman"/>
                <w:sz w:val="22"/>
                <w:lang w:val="en-US"/>
              </w:rPr>
              <w:t>2.1.3 Creation or strengthening of a national lighting laboratory to verify product compliance with MEPS.</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b/>
                <w:sz w:val="22"/>
                <w:lang w:val="en-US"/>
              </w:rPr>
            </w:pPr>
            <w:r w:rsidRPr="0056236E">
              <w:rPr>
                <w:rFonts w:cs="Times New Roman"/>
                <w:b/>
                <w:sz w:val="22"/>
                <w:lang w:val="en-US"/>
              </w:rPr>
              <w:t>Component 3: Implementing environmentally sound management for lighting products</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Concerns over the mercury content of CFLs with regard to health and the environment may be overstated in the media, but are nonetheless widespread. These concerns are an obstacle to the use of CFLs. To reduce this barrier and to address public concerns, en.lighten’s global task force experts recommend that: the doses of mercury in lamps be reduced to the maximum allowable content in line with international best practice; and, countries adopt environmentally sound management systems to ensure that  mercury and electronic waste is not released into the environment. This advice is consistent with global initiatives such as the “Basel Convention on the Control of Transboundary Movement of Hazardous Wastes and their Disposal,” and the “Intergovernmental Negotiating Committee” for the development of a legally binding agreement on mercury and other related regional agreements.</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 xml:space="preserve">This component includes the implementation of an operational framework to establish a collection scheme, recycling facilities and/or sound disposal systems, as appropriate, to ensure the sustainable end of life treatment of spent lamps. Actions will conform to the national legal waste management </w:t>
            </w:r>
            <w:r w:rsidRPr="0056236E">
              <w:rPr>
                <w:rFonts w:cs="Times New Roman"/>
                <w:sz w:val="22"/>
                <w:lang w:val="en-US"/>
              </w:rPr>
              <w:lastRenderedPageBreak/>
              <w:t>framework for efficient lighting products developed under Component 1 (above). The  system will be adapted to the conditions of Yemen to ensure effectiveness.</w:t>
            </w: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The project and its private sector partners will coordinate activities among countries within the region and with other organizations to ensure conformance with the Basel Convention. The system will collect and recycle magnetic ballasts that may contain polychlorinated biphenyls (PCBs), and, CFLs and other mercury-added lamps (linear fluorescent and mercury vapor) that presently could be disposed of in an environmentally unsound manner.</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These activities will be implemented in close partnership with private sector organizations (lamp manufacturers, recycling companies, importers, distributors and retailers) as well as the Basel Convention Regional Centers. These activities will be co-financed by private sector organizations.</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Expected outputs:</w:t>
            </w: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3.1.1 Implementation of a national framework on environmentally sound lamp waste management;</w:t>
            </w:r>
          </w:p>
          <w:p w:rsidR="000E03BF" w:rsidRPr="0056236E" w:rsidRDefault="000E03BF" w:rsidP="00F130EC">
            <w:pPr>
              <w:jc w:val="both"/>
              <w:rPr>
                <w:rFonts w:cs="Times New Roman"/>
                <w:sz w:val="22"/>
                <w:lang w:val="en-US"/>
              </w:rPr>
            </w:pPr>
            <w:r w:rsidRPr="0056236E">
              <w:rPr>
                <w:rFonts w:cs="Times New Roman"/>
                <w:sz w:val="22"/>
                <w:lang w:val="en-US"/>
              </w:rPr>
              <w:t>3.1.2 Training for governmental authorities, retailers and collection bodies;</w:t>
            </w:r>
          </w:p>
          <w:p w:rsidR="000E03BF" w:rsidRPr="0056236E" w:rsidRDefault="000E03BF" w:rsidP="00F130EC">
            <w:pPr>
              <w:jc w:val="both"/>
              <w:rPr>
                <w:rFonts w:cs="Times New Roman"/>
                <w:sz w:val="22"/>
                <w:lang w:val="en-US"/>
              </w:rPr>
            </w:pPr>
            <w:r w:rsidRPr="0056236E">
              <w:rPr>
                <w:rFonts w:cs="Times New Roman"/>
                <w:sz w:val="22"/>
                <w:lang w:val="en-US"/>
              </w:rPr>
              <w:t>3.1.3 Awareness raising and communication campaigns to promote collection and recycling of spent lamps; and</w:t>
            </w:r>
          </w:p>
          <w:p w:rsidR="000E03BF" w:rsidRPr="0056236E" w:rsidRDefault="000E03BF" w:rsidP="00F130EC">
            <w:pPr>
              <w:jc w:val="both"/>
              <w:rPr>
                <w:rFonts w:cs="Times New Roman"/>
                <w:sz w:val="22"/>
                <w:lang w:val="en-US"/>
              </w:rPr>
            </w:pPr>
            <w:r w:rsidRPr="0056236E">
              <w:rPr>
                <w:rFonts w:cs="Times New Roman"/>
                <w:sz w:val="22"/>
                <w:lang w:val="en-US"/>
              </w:rPr>
              <w:t>3.1.4 Implementation of a national waste management system for spent lamps, including facilitating the process to set up facilities and international coordination for the environmentally sound export/import of lamp waste.</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b/>
                <w:sz w:val="22"/>
                <w:lang w:val="en-US"/>
              </w:rPr>
            </w:pPr>
            <w:r w:rsidRPr="0056236E">
              <w:rPr>
                <w:rFonts w:cs="Times New Roman"/>
                <w:b/>
                <w:sz w:val="22"/>
                <w:lang w:val="en-US"/>
              </w:rPr>
              <w:t>Component 4: Lighting innovation – accelerating the use of solid state lighting and controls</w:t>
            </w:r>
          </w:p>
          <w:p w:rsidR="000E03BF" w:rsidRPr="0056236E" w:rsidRDefault="000E03BF" w:rsidP="00F130EC">
            <w:pPr>
              <w:jc w:val="both"/>
              <w:rPr>
                <w:rFonts w:cs="Times New Roman"/>
                <w:b/>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Solid state lighting and controls used throughout Yemen could significantly reduce electricity consumption and related GHG emissions. Energy consumption (watt-hours) for lighting can be reduced by deploying technologies that require lower input power (watts); and, by reducing unnecessary use (hours) through automatic controls or changes in user behavior.</w:t>
            </w: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The en.lighten initiative Partner Countries, including Yemen, express a strong interest in demonstrating, evaluating and deploying light emitting diodes (LEDs), a solid-state lighting technology that meets or exceeds the efficiency of CFLs and incandescent lamps. LEDs for general illumination applications are available in developed markets, but higher initial costs and unfamiliarity among users are two of the common barriers to their deployment in developing countries. Nonetheless, many developing country governments note that LED lamps do not contain mercury and therefore may be an alternative to mercury-added lamps. The alternative option of using LED lamps is often raised by countries that experience challenges establishing a programmed for the collection, recycling and treatment of mercury-added lamps.</w:t>
            </w:r>
          </w:p>
          <w:p w:rsidR="000E03BF" w:rsidRPr="0056236E" w:rsidRDefault="000E03BF" w:rsidP="00F130EC">
            <w:pPr>
              <w:jc w:val="both"/>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Lighting controls and the education of lighting users so that they can reduce wasted lighting energy also offer significant energy efficiency benefits. However, they are not widely applied in developing countries due to unfamiliarity with the technology and its benefits, limited understanding of how to use controls in lighting systems, and a lack of appropriate products for developing country conditions.</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jc w:val="both"/>
              <w:rPr>
                <w:rFonts w:cs="Times New Roman"/>
                <w:sz w:val="22"/>
                <w:lang w:val="en-US"/>
              </w:rPr>
            </w:pPr>
            <w:r w:rsidRPr="0056236E">
              <w:rPr>
                <w:rFonts w:cs="Times New Roman"/>
                <w:sz w:val="22"/>
                <w:lang w:val="en-US"/>
              </w:rPr>
              <w:t>Through this project Yemen will promote the use of LEDs and controls. Through stakeholder consultations, the project will develop a menu of market-pull activities including:</w:t>
            </w:r>
          </w:p>
          <w:p w:rsidR="000E03BF" w:rsidRPr="0056236E" w:rsidRDefault="000E03BF" w:rsidP="00F130EC">
            <w:pPr>
              <w:keepNext/>
              <w:keepLines/>
              <w:spacing w:before="200"/>
              <w:jc w:val="both"/>
              <w:outlineLvl w:val="2"/>
              <w:rPr>
                <w:rFonts w:cs="Times New Roman"/>
                <w:sz w:val="22"/>
                <w:lang w:val="en-US"/>
              </w:rPr>
            </w:pPr>
          </w:p>
          <w:p w:rsidR="000E03BF" w:rsidRPr="0056236E" w:rsidRDefault="000E03BF" w:rsidP="00F130EC">
            <w:pPr>
              <w:pStyle w:val="Paragraphedeliste"/>
              <w:widowControl w:val="0"/>
              <w:numPr>
                <w:ilvl w:val="0"/>
                <w:numId w:val="34"/>
              </w:numPr>
              <w:suppressAutoHyphens w:val="0"/>
              <w:jc w:val="both"/>
              <w:textAlignment w:val="auto"/>
              <w:rPr>
                <w:lang w:val="en-US"/>
              </w:rPr>
            </w:pPr>
            <w:r w:rsidRPr="0056236E">
              <w:rPr>
                <w:lang w:val="en-US"/>
              </w:rPr>
              <w:t>Training and information about LEDs and controls and how they are best applied in each sector (domestic, commercial/industrial and outdoor lighting), drawing upon international best practices, case studies and published evaluations;</w:t>
            </w:r>
          </w:p>
          <w:p w:rsidR="000E03BF" w:rsidRPr="0056236E" w:rsidRDefault="000E03BF" w:rsidP="00F130EC">
            <w:pPr>
              <w:pStyle w:val="Paragraphedeliste"/>
              <w:widowControl w:val="0"/>
              <w:numPr>
                <w:ilvl w:val="0"/>
                <w:numId w:val="34"/>
              </w:numPr>
              <w:suppressAutoHyphens w:val="0"/>
              <w:jc w:val="both"/>
              <w:textAlignment w:val="auto"/>
              <w:rPr>
                <w:lang w:val="en-US"/>
              </w:rPr>
            </w:pPr>
            <w:r w:rsidRPr="0056236E">
              <w:rPr>
                <w:lang w:val="en-US"/>
              </w:rPr>
              <w:t>Demonstrations and evaluations of LEDs and lighting controls, including case studies of f</w:t>
            </w:r>
            <w:r w:rsidRPr="0056236E">
              <w:rPr>
                <w:lang w:val="en-US"/>
              </w:rPr>
              <w:t>i</w:t>
            </w:r>
            <w:r w:rsidRPr="0056236E">
              <w:rPr>
                <w:lang w:val="en-US"/>
              </w:rPr>
              <w:t>nancial models for offsetting the higher initial first cost of high efficiency products (such as bulk procurement discounts, leasing schemes, micro-financing, energy service company f</w:t>
            </w:r>
            <w:r w:rsidRPr="0056236E">
              <w:rPr>
                <w:lang w:val="en-US"/>
              </w:rPr>
              <w:t>i</w:t>
            </w:r>
            <w:r w:rsidRPr="0056236E">
              <w:rPr>
                <w:lang w:val="en-US"/>
              </w:rPr>
              <w:t>nancing, low-cost loans for pre-qualified products and installation services, and other strat</w:t>
            </w:r>
            <w:r w:rsidRPr="0056236E">
              <w:rPr>
                <w:lang w:val="en-US"/>
              </w:rPr>
              <w:t>e</w:t>
            </w:r>
            <w:r w:rsidRPr="0056236E">
              <w:rPr>
                <w:lang w:val="en-US"/>
              </w:rPr>
              <w:t>gies proven to work in developing countries);</w:t>
            </w:r>
          </w:p>
          <w:p w:rsidR="000E03BF" w:rsidRPr="0056236E" w:rsidRDefault="000E03BF" w:rsidP="00F130EC">
            <w:pPr>
              <w:pStyle w:val="Paragraphedeliste"/>
              <w:widowControl w:val="0"/>
              <w:numPr>
                <w:ilvl w:val="0"/>
                <w:numId w:val="34"/>
              </w:numPr>
              <w:suppressAutoHyphens w:val="0"/>
              <w:jc w:val="both"/>
              <w:textAlignment w:val="auto"/>
              <w:rPr>
                <w:lang w:val="en-US"/>
              </w:rPr>
            </w:pPr>
            <w:r w:rsidRPr="0056236E">
              <w:rPr>
                <w:lang w:val="en-US"/>
              </w:rPr>
              <w:lastRenderedPageBreak/>
              <w:t>Best practice technical advice for LED and lighting controls procurement, such as specific</w:t>
            </w:r>
            <w:r w:rsidRPr="0056236E">
              <w:rPr>
                <w:lang w:val="en-US"/>
              </w:rPr>
              <w:t>a</w:t>
            </w:r>
            <w:r w:rsidRPr="0056236E">
              <w:rPr>
                <w:lang w:val="en-US"/>
              </w:rPr>
              <w:t>tion development and product performance evaluation methods;</w:t>
            </w:r>
          </w:p>
          <w:p w:rsidR="000E03BF" w:rsidRPr="0056236E" w:rsidRDefault="000E03BF" w:rsidP="00F130EC">
            <w:pPr>
              <w:pStyle w:val="Paragraphedeliste"/>
              <w:widowControl w:val="0"/>
              <w:numPr>
                <w:ilvl w:val="0"/>
                <w:numId w:val="34"/>
              </w:numPr>
              <w:suppressAutoHyphens w:val="0"/>
              <w:jc w:val="both"/>
              <w:textAlignment w:val="auto"/>
              <w:rPr>
                <w:lang w:val="en-US"/>
              </w:rPr>
            </w:pPr>
            <w:r w:rsidRPr="0056236E">
              <w:rPr>
                <w:lang w:val="en-US"/>
              </w:rPr>
              <w:t>Development of quality specifications and/or MEPS for LED lamps and lighting controls to protect local markets and consumers from inferior products at lower price points;</w:t>
            </w:r>
          </w:p>
          <w:p w:rsidR="000E03BF" w:rsidRPr="0056236E" w:rsidRDefault="000E03BF" w:rsidP="00F130EC">
            <w:pPr>
              <w:pStyle w:val="Paragraphedeliste"/>
              <w:numPr>
                <w:ilvl w:val="0"/>
                <w:numId w:val="34"/>
              </w:numPr>
              <w:suppressAutoHyphens w:val="0"/>
              <w:jc w:val="both"/>
              <w:textAlignment w:val="auto"/>
              <w:rPr>
                <w:lang w:val="en-US"/>
              </w:rPr>
            </w:pPr>
            <w:r w:rsidRPr="0056236E">
              <w:rPr>
                <w:lang w:val="en-US"/>
              </w:rPr>
              <w:t>Technical advice and training via the en.lighten expert network for laboratories that intend to be qualified to test and evaluate the performance of LED lamps and lighting control pro</w:t>
            </w:r>
            <w:r w:rsidRPr="0056236E">
              <w:rPr>
                <w:lang w:val="en-US"/>
              </w:rPr>
              <w:t>d</w:t>
            </w:r>
            <w:r w:rsidRPr="0056236E">
              <w:rPr>
                <w:lang w:val="en-US"/>
              </w:rPr>
              <w:t>ucts; and,</w:t>
            </w:r>
          </w:p>
          <w:p w:rsidR="000E03BF" w:rsidRPr="0056236E" w:rsidRDefault="000E03BF" w:rsidP="00F130EC">
            <w:pPr>
              <w:pStyle w:val="Paragraphedeliste"/>
              <w:widowControl w:val="0"/>
              <w:numPr>
                <w:ilvl w:val="0"/>
                <w:numId w:val="34"/>
              </w:numPr>
              <w:suppressAutoHyphens w:val="0"/>
              <w:jc w:val="both"/>
              <w:textAlignment w:val="auto"/>
              <w:rPr>
                <w:lang w:val="en-US"/>
              </w:rPr>
            </w:pPr>
            <w:r w:rsidRPr="0056236E">
              <w:rPr>
                <w:lang w:val="en-US"/>
              </w:rPr>
              <w:t>If requested by industry or economic development authorities, technical consultations will be arranged by en.lighten for manufacturers or assemblers of lighting products, so that they can learn about and potentially produce LED lamps and controls.</w:t>
            </w:r>
          </w:p>
          <w:p w:rsidR="000E03BF" w:rsidRPr="0056236E" w:rsidRDefault="000E03BF" w:rsidP="00F130EC">
            <w:pPr>
              <w:pStyle w:val="Paragraphedeliste"/>
              <w:widowControl w:val="0"/>
              <w:suppressAutoHyphens w:val="0"/>
              <w:ind w:left="720"/>
              <w:jc w:val="both"/>
              <w:textAlignment w:val="auto"/>
              <w:rPr>
                <w:lang w:val="en-US"/>
              </w:rPr>
            </w:pPr>
          </w:p>
          <w:p w:rsidR="000E03BF" w:rsidRPr="0056236E" w:rsidRDefault="000E03BF" w:rsidP="00F130EC">
            <w:pPr>
              <w:jc w:val="both"/>
              <w:rPr>
                <w:rFonts w:cs="Times New Roman"/>
                <w:sz w:val="22"/>
                <w:lang w:val="en-US"/>
              </w:rPr>
            </w:pPr>
            <w:r w:rsidRPr="0056236E">
              <w:rPr>
                <w:rFonts w:cs="Times New Roman"/>
                <w:sz w:val="22"/>
                <w:lang w:val="en-US"/>
              </w:rPr>
              <w:t>Key actors include governmental authorities such as the Ministry of Energy, utilities and private sector companies.</w:t>
            </w:r>
          </w:p>
          <w:p w:rsidR="000E03BF" w:rsidRPr="0056236E" w:rsidRDefault="000E03BF" w:rsidP="00F130EC">
            <w:pPr>
              <w:keepNext/>
              <w:keepLines/>
              <w:spacing w:before="200"/>
              <w:jc w:val="both"/>
              <w:outlineLvl w:val="2"/>
              <w:rPr>
                <w:rFonts w:cs="Times New Roman"/>
                <w:b/>
                <w:sz w:val="22"/>
                <w:lang w:val="en-US"/>
              </w:rPr>
            </w:pPr>
          </w:p>
          <w:p w:rsidR="000E03BF" w:rsidRPr="0056236E" w:rsidRDefault="000E03BF" w:rsidP="00F130EC">
            <w:pPr>
              <w:shd w:val="clear" w:color="auto" w:fill="FFFFFF"/>
              <w:spacing w:after="144" w:line="216" w:lineRule="atLeast"/>
              <w:jc w:val="both"/>
              <w:rPr>
                <w:rFonts w:cs="Times New Roman"/>
                <w:sz w:val="22"/>
                <w:lang w:val="en-US"/>
              </w:rPr>
            </w:pPr>
            <w:r w:rsidRPr="0056236E">
              <w:rPr>
                <w:rFonts w:cs="Times New Roman"/>
                <w:sz w:val="22"/>
                <w:lang w:val="en-US"/>
              </w:rPr>
              <w:t>Expected outputs:</w:t>
            </w:r>
          </w:p>
          <w:p w:rsidR="000E03BF" w:rsidRPr="0056236E" w:rsidRDefault="000E03BF" w:rsidP="00F130EC">
            <w:pPr>
              <w:spacing w:before="60" w:after="60"/>
              <w:jc w:val="both"/>
              <w:rPr>
                <w:rFonts w:cs="Times New Roman"/>
                <w:sz w:val="22"/>
                <w:lang w:val="en-US"/>
              </w:rPr>
            </w:pPr>
            <w:r w:rsidRPr="0056236E">
              <w:rPr>
                <w:rFonts w:cs="Times New Roman"/>
                <w:sz w:val="22"/>
                <w:lang w:val="en-US"/>
              </w:rPr>
              <w:t>4.1.1 Enhancement of the National Efficient Lighting Strategy with more stringent MEPS</w:t>
            </w:r>
            <w:r w:rsidR="00F130EC" w:rsidRPr="0056236E">
              <w:rPr>
                <w:rFonts w:cs="Times New Roman"/>
                <w:sz w:val="22"/>
                <w:lang w:val="en-US"/>
              </w:rPr>
              <w:t xml:space="preserve"> to </w:t>
            </w:r>
            <w:r w:rsidRPr="0056236E">
              <w:rPr>
                <w:rFonts w:cs="Times New Roman"/>
                <w:sz w:val="22"/>
                <w:lang w:val="en-US"/>
              </w:rPr>
              <w:t>accelerate demand for advanced lighting technologies and systems.</w:t>
            </w:r>
          </w:p>
          <w:p w:rsidR="000E03BF" w:rsidRPr="0056236E" w:rsidRDefault="000E03BF" w:rsidP="00F130EC">
            <w:pPr>
              <w:spacing w:before="60" w:after="60"/>
              <w:jc w:val="both"/>
              <w:rPr>
                <w:rFonts w:cs="Times New Roman"/>
                <w:sz w:val="22"/>
                <w:lang w:val="en-US"/>
              </w:rPr>
            </w:pPr>
            <w:r w:rsidRPr="0056236E">
              <w:rPr>
                <w:rFonts w:cs="Times New Roman"/>
                <w:sz w:val="22"/>
                <w:lang w:val="en-US"/>
              </w:rPr>
              <w:t xml:space="preserve">4.1.2 Supporting policies </w:t>
            </w:r>
            <w:r w:rsidR="00F130EC" w:rsidRPr="0056236E">
              <w:rPr>
                <w:rFonts w:cs="Times New Roman"/>
                <w:sz w:val="22"/>
                <w:lang w:val="en-US"/>
              </w:rPr>
              <w:t>to</w:t>
            </w:r>
            <w:r w:rsidRPr="0056236E">
              <w:rPr>
                <w:rFonts w:cs="Times New Roman"/>
                <w:sz w:val="22"/>
                <w:lang w:val="en-US"/>
              </w:rPr>
              <w:t xml:space="preserve"> increase user acceptance and demand for higher efficiency lighting products and systems.</w:t>
            </w:r>
          </w:p>
          <w:p w:rsidR="000E03BF" w:rsidRPr="0056236E" w:rsidRDefault="000E03BF" w:rsidP="00F130EC">
            <w:pPr>
              <w:spacing w:before="60" w:after="60"/>
              <w:jc w:val="both"/>
              <w:rPr>
                <w:rFonts w:cs="Times New Roman"/>
                <w:sz w:val="22"/>
                <w:lang w:val="en-US"/>
              </w:rPr>
            </w:pPr>
            <w:r w:rsidRPr="0056236E">
              <w:rPr>
                <w:rFonts w:cs="Times New Roman"/>
                <w:sz w:val="22"/>
                <w:lang w:val="en-US"/>
              </w:rPr>
              <w:t>4.1.3 MVE scheme to assure high quality products and to secure the expected energy and GHG emission benefits.</w:t>
            </w:r>
          </w:p>
          <w:p w:rsidR="000E03BF" w:rsidRPr="0056236E" w:rsidRDefault="000E03BF" w:rsidP="00F130EC">
            <w:pPr>
              <w:spacing w:before="60" w:after="60"/>
              <w:jc w:val="both"/>
              <w:rPr>
                <w:rFonts w:cs="Times New Roman"/>
                <w:sz w:val="22"/>
                <w:lang w:val="en-US"/>
              </w:rPr>
            </w:pPr>
            <w:r w:rsidRPr="0056236E">
              <w:rPr>
                <w:rFonts w:cs="Times New Roman"/>
                <w:sz w:val="22"/>
                <w:lang w:val="en-US"/>
              </w:rPr>
              <w:t xml:space="preserve">4.1.4 Design and evaluation of a pilot demonstration programme </w:t>
            </w:r>
            <w:r w:rsidR="00F130EC" w:rsidRPr="0056236E">
              <w:rPr>
                <w:rFonts w:cs="Times New Roman"/>
                <w:sz w:val="22"/>
                <w:lang w:val="en-US"/>
              </w:rPr>
              <w:t>to introduce and evaluate</w:t>
            </w:r>
            <w:r w:rsidRPr="0056236E">
              <w:rPr>
                <w:rFonts w:cs="Times New Roman"/>
                <w:sz w:val="22"/>
                <w:lang w:val="en-US"/>
              </w:rPr>
              <w:t xml:space="preserve"> LEDs and lighting controls.</w:t>
            </w:r>
          </w:p>
        </w:tc>
      </w:tr>
    </w:tbl>
    <w:p w:rsidR="000E03BF" w:rsidRPr="0056236E" w:rsidRDefault="000E03BF" w:rsidP="00F130EC">
      <w:pPr>
        <w:jc w:val="both"/>
        <w:rPr>
          <w:rFonts w:cs="Times New Roman"/>
          <w:sz w:val="22"/>
          <w:lang w:val="en-US"/>
        </w:rPr>
      </w:pPr>
    </w:p>
    <w:tbl>
      <w:tblPr>
        <w:tblW w:w="9140" w:type="dxa"/>
        <w:tblInd w:w="-34" w:type="dxa"/>
        <w:tblLayout w:type="fixed"/>
        <w:tblCellMar>
          <w:left w:w="10" w:type="dxa"/>
          <w:right w:w="10" w:type="dxa"/>
        </w:tblCellMar>
        <w:tblLook w:val="0000" w:firstRow="0" w:lastRow="0" w:firstColumn="0" w:lastColumn="0" w:noHBand="0" w:noVBand="0"/>
      </w:tblPr>
      <w:tblGrid>
        <w:gridCol w:w="9140"/>
      </w:tblGrid>
      <w:tr w:rsidR="000E03BF" w:rsidRPr="0056236E">
        <w:tc>
          <w:tcPr>
            <w:tcW w:w="9140" w:type="dxa"/>
            <w:tcMar>
              <w:top w:w="0" w:type="dxa"/>
              <w:left w:w="108" w:type="dxa"/>
              <w:bottom w:w="0" w:type="dxa"/>
              <w:right w:w="108" w:type="dxa"/>
            </w:tcMar>
          </w:tcPr>
          <w:p w:rsidR="000E03BF" w:rsidRPr="0056236E" w:rsidRDefault="000E03BF" w:rsidP="00F130EC">
            <w:pPr>
              <w:spacing w:after="80"/>
              <w:ind w:left="810" w:hanging="450"/>
              <w:jc w:val="both"/>
              <w:rPr>
                <w:rFonts w:cs="Times New Roman"/>
                <w:sz w:val="22"/>
                <w:lang w:val="en-US"/>
              </w:rPr>
            </w:pPr>
          </w:p>
        </w:tc>
      </w:tr>
    </w:tbl>
    <w:p w:rsidR="000E03BF" w:rsidRPr="0056236E" w:rsidRDefault="000E03BF" w:rsidP="00F130EC">
      <w:pPr>
        <w:pStyle w:val="Standard"/>
        <w:spacing w:after="80"/>
        <w:ind w:left="810" w:right="566" w:hanging="450"/>
        <w:jc w:val="both"/>
        <w:rPr>
          <w:sz w:val="22"/>
        </w:rPr>
      </w:pPr>
      <w:r w:rsidRPr="0056236E">
        <w:rPr>
          <w:sz w:val="22"/>
        </w:rPr>
        <w:t xml:space="preserve">B.3. </w:t>
      </w:r>
      <w:r w:rsidRPr="0056236E">
        <w:rPr>
          <w:sz w:val="22"/>
        </w:rPr>
        <w:tab/>
        <w:t xml:space="preserve">Describe the socioeconomic benefits to be delivered by the project at the national and local levels, including consideration of gender dimensions, and how these will support the achievement of global environment benefits (GEF Trust Fund/NPIF) or adaptation benefits (LDCF/SCCF). As a background information, read </w:t>
      </w:r>
      <w:hyperlink r:id="rId17" w:history="1">
        <w:r w:rsidRPr="0056236E">
          <w:rPr>
            <w:sz w:val="22"/>
          </w:rPr>
          <w:t>Mainstreaming Gender at the GEF"</w:t>
        </w:r>
      </w:hyperlink>
      <w:r w:rsidRPr="0056236E">
        <w:rPr>
          <w:sz w:val="22"/>
        </w:rPr>
        <w:t xml:space="preserve">:  </w:t>
      </w:r>
    </w:p>
    <w:p w:rsidR="000E03BF" w:rsidRPr="0056236E" w:rsidRDefault="000E03BF" w:rsidP="00F130EC">
      <w:pPr>
        <w:pStyle w:val="Standard"/>
        <w:spacing w:after="80"/>
        <w:ind w:right="566"/>
        <w:jc w:val="both"/>
        <w:rPr>
          <w:sz w:val="22"/>
        </w:rPr>
      </w:pPr>
    </w:p>
    <w:p w:rsidR="000E03BF" w:rsidRPr="0056236E" w:rsidRDefault="000E03BF" w:rsidP="00F130EC">
      <w:pPr>
        <w:spacing w:before="120" w:after="120"/>
        <w:ind w:right="566"/>
        <w:jc w:val="both"/>
        <w:rPr>
          <w:rFonts w:cs="Times New Roman"/>
          <w:sz w:val="22"/>
          <w:lang w:val="en-US"/>
        </w:rPr>
      </w:pPr>
      <w:r w:rsidRPr="0056236E">
        <w:rPr>
          <w:rFonts w:cs="Times New Roman"/>
          <w:sz w:val="22"/>
          <w:lang w:val="en-US"/>
        </w:rPr>
        <w:t xml:space="preserve">The project builds on the success of the Global Market Transformation to Energy Efficient Lighting Project (en.lighten initiative) and will focus on accelerating the transition to clean energy technologies. </w:t>
      </w:r>
    </w:p>
    <w:p w:rsidR="000E03BF" w:rsidRPr="0056236E" w:rsidRDefault="000E03BF" w:rsidP="00F130EC">
      <w:pPr>
        <w:spacing w:before="120" w:after="120"/>
        <w:ind w:right="566"/>
        <w:jc w:val="both"/>
        <w:rPr>
          <w:rFonts w:cs="Times New Roman"/>
          <w:sz w:val="22"/>
          <w:lang w:val="en-US"/>
        </w:rPr>
      </w:pPr>
      <w:r w:rsidRPr="0056236E">
        <w:rPr>
          <w:rFonts w:cs="Times New Roman"/>
          <w:sz w:val="22"/>
          <w:lang w:val="en-US"/>
        </w:rPr>
        <w:t xml:space="preserve">The proposed project aims to provide socio-economic benefits at the national and local level. The transition to efficient lighting significantly impacts the ability to maximize use of existing electrical power generation without having to build new and expensive generation and distribution facilities. </w:t>
      </w:r>
    </w:p>
    <w:p w:rsidR="000E03BF" w:rsidRPr="0056236E" w:rsidRDefault="000E03BF" w:rsidP="00F130EC">
      <w:pPr>
        <w:spacing w:before="120" w:after="120"/>
        <w:ind w:right="566"/>
        <w:jc w:val="both"/>
        <w:rPr>
          <w:rFonts w:cs="Times New Roman"/>
          <w:sz w:val="22"/>
          <w:lang w:val="en-US"/>
        </w:rPr>
      </w:pPr>
      <w:r w:rsidRPr="0056236E">
        <w:rPr>
          <w:rFonts w:cs="Times New Roman"/>
          <w:sz w:val="22"/>
          <w:lang w:val="en-US"/>
        </w:rPr>
        <w:t>Avoiding the construction of new power plants is financially significant to any developing economy. Such transition would reduce power demand and therefore reduce oil consumption. The transition would also reduce peak power demand and decrease substantially the black-outs experienced in many developing countries.</w:t>
      </w:r>
    </w:p>
    <w:p w:rsidR="000E03BF" w:rsidRPr="0056236E" w:rsidRDefault="000E03BF" w:rsidP="00F130EC">
      <w:pPr>
        <w:spacing w:before="120" w:after="120"/>
        <w:ind w:right="566"/>
        <w:jc w:val="both"/>
        <w:rPr>
          <w:rFonts w:cs="Times New Roman"/>
          <w:sz w:val="22"/>
          <w:lang w:val="en-US"/>
        </w:rPr>
      </w:pPr>
      <w:r w:rsidRPr="0056236E">
        <w:rPr>
          <w:rFonts w:cs="Times New Roman"/>
          <w:sz w:val="22"/>
          <w:lang w:val="en-US"/>
        </w:rPr>
        <w:t>The project will increase the quality of, and demand for, efficient lighting technologies manufactured in Yemen, thereby stimulating the local economy. It will also stimulate the professional development of staff in lighting testing and verification facilities.</w:t>
      </w:r>
    </w:p>
    <w:p w:rsidR="000E03BF" w:rsidRPr="0056236E" w:rsidRDefault="000E03BF" w:rsidP="00F130EC">
      <w:pPr>
        <w:autoSpaceDE w:val="0"/>
        <w:spacing w:before="120" w:after="120"/>
        <w:ind w:right="566"/>
        <w:jc w:val="both"/>
        <w:rPr>
          <w:rFonts w:cs="Times New Roman"/>
          <w:sz w:val="22"/>
          <w:lang w:val="en-US"/>
        </w:rPr>
      </w:pPr>
      <w:r w:rsidRPr="0056236E">
        <w:rPr>
          <w:rFonts w:cs="Times New Roman"/>
          <w:sz w:val="22"/>
          <w:lang w:val="en-US"/>
        </w:rPr>
        <w:t xml:space="preserve">The project delivers lighting quality and economic productivity benefits to all Yemen citizens because high efficiency lamps last longer and can deliver better quality light than do inefficient incandescent lamps.  The collection, recycling and environmentally sound management of spent lamps will reduce the risk of mercury contamination for all citizens.  </w:t>
      </w:r>
    </w:p>
    <w:p w:rsidR="000E03BF" w:rsidRPr="0056236E" w:rsidRDefault="000E03BF" w:rsidP="00F130EC">
      <w:pPr>
        <w:spacing w:before="120" w:after="120"/>
        <w:ind w:right="566"/>
        <w:jc w:val="both"/>
        <w:rPr>
          <w:rFonts w:cs="Times New Roman"/>
          <w:sz w:val="22"/>
          <w:lang w:val="en-US"/>
        </w:rPr>
      </w:pPr>
      <w:r w:rsidRPr="0056236E">
        <w:rPr>
          <w:rFonts w:cs="Times New Roman"/>
          <w:sz w:val="22"/>
          <w:lang w:val="en-US"/>
        </w:rPr>
        <w:t>The project will track gender of participants in stakeholder groups, workshops, task forces, project oversight committees, project staff and staff or consultants retained by Yemen. Gender as a topic will be addressed in the project team and stakeholder meetings, to help identify other areas where gender goals could be established. For example, purchasers of lighting products may have gender-related preferences that could be identified in order to encourage greater participation in market-based promotion and consumer information campaigns.</w:t>
      </w:r>
    </w:p>
    <w:p w:rsidR="000E03BF" w:rsidRPr="0056236E" w:rsidRDefault="000E03BF" w:rsidP="00F130EC">
      <w:pPr>
        <w:spacing w:before="120" w:after="120"/>
        <w:ind w:right="566"/>
        <w:jc w:val="both"/>
        <w:rPr>
          <w:rFonts w:cs="Times New Roman"/>
          <w:sz w:val="22"/>
          <w:lang w:val="en-US"/>
        </w:rPr>
      </w:pPr>
    </w:p>
    <w:p w:rsidR="000E03BF" w:rsidRPr="0056236E" w:rsidRDefault="000E03BF">
      <w:pPr>
        <w:pStyle w:val="Standard"/>
        <w:spacing w:after="80"/>
        <w:ind w:left="810" w:hanging="450"/>
        <w:rPr>
          <w:sz w:val="22"/>
        </w:rPr>
      </w:pPr>
      <w:r w:rsidRPr="0056236E">
        <w:rPr>
          <w:rStyle w:val="Policepardfaut"/>
          <w:sz w:val="22"/>
        </w:rPr>
        <w:lastRenderedPageBreak/>
        <w:t>B.4</w:t>
      </w:r>
      <w:r w:rsidRPr="0056236E">
        <w:rPr>
          <w:rStyle w:val="Policepardfaut"/>
          <w:sz w:val="22"/>
        </w:rPr>
        <w:tab/>
        <w:t>Indicate risks, including climate change risks that might prevent the project objectives from being achieved, and if possible, propose measures that address these risks to be further developed during the project design</w:t>
      </w:r>
      <w:r w:rsidRPr="0056236E">
        <w:rPr>
          <w:rStyle w:val="Policepardfaut"/>
          <w:bCs/>
          <w:sz w:val="22"/>
        </w:rPr>
        <w:t>:</w:t>
      </w:r>
    </w:p>
    <w:p w:rsidR="000E03BF" w:rsidRPr="0056236E" w:rsidRDefault="000E03BF">
      <w:pPr>
        <w:pStyle w:val="Standard"/>
        <w:spacing w:after="80"/>
        <w:ind w:left="810" w:hanging="450"/>
        <w:rPr>
          <w:sz w:val="22"/>
        </w:rPr>
      </w:pPr>
    </w:p>
    <w:p w:rsidR="000E03BF" w:rsidRPr="0056236E" w:rsidRDefault="000E03BF">
      <w:pPr>
        <w:spacing w:after="80"/>
        <w:jc w:val="both"/>
        <w:rPr>
          <w:rFonts w:cs="Times New Roman"/>
          <w:sz w:val="22"/>
          <w:lang w:val="en-US"/>
        </w:rPr>
      </w:pPr>
      <w:r w:rsidRPr="0056236E">
        <w:rPr>
          <w:rFonts w:cs="Times New Roman"/>
          <w:sz w:val="22"/>
          <w:lang w:val="en-US"/>
        </w:rPr>
        <w:t>The  project is subject to risks that can be anticipated. Adequate risk management and mitigation strategies ensuring successful project implementation may be developed and implemented. The possible risks are:</w:t>
      </w:r>
    </w:p>
    <w:p w:rsidR="000E03BF" w:rsidRPr="0056236E" w:rsidRDefault="000E03BF">
      <w:pPr>
        <w:spacing w:after="80"/>
        <w:jc w:val="both"/>
        <w:rPr>
          <w:rFonts w:cs="Times New Roman"/>
          <w:sz w:val="22"/>
          <w:lang w:val="en-US"/>
        </w:rPr>
      </w:pPr>
    </w:p>
    <w:tbl>
      <w:tblPr>
        <w:tblW w:w="9500" w:type="dxa"/>
        <w:tblLayout w:type="fixed"/>
        <w:tblCellMar>
          <w:left w:w="10" w:type="dxa"/>
          <w:right w:w="10" w:type="dxa"/>
        </w:tblCellMar>
        <w:tblLook w:val="0000" w:firstRow="0" w:lastRow="0" w:firstColumn="0" w:lastColumn="0" w:noHBand="0" w:noVBand="0"/>
      </w:tblPr>
      <w:tblGrid>
        <w:gridCol w:w="3166"/>
        <w:gridCol w:w="4172"/>
        <w:gridCol w:w="2162"/>
      </w:tblGrid>
      <w:tr w:rsidR="000E03BF" w:rsidRPr="0056236E">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center"/>
              <w:rPr>
                <w:rFonts w:cs="Times New Roman"/>
                <w:b/>
                <w:sz w:val="22"/>
                <w:lang w:val="en-US"/>
              </w:rPr>
            </w:pPr>
            <w:r w:rsidRPr="0056236E">
              <w:rPr>
                <w:rFonts w:cs="Times New Roman"/>
                <w:b/>
                <w:sz w:val="22"/>
                <w:lang w:val="en-US"/>
              </w:rPr>
              <w:t>Risk description</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center"/>
              <w:rPr>
                <w:rFonts w:cs="Times New Roman"/>
                <w:b/>
                <w:sz w:val="22"/>
                <w:lang w:val="en-US"/>
              </w:rPr>
            </w:pPr>
            <w:r w:rsidRPr="0056236E">
              <w:rPr>
                <w:rFonts w:cs="Times New Roman"/>
                <w:b/>
                <w:sz w:val="22"/>
                <w:lang w:val="en-US"/>
              </w:rPr>
              <w:t>Mitigation measure</w:t>
            </w: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center"/>
              <w:rPr>
                <w:rFonts w:cs="Times New Roman"/>
                <w:b/>
                <w:sz w:val="22"/>
                <w:lang w:val="en-US"/>
              </w:rPr>
            </w:pPr>
            <w:r w:rsidRPr="0056236E">
              <w:rPr>
                <w:rFonts w:cs="Times New Roman"/>
                <w:b/>
                <w:sz w:val="22"/>
                <w:lang w:val="en-US"/>
              </w:rPr>
              <w:t>Level of risk</w:t>
            </w:r>
          </w:p>
        </w:tc>
      </w:tr>
      <w:tr w:rsidR="000E03BF" w:rsidRPr="0056236E">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both"/>
              <w:rPr>
                <w:rFonts w:cs="Times New Roman"/>
                <w:sz w:val="22"/>
                <w:lang w:val="en-US"/>
              </w:rPr>
            </w:pPr>
            <w:r w:rsidRPr="0056236E">
              <w:rPr>
                <w:rStyle w:val="Policepardfaut"/>
                <w:rFonts w:cs="Times New Roman"/>
                <w:sz w:val="22"/>
                <w:lang w:val="en-US"/>
              </w:rPr>
              <w:t xml:space="preserve">Weak government support, which leads to inadequate and ineffective enforcement or policies and regulations. </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both"/>
              <w:rPr>
                <w:rFonts w:cs="Times New Roman"/>
                <w:sz w:val="22"/>
                <w:lang w:val="en-US"/>
              </w:rPr>
            </w:pPr>
            <w:r w:rsidRPr="0056236E">
              <w:rPr>
                <w:rFonts w:cs="Times New Roman"/>
                <w:sz w:val="22"/>
                <w:lang w:val="en-US"/>
              </w:rPr>
              <w:t>(i) Incorporate necessary interventions for the formulation of the policies on energy efficient lighting, including the accompanying implementing rules and regulations;</w:t>
            </w:r>
          </w:p>
          <w:p w:rsidR="000E03BF" w:rsidRPr="0056236E" w:rsidRDefault="000E03BF">
            <w:pPr>
              <w:spacing w:after="80"/>
              <w:jc w:val="both"/>
              <w:rPr>
                <w:rFonts w:cs="Times New Roman"/>
                <w:sz w:val="22"/>
                <w:lang w:val="en-US"/>
              </w:rPr>
            </w:pPr>
            <w:r w:rsidRPr="0056236E">
              <w:rPr>
                <w:rFonts w:cs="Times New Roman"/>
                <w:sz w:val="22"/>
                <w:lang w:val="en-US"/>
              </w:rPr>
              <w:t>(ii) Improve the institutional arrangements for the enforcement of lighting product standards and quality norms</w:t>
            </w: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rPr>
                <w:rFonts w:cs="Times New Roman"/>
                <w:sz w:val="22"/>
                <w:lang w:val="en-US"/>
              </w:rPr>
            </w:pPr>
            <w:r w:rsidRPr="0056236E">
              <w:rPr>
                <w:rFonts w:cs="Times New Roman"/>
                <w:sz w:val="22"/>
                <w:lang w:val="en-US"/>
              </w:rPr>
              <w:t>Medium</w:t>
            </w:r>
          </w:p>
        </w:tc>
      </w:tr>
      <w:tr w:rsidR="000E03BF" w:rsidRPr="0056236E">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rPr>
                <w:rFonts w:cs="Times New Roman"/>
                <w:sz w:val="22"/>
                <w:lang w:val="en-US"/>
              </w:rPr>
            </w:pPr>
            <w:r w:rsidRPr="0056236E">
              <w:rPr>
                <w:rFonts w:cs="Times New Roman"/>
                <w:sz w:val="22"/>
                <w:lang w:val="en-US"/>
              </w:rPr>
              <w:t>Policies might be recommended but not implemented</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both"/>
              <w:rPr>
                <w:rFonts w:cs="Times New Roman"/>
                <w:sz w:val="22"/>
                <w:lang w:val="en-US"/>
              </w:rPr>
            </w:pPr>
            <w:r w:rsidRPr="0056236E">
              <w:rPr>
                <w:rFonts w:cs="Times New Roman"/>
                <w:sz w:val="22"/>
                <w:lang w:val="en-US"/>
              </w:rPr>
              <w:t>(i) Implement proposed project via leading policy development bodies;</w:t>
            </w:r>
          </w:p>
          <w:p w:rsidR="000E03BF" w:rsidRPr="0056236E" w:rsidRDefault="000E03BF">
            <w:pPr>
              <w:spacing w:after="80"/>
              <w:jc w:val="both"/>
              <w:rPr>
                <w:rFonts w:cs="Times New Roman"/>
                <w:sz w:val="22"/>
                <w:lang w:val="en-US"/>
              </w:rPr>
            </w:pPr>
            <w:r w:rsidRPr="0056236E">
              <w:rPr>
                <w:rFonts w:cs="Times New Roman"/>
                <w:sz w:val="22"/>
                <w:lang w:val="en-US"/>
              </w:rPr>
              <w:t>(ii) Involve policy makers in the policy development and review process.</w:t>
            </w:r>
          </w:p>
          <w:p w:rsidR="000E03BF" w:rsidRPr="0056236E" w:rsidRDefault="000E03BF">
            <w:pPr>
              <w:spacing w:after="80"/>
              <w:jc w:val="both"/>
              <w:rPr>
                <w:rFonts w:cs="Times New Roman"/>
                <w:sz w:val="22"/>
                <w:lang w:val="en-US"/>
              </w:rPr>
            </w:pPr>
            <w:r w:rsidRPr="0056236E">
              <w:rPr>
                <w:rFonts w:cs="Times New Roman"/>
                <w:sz w:val="22"/>
                <w:lang w:val="en-US"/>
              </w:rPr>
              <w:t xml:space="preserve">(iii) Involve the UNEP Regional Office for advice and contacts for the implementation of project activities </w:t>
            </w:r>
          </w:p>
          <w:p w:rsidR="000E03BF" w:rsidRPr="0056236E" w:rsidRDefault="000E03BF" w:rsidP="000E03BF">
            <w:pPr>
              <w:spacing w:after="80"/>
              <w:jc w:val="both"/>
              <w:rPr>
                <w:rFonts w:cs="Times New Roman"/>
                <w:sz w:val="22"/>
                <w:lang w:val="en-US"/>
              </w:rPr>
            </w:pPr>
            <w:r w:rsidRPr="0056236E">
              <w:rPr>
                <w:rFonts w:cs="Times New Roman"/>
                <w:sz w:val="22"/>
                <w:lang w:val="en-US"/>
              </w:rPr>
              <w:t xml:space="preserve">(iv) Closely coordinate activities and obtain  political support and advice from the UNDP and UNIDO offices in Yemen </w:t>
            </w: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rPr>
                <w:rFonts w:cs="Times New Roman"/>
                <w:sz w:val="22"/>
              </w:rPr>
            </w:pPr>
            <w:r w:rsidRPr="0056236E">
              <w:rPr>
                <w:rFonts w:cs="Times New Roman"/>
                <w:sz w:val="22"/>
              </w:rPr>
              <w:t>High</w:t>
            </w:r>
          </w:p>
        </w:tc>
      </w:tr>
      <w:tr w:rsidR="000E03BF" w:rsidRPr="0056236E">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both"/>
              <w:rPr>
                <w:rFonts w:cs="Times New Roman"/>
                <w:sz w:val="22"/>
                <w:lang w:val="en-US"/>
              </w:rPr>
            </w:pPr>
            <w:r w:rsidRPr="0056236E">
              <w:rPr>
                <w:rFonts w:cs="Times New Roman"/>
                <w:sz w:val="22"/>
                <w:lang w:val="en-US"/>
              </w:rPr>
              <w:t>Delayed implementation of activities that are baselines for specific incremental activities of the proposed project</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jc w:val="both"/>
              <w:rPr>
                <w:rFonts w:cs="Times New Roman"/>
                <w:sz w:val="22"/>
                <w:lang w:val="en-US"/>
              </w:rPr>
            </w:pPr>
            <w:r w:rsidRPr="0056236E">
              <w:rPr>
                <w:rFonts w:cs="Times New Roman"/>
                <w:sz w:val="22"/>
                <w:lang w:val="en-US"/>
              </w:rPr>
              <w:t>During the proposed project design stage, serious implementation partners will be identified. Also, during the design stage, realistic schedule will be established among responsible agencies.</w:t>
            </w: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rPr>
                <w:rFonts w:cs="Times New Roman"/>
                <w:sz w:val="22"/>
              </w:rPr>
            </w:pPr>
            <w:r w:rsidRPr="0056236E">
              <w:rPr>
                <w:rFonts w:cs="Times New Roman"/>
                <w:sz w:val="22"/>
              </w:rPr>
              <w:t>Medium</w:t>
            </w:r>
          </w:p>
        </w:tc>
      </w:tr>
      <w:tr w:rsidR="000E03BF" w:rsidRPr="0056236E">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rPr>
                <w:rFonts w:cs="Times New Roman"/>
                <w:sz w:val="22"/>
                <w:lang w:val="en-US"/>
              </w:rPr>
            </w:pPr>
            <w:r w:rsidRPr="0056236E">
              <w:rPr>
                <w:rFonts w:cs="Times New Roman"/>
                <w:sz w:val="22"/>
                <w:lang w:val="en-US"/>
              </w:rPr>
              <w:t>Low level participation from the private sector actors including lighting technology manufacturers and distributors.</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widowControl/>
              <w:numPr>
                <w:ilvl w:val="0"/>
                <w:numId w:val="30"/>
              </w:numPr>
              <w:tabs>
                <w:tab w:val="left" w:pos="344"/>
              </w:tabs>
              <w:suppressAutoHyphens w:val="0"/>
              <w:spacing w:after="80"/>
              <w:jc w:val="both"/>
              <w:textAlignment w:val="auto"/>
              <w:rPr>
                <w:rFonts w:cs="Times New Roman"/>
                <w:sz w:val="22"/>
                <w:lang w:val="en-US"/>
              </w:rPr>
            </w:pPr>
            <w:r w:rsidRPr="0056236E">
              <w:rPr>
                <w:rStyle w:val="Policepardfaut"/>
                <w:rFonts w:cs="Times New Roman"/>
                <w:sz w:val="22"/>
                <w:lang w:val="en-US"/>
              </w:rPr>
              <w:t xml:space="preserve">Involve the private sector key players from the project design stage; (ii) disseminate latest information through appropriate channels; and (iii) identify  needs and demands through continuous dialogue; </w:t>
            </w:r>
            <w:r w:rsidRPr="0056236E">
              <w:rPr>
                <w:rFonts w:cs="Times New Roman"/>
                <w:sz w:val="22"/>
                <w:lang w:val="en-US"/>
              </w:rPr>
              <w:t>(iii) involve the UNEP Executive Dire</w:t>
            </w:r>
            <w:r w:rsidRPr="0056236E">
              <w:rPr>
                <w:rFonts w:cs="Times New Roman"/>
                <w:sz w:val="22"/>
                <w:lang w:val="en-US"/>
              </w:rPr>
              <w:t>c</w:t>
            </w:r>
            <w:r w:rsidRPr="0056236E">
              <w:rPr>
                <w:rFonts w:cs="Times New Roman"/>
                <w:sz w:val="22"/>
                <w:lang w:val="en-US"/>
              </w:rPr>
              <w:t>tor to obtain participation and pr</w:t>
            </w:r>
            <w:r w:rsidRPr="0056236E">
              <w:rPr>
                <w:rFonts w:cs="Times New Roman"/>
                <w:sz w:val="22"/>
                <w:lang w:val="en-US"/>
              </w:rPr>
              <w:t>o</w:t>
            </w:r>
            <w:r w:rsidRPr="0056236E">
              <w:rPr>
                <w:rFonts w:cs="Times New Roman"/>
                <w:sz w:val="22"/>
                <w:lang w:val="en-US"/>
              </w:rPr>
              <w:t xml:space="preserve">gress from companies. </w:t>
            </w:r>
          </w:p>
        </w:tc>
        <w:tc>
          <w:tcPr>
            <w:tcW w:w="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80"/>
              <w:rPr>
                <w:rFonts w:cs="Times New Roman"/>
                <w:sz w:val="22"/>
                <w:lang w:val="en-US"/>
              </w:rPr>
            </w:pPr>
            <w:r w:rsidRPr="0056236E">
              <w:rPr>
                <w:rFonts w:cs="Times New Roman"/>
                <w:sz w:val="22"/>
                <w:lang w:val="en-US"/>
              </w:rPr>
              <w:t>Medium</w:t>
            </w:r>
          </w:p>
        </w:tc>
      </w:tr>
    </w:tbl>
    <w:p w:rsidR="000E03BF" w:rsidRPr="0056236E" w:rsidRDefault="000E03BF">
      <w:pPr>
        <w:spacing w:after="80"/>
        <w:rPr>
          <w:rFonts w:cs="Times New Roman"/>
          <w:bCs/>
          <w:sz w:val="22"/>
          <w:lang w:val="en-US"/>
        </w:rPr>
      </w:pPr>
    </w:p>
    <w:p w:rsidR="000E03BF" w:rsidRPr="0056236E" w:rsidRDefault="000E03BF">
      <w:pPr>
        <w:pStyle w:val="Standard"/>
        <w:spacing w:after="80"/>
        <w:ind w:left="810" w:hanging="450"/>
        <w:rPr>
          <w:sz w:val="22"/>
        </w:rPr>
      </w:pPr>
    </w:p>
    <w:p w:rsidR="000E03BF" w:rsidRPr="0056236E" w:rsidRDefault="000E03BF">
      <w:pPr>
        <w:pStyle w:val="Standard"/>
        <w:spacing w:after="120"/>
        <w:ind w:left="810" w:right="4" w:hanging="450"/>
        <w:rPr>
          <w:sz w:val="22"/>
        </w:rPr>
      </w:pPr>
      <w:r w:rsidRPr="0056236E">
        <w:rPr>
          <w:sz w:val="22"/>
        </w:rPr>
        <w:t xml:space="preserve">B.5. Identify key stakeholders involved in the project including the private sector, civil society organizations, local and indigenous communities, and their respective roles, as applicable:  </w:t>
      </w:r>
    </w:p>
    <w:tbl>
      <w:tblPr>
        <w:tblW w:w="9500" w:type="dxa"/>
        <w:tblLayout w:type="fixed"/>
        <w:tblCellMar>
          <w:left w:w="10" w:type="dxa"/>
          <w:right w:w="10" w:type="dxa"/>
        </w:tblCellMar>
        <w:tblLook w:val="0000" w:firstRow="0" w:lastRow="0" w:firstColumn="0" w:lastColumn="0" w:noHBand="0" w:noVBand="0"/>
      </w:tblPr>
      <w:tblGrid>
        <w:gridCol w:w="2235"/>
        <w:gridCol w:w="7265"/>
      </w:tblGrid>
      <w:tr w:rsidR="000E03BF" w:rsidRPr="0056236E">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jc w:val="center"/>
              <w:rPr>
                <w:rFonts w:cs="Times New Roman"/>
                <w:b/>
                <w:sz w:val="22"/>
              </w:rPr>
            </w:pPr>
            <w:r w:rsidRPr="0056236E">
              <w:rPr>
                <w:rFonts w:cs="Times New Roman"/>
                <w:b/>
                <w:sz w:val="22"/>
              </w:rPr>
              <w:t>Stakeholder</w:t>
            </w:r>
            <w:r w:rsidR="0071492D" w:rsidRPr="0056236E">
              <w:rPr>
                <w:rFonts w:cs="Times New Roman"/>
                <w:b/>
                <w:sz w:val="22"/>
              </w:rPr>
              <w:t>s</w:t>
            </w:r>
          </w:p>
        </w:tc>
        <w:tc>
          <w:tcPr>
            <w:tcW w:w="7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jc w:val="center"/>
              <w:rPr>
                <w:rFonts w:cs="Times New Roman"/>
                <w:b/>
                <w:sz w:val="22"/>
              </w:rPr>
            </w:pPr>
            <w:r w:rsidRPr="0056236E">
              <w:rPr>
                <w:rFonts w:cs="Times New Roman"/>
                <w:b/>
                <w:sz w:val="22"/>
              </w:rPr>
              <w:t>Role</w:t>
            </w:r>
          </w:p>
        </w:tc>
      </w:tr>
      <w:tr w:rsidR="000E03BF" w:rsidRPr="0056236E">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rPr>
                <w:rFonts w:cs="Times New Roman"/>
                <w:sz w:val="22"/>
                <w:lang w:val="en-US"/>
              </w:rPr>
            </w:pPr>
            <w:r w:rsidRPr="0056236E">
              <w:rPr>
                <w:rFonts w:cs="Times New Roman"/>
                <w:sz w:val="22"/>
                <w:lang w:val="en-US"/>
              </w:rPr>
              <w:t>Government and national standards-setting bodies</w:t>
            </w:r>
          </w:p>
        </w:tc>
        <w:tc>
          <w:tcPr>
            <w:tcW w:w="7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F130EC">
            <w:pPr>
              <w:spacing w:after="120"/>
              <w:ind w:right="4"/>
              <w:jc w:val="both"/>
              <w:rPr>
                <w:rFonts w:cs="Times New Roman"/>
                <w:sz w:val="22"/>
                <w:lang w:val="en-US"/>
              </w:rPr>
            </w:pPr>
            <w:r w:rsidRPr="0056236E">
              <w:rPr>
                <w:rFonts w:cs="Times New Roman"/>
                <w:sz w:val="22"/>
                <w:lang w:val="en-US"/>
              </w:rPr>
              <w:t xml:space="preserve">Policy makers, officials and technical staff within government ministries will play a crucial role in the implementation of the proposed project. The Ministry of Industry and Energy will be the national project partner. In practice, the Ministry of Industry and Energy is responsible for policy and regulatory actions to promote energy efficiency. The Ministry of Ecology and Natural Resources will also play a key role because climate mitigation activities as well as mercury control competencies rely on this body. Other ministries such as trade, commerce, finance, standards and quality control will also play a key role through their participation in the project oversight and implementation of market control activities. The national standards- setting body will play a key </w:t>
            </w:r>
            <w:r w:rsidRPr="0056236E">
              <w:rPr>
                <w:rFonts w:cs="Times New Roman"/>
                <w:sz w:val="22"/>
                <w:lang w:val="en-US"/>
              </w:rPr>
              <w:lastRenderedPageBreak/>
              <w:t>role in the proposed project implementation.</w:t>
            </w:r>
          </w:p>
        </w:tc>
      </w:tr>
      <w:tr w:rsidR="000E03BF" w:rsidRPr="0056236E">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rPr>
                <w:rFonts w:cs="Times New Roman"/>
                <w:sz w:val="22"/>
              </w:rPr>
            </w:pPr>
            <w:r w:rsidRPr="0056236E">
              <w:rPr>
                <w:rFonts w:cs="Times New Roman"/>
                <w:sz w:val="22"/>
              </w:rPr>
              <w:lastRenderedPageBreak/>
              <w:t>Energy providers</w:t>
            </w:r>
          </w:p>
        </w:tc>
        <w:tc>
          <w:tcPr>
            <w:tcW w:w="7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spacing w:after="120"/>
              <w:ind w:right="4"/>
              <w:jc w:val="both"/>
              <w:rPr>
                <w:rFonts w:cs="Times New Roman"/>
                <w:sz w:val="22"/>
                <w:lang w:val="en-US"/>
              </w:rPr>
            </w:pPr>
            <w:r w:rsidRPr="0056236E">
              <w:rPr>
                <w:rFonts w:cs="Times New Roman"/>
                <w:sz w:val="22"/>
                <w:lang w:val="en-US"/>
              </w:rPr>
              <w:t>Energy utilities have an incentive to encourage efficiency to lower capital costs for infrastructure. Regulated or state-owned utilities may have additional incentives. Utilities will provide key inputs to the projects as they often have the best information regarding consumer demand patterns.</w:t>
            </w:r>
          </w:p>
        </w:tc>
      </w:tr>
      <w:tr w:rsidR="000E03BF" w:rsidRPr="0056236E">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rPr>
                <w:rFonts w:cs="Times New Roman"/>
                <w:sz w:val="22"/>
                <w:lang w:val="en-US"/>
              </w:rPr>
            </w:pPr>
            <w:r w:rsidRPr="0056236E">
              <w:rPr>
                <w:rFonts w:cs="Times New Roman"/>
                <w:sz w:val="22"/>
                <w:lang w:val="en-US"/>
              </w:rPr>
              <w:t>Testing laboratories and technical institutions</w:t>
            </w:r>
          </w:p>
        </w:tc>
        <w:tc>
          <w:tcPr>
            <w:tcW w:w="7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spacing w:after="120"/>
              <w:ind w:right="4"/>
              <w:jc w:val="both"/>
              <w:rPr>
                <w:rFonts w:cs="Times New Roman"/>
                <w:sz w:val="22"/>
                <w:lang w:val="en-US"/>
              </w:rPr>
            </w:pPr>
            <w:r w:rsidRPr="0056236E">
              <w:rPr>
                <w:rFonts w:cs="Times New Roman"/>
                <w:sz w:val="22"/>
                <w:lang w:val="en-US"/>
              </w:rPr>
              <w:t xml:space="preserve">Test procedures represent the technical foundation for MEPS. Testing laboratories will actively taking part in the process of standards and quality control. </w:t>
            </w:r>
          </w:p>
        </w:tc>
      </w:tr>
      <w:tr w:rsidR="000E03BF" w:rsidRPr="0056236E">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spacing w:after="120"/>
              <w:ind w:right="4"/>
              <w:rPr>
                <w:rFonts w:cs="Times New Roman"/>
                <w:sz w:val="22"/>
                <w:lang w:val="en-US"/>
              </w:rPr>
            </w:pPr>
            <w:r w:rsidRPr="0056236E">
              <w:rPr>
                <w:rFonts w:cs="Times New Roman"/>
                <w:sz w:val="22"/>
                <w:lang w:val="en-US"/>
              </w:rPr>
              <w:t>Lighting manufacturers, importers, distributors and retailers</w:t>
            </w:r>
          </w:p>
        </w:tc>
        <w:tc>
          <w:tcPr>
            <w:tcW w:w="7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jc w:val="both"/>
              <w:rPr>
                <w:rFonts w:cs="Times New Roman"/>
                <w:sz w:val="22"/>
                <w:lang w:val="en-US"/>
              </w:rPr>
            </w:pPr>
            <w:r w:rsidRPr="0056236E">
              <w:rPr>
                <w:rFonts w:cs="Times New Roman"/>
                <w:sz w:val="22"/>
                <w:lang w:val="en-US"/>
              </w:rPr>
              <w:t>Lighting manufacturers, importers, distributors and retailers are directly affected by energy efficiency regulations. They have valuable information about production costs and market structures. MEPS necessarily impose some burdens on manufacturers and importers, but these can be acceptable as long as they affect all companies equally and also introduce new business opportunities. Domestic and international firms will play a crucial role by providing their input. Equipment retailers will participate in the proposed project implementation by characterizing the market and consumer response to lighting product efficiency and pricing.</w:t>
            </w:r>
          </w:p>
        </w:tc>
      </w:tr>
      <w:tr w:rsidR="000E03BF" w:rsidRPr="0056236E">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rPr>
                <w:rFonts w:cs="Times New Roman"/>
                <w:sz w:val="22"/>
                <w:lang w:val="en-US"/>
              </w:rPr>
            </w:pPr>
            <w:r w:rsidRPr="0056236E">
              <w:rPr>
                <w:rFonts w:cs="Times New Roman"/>
                <w:sz w:val="22"/>
                <w:lang w:val="en-US"/>
              </w:rPr>
              <w:t>Environmental advocates and consumer groups</w:t>
            </w:r>
          </w:p>
        </w:tc>
        <w:tc>
          <w:tcPr>
            <w:tcW w:w="7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spacing w:after="120"/>
              <w:ind w:right="4"/>
              <w:jc w:val="both"/>
              <w:rPr>
                <w:rFonts w:cs="Times New Roman"/>
                <w:sz w:val="22"/>
                <w:lang w:val="en-US"/>
              </w:rPr>
            </w:pPr>
            <w:r w:rsidRPr="0056236E">
              <w:rPr>
                <w:rFonts w:cs="Times New Roman"/>
                <w:sz w:val="22"/>
                <w:lang w:val="en-US"/>
              </w:rPr>
              <w:t>Non-governmental organizations that advocate responsible energy policies will contribute their perspectives during the development of lighting MEPS. They will provide a balancing perspective to manufacturers with regard to the stringency of MEPS and MVE schemes. Input from civil society consumer groups can ensure that regulations do not require overly expensive or less functional lighting products.</w:t>
            </w:r>
          </w:p>
        </w:tc>
      </w:tr>
      <w:tr w:rsidR="000E03BF" w:rsidRPr="0056236E">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spacing w:after="120"/>
              <w:ind w:right="4"/>
              <w:rPr>
                <w:rFonts w:cs="Times New Roman"/>
                <w:sz w:val="22"/>
                <w:lang w:val="en-US"/>
              </w:rPr>
            </w:pPr>
            <w:r w:rsidRPr="0056236E">
              <w:rPr>
                <w:rFonts w:cs="Times New Roman"/>
                <w:sz w:val="22"/>
                <w:lang w:val="en-US"/>
              </w:rPr>
              <w:t>International organizations, regional banks and financial institutions</w:t>
            </w:r>
          </w:p>
        </w:tc>
        <w:tc>
          <w:tcPr>
            <w:tcW w:w="7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spacing w:after="120"/>
              <w:ind w:right="4"/>
              <w:jc w:val="both"/>
              <w:rPr>
                <w:rFonts w:cs="Times New Roman"/>
                <w:sz w:val="22"/>
                <w:lang w:val="en-US"/>
              </w:rPr>
            </w:pPr>
            <w:r w:rsidRPr="0056236E">
              <w:rPr>
                <w:rFonts w:cs="Times New Roman"/>
                <w:sz w:val="22"/>
                <w:lang w:val="en-US"/>
              </w:rPr>
              <w:t>International organizations and institutions will be critical to ensure support in the implementation of national activities. They will also play a role in the progress of the Global Partnership to achieve the necessary political consensus to get new countries to agree on the en.lighten 2016 global target date. They can accelerate the transition in other sectors beyond residential, too. The project will work very closely with international and regional development banks and other financial institutions to catalyze access to finance to support the needs that cannot be met fully by the project. For example, loans, grants or other financial tools may be needed for lighting product deployment programs in government facilities, municipalities or other organizations that have purchasing power and can secure financing with long-term savings. Large-scale social benefit programs such as low-cost loans or rebates for lamps for consumers may also be supported by external financing.</w:t>
            </w:r>
          </w:p>
        </w:tc>
      </w:tr>
    </w:tbl>
    <w:p w:rsidR="000E03BF" w:rsidRPr="0056236E" w:rsidRDefault="000E03BF">
      <w:pPr>
        <w:pStyle w:val="Standard"/>
        <w:spacing w:after="120"/>
        <w:rPr>
          <w:sz w:val="22"/>
        </w:rPr>
      </w:pPr>
    </w:p>
    <w:p w:rsidR="000E03BF" w:rsidRPr="0056236E" w:rsidRDefault="000E03BF" w:rsidP="00F130EC">
      <w:pPr>
        <w:pStyle w:val="Standard"/>
        <w:spacing w:after="120"/>
        <w:ind w:left="720" w:right="566" w:hanging="360"/>
        <w:rPr>
          <w:sz w:val="22"/>
        </w:rPr>
      </w:pPr>
      <w:r w:rsidRPr="0056236E">
        <w:rPr>
          <w:sz w:val="22"/>
        </w:rPr>
        <w:t>B.6. Outline the coordination with other related initiatives:</w:t>
      </w:r>
    </w:p>
    <w:p w:rsidR="000E03BF" w:rsidRPr="0056236E" w:rsidRDefault="000E03BF" w:rsidP="00F130EC">
      <w:pPr>
        <w:pStyle w:val="green"/>
        <w:shd w:val="clear" w:color="auto" w:fill="FFFFFF"/>
        <w:ind w:right="566"/>
        <w:jc w:val="both"/>
        <w:rPr>
          <w:rFonts w:ascii="Times New Roman" w:hAnsi="Times New Roman" w:cs="Times New Roman"/>
          <w:color w:val="auto"/>
          <w:sz w:val="22"/>
          <w:lang w:val="en-US" w:eastAsia="en-US"/>
        </w:rPr>
      </w:pPr>
      <w:r w:rsidRPr="0056236E">
        <w:rPr>
          <w:rStyle w:val="Policepardfaut"/>
          <w:rFonts w:ascii="Times New Roman" w:hAnsi="Times New Roman" w:cs="Times New Roman"/>
          <w:color w:val="auto"/>
          <w:sz w:val="22"/>
          <w:lang w:val="en-US" w:eastAsia="en-US"/>
        </w:rPr>
        <w:t xml:space="preserve">The project aligns with and provides a valuable resource for GEF’s other initiatives linked to energy efficiency lighting. This project builds on the UNEP en.lighten initiative which has been established as the GEF </w:t>
      </w:r>
      <w:r w:rsidRPr="0056236E">
        <w:rPr>
          <w:rStyle w:val="Policepardfaut"/>
          <w:rFonts w:ascii="Times New Roman" w:hAnsi="Times New Roman" w:cs="Times New Roman"/>
          <w:i/>
          <w:color w:val="auto"/>
          <w:sz w:val="22"/>
          <w:lang w:val="en-US" w:eastAsia="en-US"/>
        </w:rPr>
        <w:t>de facto</w:t>
      </w:r>
      <w:r w:rsidRPr="0056236E">
        <w:rPr>
          <w:rStyle w:val="Policepardfaut"/>
          <w:rFonts w:ascii="Times New Roman" w:hAnsi="Times New Roman" w:cs="Times New Roman"/>
          <w:color w:val="auto"/>
          <w:sz w:val="22"/>
          <w:lang w:val="en-US" w:eastAsia="en-US"/>
        </w:rPr>
        <w:t xml:space="preserve"> global authority on lighting energy efficiency policies. The en.lighten initiative offers a repository of knowledge and best practice experiences to promote efficient lighting solutions. UNEP coordinates all of its GEF-funded lighting projects with en.lighten’s integrated policy approach. On request, the en.lighten team also consults with UNDP and World Bank lighting project teams.</w:t>
      </w:r>
    </w:p>
    <w:p w:rsidR="000E03BF" w:rsidRPr="0056236E" w:rsidRDefault="000E03BF" w:rsidP="00F130EC">
      <w:pPr>
        <w:pStyle w:val="Standard"/>
        <w:ind w:right="566"/>
        <w:rPr>
          <w:b/>
          <w:smallCaps/>
          <w:sz w:val="22"/>
        </w:rPr>
      </w:pPr>
      <w:r w:rsidRPr="0056236E">
        <w:rPr>
          <w:b/>
          <w:smallCaps/>
          <w:sz w:val="22"/>
        </w:rPr>
        <w:t xml:space="preserve">C. Describe the GEF agency’s comparative advantage to implement this project:  </w:t>
      </w:r>
    </w:p>
    <w:p w:rsidR="000E03BF" w:rsidRPr="0056236E" w:rsidRDefault="000E03BF" w:rsidP="00F130EC">
      <w:pPr>
        <w:pStyle w:val="Standard"/>
        <w:ind w:right="566"/>
        <w:rPr>
          <w:b/>
          <w:smallCaps/>
          <w:sz w:val="22"/>
        </w:rPr>
      </w:pPr>
    </w:p>
    <w:p w:rsidR="000E03BF" w:rsidRPr="0056236E" w:rsidRDefault="000E03BF" w:rsidP="00F130EC">
      <w:pPr>
        <w:ind w:right="566"/>
        <w:jc w:val="both"/>
        <w:rPr>
          <w:rFonts w:cs="Times New Roman"/>
          <w:sz w:val="22"/>
          <w:lang w:val="en-US"/>
        </w:rPr>
      </w:pPr>
      <w:r w:rsidRPr="0056236E">
        <w:rPr>
          <w:rFonts w:cs="Times New Roman"/>
          <w:sz w:val="22"/>
          <w:lang w:val="en-US"/>
        </w:rPr>
        <w:t xml:space="preserve">As the executing partner in the GEF en.lighten initiative, UNEP has generated a globally accepted policy consensus to phase out inefficient incandescent lamps. </w:t>
      </w:r>
      <w:r w:rsidRPr="0056236E">
        <w:rPr>
          <w:rStyle w:val="Policepardfaut"/>
          <w:rFonts w:cs="Times New Roman"/>
          <w:sz w:val="22"/>
          <w:lang w:val="en-US"/>
        </w:rPr>
        <w:t xml:space="preserve"> The en.lighten initiative offers a Centre of Excellence comprised of over 50 lighting experts—representing over 30 countries—</w:t>
      </w:r>
      <w:r w:rsidRPr="0056236E">
        <w:rPr>
          <w:rStyle w:val="Policepardfaut"/>
          <w:rFonts w:cs="Times New Roman"/>
          <w:sz w:val="22"/>
          <w:shd w:val="clear" w:color="auto" w:fill="FFFFFF"/>
          <w:lang w:val="en-US"/>
        </w:rPr>
        <w:t>from private sector companies, governments, civil society, academia, research organizations and international agencies.</w:t>
      </w:r>
      <w:r w:rsidRPr="0056236E">
        <w:rPr>
          <w:rStyle w:val="apple-converted-space"/>
          <w:sz w:val="22"/>
          <w:shd w:val="clear" w:color="auto" w:fill="FFFFFF"/>
          <w:lang w:val="en-US"/>
        </w:rPr>
        <w:t xml:space="preserve"> The Centre of Excellence provides </w:t>
      </w:r>
      <w:r w:rsidRPr="0056236E">
        <w:rPr>
          <w:rStyle w:val="Policepardfaut"/>
          <w:rFonts w:cs="Times New Roman"/>
          <w:sz w:val="22"/>
          <w:lang w:val="en-US"/>
        </w:rPr>
        <w:t>recommendations, technical guidance and efficient lighting expertise to assist countries in the shift to energy efficient lighting.</w:t>
      </w:r>
    </w:p>
    <w:p w:rsidR="000E03BF" w:rsidRPr="0056236E" w:rsidRDefault="000E03BF" w:rsidP="00F130EC">
      <w:pPr>
        <w:ind w:right="566"/>
        <w:jc w:val="both"/>
        <w:rPr>
          <w:rFonts w:cs="Times New Roman"/>
          <w:sz w:val="22"/>
          <w:lang w:val="en-US"/>
        </w:rPr>
      </w:pPr>
    </w:p>
    <w:p w:rsidR="000E03BF" w:rsidRPr="0056236E" w:rsidRDefault="000E03BF" w:rsidP="00F130EC">
      <w:pPr>
        <w:ind w:right="566"/>
        <w:jc w:val="both"/>
        <w:rPr>
          <w:rFonts w:cs="Times New Roman"/>
          <w:sz w:val="22"/>
          <w:lang w:val="en-US"/>
        </w:rPr>
      </w:pPr>
      <w:r w:rsidRPr="0056236E">
        <w:rPr>
          <w:rFonts w:cs="Times New Roman"/>
          <w:sz w:val="22"/>
          <w:lang w:val="en-US"/>
        </w:rPr>
        <w:t xml:space="preserve">As of early July 2012, 47 countries from four continents have joined the UNEP/GEF en.lighten Global Efficient Lighting Partnership program and have committed to phase out inefficient incandescent lamps by 31 December 2016. Yemen is a Partner presently and has access to remote support from </w:t>
      </w:r>
      <w:r w:rsidRPr="0056236E">
        <w:rPr>
          <w:rFonts w:cs="Times New Roman"/>
          <w:sz w:val="22"/>
          <w:lang w:val="en-US"/>
        </w:rPr>
        <w:lastRenderedPageBreak/>
        <w:t>en.lighten. However, the availability of financial resources is a key obstacle to implement the effective transition in additional countries. Momentum to achieve the global transition developed within a relatively short time, but to satisfy the very strong demand for technical services, UNEP requires additional financial resources.</w:t>
      </w:r>
    </w:p>
    <w:p w:rsidR="000E03BF" w:rsidRPr="0056236E" w:rsidRDefault="000E03BF" w:rsidP="00F130EC">
      <w:pPr>
        <w:ind w:right="566"/>
        <w:jc w:val="both"/>
        <w:rPr>
          <w:rFonts w:cs="Times New Roman"/>
          <w:sz w:val="22"/>
          <w:lang w:val="en-US"/>
        </w:rPr>
      </w:pPr>
    </w:p>
    <w:p w:rsidR="000E03BF" w:rsidRPr="0056236E" w:rsidRDefault="000E03BF" w:rsidP="00F130EC">
      <w:pPr>
        <w:ind w:right="566"/>
        <w:jc w:val="both"/>
        <w:rPr>
          <w:rFonts w:cs="Times New Roman"/>
          <w:sz w:val="22"/>
          <w:lang w:val="en-US"/>
        </w:rPr>
      </w:pPr>
      <w:r w:rsidRPr="0056236E">
        <w:rPr>
          <w:rFonts w:cs="Times New Roman"/>
          <w:sz w:val="22"/>
          <w:lang w:val="en-US"/>
        </w:rPr>
        <w:t>The UNEP/GEF en.lighten initiative has developed informative and practical tools to support committed countries in their efforts:</w:t>
      </w:r>
    </w:p>
    <w:p w:rsidR="000E03BF" w:rsidRPr="0056236E" w:rsidRDefault="000E03BF" w:rsidP="00F130EC">
      <w:pPr>
        <w:ind w:right="566"/>
        <w:jc w:val="both"/>
        <w:rPr>
          <w:rFonts w:cs="Times New Roman"/>
          <w:sz w:val="22"/>
          <w:u w:val="single"/>
          <w:shd w:val="clear" w:color="auto" w:fill="FFFF00"/>
          <w:lang w:val="en-US"/>
        </w:rPr>
      </w:pPr>
    </w:p>
    <w:p w:rsidR="000E03BF" w:rsidRPr="0056236E" w:rsidRDefault="000E03BF" w:rsidP="00F130EC">
      <w:pPr>
        <w:pStyle w:val="Paragraphedeliste"/>
        <w:numPr>
          <w:ilvl w:val="0"/>
          <w:numId w:val="31"/>
        </w:numPr>
        <w:suppressAutoHyphens w:val="0"/>
        <w:ind w:right="566"/>
        <w:jc w:val="both"/>
        <w:textAlignment w:val="auto"/>
      </w:pPr>
      <w:r w:rsidRPr="0056236E">
        <w:t>Country Lighting Assessments – analyzing the potential benefits gained through the global adoption of efficient lighting – provides 150 country-specific estimates for potential energy savings, CO</w:t>
      </w:r>
      <w:r w:rsidRPr="0056236E">
        <w:rPr>
          <w:vertAlign w:val="subscript"/>
        </w:rPr>
        <w:t>2</w:t>
      </w:r>
      <w:r w:rsidRPr="0056236E">
        <w:t xml:space="preserve"> reductions and financial gains</w:t>
      </w:r>
    </w:p>
    <w:p w:rsidR="000E03BF" w:rsidRPr="0056236E" w:rsidRDefault="000E03BF" w:rsidP="00F130EC">
      <w:pPr>
        <w:pStyle w:val="Paragraphedeliste"/>
        <w:numPr>
          <w:ilvl w:val="0"/>
          <w:numId w:val="31"/>
        </w:numPr>
        <w:suppressAutoHyphens w:val="0"/>
        <w:ind w:right="566"/>
        <w:jc w:val="both"/>
        <w:textAlignment w:val="auto"/>
      </w:pPr>
      <w:r w:rsidRPr="0056236E">
        <w:t>Global Policy Map—indicating the readiness and progress of countries worldwide to institute energy efficient lighting policies, with interactive features that link to specific policy doc</w:t>
      </w:r>
      <w:r w:rsidRPr="0056236E">
        <w:t>u</w:t>
      </w:r>
      <w:r w:rsidRPr="0056236E">
        <w:t>ments that can serve as models for other countries</w:t>
      </w:r>
    </w:p>
    <w:p w:rsidR="000E03BF" w:rsidRPr="0056236E" w:rsidRDefault="000E03BF" w:rsidP="00F130EC">
      <w:pPr>
        <w:pStyle w:val="Paragraphedeliste"/>
        <w:numPr>
          <w:ilvl w:val="0"/>
          <w:numId w:val="31"/>
        </w:numPr>
        <w:suppressAutoHyphens w:val="0"/>
        <w:ind w:right="566"/>
        <w:jc w:val="both"/>
        <w:textAlignment w:val="auto"/>
      </w:pPr>
      <w:r w:rsidRPr="0056236E">
        <w:t>Efficient Lighting Toolkit – delivering best practice guidance for an integrated policy a</w:t>
      </w:r>
      <w:r w:rsidRPr="0056236E">
        <w:t>p</w:t>
      </w:r>
      <w:r w:rsidRPr="0056236E">
        <w:t>proach and technical and practical tools for those directly involved in country phase-out activ</w:t>
      </w:r>
      <w:r w:rsidRPr="0056236E">
        <w:t>i</w:t>
      </w:r>
      <w:r w:rsidRPr="0056236E">
        <w:t>ties</w:t>
      </w:r>
    </w:p>
    <w:p w:rsidR="000E03BF" w:rsidRPr="0056236E" w:rsidRDefault="000E03BF" w:rsidP="00F130EC">
      <w:pPr>
        <w:pStyle w:val="Paragraphedeliste"/>
        <w:numPr>
          <w:ilvl w:val="0"/>
          <w:numId w:val="31"/>
        </w:numPr>
        <w:suppressAutoHyphens w:val="0"/>
        <w:ind w:right="566"/>
        <w:jc w:val="both"/>
        <w:textAlignment w:val="auto"/>
      </w:pPr>
      <w:r w:rsidRPr="0056236E">
        <w:t>Guidance – providing a step-by-step consensus process for the development of National Eff</w:t>
      </w:r>
      <w:r w:rsidRPr="0056236E">
        <w:t>i</w:t>
      </w:r>
      <w:r w:rsidRPr="0056236E">
        <w:t>cient Lighting Strategies in individual countries and regions</w:t>
      </w:r>
    </w:p>
    <w:p w:rsidR="000E03BF" w:rsidRPr="0056236E" w:rsidRDefault="000E03BF" w:rsidP="00F130EC">
      <w:pPr>
        <w:pStyle w:val="Paragraphedeliste"/>
        <w:numPr>
          <w:ilvl w:val="0"/>
          <w:numId w:val="31"/>
        </w:numPr>
        <w:suppressAutoHyphens w:val="0"/>
        <w:ind w:right="566"/>
        <w:jc w:val="both"/>
        <w:textAlignment w:val="auto"/>
      </w:pPr>
      <w:r w:rsidRPr="0056236E">
        <w:t>Online (virtual) support– including targeted technical advice for countries, webinars and trai</w:t>
      </w:r>
      <w:r w:rsidRPr="0056236E">
        <w:t>n</w:t>
      </w:r>
      <w:r w:rsidRPr="0056236E">
        <w:t>ing videos to help professionals take effective action to develop MEPS, MVE and enviro</w:t>
      </w:r>
      <w:r w:rsidRPr="0056236E">
        <w:t>n</w:t>
      </w:r>
      <w:r w:rsidRPr="0056236E">
        <w:t>mentally sound management schemes</w:t>
      </w:r>
    </w:p>
    <w:p w:rsidR="000E03BF" w:rsidRPr="0056236E" w:rsidRDefault="000E03BF" w:rsidP="00F130EC">
      <w:pPr>
        <w:pStyle w:val="Standard"/>
        <w:ind w:right="566"/>
        <w:jc w:val="both"/>
        <w:rPr>
          <w:sz w:val="22"/>
        </w:rPr>
      </w:pPr>
    </w:p>
    <w:p w:rsidR="000E03BF" w:rsidRPr="0056236E" w:rsidRDefault="000E03BF" w:rsidP="00F130EC">
      <w:pPr>
        <w:pStyle w:val="Standard"/>
        <w:ind w:right="566"/>
        <w:jc w:val="both"/>
        <w:rPr>
          <w:sz w:val="22"/>
        </w:rPr>
      </w:pPr>
      <w:r w:rsidRPr="0056236E">
        <w:rPr>
          <w:rStyle w:val="Policepardfaut"/>
          <w:sz w:val="22"/>
        </w:rPr>
        <w:t>The en.lighten initiative is considered by many a successful model of public/private partnership between the GEF, UNEP, OSRAM AG, Philips Lighting B.V. and the National Lighting Test Center of China as it brings together the expertise and capacities of these leaders and organizations to enhance innovative approaches to accelerate the deployment of efficiency lighting in developing and emerging countries. UNEP and the National Lighting Test Center of China jointly have established a UNEP Collaborating Center on Energy Efficient Lighting, the Global Efficient Lighting Center, to support developing and emerging countries in strengthening their capacities around testing and laboratory capacities to ensure an effective transition to efficient lighting.</w:t>
      </w:r>
    </w:p>
    <w:p w:rsidR="000E03BF" w:rsidRPr="0056236E" w:rsidRDefault="000E03BF" w:rsidP="00F130EC">
      <w:pPr>
        <w:pStyle w:val="Standard"/>
        <w:ind w:right="566"/>
        <w:jc w:val="both"/>
        <w:rPr>
          <w:sz w:val="22"/>
        </w:rPr>
      </w:pPr>
    </w:p>
    <w:p w:rsidR="000E03BF" w:rsidRPr="0056236E" w:rsidRDefault="000E03BF" w:rsidP="00F130EC">
      <w:pPr>
        <w:pStyle w:val="Standard"/>
        <w:spacing w:after="120"/>
        <w:ind w:left="360" w:right="566"/>
        <w:rPr>
          <w:sz w:val="22"/>
        </w:rPr>
      </w:pPr>
      <w:r w:rsidRPr="0056236E">
        <w:rPr>
          <w:rStyle w:val="Policepardfaut"/>
          <w:sz w:val="22"/>
        </w:rPr>
        <w:t>C.1   Indicate the co-financing amount the GEF agency is bringing to the project:</w:t>
      </w:r>
    </w:p>
    <w:tbl>
      <w:tblPr>
        <w:tblW w:w="8748" w:type="dxa"/>
        <w:tblInd w:w="720" w:type="dxa"/>
        <w:tblLayout w:type="fixed"/>
        <w:tblCellMar>
          <w:left w:w="10" w:type="dxa"/>
          <w:right w:w="10" w:type="dxa"/>
        </w:tblCellMar>
        <w:tblLook w:val="0000" w:firstRow="0" w:lastRow="0" w:firstColumn="0" w:lastColumn="0" w:noHBand="0" w:noVBand="0"/>
      </w:tblPr>
      <w:tblGrid>
        <w:gridCol w:w="8748"/>
      </w:tblGrid>
      <w:tr w:rsidR="000E03BF" w:rsidRPr="0056236E">
        <w:tc>
          <w:tcPr>
            <w:tcW w:w="8748" w:type="dxa"/>
            <w:tcMar>
              <w:top w:w="0" w:type="dxa"/>
              <w:left w:w="108" w:type="dxa"/>
              <w:bottom w:w="0" w:type="dxa"/>
              <w:right w:w="108" w:type="dxa"/>
            </w:tcMar>
          </w:tcPr>
          <w:p w:rsidR="000E03BF" w:rsidRPr="0056236E" w:rsidRDefault="00843A2E" w:rsidP="00F130EC">
            <w:pPr>
              <w:pStyle w:val="Standard"/>
              <w:widowControl w:val="0"/>
              <w:snapToGrid w:val="0"/>
              <w:spacing w:after="120"/>
              <w:ind w:right="566"/>
              <w:rPr>
                <w:sz w:val="22"/>
              </w:rPr>
            </w:pPr>
            <w:r w:rsidRPr="0056236E">
              <w:rPr>
                <w:rStyle w:val="Policepardfaut"/>
                <w:sz w:val="22"/>
              </w:rPr>
              <w:fldChar w:fldCharType="begin"/>
            </w:r>
            <w:r w:rsidR="000E03BF" w:rsidRPr="0056236E">
              <w:rPr>
                <w:rStyle w:val="Policepardfaut"/>
                <w:sz w:val="22"/>
              </w:rPr>
              <w:instrText xml:space="preserve"> FILLIN "cofinAmount" </w:instrText>
            </w:r>
            <w:r w:rsidRPr="0056236E">
              <w:rPr>
                <w:rStyle w:val="Policepardfaut"/>
                <w:sz w:val="22"/>
              </w:rPr>
              <w:fldChar w:fldCharType="separate"/>
            </w:r>
            <w:r w:rsidR="000E03BF" w:rsidRPr="0056236E">
              <w:rPr>
                <w:rStyle w:val="Policepardfaut"/>
                <w:sz w:val="22"/>
              </w:rPr>
              <w:t> </w:t>
            </w:r>
            <w:r w:rsidR="000E03BF" w:rsidRPr="0056236E">
              <w:rPr>
                <w:rStyle w:val="Policepardfaut"/>
                <w:sz w:val="22"/>
              </w:rPr>
              <w:t>UNEP will provide in-kind co-financing of US$ 25 000.</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Pr="0056236E">
              <w:rPr>
                <w:rStyle w:val="Policepardfaut"/>
                <w:sz w:val="22"/>
              </w:rPr>
              <w:fldChar w:fldCharType="end"/>
            </w:r>
          </w:p>
        </w:tc>
      </w:tr>
      <w:tr w:rsidR="000E03BF" w:rsidRPr="0056236E">
        <w:tc>
          <w:tcPr>
            <w:tcW w:w="8748" w:type="dxa"/>
            <w:tcMar>
              <w:top w:w="0" w:type="dxa"/>
              <w:left w:w="108" w:type="dxa"/>
              <w:bottom w:w="0" w:type="dxa"/>
              <w:right w:w="108" w:type="dxa"/>
            </w:tcMar>
          </w:tcPr>
          <w:p w:rsidR="000E03BF" w:rsidRPr="0056236E" w:rsidRDefault="000E03BF" w:rsidP="000E03BF">
            <w:pPr>
              <w:pStyle w:val="Standard"/>
              <w:widowControl w:val="0"/>
              <w:snapToGrid w:val="0"/>
              <w:spacing w:after="120"/>
              <w:rPr>
                <w:sz w:val="22"/>
              </w:rPr>
            </w:pPr>
          </w:p>
        </w:tc>
      </w:tr>
    </w:tbl>
    <w:p w:rsidR="000E03BF" w:rsidRPr="0056236E" w:rsidRDefault="000E03BF" w:rsidP="00F130EC">
      <w:pPr>
        <w:pStyle w:val="Standard"/>
        <w:spacing w:after="120"/>
        <w:ind w:left="810" w:right="566" w:hanging="450"/>
        <w:rPr>
          <w:sz w:val="22"/>
        </w:rPr>
      </w:pPr>
      <w:r w:rsidRPr="0056236E">
        <w:rPr>
          <w:sz w:val="22"/>
        </w:rPr>
        <w:t xml:space="preserve">C.2 How does the project fit into the GEF agency’s program (reflected in documents such as UNDAF, CAS, etc.) and staff capacity in the country to follow up project implementation:  </w:t>
      </w:r>
    </w:p>
    <w:p w:rsidR="000E03BF" w:rsidRPr="0056236E" w:rsidRDefault="000E03BF" w:rsidP="00F130EC">
      <w:pPr>
        <w:shd w:val="clear" w:color="auto" w:fill="FFFFFF"/>
        <w:spacing w:before="45" w:after="75" w:line="270" w:lineRule="atLeast"/>
        <w:ind w:left="135" w:right="566"/>
        <w:jc w:val="both"/>
        <w:rPr>
          <w:rStyle w:val="Policepardfaut"/>
          <w:rFonts w:cs="Times New Roman"/>
          <w:lang w:val="en-US"/>
        </w:rPr>
      </w:pPr>
      <w:r w:rsidRPr="0056236E">
        <w:rPr>
          <w:rStyle w:val="Policepardfaut"/>
          <w:rFonts w:cs="Times New Roman"/>
          <w:sz w:val="22"/>
          <w:lang w:val="en-US"/>
        </w:rPr>
        <w:t xml:space="preserve">UNEP Division of Technology, Industry and Energy's activities focus on the needs of developing countries and countries with economies in transition. The activities involve various facets of technology research, development, transfer and commercialization, as well as promoting innovative energy efficiency methodologies and techniques. The project fits into the GEF agency’s program, specifically UNEP’s Medium Term Strategy. </w:t>
      </w:r>
    </w:p>
    <w:p w:rsidR="000E03BF" w:rsidRPr="0056236E" w:rsidRDefault="000E03BF" w:rsidP="00F130EC">
      <w:pPr>
        <w:shd w:val="clear" w:color="auto" w:fill="FFFFFF"/>
        <w:spacing w:before="45" w:after="75" w:line="270" w:lineRule="atLeast"/>
        <w:ind w:left="135" w:right="566"/>
        <w:jc w:val="both"/>
        <w:rPr>
          <w:rStyle w:val="Policepardfaut"/>
          <w:lang w:val="en-US"/>
        </w:rPr>
      </w:pPr>
    </w:p>
    <w:p w:rsidR="000E03BF" w:rsidRPr="0056236E" w:rsidRDefault="000E03BF" w:rsidP="00F130EC">
      <w:pPr>
        <w:shd w:val="clear" w:color="auto" w:fill="FFFFFF"/>
        <w:spacing w:before="45" w:after="75" w:line="270" w:lineRule="atLeast"/>
        <w:ind w:left="135" w:right="566"/>
        <w:jc w:val="both"/>
        <w:rPr>
          <w:rFonts w:cs="Times New Roman"/>
          <w:sz w:val="22"/>
          <w:lang w:val="en-US"/>
        </w:rPr>
      </w:pPr>
      <w:r w:rsidRPr="0056236E">
        <w:rPr>
          <w:rStyle w:val="Policepardfaut"/>
          <w:rFonts w:cs="Times New Roman"/>
          <w:sz w:val="22"/>
          <w:lang w:val="en-US"/>
        </w:rPr>
        <w:t>The project supports the following outcomes: (i) normative approaches (standards, labels and certification) (ii) macro-economic and sectoral analyses of policy options for fostering low GHG emissions, (iii)  barriers to be removed and access to be improved for financing for renewable and energy efficiency technologies at the national level through targeted analysis of costs, risks and opportunities of clean energy and low carbon technologies in partnership with the finance sector; and (iv) national institutional capacity for assessing and allocating public funding and leveraging private investment for clean energy.</w:t>
      </w:r>
    </w:p>
    <w:p w:rsidR="000E03BF" w:rsidRPr="0056236E" w:rsidRDefault="000E03BF" w:rsidP="00F130EC">
      <w:pPr>
        <w:shd w:val="clear" w:color="auto" w:fill="FFFFFF"/>
        <w:spacing w:before="45" w:after="75" w:line="270" w:lineRule="atLeast"/>
        <w:ind w:left="135" w:right="566"/>
        <w:jc w:val="both"/>
        <w:rPr>
          <w:rFonts w:cs="Times New Roman"/>
          <w:sz w:val="22"/>
          <w:lang w:val="en-US"/>
        </w:rPr>
      </w:pPr>
      <w:r w:rsidRPr="0056236E">
        <w:rPr>
          <w:rFonts w:cs="Times New Roman"/>
          <w:sz w:val="22"/>
          <w:lang w:val="en-US"/>
        </w:rPr>
        <w:t xml:space="preserve">A professional team has been established at the UNEP Center of Excellence as part of the en.lighten initiative. The team is composed of four staff with expertise on lighting policy, standards, laboratory capacity, communications and market data and analysis. Five staff at the Global Efficient Lighting Center/UNEP Collaborating Center on Energy Efficient Lighting in Beijing with expertise on technical and testing issues </w:t>
      </w:r>
      <w:r w:rsidR="00F130EC" w:rsidRPr="0056236E">
        <w:rPr>
          <w:rFonts w:cs="Times New Roman"/>
          <w:sz w:val="22"/>
          <w:lang w:val="en-US"/>
        </w:rPr>
        <w:t xml:space="preserve">also </w:t>
      </w:r>
      <w:r w:rsidRPr="0056236E">
        <w:rPr>
          <w:rFonts w:cs="Times New Roman"/>
          <w:sz w:val="22"/>
          <w:lang w:val="en-US"/>
        </w:rPr>
        <w:t xml:space="preserve">support the en.lighten initiative. Together they are the core staff </w:t>
      </w:r>
      <w:r w:rsidR="00F130EC" w:rsidRPr="0056236E">
        <w:rPr>
          <w:rFonts w:cs="Times New Roman"/>
          <w:sz w:val="22"/>
          <w:lang w:val="en-US"/>
        </w:rPr>
        <w:t xml:space="preserve">upon which the  </w:t>
      </w:r>
      <w:r w:rsidRPr="0056236E">
        <w:rPr>
          <w:rFonts w:cs="Times New Roman"/>
          <w:sz w:val="22"/>
          <w:lang w:val="en-US"/>
        </w:rPr>
        <w:t>project will build.</w:t>
      </w:r>
    </w:p>
    <w:p w:rsidR="000E03BF" w:rsidRPr="0056236E" w:rsidRDefault="000E03BF" w:rsidP="00F130EC">
      <w:pPr>
        <w:ind w:right="566"/>
        <w:rPr>
          <w:rFonts w:cs="Times New Roman"/>
          <w:sz w:val="22"/>
          <w:lang w:val="en-US"/>
        </w:rPr>
      </w:pPr>
    </w:p>
    <w:p w:rsidR="000E03BF" w:rsidRPr="0056236E" w:rsidRDefault="000E03BF" w:rsidP="00F130EC">
      <w:pPr>
        <w:ind w:right="566"/>
        <w:rPr>
          <w:rFonts w:cs="Times New Roman"/>
          <w:sz w:val="22"/>
          <w:lang w:val="en-US"/>
        </w:rPr>
      </w:pPr>
    </w:p>
    <w:p w:rsidR="00F130EC" w:rsidRPr="0056236E" w:rsidRDefault="00F130EC">
      <w:pPr>
        <w:rPr>
          <w:rFonts w:cs="Times New Roman"/>
          <w:sz w:val="22"/>
          <w:lang w:val="en-US"/>
        </w:rPr>
      </w:pPr>
    </w:p>
    <w:p w:rsidR="000E03BF" w:rsidRPr="0056236E" w:rsidRDefault="000E03BF">
      <w:pPr>
        <w:rPr>
          <w:rFonts w:cs="Times New Roman"/>
          <w:sz w:val="22"/>
          <w:lang w:val="en-US"/>
        </w:rPr>
      </w:pPr>
    </w:p>
    <w:p w:rsidR="000E03BF" w:rsidRPr="0056236E" w:rsidRDefault="000E03BF">
      <w:pPr>
        <w:rPr>
          <w:rFonts w:cs="Times New Roman"/>
          <w:b/>
          <w:sz w:val="22"/>
          <w:lang w:val="en-US"/>
        </w:rPr>
      </w:pPr>
      <w:r w:rsidRPr="0056236E">
        <w:rPr>
          <w:rFonts w:cs="Times New Roman"/>
          <w:b/>
          <w:sz w:val="22"/>
          <w:lang w:val="en-US"/>
        </w:rPr>
        <w:t>PART III:  Approval/endorsement by GEF operational focal point(s) and GEF agency(ies)</w:t>
      </w:r>
    </w:p>
    <w:p w:rsidR="000E03BF" w:rsidRPr="0056236E" w:rsidRDefault="000E03BF">
      <w:pPr>
        <w:pStyle w:val="Standard"/>
        <w:spacing w:before="240" w:after="240"/>
        <w:ind w:left="360" w:hanging="360"/>
        <w:rPr>
          <w:sz w:val="22"/>
        </w:rPr>
      </w:pPr>
      <w:r w:rsidRPr="0056236E">
        <w:rPr>
          <w:rStyle w:val="Policepardfaut"/>
          <w:b/>
          <w:bCs/>
          <w:smallCaps/>
          <w:sz w:val="22"/>
        </w:rPr>
        <w:t>A.   Record of Endorsement of GEF Operational Focal Point (S) on Behalf of the Government(S):</w:t>
      </w:r>
      <w:r w:rsidRPr="0056236E">
        <w:rPr>
          <w:rStyle w:val="Policepardfaut"/>
          <w:sz w:val="22"/>
        </w:rPr>
        <w:t xml:space="preserve"> (Please attach the </w:t>
      </w:r>
      <w:hyperlink r:id="rId18" w:history="1">
        <w:r w:rsidRPr="0056236E">
          <w:rPr>
            <w:rStyle w:val="Internetlink"/>
            <w:color w:val="auto"/>
            <w:sz w:val="22"/>
          </w:rPr>
          <w:t>Operational Focal Point endorsement letter(s)</w:t>
        </w:r>
      </w:hyperlink>
      <w:r w:rsidRPr="0056236E">
        <w:rPr>
          <w:rStyle w:val="Policepardfaut"/>
          <w:sz w:val="22"/>
        </w:rPr>
        <w:t xml:space="preserve"> with this template. For SGP, use this </w:t>
      </w:r>
      <w:hyperlink r:id="rId19" w:history="1">
        <w:r w:rsidRPr="0056236E">
          <w:rPr>
            <w:rStyle w:val="Internetlink"/>
            <w:color w:val="auto"/>
            <w:sz w:val="22"/>
          </w:rPr>
          <w:t>OFP endorsement letter</w:t>
        </w:r>
      </w:hyperlink>
      <w:r w:rsidRPr="0056236E">
        <w:rPr>
          <w:rStyle w:val="Policepardfaut"/>
          <w:sz w:val="22"/>
        </w:rPr>
        <w:t>).</w:t>
      </w:r>
    </w:p>
    <w:tbl>
      <w:tblPr>
        <w:tblW w:w="9128" w:type="dxa"/>
        <w:tblInd w:w="350" w:type="dxa"/>
        <w:tblLayout w:type="fixed"/>
        <w:tblCellMar>
          <w:left w:w="10" w:type="dxa"/>
          <w:right w:w="10" w:type="dxa"/>
        </w:tblCellMar>
        <w:tblLook w:val="0000" w:firstRow="0" w:lastRow="0" w:firstColumn="0" w:lastColumn="0" w:noHBand="0" w:noVBand="0"/>
      </w:tblPr>
      <w:tblGrid>
        <w:gridCol w:w="2345"/>
        <w:gridCol w:w="2362"/>
        <w:gridCol w:w="1877"/>
        <w:gridCol w:w="2544"/>
      </w:tblGrid>
      <w:tr w:rsidR="000E03BF" w:rsidRPr="0056236E">
        <w:tc>
          <w:tcPr>
            <w:tcW w:w="234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snapToGrid w:val="0"/>
              <w:spacing w:before="100" w:beforeAutospacing="1"/>
              <w:jc w:val="both"/>
              <w:rPr>
                <w:b/>
                <w:bCs/>
                <w:smallCaps/>
                <w:sz w:val="22"/>
              </w:rPr>
            </w:pPr>
            <w:r w:rsidRPr="0056236E">
              <w:rPr>
                <w:b/>
                <w:bCs/>
                <w:smallCaps/>
                <w:sz w:val="22"/>
              </w:rPr>
              <w:t>Name</w:t>
            </w:r>
          </w:p>
        </w:tc>
        <w:tc>
          <w:tcPr>
            <w:tcW w:w="2362"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snapToGrid w:val="0"/>
              <w:spacing w:before="100" w:beforeAutospacing="1"/>
              <w:jc w:val="both"/>
              <w:rPr>
                <w:b/>
                <w:bCs/>
                <w:smallCaps/>
                <w:sz w:val="22"/>
              </w:rPr>
            </w:pPr>
            <w:r w:rsidRPr="0056236E">
              <w:rPr>
                <w:b/>
                <w:bCs/>
                <w:smallCaps/>
                <w:sz w:val="22"/>
              </w:rPr>
              <w:t>Position</w:t>
            </w:r>
          </w:p>
        </w:tc>
        <w:tc>
          <w:tcPr>
            <w:tcW w:w="187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snapToGrid w:val="0"/>
              <w:spacing w:before="100" w:beforeAutospacing="1"/>
              <w:jc w:val="both"/>
              <w:rPr>
                <w:b/>
                <w:bCs/>
                <w:smallCaps/>
                <w:sz w:val="22"/>
              </w:rPr>
            </w:pPr>
            <w:r w:rsidRPr="0056236E">
              <w:rPr>
                <w:b/>
                <w:bCs/>
                <w:smallCaps/>
                <w:sz w:val="22"/>
              </w:rPr>
              <w:t>Ministry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pStyle w:val="Standard"/>
              <w:keepNext/>
              <w:keepLines/>
              <w:widowControl w:val="0"/>
              <w:snapToGrid w:val="0"/>
              <w:spacing w:before="100" w:beforeAutospacing="1"/>
              <w:jc w:val="center"/>
              <w:outlineLvl w:val="0"/>
              <w:rPr>
                <w:sz w:val="22"/>
              </w:rPr>
            </w:pPr>
            <w:r w:rsidRPr="0056236E">
              <w:rPr>
                <w:rStyle w:val="Policepardfaut"/>
                <w:b/>
                <w:bCs/>
                <w:smallCaps/>
                <w:sz w:val="22"/>
              </w:rPr>
              <w:t>Date</w:t>
            </w:r>
            <w:r w:rsidRPr="0056236E">
              <w:rPr>
                <w:rStyle w:val="Policepardfaut"/>
                <w:b/>
                <w:sz w:val="22"/>
              </w:rPr>
              <w:t xml:space="preserve"> </w:t>
            </w:r>
            <w:r w:rsidRPr="0056236E">
              <w:rPr>
                <w:rStyle w:val="Policepardfaut"/>
                <w:i/>
                <w:sz w:val="22"/>
              </w:rPr>
              <w:t>(MM/dd/yyyy)</w:t>
            </w:r>
          </w:p>
        </w:tc>
      </w:tr>
      <w:tr w:rsidR="000E03BF" w:rsidRPr="0056236E">
        <w:tc>
          <w:tcPr>
            <w:tcW w:w="234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F130EC">
            <w:bookmarkStart w:id="35" w:name="name_01"/>
            <w:r w:rsidRPr="0056236E">
              <w:rPr>
                <w:rStyle w:val="Policepardfaut"/>
                <w:sz w:val="22"/>
              </w:rPr>
              <w:t>Mr. Mahmoud M. S</w:t>
            </w:r>
            <w:r w:rsidR="00F130EC" w:rsidRPr="0056236E">
              <w:rPr>
                <w:rStyle w:val="Policepardfaut"/>
                <w:sz w:val="22"/>
              </w:rPr>
              <w:t>hidiwah</w:t>
            </w:r>
            <w:r w:rsidR="00843A2E" w:rsidRPr="0056236E">
              <w:rPr>
                <w:rStyle w:val="Policepardfaut"/>
                <w:sz w:val="22"/>
              </w:rPr>
              <w:fldChar w:fldCharType="begin"/>
            </w:r>
            <w:r w:rsidRPr="0056236E">
              <w:rPr>
                <w:rStyle w:val="Policepardfaut"/>
                <w:sz w:val="22"/>
              </w:rPr>
              <w:instrText xml:space="preserve"> FILLIN "name_01"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35"/>
          </w:p>
        </w:tc>
        <w:tc>
          <w:tcPr>
            <w:tcW w:w="2362"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snapToGrid w:val="0"/>
              <w:rPr>
                <w:sz w:val="22"/>
              </w:rPr>
            </w:pPr>
            <w:r w:rsidRPr="0056236E">
              <w:rPr>
                <w:rStyle w:val="Policepardfaut"/>
                <w:sz w:val="22"/>
              </w:rPr>
              <w:t>Chairman</w:t>
            </w:r>
          </w:p>
        </w:tc>
        <w:tc>
          <w:tcPr>
            <w:tcW w:w="187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F130EC">
            <w:pPr>
              <w:pStyle w:val="Standard"/>
              <w:widowControl w:val="0"/>
              <w:snapToGrid w:val="0"/>
              <w:jc w:val="both"/>
              <w:rPr>
                <w:sz w:val="22"/>
              </w:rPr>
            </w:pPr>
            <w:r w:rsidRPr="0056236E">
              <w:rPr>
                <w:rStyle w:val="Policepardfaut"/>
                <w:bCs/>
                <w:sz w:val="22"/>
              </w:rPr>
              <w:t>E</w:t>
            </w:r>
            <w:r w:rsidR="00F130EC" w:rsidRPr="0056236E">
              <w:rPr>
                <w:rStyle w:val="Policepardfaut"/>
                <w:bCs/>
                <w:sz w:val="22"/>
              </w:rPr>
              <w:t xml:space="preserve">nvironment </w:t>
            </w:r>
            <w:r w:rsidRPr="0056236E">
              <w:rPr>
                <w:rStyle w:val="Policepardfaut"/>
                <w:bCs/>
                <w:sz w:val="22"/>
              </w:rPr>
              <w:t>Protection Authority (</w:t>
            </w:r>
            <w:r w:rsidRPr="0056236E">
              <w:rPr>
                <w:rStyle w:val="Policepardfaut"/>
                <w:bCs/>
                <w:smallCaps/>
                <w:sz w:val="22"/>
              </w:rPr>
              <w:t>EPA)</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jc w:val="both"/>
              <w:rPr>
                <w:sz w:val="22"/>
                <w:szCs w:val="22"/>
              </w:rPr>
            </w:pPr>
            <w:r w:rsidRPr="0056236E">
              <w:rPr>
                <w:rStyle w:val="Policepardfaut"/>
                <w:bCs/>
                <w:smallCaps/>
                <w:sz w:val="22"/>
                <w:szCs w:val="22"/>
              </w:rPr>
              <w:t>09/11/2012</w:t>
            </w:r>
          </w:p>
        </w:tc>
      </w:tr>
    </w:tbl>
    <w:p w:rsidR="000E03BF" w:rsidRPr="0056236E" w:rsidRDefault="000E03BF">
      <w:pPr>
        <w:rPr>
          <w:rFonts w:cs="Times New Roman"/>
          <w:sz w:val="22"/>
        </w:rPr>
        <w:sectPr w:rsidR="000E03BF" w:rsidRPr="0056236E" w:rsidSect="00ED5A7C">
          <w:footerReference w:type="default" r:id="rId20"/>
          <w:type w:val="continuous"/>
          <w:pgSz w:w="11906" w:h="16838"/>
          <w:pgMar w:top="0" w:right="1134" w:bottom="1134" w:left="1134" w:header="720" w:footer="720" w:gutter="0"/>
          <w:cols w:space="720"/>
        </w:sectPr>
      </w:pPr>
    </w:p>
    <w:p w:rsidR="00ED5A7C" w:rsidRPr="0056236E" w:rsidRDefault="00ED5A7C">
      <w:pPr>
        <w:rPr>
          <w:rFonts w:cs="Times New Roman"/>
          <w:sz w:val="22"/>
        </w:rPr>
      </w:pPr>
    </w:p>
    <w:p w:rsidR="000E03BF" w:rsidRPr="0056236E" w:rsidRDefault="000E03BF">
      <w:pPr>
        <w:rPr>
          <w:rFonts w:cs="Times New Roman"/>
          <w:sz w:val="22"/>
        </w:rPr>
      </w:pPr>
      <w:r w:rsidRPr="0056236E">
        <w:rPr>
          <w:rFonts w:cs="Times New Roman"/>
          <w:sz w:val="22"/>
        </w:rPr>
        <w:t>B.  GEF Agency(ies) Certification</w:t>
      </w:r>
      <w:r w:rsidRPr="0056236E">
        <w:rPr>
          <w:rFonts w:cs="Times New Roman"/>
          <w:sz w:val="22"/>
        </w:rPr>
        <w:tab/>
      </w:r>
    </w:p>
    <w:tbl>
      <w:tblPr>
        <w:tblW w:w="9128" w:type="dxa"/>
        <w:tblInd w:w="350" w:type="dxa"/>
        <w:tblLayout w:type="fixed"/>
        <w:tblCellMar>
          <w:left w:w="10" w:type="dxa"/>
          <w:right w:w="10" w:type="dxa"/>
        </w:tblCellMar>
        <w:tblLook w:val="0000" w:firstRow="0" w:lastRow="0" w:firstColumn="0" w:lastColumn="0" w:noHBand="0" w:noVBand="0"/>
      </w:tblPr>
      <w:tblGrid>
        <w:gridCol w:w="1877"/>
        <w:gridCol w:w="1751"/>
        <w:gridCol w:w="1435"/>
        <w:gridCol w:w="1380"/>
        <w:gridCol w:w="1328"/>
        <w:gridCol w:w="1357"/>
      </w:tblGrid>
      <w:tr w:rsidR="000E03BF" w:rsidRPr="0056236E">
        <w:trPr>
          <w:cantSplit/>
          <w:trHeight w:val="377"/>
        </w:trPr>
        <w:tc>
          <w:tcPr>
            <w:tcW w:w="912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pPr>
              <w:pStyle w:val="Standard"/>
              <w:snapToGrid w:val="0"/>
              <w:spacing w:after="120"/>
              <w:rPr>
                <w:b/>
                <w:sz w:val="22"/>
              </w:rPr>
            </w:pPr>
            <w:r w:rsidRPr="0056236E">
              <w:rPr>
                <w:b/>
                <w:sz w:val="22"/>
              </w:rPr>
              <w:t>This request has been prepared in accordance with GEF/LDCF/SCCF/NPIF policies and procedures and meets the GEF/LDCF/SCCF/NPIF criteria for project identification and preparation.</w:t>
            </w:r>
          </w:p>
        </w:tc>
      </w:tr>
      <w:tr w:rsidR="000E03BF" w:rsidRPr="0056236E" w:rsidTr="00C16201">
        <w:tc>
          <w:tcPr>
            <w:tcW w:w="187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snapToGrid w:val="0"/>
              <w:spacing w:before="100" w:beforeAutospacing="1"/>
              <w:jc w:val="center"/>
              <w:rPr>
                <w:b/>
                <w:sz w:val="22"/>
              </w:rPr>
            </w:pPr>
            <w:r w:rsidRPr="0056236E">
              <w:rPr>
                <w:b/>
                <w:sz w:val="22"/>
              </w:rPr>
              <w:t>Agency Coordinator, Agency name</w:t>
            </w:r>
          </w:p>
        </w:tc>
        <w:tc>
          <w:tcPr>
            <w:tcW w:w="1751"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keepNext/>
              <w:keepLines/>
              <w:widowControl w:val="0"/>
              <w:snapToGrid w:val="0"/>
              <w:spacing w:before="100" w:beforeAutospacing="1"/>
              <w:jc w:val="center"/>
              <w:outlineLvl w:val="0"/>
              <w:rPr>
                <w:b/>
                <w:sz w:val="22"/>
              </w:rPr>
            </w:pPr>
          </w:p>
          <w:p w:rsidR="000E03BF" w:rsidRPr="0056236E" w:rsidRDefault="000E03BF" w:rsidP="000E03BF">
            <w:pPr>
              <w:pStyle w:val="Standard"/>
              <w:widowControl w:val="0"/>
              <w:spacing w:before="100" w:beforeAutospacing="1"/>
              <w:jc w:val="center"/>
              <w:rPr>
                <w:b/>
                <w:sz w:val="22"/>
              </w:rPr>
            </w:pPr>
            <w:r w:rsidRPr="0056236E">
              <w:rPr>
                <w:b/>
                <w:sz w:val="22"/>
              </w:rPr>
              <w:t>Signature</w:t>
            </w:r>
          </w:p>
        </w:tc>
        <w:tc>
          <w:tcPr>
            <w:tcW w:w="143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spacing w:before="100" w:beforeAutospacing="1"/>
              <w:jc w:val="center"/>
              <w:rPr>
                <w:sz w:val="22"/>
              </w:rPr>
            </w:pPr>
            <w:r w:rsidRPr="0056236E">
              <w:rPr>
                <w:rStyle w:val="Policepardfaut"/>
                <w:b/>
                <w:bCs/>
                <w:smallCaps/>
                <w:sz w:val="22"/>
              </w:rPr>
              <w:t>Date</w:t>
            </w:r>
            <w:r w:rsidRPr="0056236E">
              <w:rPr>
                <w:rStyle w:val="Policepardfaut"/>
                <w:b/>
                <w:sz w:val="22"/>
              </w:rPr>
              <w:t xml:space="preserve"> </w:t>
            </w:r>
            <w:r w:rsidRPr="0056236E">
              <w:rPr>
                <w:rStyle w:val="Policepardfaut"/>
                <w:i/>
                <w:sz w:val="22"/>
              </w:rPr>
              <w:t>(MM/dd/yyyy)</w:t>
            </w: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spacing w:before="100" w:beforeAutospacing="1"/>
              <w:jc w:val="center"/>
              <w:rPr>
                <w:b/>
                <w:sz w:val="22"/>
              </w:rPr>
            </w:pPr>
            <w:r w:rsidRPr="0056236E">
              <w:rPr>
                <w:b/>
                <w:sz w:val="22"/>
              </w:rPr>
              <w:t>Project Contact Person</w:t>
            </w:r>
          </w:p>
        </w:tc>
        <w:tc>
          <w:tcPr>
            <w:tcW w:w="132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keepNext/>
              <w:keepLines/>
              <w:widowControl w:val="0"/>
              <w:snapToGrid w:val="0"/>
              <w:spacing w:before="100" w:beforeAutospacing="1"/>
              <w:jc w:val="center"/>
              <w:outlineLvl w:val="0"/>
              <w:rPr>
                <w:b/>
                <w:sz w:val="22"/>
              </w:rPr>
            </w:pPr>
          </w:p>
          <w:p w:rsidR="000E03BF" w:rsidRPr="0056236E" w:rsidRDefault="000E03BF" w:rsidP="000E03BF">
            <w:pPr>
              <w:pStyle w:val="Standard"/>
              <w:widowControl w:val="0"/>
              <w:spacing w:before="100" w:beforeAutospacing="1"/>
              <w:jc w:val="center"/>
              <w:rPr>
                <w:b/>
                <w:sz w:val="22"/>
              </w:rPr>
            </w:pPr>
            <w:r w:rsidRPr="0056236E">
              <w:rPr>
                <w:b/>
                <w:sz w:val="22"/>
              </w:rPr>
              <w:t>Telephone</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spacing w:before="100" w:beforeAutospacing="1"/>
              <w:jc w:val="center"/>
              <w:rPr>
                <w:b/>
                <w:sz w:val="22"/>
              </w:rPr>
            </w:pPr>
            <w:r w:rsidRPr="0056236E">
              <w:rPr>
                <w:b/>
                <w:sz w:val="22"/>
              </w:rPr>
              <w:t>Email Address</w:t>
            </w:r>
          </w:p>
        </w:tc>
      </w:tr>
      <w:tr w:rsidR="000E03BF" w:rsidRPr="006A11A0" w:rsidTr="00C16201">
        <w:tc>
          <w:tcPr>
            <w:tcW w:w="1877"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pStyle w:val="Standard"/>
              <w:widowControl w:val="0"/>
              <w:snapToGrid w:val="0"/>
              <w:rPr>
                <w:sz w:val="22"/>
              </w:rPr>
            </w:pPr>
            <w:bookmarkStart w:id="36" w:name="coordinatorName_01"/>
            <w:r w:rsidRPr="0056236E">
              <w:rPr>
                <w:rStyle w:val="Policepardfaut"/>
                <w:sz w:val="22"/>
              </w:rPr>
              <w:t>Maryam Niamir-Fuller, Director GEF Coordination Office, UNEP</w:t>
            </w:r>
            <w:r w:rsidR="00843A2E" w:rsidRPr="0056236E">
              <w:rPr>
                <w:rStyle w:val="Policepardfaut"/>
                <w:sz w:val="22"/>
              </w:rPr>
              <w:fldChar w:fldCharType="begin"/>
            </w:r>
            <w:r w:rsidRPr="0056236E">
              <w:rPr>
                <w:rStyle w:val="Policepardfaut"/>
                <w:sz w:val="22"/>
              </w:rPr>
              <w:instrText xml:space="preserve"> FILLIN "coordinatorName_01"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36"/>
          </w:p>
        </w:tc>
        <w:tc>
          <w:tcPr>
            <w:tcW w:w="1751"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pPr>
              <w:pStyle w:val="Standard"/>
              <w:snapToGrid w:val="0"/>
              <w:jc w:val="center"/>
              <w:rPr>
                <w:sz w:val="22"/>
              </w:rPr>
            </w:pPr>
            <w:r w:rsidRPr="0056236E">
              <w:rPr>
                <w:sz w:val="22"/>
              </w:rPr>
              <w:br/>
            </w:r>
            <w:r w:rsidR="0002455C" w:rsidRPr="0056236E">
              <w:rPr>
                <w:noProof/>
                <w:lang w:eastAsia="en-US" w:bidi="ar-SA"/>
              </w:rPr>
              <w:drawing>
                <wp:inline distT="0" distB="0" distL="0" distR="0">
                  <wp:extent cx="991235" cy="337185"/>
                  <wp:effectExtent l="19050" t="0" r="0" b="0"/>
                  <wp:docPr id="1" name="Picture 1" descr="Description: MNF scanned signature 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NF scanned signature copy1"/>
                          <pic:cNvPicPr>
                            <a:picLocks noChangeAspect="1" noChangeArrowheads="1"/>
                          </pic:cNvPicPr>
                        </pic:nvPicPr>
                        <pic:blipFill>
                          <a:blip r:embed="rId21" cstate="print"/>
                          <a:srcRect/>
                          <a:stretch>
                            <a:fillRect/>
                          </a:stretch>
                        </pic:blipFill>
                        <pic:spPr bwMode="auto">
                          <a:xfrm>
                            <a:off x="0" y="0"/>
                            <a:ext cx="991235" cy="337185"/>
                          </a:xfrm>
                          <a:prstGeom prst="rect">
                            <a:avLst/>
                          </a:prstGeom>
                          <a:noFill/>
                          <a:ln w="9525">
                            <a:noFill/>
                            <a:miter lim="800000"/>
                            <a:headEnd/>
                            <a:tailEnd/>
                          </a:ln>
                        </pic:spPr>
                      </pic:pic>
                    </a:graphicData>
                  </a:graphic>
                </wp:inline>
              </w:drawing>
            </w:r>
          </w:p>
        </w:tc>
        <w:tc>
          <w:tcPr>
            <w:tcW w:w="1435"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FE5AA3" w:rsidP="00FE5AA3">
            <w:pPr>
              <w:pStyle w:val="Standard"/>
              <w:widowControl w:val="0"/>
              <w:snapToGrid w:val="0"/>
              <w:jc w:val="center"/>
              <w:rPr>
                <w:sz w:val="22"/>
              </w:rPr>
            </w:pPr>
            <w:r>
              <w:rPr>
                <w:rStyle w:val="Policepardfaut"/>
                <w:sz w:val="22"/>
              </w:rPr>
              <w:t>02</w:t>
            </w:r>
            <w:r w:rsidR="000E03BF" w:rsidRPr="0056236E">
              <w:rPr>
                <w:rStyle w:val="Policepardfaut"/>
                <w:sz w:val="22"/>
              </w:rPr>
              <w:t>/</w:t>
            </w:r>
            <w:r>
              <w:rPr>
                <w:rStyle w:val="Policepardfaut"/>
                <w:sz w:val="22"/>
              </w:rPr>
              <w:t>12</w:t>
            </w:r>
            <w:bookmarkStart w:id="37" w:name="_GoBack"/>
            <w:bookmarkEnd w:id="37"/>
            <w:r w:rsidR="000E03BF" w:rsidRPr="0056236E">
              <w:rPr>
                <w:rStyle w:val="Policepardfaut"/>
                <w:sz w:val="22"/>
              </w:rPr>
              <w:t>/2013</w:t>
            </w: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0E03BF" w:rsidP="000E03BF">
            <w:pPr>
              <w:ind w:left="-26" w:right="-86" w:firstLine="26"/>
              <w:rPr>
                <w:sz w:val="22"/>
                <w:lang w:val="en-US"/>
              </w:rPr>
            </w:pPr>
            <w:bookmarkStart w:id="38" w:name="ContactName_01"/>
            <w:r w:rsidRPr="0056236E">
              <w:rPr>
                <w:sz w:val="22"/>
                <w:lang w:val="en-CA"/>
              </w:rPr>
              <w:t>Edu Hassing Task Manager Climate Change UNEP/ Divi-sion of Tech-nology, Indus-try, and Economics</w:t>
            </w:r>
            <w:r w:rsidRPr="0056236E">
              <w:rPr>
                <w:rStyle w:val="Policepardfaut"/>
                <w:sz w:val="22"/>
                <w:lang w:val="en-US"/>
              </w:rPr>
              <w:t xml:space="preserve"> </w:t>
            </w:r>
            <w:r w:rsidR="00843A2E" w:rsidRPr="0056236E">
              <w:rPr>
                <w:rStyle w:val="Policepardfaut"/>
                <w:sz w:val="22"/>
                <w:lang w:val="en-US"/>
              </w:rPr>
              <w:fldChar w:fldCharType="begin"/>
            </w:r>
            <w:r w:rsidRPr="0056236E">
              <w:rPr>
                <w:rStyle w:val="Policepardfaut"/>
                <w:sz w:val="22"/>
                <w:lang w:val="en-US"/>
              </w:rPr>
              <w:instrText xml:space="preserve"> FILLIN "ContactName_01" </w:instrText>
            </w:r>
            <w:r w:rsidR="00843A2E" w:rsidRPr="0056236E">
              <w:rPr>
                <w:rStyle w:val="Policepardfaut"/>
                <w:sz w:val="22"/>
                <w:lang w:val="en-US"/>
              </w:rPr>
              <w:fldChar w:fldCharType="separate"/>
            </w:r>
            <w:r w:rsidRPr="0056236E">
              <w:rPr>
                <w:rStyle w:val="Policepardfaut"/>
                <w:sz w:val="22"/>
                <w:lang w:val="en-US"/>
              </w:rPr>
              <w:t> </w:t>
            </w:r>
            <w:r w:rsidRPr="0056236E">
              <w:rPr>
                <w:rStyle w:val="Policepardfaut"/>
                <w:sz w:val="22"/>
                <w:lang w:val="en-US"/>
              </w:rPr>
              <w:t> </w:t>
            </w:r>
            <w:r w:rsidRPr="0056236E">
              <w:rPr>
                <w:rStyle w:val="Policepardfaut"/>
                <w:sz w:val="22"/>
                <w:lang w:val="en-US"/>
              </w:rPr>
              <w:t> </w:t>
            </w:r>
            <w:r w:rsidRPr="0056236E">
              <w:rPr>
                <w:rStyle w:val="Policepardfaut"/>
                <w:sz w:val="22"/>
                <w:lang w:val="en-US"/>
              </w:rPr>
              <w:t> </w:t>
            </w:r>
            <w:r w:rsidRPr="0056236E">
              <w:rPr>
                <w:rStyle w:val="Policepardfaut"/>
                <w:sz w:val="22"/>
                <w:lang w:val="en-US"/>
              </w:rPr>
              <w:t> </w:t>
            </w:r>
            <w:r w:rsidR="00843A2E" w:rsidRPr="0056236E">
              <w:rPr>
                <w:rStyle w:val="Policepardfaut"/>
                <w:sz w:val="22"/>
                <w:lang w:val="en-US"/>
              </w:rPr>
              <w:fldChar w:fldCharType="end"/>
            </w:r>
            <w:bookmarkEnd w:id="38"/>
          </w:p>
        </w:tc>
        <w:bookmarkStart w:id="39" w:name="ContactPhone_01"/>
        <w:tc>
          <w:tcPr>
            <w:tcW w:w="1328" w:type="dxa"/>
            <w:tcBorders>
              <w:top w:val="single" w:sz="4" w:space="0" w:color="000000"/>
              <w:left w:val="single" w:sz="4" w:space="0" w:color="000000"/>
              <w:bottom w:val="single" w:sz="4" w:space="0" w:color="000000"/>
            </w:tcBorders>
            <w:tcMar>
              <w:top w:w="0" w:type="dxa"/>
              <w:left w:w="108" w:type="dxa"/>
              <w:bottom w:w="0" w:type="dxa"/>
              <w:right w:w="108" w:type="dxa"/>
            </w:tcMar>
          </w:tcPr>
          <w:p w:rsidR="000E03BF" w:rsidRPr="0056236E" w:rsidRDefault="00843A2E">
            <w:pPr>
              <w:pStyle w:val="Standard"/>
              <w:widowControl w:val="0"/>
              <w:snapToGrid w:val="0"/>
              <w:jc w:val="center"/>
              <w:rPr>
                <w:sz w:val="22"/>
              </w:rPr>
            </w:pPr>
            <w:r w:rsidRPr="0056236E">
              <w:rPr>
                <w:rStyle w:val="Policepardfaut"/>
                <w:sz w:val="22"/>
              </w:rPr>
              <w:fldChar w:fldCharType="begin"/>
            </w:r>
            <w:r w:rsidR="000E03BF" w:rsidRPr="0056236E">
              <w:rPr>
                <w:rStyle w:val="Policepardfaut"/>
                <w:sz w:val="22"/>
              </w:rPr>
              <w:instrText xml:space="preserve"> FILLIN "ContactPhone_01" </w:instrText>
            </w:r>
            <w:r w:rsidRPr="0056236E">
              <w:rPr>
                <w:rStyle w:val="Policepardfaut"/>
                <w:sz w:val="22"/>
              </w:rPr>
              <w:fldChar w:fldCharType="separate"/>
            </w:r>
            <w:r w:rsidR="000E03BF" w:rsidRPr="0056236E">
              <w:rPr>
                <w:rStyle w:val="Policepardfaut"/>
                <w:sz w:val="22"/>
              </w:rPr>
              <w:t>+33144371472</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000E03BF" w:rsidRPr="0056236E">
              <w:rPr>
                <w:rStyle w:val="Policepardfaut"/>
                <w:sz w:val="22"/>
              </w:rPr>
              <w:t> </w:t>
            </w:r>
            <w:r w:rsidRPr="0056236E">
              <w:rPr>
                <w:rStyle w:val="Policepardfaut"/>
                <w:sz w:val="22"/>
              </w:rPr>
              <w:fldChar w:fldCharType="end"/>
            </w:r>
            <w:bookmarkEnd w:id="39"/>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3BF" w:rsidRPr="006A11A0" w:rsidRDefault="000E03BF">
            <w:pPr>
              <w:pStyle w:val="Standard"/>
              <w:widowControl w:val="0"/>
              <w:snapToGrid w:val="0"/>
              <w:jc w:val="center"/>
              <w:rPr>
                <w:sz w:val="22"/>
              </w:rPr>
            </w:pPr>
            <w:bookmarkStart w:id="40" w:name="ContactEmail_01"/>
            <w:r w:rsidRPr="0056236E">
              <w:rPr>
                <w:rStyle w:val="Policepardfaut"/>
                <w:sz w:val="22"/>
              </w:rPr>
              <w:t>edu.hassing@unep.org</w:t>
            </w:r>
            <w:r w:rsidR="00843A2E" w:rsidRPr="0056236E">
              <w:rPr>
                <w:rStyle w:val="Policepardfaut"/>
                <w:sz w:val="22"/>
              </w:rPr>
              <w:fldChar w:fldCharType="begin"/>
            </w:r>
            <w:r w:rsidRPr="0056236E">
              <w:rPr>
                <w:rStyle w:val="Policepardfaut"/>
                <w:sz w:val="22"/>
              </w:rPr>
              <w:instrText xml:space="preserve"> FILLIN "ContactEmail_01" </w:instrText>
            </w:r>
            <w:r w:rsidR="00843A2E" w:rsidRPr="0056236E">
              <w:rPr>
                <w:rStyle w:val="Policepardfaut"/>
                <w:sz w:val="22"/>
              </w:rPr>
              <w:fldChar w:fldCharType="separate"/>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Pr="0056236E">
              <w:rPr>
                <w:rStyle w:val="Policepardfaut"/>
                <w:sz w:val="22"/>
              </w:rPr>
              <w:t> </w:t>
            </w:r>
            <w:r w:rsidR="00843A2E" w:rsidRPr="0056236E">
              <w:rPr>
                <w:rStyle w:val="Policepardfaut"/>
                <w:sz w:val="22"/>
              </w:rPr>
              <w:fldChar w:fldCharType="end"/>
            </w:r>
            <w:bookmarkEnd w:id="40"/>
          </w:p>
        </w:tc>
      </w:tr>
    </w:tbl>
    <w:p w:rsidR="000E03BF" w:rsidRPr="006A11A0" w:rsidRDefault="000E03BF">
      <w:pPr>
        <w:pStyle w:val="Standard"/>
        <w:ind w:right="1200"/>
        <w:rPr>
          <w:vanish/>
          <w:sz w:val="22"/>
        </w:rPr>
      </w:pPr>
    </w:p>
    <w:p w:rsidR="000E03BF" w:rsidRPr="006A11A0" w:rsidRDefault="000E03BF">
      <w:pPr>
        <w:rPr>
          <w:rFonts w:cs="Times New Roman"/>
          <w:sz w:val="22"/>
        </w:rPr>
      </w:pPr>
    </w:p>
    <w:p w:rsidR="000E03BF" w:rsidRPr="006A11A0" w:rsidRDefault="000E03BF">
      <w:pPr>
        <w:rPr>
          <w:rFonts w:cs="Times New Roman"/>
          <w:sz w:val="22"/>
        </w:rPr>
      </w:pPr>
    </w:p>
    <w:sectPr w:rsidR="000E03BF" w:rsidRPr="006A11A0" w:rsidSect="000E03BF">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5C" w:rsidRDefault="00B46A5C" w:rsidP="000E03BF">
      <w:r>
        <w:separator/>
      </w:r>
    </w:p>
  </w:endnote>
  <w:endnote w:type="continuationSeparator" w:id="0">
    <w:p w:rsidR="00B46A5C" w:rsidRDefault="00B46A5C" w:rsidP="000E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LEAJ B+ New Century Schlbk">
    <w:altName w:val="Times New Roman"/>
    <w:panose1 w:val="00000000000000000000"/>
    <w:charset w:val="00"/>
    <w:family w:val="roman"/>
    <w:notTrueType/>
    <w:pitch w:val="default"/>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5A" w:rsidRDefault="00B46A5C">
    <w:pPr>
      <w:pStyle w:val="Footer"/>
      <w:jc w:val="right"/>
    </w:pPr>
    <w:r>
      <w:fldChar w:fldCharType="begin"/>
    </w:r>
    <w:r>
      <w:instrText xml:space="preserve"> PAGE   \* MERGEFORMAT </w:instrText>
    </w:r>
    <w:r>
      <w:fldChar w:fldCharType="separate"/>
    </w:r>
    <w:r w:rsidR="00FE5AA3">
      <w:rPr>
        <w:noProof/>
      </w:rPr>
      <w:t>1</w:t>
    </w:r>
    <w:r>
      <w:rPr>
        <w:noProof/>
      </w:rPr>
      <w:fldChar w:fldCharType="end"/>
    </w:r>
  </w:p>
  <w:p w:rsidR="00A80F5A" w:rsidRDefault="00A80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5C" w:rsidRDefault="00B46A5C" w:rsidP="000E03BF">
      <w:r w:rsidRPr="00A03300">
        <w:rPr>
          <w:color w:val="000000"/>
        </w:rPr>
        <w:separator/>
      </w:r>
    </w:p>
  </w:footnote>
  <w:footnote w:type="continuationSeparator" w:id="0">
    <w:p w:rsidR="00B46A5C" w:rsidRDefault="00B46A5C" w:rsidP="000E03BF">
      <w:r>
        <w:continuationSeparator/>
      </w:r>
    </w:p>
  </w:footnote>
  <w:footnote w:id="1">
    <w:p w:rsidR="00A80F5A" w:rsidRPr="00EC501D" w:rsidRDefault="00A80F5A">
      <w:pPr>
        <w:pStyle w:val="Footnote"/>
        <w:ind w:left="-720"/>
        <w:rPr>
          <w:lang w:val="en-US"/>
        </w:rPr>
      </w:pPr>
      <w:r w:rsidRPr="00A03300">
        <w:rPr>
          <w:rStyle w:val="FootnoteReference"/>
          <w:rFonts w:cs="Mangal"/>
        </w:rPr>
        <w:footnoteRef/>
      </w:r>
      <w:r>
        <w:rPr>
          <w:rStyle w:val="Policepardfaut"/>
          <w:sz w:val="18"/>
          <w:lang w:val="en-US"/>
        </w:rPr>
        <w:t xml:space="preserve">   </w:t>
      </w:r>
      <w:r>
        <w:rPr>
          <w:rStyle w:val="Policepardfaut"/>
          <w:sz w:val="16"/>
          <w:lang w:val="en-US"/>
        </w:rPr>
        <w:t xml:space="preserve"> </w:t>
      </w:r>
      <w:r>
        <w:rPr>
          <w:rStyle w:val="Policepardfaut"/>
          <w:color w:val="000000"/>
          <w:sz w:val="16"/>
          <w:lang w:val="en-US"/>
        </w:rPr>
        <w:t>Project ID number will be assigned by GEFSEC</w:t>
      </w:r>
      <w:r>
        <w:rPr>
          <w:rStyle w:val="Policepardfaut"/>
          <w:color w:val="000000"/>
          <w:sz w:val="18"/>
          <w:lang w:val="en-US"/>
        </w:rPr>
        <w:t>.</w:t>
      </w:r>
    </w:p>
  </w:footnote>
  <w:footnote w:id="2">
    <w:p w:rsidR="00A80F5A" w:rsidRPr="00EC501D" w:rsidRDefault="00A80F5A">
      <w:pPr>
        <w:pStyle w:val="Footnote"/>
        <w:ind w:left="-720"/>
        <w:rPr>
          <w:lang w:val="en-US"/>
        </w:rPr>
      </w:pPr>
      <w:r w:rsidRPr="00A03300">
        <w:rPr>
          <w:rStyle w:val="FootnoteReference"/>
          <w:rFonts w:cs="Mangal"/>
        </w:rPr>
        <w:footnoteRef/>
      </w:r>
      <w:r>
        <w:rPr>
          <w:rStyle w:val="Policepardfaut"/>
          <w:lang w:val="en-US"/>
        </w:rPr>
        <w:t xml:space="preserve">   </w:t>
      </w:r>
      <w:r>
        <w:rPr>
          <w:rStyle w:val="Policepardfaut"/>
          <w:sz w:val="18"/>
          <w:lang w:val="en-US"/>
        </w:rPr>
        <w:t xml:space="preserve">Refer to the reference attached on the </w:t>
      </w:r>
      <w:hyperlink r:id="rId1" w:history="1">
        <w:r>
          <w:rPr>
            <w:rStyle w:val="Internetlink"/>
            <w:sz w:val="18"/>
            <w:lang w:val="en-US"/>
          </w:rPr>
          <w:t>Focal Area Results Framework</w:t>
        </w:r>
      </w:hyperlink>
      <w:r>
        <w:rPr>
          <w:rStyle w:val="Policepardfaut"/>
          <w:sz w:val="18"/>
          <w:lang w:val="en-US"/>
        </w:rPr>
        <w:t xml:space="preserve"> when filling up the table in item A.</w:t>
      </w:r>
    </w:p>
  </w:footnote>
  <w:footnote w:id="3">
    <w:p w:rsidR="00A80F5A" w:rsidRPr="00EC501D" w:rsidRDefault="00A80F5A">
      <w:pPr>
        <w:pStyle w:val="Footnote"/>
        <w:ind w:left="-720"/>
        <w:rPr>
          <w:lang w:val="en-US"/>
        </w:rPr>
      </w:pPr>
      <w:r w:rsidRPr="00A03300">
        <w:rPr>
          <w:rStyle w:val="FootnoteReference"/>
          <w:rFonts w:cs="Mangal"/>
        </w:rPr>
        <w:footnoteRef/>
      </w:r>
      <w:r>
        <w:rPr>
          <w:rStyle w:val="Policepardfaut"/>
          <w:lang w:val="en-US"/>
        </w:rPr>
        <w:t xml:space="preserve">   </w:t>
      </w:r>
      <w:r>
        <w:rPr>
          <w:rStyle w:val="Policepardfaut"/>
          <w:sz w:val="18"/>
          <w:lang w:val="en-US"/>
        </w:rPr>
        <w:t xml:space="preserve">GEF will finance management cost that is solely linked to GEF financing of the project. PMC should be charged proportionately   </w:t>
      </w:r>
      <w:r>
        <w:rPr>
          <w:rStyle w:val="Policepardfaut"/>
          <w:sz w:val="18"/>
          <w:lang w:val="en-US"/>
        </w:rPr>
        <w:br/>
        <w:t xml:space="preserve">     to focal areas based on focal area project grant amount.</w:t>
      </w:r>
    </w:p>
  </w:footnote>
  <w:footnote w:id="4">
    <w:p w:rsidR="00A80F5A" w:rsidRPr="00EC501D" w:rsidRDefault="00A80F5A">
      <w:pPr>
        <w:pStyle w:val="Footnote"/>
        <w:ind w:left="-720"/>
        <w:rPr>
          <w:lang w:val="en-US"/>
        </w:rPr>
      </w:pPr>
      <w:r w:rsidRPr="009915A2">
        <w:rPr>
          <w:rStyle w:val="FootnoteReference"/>
          <w:rFonts w:cs="Mangal"/>
          <w:sz w:val="18"/>
          <w:szCs w:val="18"/>
        </w:rPr>
        <w:footnoteRef/>
      </w:r>
      <w:r w:rsidRPr="009915A2">
        <w:rPr>
          <w:rStyle w:val="Policepardfaut"/>
          <w:sz w:val="18"/>
          <w:szCs w:val="18"/>
          <w:lang w:val="en-US"/>
        </w:rPr>
        <w:t xml:space="preserve">  </w:t>
      </w:r>
      <w:r>
        <w:rPr>
          <w:rStyle w:val="Policepardfaut"/>
          <w:lang w:val="en-US"/>
        </w:rPr>
        <w:t xml:space="preserve"> </w:t>
      </w:r>
      <w:r>
        <w:rPr>
          <w:rStyle w:val="Policepardfaut"/>
          <w:sz w:val="18"/>
          <w:lang w:val="en-US"/>
        </w:rPr>
        <w:t>Same as footnote #3.</w:t>
      </w:r>
    </w:p>
  </w:footnote>
  <w:footnote w:id="5">
    <w:p w:rsidR="00A80F5A" w:rsidRPr="00EC501D" w:rsidRDefault="00A80F5A" w:rsidP="000E03BF">
      <w:pPr>
        <w:pStyle w:val="FootnoteText"/>
        <w:ind w:left="-720"/>
        <w:rPr>
          <w:lang w:val="en-US"/>
        </w:rPr>
      </w:pPr>
      <w:r w:rsidRPr="009915A2">
        <w:rPr>
          <w:rStyle w:val="FootnoteReference"/>
          <w:sz w:val="18"/>
        </w:rPr>
        <w:footnoteRef/>
      </w:r>
      <w:r w:rsidRPr="009915A2">
        <w:rPr>
          <w:sz w:val="18"/>
          <w:lang w:val="en-US"/>
        </w:rPr>
        <w:t xml:space="preserve"> Private</w:t>
      </w:r>
      <w:r w:rsidRPr="00A03A3F">
        <w:rPr>
          <w:sz w:val="18"/>
          <w:lang w:val="en-US"/>
        </w:rPr>
        <w:t xml:space="preserve"> sector partners’ in-kind co-financing are estimated based on the number of full time equivalent (FTE) employees, which will be dedicated to the project. At a monthly consultant cost in the range of 30,000 USD for Osram and Philips and 12 000 for NLTC, we expect in total around 115 FTE months to be dedicated to the project (Osram 30 months, Philips 30 months, and NLTC 55 months).</w:t>
      </w:r>
    </w:p>
  </w:footnote>
  <w:footnote w:id="6">
    <w:p w:rsidR="00A80F5A" w:rsidRPr="00EC501D" w:rsidRDefault="00A80F5A" w:rsidP="000E03BF">
      <w:pPr>
        <w:pStyle w:val="FootnoteText"/>
        <w:rPr>
          <w:lang w:val="en-US"/>
        </w:rPr>
      </w:pPr>
      <w:r>
        <w:rPr>
          <w:rStyle w:val="FootnoteReference"/>
          <w:rFonts w:cs="Mangal"/>
        </w:rPr>
        <w:footnoteRef/>
      </w:r>
      <w:r w:rsidRPr="00A1435C">
        <w:rPr>
          <w:lang w:val="en-US"/>
        </w:rPr>
        <w:t xml:space="preserve"> http://www.worldbank.org/en/country/yemen/overview</w:t>
      </w:r>
    </w:p>
  </w:footnote>
  <w:footnote w:id="7">
    <w:p w:rsidR="00A80F5A" w:rsidRPr="00EC501D" w:rsidRDefault="00A80F5A" w:rsidP="000E03BF">
      <w:pPr>
        <w:pStyle w:val="FootnoteText"/>
        <w:rPr>
          <w:lang w:val="en-US"/>
        </w:rPr>
      </w:pPr>
      <w:r>
        <w:rPr>
          <w:rStyle w:val="FootnoteReference"/>
          <w:rFonts w:cs="Mangal"/>
        </w:rPr>
        <w:footnoteRef/>
      </w:r>
      <w:r w:rsidRPr="00A1435C">
        <w:rPr>
          <w:lang w:val="en-US"/>
        </w:rPr>
        <w:t xml:space="preserve"> http://www.worldenergyoutlook.org/resources/energydevelopment/accesstoelectricity/</w:t>
      </w:r>
    </w:p>
  </w:footnote>
  <w:footnote w:id="8">
    <w:p w:rsidR="00A80F5A" w:rsidRPr="00EC501D" w:rsidRDefault="00A80F5A" w:rsidP="000E03BF">
      <w:pPr>
        <w:pStyle w:val="FootnoteText"/>
        <w:rPr>
          <w:lang w:val="en-US"/>
        </w:rPr>
      </w:pPr>
      <w:r>
        <w:rPr>
          <w:rStyle w:val="FootnoteReference"/>
          <w:rFonts w:cs="Mangal"/>
        </w:rPr>
        <w:footnoteRef/>
      </w:r>
      <w:r w:rsidRPr="00A1435C">
        <w:rPr>
          <w:lang w:val="en-US"/>
        </w:rPr>
        <w:t xml:space="preserve"> http://www.reegle.info/countries/yemen-energy-profile/YE</w:t>
      </w:r>
    </w:p>
  </w:footnote>
  <w:footnote w:id="9">
    <w:p w:rsidR="00A80F5A" w:rsidRPr="00EC501D" w:rsidRDefault="00A80F5A" w:rsidP="00F130EC">
      <w:pPr>
        <w:pStyle w:val="FootnoteText"/>
        <w:ind w:right="566"/>
        <w:rPr>
          <w:lang w:val="en-US"/>
        </w:rPr>
      </w:pPr>
      <w:r>
        <w:rPr>
          <w:rStyle w:val="FootnoteReference"/>
          <w:rFonts w:cs="Mangal"/>
        </w:rPr>
        <w:footnoteRef/>
      </w:r>
      <w:r w:rsidRPr="00A1435C">
        <w:rPr>
          <w:lang w:val="en-US"/>
        </w:rPr>
        <w:t xml:space="preserve"> </w:t>
      </w:r>
      <w:hyperlink r:id="rId2" w:history="1">
        <w:r w:rsidRPr="00CC6A4A">
          <w:rPr>
            <w:rStyle w:val="Hyperlink"/>
            <w:rFonts w:cs="Mangal"/>
            <w:lang w:val="en-US"/>
          </w:rPr>
          <w:t>http://www.rcreee.org/Studies/Existing_CDM_Potential&amp;Perspectives_for_Carbon_Finance_in_RCREEE_Member_States_Beyond_2012.pdf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D06"/>
    <w:multiLevelType w:val="multilevel"/>
    <w:tmpl w:val="2B8E4D8C"/>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64F2779"/>
    <w:multiLevelType w:val="multilevel"/>
    <w:tmpl w:val="EFB6AA60"/>
    <w:lvl w:ilvl="0">
      <w:start w:val="2"/>
      <w:numFmt w:val="upperLetter"/>
      <w:lvlText w:val="%1."/>
      <w:lvlJc w:val="left"/>
      <w:rP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7503476"/>
    <w:multiLevelType w:val="multilevel"/>
    <w:tmpl w:val="BFD6250E"/>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13171527"/>
    <w:multiLevelType w:val="multilevel"/>
    <w:tmpl w:val="40CC3BB2"/>
    <w:lvl w:ilvl="0">
      <w:start w:val="1"/>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4890EC4"/>
    <w:multiLevelType w:val="multilevel"/>
    <w:tmpl w:val="6422CDAC"/>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20CB4AE7"/>
    <w:multiLevelType w:val="multilevel"/>
    <w:tmpl w:val="6D5E3AE0"/>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0FC1572"/>
    <w:multiLevelType w:val="multilevel"/>
    <w:tmpl w:val="ED36D780"/>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C2E14B6"/>
    <w:multiLevelType w:val="multilevel"/>
    <w:tmpl w:val="A074213A"/>
    <w:lvl w:ilvl="0">
      <w:start w:val="1"/>
      <w:numFmt w:val="lowerRoman"/>
      <w:lvlText w:val="(%1)"/>
      <w:lvlJc w:val="left"/>
      <w:pPr>
        <w:ind w:left="700" w:hanging="720"/>
      </w:pPr>
    </w:lvl>
    <w:lvl w:ilvl="1">
      <w:start w:val="1"/>
      <w:numFmt w:val="lowerLetter"/>
      <w:lvlText w:val="%2."/>
      <w:lvlJc w:val="left"/>
      <w:pPr>
        <w:ind w:left="1060" w:hanging="360"/>
      </w:pPr>
    </w:lvl>
    <w:lvl w:ilvl="2">
      <w:start w:val="1"/>
      <w:numFmt w:val="lowerRoman"/>
      <w:lvlText w:val="%3."/>
      <w:lvlJc w:val="right"/>
      <w:pPr>
        <w:ind w:left="1781"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1" w:hanging="180"/>
      </w:pPr>
    </w:lvl>
  </w:abstractNum>
  <w:abstractNum w:abstractNumId="8">
    <w:nsid w:val="36D301A5"/>
    <w:multiLevelType w:val="multilevel"/>
    <w:tmpl w:val="A1C0C29E"/>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DB176B5"/>
    <w:multiLevelType w:val="multilevel"/>
    <w:tmpl w:val="B1A48E08"/>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3E07497E"/>
    <w:multiLevelType w:val="multilevel"/>
    <w:tmpl w:val="53D0CBDC"/>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E5D24E0"/>
    <w:multiLevelType w:val="multilevel"/>
    <w:tmpl w:val="9708748E"/>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3F1E2EA9"/>
    <w:multiLevelType w:val="hybridMultilevel"/>
    <w:tmpl w:val="1DD0F782"/>
    <w:lvl w:ilvl="0" w:tplc="24A478AE">
      <w:start w:val="1"/>
      <w:numFmt w:val="upperRoman"/>
      <w:lvlText w:val="%1."/>
      <w:lvlJc w:val="left"/>
      <w:pPr>
        <w:ind w:left="780" w:hanging="720"/>
      </w:pPr>
      <w:rPr>
        <w:rFonts w:hint="default"/>
      </w:rPr>
    </w:lvl>
    <w:lvl w:ilvl="1" w:tplc="00190409" w:tentative="1">
      <w:start w:val="1"/>
      <w:numFmt w:val="lowerLetter"/>
      <w:lvlText w:val="%2."/>
      <w:lvlJc w:val="left"/>
      <w:pPr>
        <w:ind w:left="1140" w:hanging="360"/>
      </w:pPr>
    </w:lvl>
    <w:lvl w:ilvl="2" w:tplc="001B0409" w:tentative="1">
      <w:start w:val="1"/>
      <w:numFmt w:val="lowerRoman"/>
      <w:lvlText w:val="%3."/>
      <w:lvlJc w:val="right"/>
      <w:pPr>
        <w:ind w:left="1860" w:hanging="180"/>
      </w:pPr>
    </w:lvl>
    <w:lvl w:ilvl="3" w:tplc="000F0409" w:tentative="1">
      <w:start w:val="1"/>
      <w:numFmt w:val="decimal"/>
      <w:lvlText w:val="%4."/>
      <w:lvlJc w:val="left"/>
      <w:pPr>
        <w:ind w:left="2580" w:hanging="360"/>
      </w:pPr>
    </w:lvl>
    <w:lvl w:ilvl="4" w:tplc="00190409" w:tentative="1">
      <w:start w:val="1"/>
      <w:numFmt w:val="lowerLetter"/>
      <w:lvlText w:val="%5."/>
      <w:lvlJc w:val="left"/>
      <w:pPr>
        <w:ind w:left="3300" w:hanging="360"/>
      </w:pPr>
    </w:lvl>
    <w:lvl w:ilvl="5" w:tplc="001B0409" w:tentative="1">
      <w:start w:val="1"/>
      <w:numFmt w:val="lowerRoman"/>
      <w:lvlText w:val="%6."/>
      <w:lvlJc w:val="right"/>
      <w:pPr>
        <w:ind w:left="4020" w:hanging="180"/>
      </w:pPr>
    </w:lvl>
    <w:lvl w:ilvl="6" w:tplc="000F0409" w:tentative="1">
      <w:start w:val="1"/>
      <w:numFmt w:val="decimal"/>
      <w:lvlText w:val="%7."/>
      <w:lvlJc w:val="left"/>
      <w:pPr>
        <w:ind w:left="4740" w:hanging="360"/>
      </w:pPr>
    </w:lvl>
    <w:lvl w:ilvl="7" w:tplc="00190409" w:tentative="1">
      <w:start w:val="1"/>
      <w:numFmt w:val="lowerLetter"/>
      <w:lvlText w:val="%8."/>
      <w:lvlJc w:val="left"/>
      <w:pPr>
        <w:ind w:left="5460" w:hanging="360"/>
      </w:pPr>
    </w:lvl>
    <w:lvl w:ilvl="8" w:tplc="001B0409" w:tentative="1">
      <w:start w:val="1"/>
      <w:numFmt w:val="lowerRoman"/>
      <w:lvlText w:val="%9."/>
      <w:lvlJc w:val="right"/>
      <w:pPr>
        <w:ind w:left="6180" w:hanging="180"/>
      </w:pPr>
    </w:lvl>
  </w:abstractNum>
  <w:abstractNum w:abstractNumId="13">
    <w:nsid w:val="40750B8A"/>
    <w:multiLevelType w:val="multilevel"/>
    <w:tmpl w:val="9F6A440A"/>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42C95A2B"/>
    <w:multiLevelType w:val="multilevel"/>
    <w:tmpl w:val="E7867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43B652EA"/>
    <w:multiLevelType w:val="multilevel"/>
    <w:tmpl w:val="563258CE"/>
    <w:lvl w:ilvl="0">
      <w:start w:val="1"/>
      <w:numFmt w:val="none"/>
      <w:lvlText w:val="%1"/>
      <w:lvlJc w:val="left"/>
    </w:lvl>
    <w:lvl w:ilvl="1">
      <w:start w:val="1"/>
      <w:numFmt w:val="decimal"/>
      <w:pStyle w:val="MainParanoChap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47EA30A6"/>
    <w:multiLevelType w:val="multilevel"/>
    <w:tmpl w:val="3BDE2BFA"/>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48FD4B62"/>
    <w:multiLevelType w:val="multilevel"/>
    <w:tmpl w:val="729C3D90"/>
    <w:lvl w:ilvl="0">
      <w:start w:val="1"/>
      <w:numFmt w:val="upperLetter"/>
      <w:lvlText w:val="%1."/>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49D95915"/>
    <w:multiLevelType w:val="multilevel"/>
    <w:tmpl w:val="8EBA0DA4"/>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09B1410"/>
    <w:multiLevelType w:val="multilevel"/>
    <w:tmpl w:val="BA4463E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53EF3F18"/>
    <w:multiLevelType w:val="multilevel"/>
    <w:tmpl w:val="8ADC7FB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59C2231F"/>
    <w:multiLevelType w:val="multilevel"/>
    <w:tmpl w:val="4A90099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5C3F1934"/>
    <w:multiLevelType w:val="multilevel"/>
    <w:tmpl w:val="1C7C20D4"/>
    <w:lvl w:ilvl="0">
      <w:start w:val="1"/>
      <w:numFmt w:val="decimal"/>
      <w:lvlText w:val="%1."/>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66B8651F"/>
    <w:multiLevelType w:val="multilevel"/>
    <w:tmpl w:val="2C2E4ADE"/>
    <w:lvl w:ilvl="0">
      <w:start w:val="1"/>
      <w:numFmt w:val="decimal"/>
      <w:lvlText w:val="%1."/>
      <w:lvlJc w:val="left"/>
      <w:rPr>
        <w:rFonts w:ascii="Symbol" w:hAnsi="Symbol"/>
      </w:rPr>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6C7B0085"/>
    <w:multiLevelType w:val="multilevel"/>
    <w:tmpl w:val="17A6A14C"/>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72225726"/>
    <w:multiLevelType w:val="multilevel"/>
    <w:tmpl w:val="2172661A"/>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7527382A"/>
    <w:multiLevelType w:val="multilevel"/>
    <w:tmpl w:val="D2549124"/>
    <w:lvl w:ilvl="0">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764035F4"/>
    <w:multiLevelType w:val="multilevel"/>
    <w:tmpl w:val="46405200"/>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78024950"/>
    <w:multiLevelType w:val="multilevel"/>
    <w:tmpl w:val="87CACA14"/>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79DF3B4F"/>
    <w:multiLevelType w:val="hybridMultilevel"/>
    <w:tmpl w:val="EA1CCA8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ADE646A"/>
    <w:multiLevelType w:val="hybridMultilevel"/>
    <w:tmpl w:val="1DD0F782"/>
    <w:lvl w:ilvl="0" w:tplc="24A478AE">
      <w:start w:val="1"/>
      <w:numFmt w:val="upperRoman"/>
      <w:lvlText w:val="%1."/>
      <w:lvlJc w:val="left"/>
      <w:pPr>
        <w:ind w:left="780" w:hanging="720"/>
      </w:pPr>
      <w:rPr>
        <w:rFonts w:hint="default"/>
      </w:rPr>
    </w:lvl>
    <w:lvl w:ilvl="1" w:tplc="00190409" w:tentative="1">
      <w:start w:val="1"/>
      <w:numFmt w:val="lowerLetter"/>
      <w:lvlText w:val="%2."/>
      <w:lvlJc w:val="left"/>
      <w:pPr>
        <w:ind w:left="1140" w:hanging="360"/>
      </w:pPr>
    </w:lvl>
    <w:lvl w:ilvl="2" w:tplc="001B0409" w:tentative="1">
      <w:start w:val="1"/>
      <w:numFmt w:val="lowerRoman"/>
      <w:lvlText w:val="%3."/>
      <w:lvlJc w:val="right"/>
      <w:pPr>
        <w:ind w:left="1860" w:hanging="180"/>
      </w:pPr>
    </w:lvl>
    <w:lvl w:ilvl="3" w:tplc="000F0409" w:tentative="1">
      <w:start w:val="1"/>
      <w:numFmt w:val="decimal"/>
      <w:lvlText w:val="%4."/>
      <w:lvlJc w:val="left"/>
      <w:pPr>
        <w:ind w:left="2580" w:hanging="360"/>
      </w:pPr>
    </w:lvl>
    <w:lvl w:ilvl="4" w:tplc="00190409" w:tentative="1">
      <w:start w:val="1"/>
      <w:numFmt w:val="lowerLetter"/>
      <w:lvlText w:val="%5."/>
      <w:lvlJc w:val="left"/>
      <w:pPr>
        <w:ind w:left="3300" w:hanging="360"/>
      </w:pPr>
    </w:lvl>
    <w:lvl w:ilvl="5" w:tplc="001B0409" w:tentative="1">
      <w:start w:val="1"/>
      <w:numFmt w:val="lowerRoman"/>
      <w:lvlText w:val="%6."/>
      <w:lvlJc w:val="right"/>
      <w:pPr>
        <w:ind w:left="4020" w:hanging="180"/>
      </w:pPr>
    </w:lvl>
    <w:lvl w:ilvl="6" w:tplc="000F0409" w:tentative="1">
      <w:start w:val="1"/>
      <w:numFmt w:val="decimal"/>
      <w:lvlText w:val="%7."/>
      <w:lvlJc w:val="left"/>
      <w:pPr>
        <w:ind w:left="4740" w:hanging="360"/>
      </w:pPr>
    </w:lvl>
    <w:lvl w:ilvl="7" w:tplc="00190409" w:tentative="1">
      <w:start w:val="1"/>
      <w:numFmt w:val="lowerLetter"/>
      <w:lvlText w:val="%8."/>
      <w:lvlJc w:val="left"/>
      <w:pPr>
        <w:ind w:left="5460" w:hanging="360"/>
      </w:pPr>
    </w:lvl>
    <w:lvl w:ilvl="8" w:tplc="001B0409" w:tentative="1">
      <w:start w:val="1"/>
      <w:numFmt w:val="lowerRoman"/>
      <w:lvlText w:val="%9."/>
      <w:lvlJc w:val="right"/>
      <w:pPr>
        <w:ind w:left="6180" w:hanging="180"/>
      </w:pPr>
    </w:lvl>
  </w:abstractNum>
  <w:abstractNum w:abstractNumId="31">
    <w:nsid w:val="7FB17BFD"/>
    <w:multiLevelType w:val="multilevel"/>
    <w:tmpl w:val="FEE2F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15"/>
  </w:num>
  <w:num w:numId="2">
    <w:abstractNumId w:val="4"/>
  </w:num>
  <w:num w:numId="3">
    <w:abstractNumId w:val="27"/>
  </w:num>
  <w:num w:numId="4">
    <w:abstractNumId w:val="6"/>
  </w:num>
  <w:num w:numId="5">
    <w:abstractNumId w:val="25"/>
  </w:num>
  <w:num w:numId="6">
    <w:abstractNumId w:val="11"/>
  </w:num>
  <w:num w:numId="7">
    <w:abstractNumId w:val="2"/>
  </w:num>
  <w:num w:numId="8">
    <w:abstractNumId w:val="28"/>
  </w:num>
  <w:num w:numId="9">
    <w:abstractNumId w:val="0"/>
  </w:num>
  <w:num w:numId="10">
    <w:abstractNumId w:val="9"/>
  </w:num>
  <w:num w:numId="11">
    <w:abstractNumId w:val="8"/>
  </w:num>
  <w:num w:numId="12">
    <w:abstractNumId w:val="24"/>
  </w:num>
  <w:num w:numId="13">
    <w:abstractNumId w:val="13"/>
  </w:num>
  <w:num w:numId="14">
    <w:abstractNumId w:val="16"/>
  </w:num>
  <w:num w:numId="15">
    <w:abstractNumId w:val="18"/>
  </w:num>
  <w:num w:numId="16">
    <w:abstractNumId w:val="23"/>
  </w:num>
  <w:num w:numId="17">
    <w:abstractNumId w:val="22"/>
  </w:num>
  <w:num w:numId="18">
    <w:abstractNumId w:val="26"/>
  </w:num>
  <w:num w:numId="19">
    <w:abstractNumId w:val="17"/>
  </w:num>
  <w:num w:numId="20">
    <w:abstractNumId w:val="1"/>
  </w:num>
  <w:num w:numId="21">
    <w:abstractNumId w:val="5"/>
  </w:num>
  <w:num w:numId="22">
    <w:abstractNumId w:val="3"/>
  </w:num>
  <w:num w:numId="23">
    <w:abstractNumId w:val="10"/>
  </w:num>
  <w:num w:numId="24">
    <w:abstractNumId w:val="5"/>
  </w:num>
  <w:num w:numId="25">
    <w:abstractNumId w:val="1"/>
    <w:lvlOverride w:ilvl="0">
      <w:startOverride w:val="2"/>
    </w:lvlOverride>
  </w:num>
  <w:num w:numId="26">
    <w:abstractNumId w:val="17"/>
    <w:lvlOverride w:ilvl="0">
      <w:startOverride w:val="1"/>
    </w:lvlOverride>
  </w:num>
  <w:num w:numId="27">
    <w:abstractNumId w:val="20"/>
  </w:num>
  <w:num w:numId="28">
    <w:abstractNumId w:val="19"/>
  </w:num>
  <w:num w:numId="29">
    <w:abstractNumId w:val="14"/>
  </w:num>
  <w:num w:numId="30">
    <w:abstractNumId w:val="7"/>
  </w:num>
  <w:num w:numId="31">
    <w:abstractNumId w:val="31"/>
  </w:num>
  <w:num w:numId="32">
    <w:abstractNumId w:val="29"/>
  </w:num>
  <w:num w:numId="33">
    <w:abstractNumId w:val="30"/>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00"/>
    <w:rsid w:val="0002455C"/>
    <w:rsid w:val="000510A0"/>
    <w:rsid w:val="000C0BEA"/>
    <w:rsid w:val="000C140E"/>
    <w:rsid w:val="000D0398"/>
    <w:rsid w:val="000E03BF"/>
    <w:rsid w:val="00190615"/>
    <w:rsid w:val="001B3090"/>
    <w:rsid w:val="00202F0A"/>
    <w:rsid w:val="002F715B"/>
    <w:rsid w:val="00411428"/>
    <w:rsid w:val="00476A59"/>
    <w:rsid w:val="004A15BF"/>
    <w:rsid w:val="004B7FA6"/>
    <w:rsid w:val="0056236E"/>
    <w:rsid w:val="006075D8"/>
    <w:rsid w:val="00611606"/>
    <w:rsid w:val="00642046"/>
    <w:rsid w:val="00692990"/>
    <w:rsid w:val="00692B67"/>
    <w:rsid w:val="006B76ED"/>
    <w:rsid w:val="006C75FF"/>
    <w:rsid w:val="0071492D"/>
    <w:rsid w:val="00717FD0"/>
    <w:rsid w:val="008257AF"/>
    <w:rsid w:val="00827B66"/>
    <w:rsid w:val="00843638"/>
    <w:rsid w:val="00843A2E"/>
    <w:rsid w:val="00852740"/>
    <w:rsid w:val="008743D2"/>
    <w:rsid w:val="008A0FCA"/>
    <w:rsid w:val="008B04A9"/>
    <w:rsid w:val="00941E3C"/>
    <w:rsid w:val="009915A2"/>
    <w:rsid w:val="009A416B"/>
    <w:rsid w:val="009A6DD7"/>
    <w:rsid w:val="009C0B56"/>
    <w:rsid w:val="00A03300"/>
    <w:rsid w:val="00A80F5A"/>
    <w:rsid w:val="00A86386"/>
    <w:rsid w:val="00AB7330"/>
    <w:rsid w:val="00AC7286"/>
    <w:rsid w:val="00B07CF8"/>
    <w:rsid w:val="00B431E3"/>
    <w:rsid w:val="00B46A5C"/>
    <w:rsid w:val="00C116DD"/>
    <w:rsid w:val="00C16201"/>
    <w:rsid w:val="00C50F29"/>
    <w:rsid w:val="00C52E85"/>
    <w:rsid w:val="00CA36AF"/>
    <w:rsid w:val="00CD775D"/>
    <w:rsid w:val="00D70E52"/>
    <w:rsid w:val="00D800D9"/>
    <w:rsid w:val="00DD03B9"/>
    <w:rsid w:val="00DE1B77"/>
    <w:rsid w:val="00E14FF5"/>
    <w:rsid w:val="00E66DCD"/>
    <w:rsid w:val="00E970C7"/>
    <w:rsid w:val="00ED5A7C"/>
    <w:rsid w:val="00F130EC"/>
    <w:rsid w:val="00FB3987"/>
    <w:rsid w:val="00FE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Genev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00"/>
    <w:pPr>
      <w:widowControl w:val="0"/>
      <w:suppressAutoHyphens/>
      <w:autoSpaceDN w:val="0"/>
      <w:textAlignment w:val="baseline"/>
    </w:pPr>
    <w:rPr>
      <w:kern w:val="3"/>
      <w:sz w:val="24"/>
      <w:szCs w:val="24"/>
      <w:lang w:val="fr-FR" w:eastAsia="zh-C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3300"/>
    <w:rPr>
      <w:rFonts w:ascii="Tahoma" w:hAnsi="Tahoma"/>
      <w:sz w:val="16"/>
      <w:szCs w:val="14"/>
    </w:rPr>
  </w:style>
  <w:style w:type="paragraph" w:customStyle="1" w:styleId="Titre1">
    <w:name w:val="Titre 1"/>
    <w:basedOn w:val="Standard"/>
    <w:next w:val="Standard"/>
    <w:rsid w:val="00A03300"/>
    <w:pPr>
      <w:keepNext/>
      <w:outlineLvl w:val="0"/>
    </w:pPr>
    <w:rPr>
      <w:b/>
      <w:bCs/>
      <w:u w:val="single"/>
    </w:rPr>
  </w:style>
  <w:style w:type="paragraph" w:customStyle="1" w:styleId="MainParanoChapter">
    <w:name w:val="Main Para no Chapter #"/>
    <w:basedOn w:val="Standard"/>
    <w:rsid w:val="00A03300"/>
    <w:pPr>
      <w:numPr>
        <w:ilvl w:val="1"/>
        <w:numId w:val="1"/>
      </w:numPr>
      <w:spacing w:before="120" w:after="240"/>
      <w:outlineLvl w:val="1"/>
    </w:pPr>
    <w:rPr>
      <w:color w:val="000000"/>
    </w:rPr>
  </w:style>
  <w:style w:type="paragraph" w:customStyle="1" w:styleId="Titre3">
    <w:name w:val="Titre 3"/>
    <w:basedOn w:val="Standard"/>
    <w:next w:val="Standard"/>
    <w:rsid w:val="00A03300"/>
    <w:pPr>
      <w:keepNext/>
      <w:outlineLvl w:val="2"/>
    </w:pPr>
    <w:rPr>
      <w:b/>
      <w:bCs/>
    </w:rPr>
  </w:style>
  <w:style w:type="paragraph" w:customStyle="1" w:styleId="Titre4">
    <w:name w:val="Titre 4"/>
    <w:basedOn w:val="Standard"/>
    <w:next w:val="Standard"/>
    <w:rsid w:val="00A03300"/>
    <w:pPr>
      <w:keepNext/>
      <w:pBdr>
        <w:top w:val="single" w:sz="4" w:space="0" w:color="000000"/>
        <w:left w:val="single" w:sz="4" w:space="0" w:color="000000"/>
        <w:bottom w:val="single" w:sz="4" w:space="0" w:color="000000"/>
        <w:right w:val="single" w:sz="4" w:space="0" w:color="000000"/>
      </w:pBdr>
      <w:shd w:val="clear" w:color="auto" w:fill="595959"/>
      <w:ind w:left="720"/>
      <w:outlineLvl w:val="3"/>
    </w:pPr>
    <w:rPr>
      <w:rFonts w:ascii="Times New Roman Bold" w:hAnsi="Times New Roman Bold"/>
      <w:b/>
      <w:smallCaps/>
      <w:color w:val="FFFFFF"/>
    </w:rPr>
  </w:style>
  <w:style w:type="paragraph" w:customStyle="1" w:styleId="Titre5">
    <w:name w:val="Titre 5"/>
    <w:basedOn w:val="Standard"/>
    <w:next w:val="Standard"/>
    <w:rsid w:val="00A03300"/>
    <w:pPr>
      <w:keepNext/>
      <w:ind w:left="720"/>
      <w:outlineLvl w:val="4"/>
    </w:pPr>
    <w:rPr>
      <w:b/>
      <w:bCs/>
    </w:rPr>
  </w:style>
  <w:style w:type="paragraph" w:customStyle="1" w:styleId="Titre6">
    <w:name w:val="Titre 6"/>
    <w:basedOn w:val="Standard"/>
    <w:next w:val="Standard"/>
    <w:rsid w:val="00A03300"/>
    <w:pPr>
      <w:keepNext/>
      <w:ind w:left="360"/>
      <w:outlineLvl w:val="5"/>
    </w:pPr>
    <w:rPr>
      <w:b/>
      <w:bCs/>
      <w:smallCaps/>
    </w:rPr>
  </w:style>
  <w:style w:type="paragraph" w:customStyle="1" w:styleId="Titre7">
    <w:name w:val="Titre 7"/>
    <w:basedOn w:val="Standard"/>
    <w:next w:val="Standard"/>
    <w:rsid w:val="00A03300"/>
    <w:pPr>
      <w:keepNext/>
      <w:outlineLvl w:val="6"/>
    </w:pPr>
    <w:rPr>
      <w:b/>
      <w:bCs/>
      <w:sz w:val="20"/>
    </w:rPr>
  </w:style>
  <w:style w:type="paragraph" w:customStyle="1" w:styleId="Titre8">
    <w:name w:val="Titre 8"/>
    <w:basedOn w:val="Standard"/>
    <w:next w:val="Standard"/>
    <w:rsid w:val="00A03300"/>
    <w:pPr>
      <w:keepNext/>
      <w:jc w:val="center"/>
      <w:outlineLvl w:val="7"/>
    </w:pPr>
    <w:rPr>
      <w:b/>
      <w:bCs/>
      <w:sz w:val="20"/>
    </w:rPr>
  </w:style>
  <w:style w:type="paragraph" w:customStyle="1" w:styleId="Titre9">
    <w:name w:val="Titre 9"/>
    <w:basedOn w:val="Standard"/>
    <w:next w:val="Standard"/>
    <w:rsid w:val="00A03300"/>
    <w:pPr>
      <w:keepNext/>
      <w:outlineLvl w:val="8"/>
    </w:pPr>
    <w:rPr>
      <w:b/>
      <w:bCs/>
    </w:rPr>
  </w:style>
  <w:style w:type="paragraph" w:customStyle="1" w:styleId="Titre2">
    <w:name w:val="Titre 2"/>
    <w:basedOn w:val="Standard"/>
    <w:next w:val="Standard"/>
    <w:rsid w:val="00A03300"/>
    <w:pPr>
      <w:keepNext/>
      <w:outlineLvl w:val="1"/>
    </w:pPr>
    <w:rPr>
      <w:i/>
      <w:iCs/>
    </w:rPr>
  </w:style>
  <w:style w:type="character" w:customStyle="1" w:styleId="Policepardfaut">
    <w:name w:val="Police par défaut"/>
    <w:rsid w:val="00A03300"/>
  </w:style>
  <w:style w:type="paragraph" w:customStyle="1" w:styleId="Standard">
    <w:name w:val="Standard"/>
    <w:rsid w:val="00A03300"/>
    <w:pPr>
      <w:suppressAutoHyphens/>
      <w:autoSpaceDN w:val="0"/>
      <w:textAlignment w:val="baseline"/>
    </w:pPr>
    <w:rPr>
      <w:rFonts w:cs="Times New Roman"/>
      <w:kern w:val="3"/>
      <w:sz w:val="24"/>
      <w:szCs w:val="24"/>
      <w:lang w:eastAsia="zh-CN" w:bidi="en-US"/>
    </w:rPr>
  </w:style>
  <w:style w:type="paragraph" w:customStyle="1" w:styleId="Heading">
    <w:name w:val="Heading"/>
    <w:basedOn w:val="Standard"/>
    <w:next w:val="Textbody"/>
    <w:rsid w:val="00A03300"/>
    <w:pPr>
      <w:keepNext/>
      <w:spacing w:before="240" w:after="120"/>
    </w:pPr>
    <w:rPr>
      <w:rFonts w:ascii="Arial" w:hAnsi="Arial" w:cs="Mangal"/>
      <w:sz w:val="28"/>
      <w:szCs w:val="28"/>
    </w:rPr>
  </w:style>
  <w:style w:type="paragraph" w:customStyle="1" w:styleId="Textbody">
    <w:name w:val="Text body"/>
    <w:basedOn w:val="Standard"/>
    <w:rsid w:val="00A03300"/>
    <w:rPr>
      <w:sz w:val="20"/>
    </w:rPr>
  </w:style>
  <w:style w:type="paragraph" w:customStyle="1" w:styleId="Liste">
    <w:name w:val="Liste"/>
    <w:basedOn w:val="Textbody"/>
    <w:rsid w:val="00A03300"/>
    <w:rPr>
      <w:rFonts w:cs="Mangal"/>
    </w:rPr>
  </w:style>
  <w:style w:type="paragraph" w:customStyle="1" w:styleId="Lgende">
    <w:name w:val="Légende"/>
    <w:basedOn w:val="Standard"/>
    <w:next w:val="Standard"/>
    <w:rsid w:val="00A03300"/>
    <w:rPr>
      <w:rFonts w:ascii="Times New Roman Bold" w:hAnsi="Times New Roman Bold"/>
      <w:b/>
      <w:bCs/>
      <w:caps/>
    </w:rPr>
  </w:style>
  <w:style w:type="paragraph" w:customStyle="1" w:styleId="Index">
    <w:name w:val="Index"/>
    <w:basedOn w:val="Standard"/>
    <w:rsid w:val="00A03300"/>
    <w:pPr>
      <w:suppressLineNumbers/>
    </w:pPr>
    <w:rPr>
      <w:rFonts w:cs="Mangal"/>
    </w:rPr>
  </w:style>
  <w:style w:type="paragraph" w:customStyle="1" w:styleId="Pieddepage">
    <w:name w:val="Pied de page"/>
    <w:basedOn w:val="Normal"/>
    <w:rsid w:val="00A03300"/>
    <w:pPr>
      <w:tabs>
        <w:tab w:val="center" w:pos="4680"/>
        <w:tab w:val="right" w:pos="9360"/>
      </w:tabs>
    </w:pPr>
    <w:rPr>
      <w:szCs w:val="21"/>
    </w:rPr>
  </w:style>
  <w:style w:type="paragraph" w:customStyle="1" w:styleId="En-tte">
    <w:name w:val="En-tête"/>
    <w:basedOn w:val="Normal"/>
    <w:rsid w:val="00A03300"/>
    <w:pPr>
      <w:tabs>
        <w:tab w:val="center" w:pos="4680"/>
        <w:tab w:val="right" w:pos="9360"/>
      </w:tabs>
    </w:pPr>
    <w:rPr>
      <w:szCs w:val="21"/>
    </w:rPr>
  </w:style>
  <w:style w:type="paragraph" w:customStyle="1" w:styleId="Corpsdetexte2">
    <w:name w:val="Corps de texte 2"/>
    <w:basedOn w:val="Standard"/>
    <w:rsid w:val="00A03300"/>
    <w:rPr>
      <w:b/>
      <w:bCs/>
      <w:smallCaps/>
    </w:rPr>
  </w:style>
  <w:style w:type="paragraph" w:customStyle="1" w:styleId="Outline">
    <w:name w:val="Outline"/>
    <w:basedOn w:val="Standard"/>
    <w:rsid w:val="00A03300"/>
    <w:pPr>
      <w:spacing w:before="240"/>
    </w:pPr>
    <w:rPr>
      <w:szCs w:val="20"/>
    </w:rPr>
  </w:style>
  <w:style w:type="paragraph" w:customStyle="1" w:styleId="Retraitcorpsdetexte2">
    <w:name w:val="Retrait corps de texte 2"/>
    <w:basedOn w:val="Standard"/>
    <w:rsid w:val="00A03300"/>
    <w:pPr>
      <w:ind w:left="360"/>
    </w:pPr>
    <w:rPr>
      <w:i/>
      <w:iCs/>
      <w:sz w:val="22"/>
    </w:rPr>
  </w:style>
  <w:style w:type="paragraph" w:customStyle="1" w:styleId="Textbodyindent">
    <w:name w:val="Text body indent"/>
    <w:basedOn w:val="Standard"/>
    <w:rsid w:val="00A03300"/>
    <w:pPr>
      <w:spacing w:after="80"/>
      <w:ind w:left="1080"/>
      <w:jc w:val="both"/>
    </w:pPr>
  </w:style>
  <w:style w:type="paragraph" w:customStyle="1" w:styleId="Retraitcorpsdetexte3">
    <w:name w:val="Retrait corps de texte 3"/>
    <w:basedOn w:val="Standard"/>
    <w:rsid w:val="00A03300"/>
    <w:pPr>
      <w:ind w:left="540"/>
    </w:pPr>
  </w:style>
  <w:style w:type="paragraph" w:customStyle="1" w:styleId="Textedebulles">
    <w:name w:val="Texte de bulles"/>
    <w:basedOn w:val="Normal"/>
    <w:rsid w:val="00A03300"/>
    <w:rPr>
      <w:rFonts w:ascii="Tahoma" w:hAnsi="Tahoma"/>
      <w:sz w:val="16"/>
      <w:szCs w:val="14"/>
    </w:rPr>
  </w:style>
  <w:style w:type="paragraph" w:customStyle="1" w:styleId="Footnote">
    <w:name w:val="Footnote"/>
    <w:basedOn w:val="Normal"/>
    <w:rsid w:val="00A03300"/>
    <w:pPr>
      <w:widowControl/>
      <w:suppressAutoHyphens w:val="0"/>
      <w:textAlignment w:val="auto"/>
    </w:pPr>
  </w:style>
  <w:style w:type="paragraph" w:customStyle="1" w:styleId="Explorateurdedocuments">
    <w:name w:val="Explorateur de documents"/>
    <w:basedOn w:val="Standard"/>
    <w:rsid w:val="00A03300"/>
    <w:pPr>
      <w:shd w:val="clear" w:color="auto" w:fill="000080"/>
    </w:pPr>
    <w:rPr>
      <w:rFonts w:ascii="Tahoma" w:hAnsi="Tahoma" w:cs="Tahoma"/>
      <w:sz w:val="20"/>
      <w:szCs w:val="20"/>
    </w:rPr>
  </w:style>
  <w:style w:type="paragraph" w:customStyle="1" w:styleId="Contents1">
    <w:name w:val="Contents 1"/>
    <w:basedOn w:val="Standard"/>
    <w:next w:val="Standard"/>
    <w:rsid w:val="00A03300"/>
    <w:pPr>
      <w:tabs>
        <w:tab w:val="right" w:leader="dot" w:pos="13238"/>
      </w:tabs>
      <w:ind w:left="3600"/>
      <w:jc w:val="right"/>
    </w:pPr>
    <w:rPr>
      <w:b/>
      <w:caps/>
      <w:sz w:val="22"/>
      <w:szCs w:val="22"/>
    </w:rPr>
  </w:style>
  <w:style w:type="paragraph" w:customStyle="1" w:styleId="Paragraphedeliste">
    <w:name w:val="Paragraphe de liste"/>
    <w:basedOn w:val="Standard"/>
    <w:rsid w:val="00A03300"/>
    <w:pPr>
      <w:ind w:left="60"/>
    </w:pPr>
    <w:rPr>
      <w:sz w:val="22"/>
      <w:szCs w:val="18"/>
      <w:lang w:val="en-GB"/>
    </w:rPr>
  </w:style>
  <w:style w:type="paragraph" w:customStyle="1" w:styleId="Sansinterligne">
    <w:name w:val="Sans interligne"/>
    <w:rsid w:val="00A03300"/>
    <w:pPr>
      <w:suppressAutoHyphens/>
      <w:autoSpaceDN w:val="0"/>
      <w:textAlignment w:val="baseline"/>
    </w:pPr>
    <w:rPr>
      <w:rFonts w:ascii="Calibri" w:hAnsi="Calibri" w:cs="Times New Roman"/>
      <w:kern w:val="3"/>
      <w:sz w:val="22"/>
      <w:szCs w:val="22"/>
      <w:lang w:eastAsia="zh-CN" w:bidi="en-US"/>
    </w:rPr>
  </w:style>
  <w:style w:type="paragraph" w:customStyle="1" w:styleId="Commentaire">
    <w:name w:val="Commentaire"/>
    <w:basedOn w:val="Standard"/>
    <w:rsid w:val="00A03300"/>
    <w:rPr>
      <w:sz w:val="20"/>
      <w:szCs w:val="20"/>
    </w:rPr>
  </w:style>
  <w:style w:type="paragraph" w:customStyle="1" w:styleId="Objetducommentaire">
    <w:name w:val="Objet du commentaire"/>
    <w:basedOn w:val="Commentaire"/>
    <w:next w:val="Commentaire"/>
    <w:rsid w:val="00A03300"/>
    <w:rPr>
      <w:b/>
      <w:bCs/>
    </w:rPr>
  </w:style>
  <w:style w:type="paragraph" w:styleId="NormalWeb">
    <w:name w:val="Normal (Web)"/>
    <w:basedOn w:val="Standard"/>
    <w:rsid w:val="00A03300"/>
    <w:pPr>
      <w:spacing w:before="280" w:after="280"/>
    </w:pPr>
    <w:rPr>
      <w:lang w:val="fr-FR"/>
    </w:rPr>
  </w:style>
  <w:style w:type="paragraph" w:customStyle="1" w:styleId="green">
    <w:name w:val="green"/>
    <w:basedOn w:val="Standard"/>
    <w:rsid w:val="00A03300"/>
    <w:pPr>
      <w:spacing w:before="75" w:after="150"/>
    </w:pPr>
    <w:rPr>
      <w:rFonts w:ascii="Arial" w:hAnsi="Arial" w:cs="Arial"/>
      <w:color w:val="666666"/>
      <w:sz w:val="18"/>
      <w:szCs w:val="18"/>
      <w:lang w:val="fr-FR"/>
    </w:rPr>
  </w:style>
  <w:style w:type="paragraph" w:customStyle="1" w:styleId="Framecontents">
    <w:name w:val="Frame contents"/>
    <w:basedOn w:val="Textbody"/>
    <w:rsid w:val="00A03300"/>
  </w:style>
  <w:style w:type="paragraph" w:customStyle="1" w:styleId="TableContents">
    <w:name w:val="Table Contents"/>
    <w:basedOn w:val="Standard"/>
    <w:rsid w:val="00A03300"/>
    <w:pPr>
      <w:suppressLineNumbers/>
    </w:pPr>
  </w:style>
  <w:style w:type="paragraph" w:customStyle="1" w:styleId="TableHeading">
    <w:name w:val="Table Heading"/>
    <w:basedOn w:val="TableContents"/>
    <w:rsid w:val="00A03300"/>
    <w:pPr>
      <w:jc w:val="center"/>
    </w:pPr>
    <w:rPr>
      <w:b/>
      <w:bCs/>
    </w:rPr>
  </w:style>
  <w:style w:type="paragraph" w:customStyle="1" w:styleId="Retraitcorpsdetexte">
    <w:name w:val="Retrait corps de texte"/>
    <w:basedOn w:val="Normal"/>
    <w:rsid w:val="00A03300"/>
    <w:pPr>
      <w:spacing w:after="120"/>
      <w:ind w:left="283"/>
    </w:pPr>
    <w:rPr>
      <w:szCs w:val="21"/>
    </w:rPr>
  </w:style>
  <w:style w:type="paragraph" w:customStyle="1" w:styleId="Default">
    <w:name w:val="Default"/>
    <w:rsid w:val="00A03300"/>
    <w:pPr>
      <w:autoSpaceDE w:val="0"/>
      <w:autoSpaceDN w:val="0"/>
    </w:pPr>
    <w:rPr>
      <w:rFonts w:ascii="DLEAJ B+ New Century Schlbk" w:hAnsi="DLEAJ B+ New Century Schlbk" w:cs="DLEAJ B+ New Century Schlbk"/>
      <w:color w:val="000000"/>
      <w:sz w:val="24"/>
      <w:szCs w:val="24"/>
      <w:lang w:bidi="en-US"/>
    </w:rPr>
  </w:style>
  <w:style w:type="paragraph" w:styleId="CommentText">
    <w:name w:val="annotation text"/>
    <w:basedOn w:val="Normal"/>
    <w:semiHidden/>
    <w:rsid w:val="00A03300"/>
    <w:rPr>
      <w:sz w:val="20"/>
      <w:szCs w:val="18"/>
    </w:rPr>
  </w:style>
  <w:style w:type="character" w:customStyle="1" w:styleId="CommentTextChar">
    <w:name w:val="Comment Text Char"/>
    <w:rsid w:val="00A03300"/>
    <w:rPr>
      <w:rFonts w:cs="Times New Roman"/>
      <w:sz w:val="18"/>
    </w:rPr>
  </w:style>
  <w:style w:type="paragraph" w:styleId="CommentSubject">
    <w:name w:val="annotation subject"/>
    <w:basedOn w:val="CommentText"/>
    <w:next w:val="CommentText"/>
    <w:semiHidden/>
    <w:rsid w:val="00A03300"/>
    <w:rPr>
      <w:b/>
      <w:bCs/>
    </w:rPr>
  </w:style>
  <w:style w:type="character" w:customStyle="1" w:styleId="CommentSubjectChar">
    <w:name w:val="Comment Subject Char"/>
    <w:rsid w:val="00A03300"/>
    <w:rPr>
      <w:rFonts w:cs="Times New Roman"/>
      <w:b/>
      <w:sz w:val="18"/>
    </w:rPr>
  </w:style>
  <w:style w:type="character" w:customStyle="1" w:styleId="WW8Num1z0">
    <w:name w:val="WW8Num1z0"/>
    <w:rsid w:val="00A03300"/>
    <w:rPr>
      <w:rFonts w:ascii="Symbol" w:hAnsi="Symbol"/>
    </w:rPr>
  </w:style>
  <w:style w:type="character" w:customStyle="1" w:styleId="WW8Num2z0">
    <w:name w:val="WW8Num2z0"/>
    <w:rsid w:val="00A03300"/>
    <w:rPr>
      <w:rFonts w:ascii="Times New Roman Bold" w:hAnsi="Times New Roman Bold"/>
      <w:b/>
    </w:rPr>
  </w:style>
  <w:style w:type="character" w:customStyle="1" w:styleId="WW8Num3z0">
    <w:name w:val="WW8Num3z0"/>
    <w:rsid w:val="00A03300"/>
    <w:rPr>
      <w:rFonts w:ascii="Symbol" w:hAnsi="Symbol"/>
      <w:sz w:val="20"/>
    </w:rPr>
  </w:style>
  <w:style w:type="character" w:customStyle="1" w:styleId="WW8Num4z0">
    <w:name w:val="WW8Num4z0"/>
    <w:rsid w:val="00A03300"/>
    <w:rPr>
      <w:sz w:val="24"/>
    </w:rPr>
  </w:style>
  <w:style w:type="character" w:customStyle="1" w:styleId="WW8Num5z0">
    <w:name w:val="WW8Num5z0"/>
    <w:rsid w:val="00A03300"/>
    <w:rPr>
      <w:rFonts w:ascii="Symbol" w:hAnsi="Symbol"/>
    </w:rPr>
  </w:style>
  <w:style w:type="character" w:customStyle="1" w:styleId="WW8Num7z0">
    <w:name w:val="WW8Num7z0"/>
    <w:rsid w:val="00A03300"/>
    <w:rPr>
      <w:rFonts w:ascii="Symbol" w:hAnsi="Symbol"/>
    </w:rPr>
  </w:style>
  <w:style w:type="character" w:customStyle="1" w:styleId="Absatz-Standardschriftart">
    <w:name w:val="Absatz-Standardschriftart"/>
    <w:rsid w:val="00A03300"/>
  </w:style>
  <w:style w:type="character" w:customStyle="1" w:styleId="WW8Num1z1">
    <w:name w:val="WW8Num1z1"/>
    <w:rsid w:val="00A03300"/>
    <w:rPr>
      <w:rFonts w:ascii="Courier New" w:hAnsi="Courier New"/>
    </w:rPr>
  </w:style>
  <w:style w:type="character" w:customStyle="1" w:styleId="WW8Num1z2">
    <w:name w:val="WW8Num1z2"/>
    <w:rsid w:val="00A03300"/>
    <w:rPr>
      <w:rFonts w:ascii="Wingdings" w:hAnsi="Wingdings"/>
    </w:rPr>
  </w:style>
  <w:style w:type="character" w:customStyle="1" w:styleId="WW8Num3z1">
    <w:name w:val="WW8Num3z1"/>
    <w:rsid w:val="00A03300"/>
    <w:rPr>
      <w:rFonts w:ascii="Courier New" w:hAnsi="Courier New"/>
    </w:rPr>
  </w:style>
  <w:style w:type="character" w:customStyle="1" w:styleId="WW8Num3z2">
    <w:name w:val="WW8Num3z2"/>
    <w:rsid w:val="00A03300"/>
    <w:rPr>
      <w:rFonts w:ascii="Wingdings" w:hAnsi="Wingdings"/>
    </w:rPr>
  </w:style>
  <w:style w:type="character" w:customStyle="1" w:styleId="WW8Num3z3">
    <w:name w:val="WW8Num3z3"/>
    <w:rsid w:val="00A03300"/>
    <w:rPr>
      <w:rFonts w:ascii="Symbol" w:hAnsi="Symbol"/>
    </w:rPr>
  </w:style>
  <w:style w:type="character" w:customStyle="1" w:styleId="WW8Num5z1">
    <w:name w:val="WW8Num5z1"/>
    <w:rsid w:val="00A03300"/>
    <w:rPr>
      <w:rFonts w:ascii="Courier New" w:hAnsi="Courier New"/>
    </w:rPr>
  </w:style>
  <w:style w:type="character" w:customStyle="1" w:styleId="WW8Num5z2">
    <w:name w:val="WW8Num5z2"/>
    <w:rsid w:val="00A03300"/>
    <w:rPr>
      <w:rFonts w:ascii="Wingdings" w:hAnsi="Wingdings"/>
    </w:rPr>
  </w:style>
  <w:style w:type="character" w:customStyle="1" w:styleId="WW8Num6z0">
    <w:name w:val="WW8Num6z0"/>
    <w:rsid w:val="00A03300"/>
    <w:rPr>
      <w:rFonts w:ascii="Times New Roman" w:hAnsi="Times New Roman"/>
      <w:b/>
    </w:rPr>
  </w:style>
  <w:style w:type="character" w:customStyle="1" w:styleId="WW8Num10z0">
    <w:name w:val="WW8Num10z0"/>
    <w:rsid w:val="00A03300"/>
    <w:rPr>
      <w:rFonts w:ascii="Times New Roman" w:hAnsi="Times New Roman"/>
      <w:color w:val="000000"/>
      <w:sz w:val="24"/>
    </w:rPr>
  </w:style>
  <w:style w:type="character" w:customStyle="1" w:styleId="WW8Num10z1">
    <w:name w:val="WW8Num10z1"/>
    <w:rsid w:val="00A03300"/>
  </w:style>
  <w:style w:type="character" w:customStyle="1" w:styleId="WW8Num11z0">
    <w:name w:val="WW8Num11z0"/>
    <w:rsid w:val="00A03300"/>
    <w:rPr>
      <w:rFonts w:ascii="Symbol" w:hAnsi="Symbol"/>
    </w:rPr>
  </w:style>
  <w:style w:type="character" w:customStyle="1" w:styleId="WW8Num11z1">
    <w:name w:val="WW8Num11z1"/>
    <w:rsid w:val="00A03300"/>
    <w:rPr>
      <w:rFonts w:ascii="Courier New" w:hAnsi="Courier New"/>
    </w:rPr>
  </w:style>
  <w:style w:type="character" w:customStyle="1" w:styleId="WW8Num11z2">
    <w:name w:val="WW8Num11z2"/>
    <w:rsid w:val="00A03300"/>
    <w:rPr>
      <w:rFonts w:ascii="Wingdings" w:hAnsi="Wingdings"/>
    </w:rPr>
  </w:style>
  <w:style w:type="character" w:customStyle="1" w:styleId="WW8Num12z0">
    <w:name w:val="WW8Num12z0"/>
    <w:rsid w:val="00A03300"/>
    <w:rPr>
      <w:rFonts w:ascii="Symbol" w:hAnsi="Symbol"/>
    </w:rPr>
  </w:style>
  <w:style w:type="character" w:customStyle="1" w:styleId="WW8Num12z1">
    <w:name w:val="WW8Num12z1"/>
    <w:rsid w:val="00A03300"/>
    <w:rPr>
      <w:rFonts w:ascii="Courier New" w:hAnsi="Courier New"/>
    </w:rPr>
  </w:style>
  <w:style w:type="character" w:customStyle="1" w:styleId="WW8Num12z2">
    <w:name w:val="WW8Num12z2"/>
    <w:rsid w:val="00A03300"/>
    <w:rPr>
      <w:rFonts w:ascii="Wingdings" w:hAnsi="Wingdings"/>
    </w:rPr>
  </w:style>
  <w:style w:type="character" w:customStyle="1" w:styleId="WW8Num13z0">
    <w:name w:val="WW8Num13z0"/>
    <w:rsid w:val="00A03300"/>
    <w:rPr>
      <w:rFonts w:ascii="Symbol" w:hAnsi="Symbol"/>
    </w:rPr>
  </w:style>
  <w:style w:type="character" w:customStyle="1" w:styleId="WW8Num13z1">
    <w:name w:val="WW8Num13z1"/>
    <w:rsid w:val="00A03300"/>
    <w:rPr>
      <w:rFonts w:ascii="Courier New" w:hAnsi="Courier New"/>
    </w:rPr>
  </w:style>
  <w:style w:type="character" w:customStyle="1" w:styleId="WW8Num13z2">
    <w:name w:val="WW8Num13z2"/>
    <w:rsid w:val="00A03300"/>
    <w:rPr>
      <w:rFonts w:ascii="Wingdings" w:hAnsi="Wingdings"/>
    </w:rPr>
  </w:style>
  <w:style w:type="character" w:customStyle="1" w:styleId="WW8Num14z0">
    <w:name w:val="WW8Num14z0"/>
    <w:rsid w:val="00A03300"/>
    <w:rPr>
      <w:rFonts w:ascii="Symbol" w:hAnsi="Symbol"/>
    </w:rPr>
  </w:style>
  <w:style w:type="character" w:customStyle="1" w:styleId="WW8Num14z1">
    <w:name w:val="WW8Num14z1"/>
    <w:rsid w:val="00A03300"/>
    <w:rPr>
      <w:rFonts w:ascii="Calibri" w:hAnsi="Calibri"/>
    </w:rPr>
  </w:style>
  <w:style w:type="character" w:customStyle="1" w:styleId="WW8Num14z2">
    <w:name w:val="WW8Num14z2"/>
    <w:rsid w:val="00A03300"/>
    <w:rPr>
      <w:rFonts w:ascii="Wingdings" w:hAnsi="Wingdings"/>
    </w:rPr>
  </w:style>
  <w:style w:type="character" w:customStyle="1" w:styleId="WW8Num14z4">
    <w:name w:val="WW8Num14z4"/>
    <w:rsid w:val="00A03300"/>
    <w:rPr>
      <w:rFonts w:ascii="Courier New" w:hAnsi="Courier New"/>
    </w:rPr>
  </w:style>
  <w:style w:type="character" w:customStyle="1" w:styleId="WW8Num15z0">
    <w:name w:val="WW8Num15z0"/>
    <w:rsid w:val="00A03300"/>
    <w:rPr>
      <w:rFonts w:ascii="Courier New" w:hAnsi="Courier New"/>
    </w:rPr>
  </w:style>
  <w:style w:type="character" w:customStyle="1" w:styleId="WW8Num15z2">
    <w:name w:val="WW8Num15z2"/>
    <w:rsid w:val="00A03300"/>
    <w:rPr>
      <w:rFonts w:ascii="Wingdings" w:hAnsi="Wingdings"/>
    </w:rPr>
  </w:style>
  <w:style w:type="character" w:customStyle="1" w:styleId="WW8Num15z3">
    <w:name w:val="WW8Num15z3"/>
    <w:rsid w:val="00A03300"/>
    <w:rPr>
      <w:rFonts w:ascii="Symbol" w:hAnsi="Symbol"/>
    </w:rPr>
  </w:style>
  <w:style w:type="character" w:customStyle="1" w:styleId="WW8Num16z0">
    <w:name w:val="WW8Num16z0"/>
    <w:rsid w:val="00A03300"/>
    <w:rPr>
      <w:rFonts w:ascii="Symbol" w:hAnsi="Symbol"/>
    </w:rPr>
  </w:style>
  <w:style w:type="character" w:customStyle="1" w:styleId="WW8Num16z1">
    <w:name w:val="WW8Num16z1"/>
    <w:rsid w:val="00A03300"/>
    <w:rPr>
      <w:rFonts w:ascii="Courier New" w:hAnsi="Courier New"/>
    </w:rPr>
  </w:style>
  <w:style w:type="character" w:customStyle="1" w:styleId="WW8Num16z2">
    <w:name w:val="WW8Num16z2"/>
    <w:rsid w:val="00A03300"/>
    <w:rPr>
      <w:rFonts w:ascii="Wingdings" w:hAnsi="Wingdings"/>
    </w:rPr>
  </w:style>
  <w:style w:type="character" w:customStyle="1" w:styleId="WW8Num17z0">
    <w:name w:val="WW8Num17z0"/>
    <w:rsid w:val="00A03300"/>
    <w:rPr>
      <w:rFonts w:ascii="Symbol" w:hAnsi="Symbol"/>
    </w:rPr>
  </w:style>
  <w:style w:type="character" w:customStyle="1" w:styleId="WW8Num17z1">
    <w:name w:val="WW8Num17z1"/>
    <w:rsid w:val="00A03300"/>
    <w:rPr>
      <w:rFonts w:ascii="Courier New" w:hAnsi="Courier New"/>
    </w:rPr>
  </w:style>
  <w:style w:type="character" w:customStyle="1" w:styleId="WW8Num17z2">
    <w:name w:val="WW8Num17z2"/>
    <w:rsid w:val="00A03300"/>
    <w:rPr>
      <w:rFonts w:ascii="Wingdings" w:hAnsi="Wingdings"/>
    </w:rPr>
  </w:style>
  <w:style w:type="character" w:customStyle="1" w:styleId="WW8Num19z0">
    <w:name w:val="WW8Num19z0"/>
    <w:rsid w:val="00A03300"/>
    <w:rPr>
      <w:rFonts w:ascii="Wingdings" w:hAnsi="Wingdings"/>
    </w:rPr>
  </w:style>
  <w:style w:type="character" w:customStyle="1" w:styleId="WW8Num19z1">
    <w:name w:val="WW8Num19z1"/>
    <w:rsid w:val="00A03300"/>
    <w:rPr>
      <w:rFonts w:ascii="Courier New" w:hAnsi="Courier New"/>
    </w:rPr>
  </w:style>
  <w:style w:type="character" w:customStyle="1" w:styleId="WW8Num19z3">
    <w:name w:val="WW8Num19z3"/>
    <w:rsid w:val="00A03300"/>
    <w:rPr>
      <w:rFonts w:ascii="Symbol" w:hAnsi="Symbol"/>
    </w:rPr>
  </w:style>
  <w:style w:type="character" w:customStyle="1" w:styleId="WW8Num20z0">
    <w:name w:val="WW8Num20z0"/>
    <w:rsid w:val="00A03300"/>
    <w:rPr>
      <w:rFonts w:ascii="Times New Roman" w:hAnsi="Times New Roman"/>
    </w:rPr>
  </w:style>
  <w:style w:type="character" w:customStyle="1" w:styleId="WW8Num20z1">
    <w:name w:val="WW8Num20z1"/>
    <w:rsid w:val="00A03300"/>
    <w:rPr>
      <w:rFonts w:ascii="Courier New" w:hAnsi="Courier New"/>
    </w:rPr>
  </w:style>
  <w:style w:type="character" w:customStyle="1" w:styleId="WW8Num20z2">
    <w:name w:val="WW8Num20z2"/>
    <w:rsid w:val="00A03300"/>
    <w:rPr>
      <w:rFonts w:ascii="Wingdings" w:hAnsi="Wingdings"/>
    </w:rPr>
  </w:style>
  <w:style w:type="character" w:customStyle="1" w:styleId="WW8Num20z3">
    <w:name w:val="WW8Num20z3"/>
    <w:rsid w:val="00A03300"/>
    <w:rPr>
      <w:rFonts w:ascii="Symbol" w:hAnsi="Symbol"/>
    </w:rPr>
  </w:style>
  <w:style w:type="character" w:customStyle="1" w:styleId="WW8Num21z0">
    <w:name w:val="WW8Num21z0"/>
    <w:rsid w:val="00A03300"/>
    <w:rPr>
      <w:rFonts w:ascii="Symbol" w:hAnsi="Symbol"/>
      <w:sz w:val="20"/>
    </w:rPr>
  </w:style>
  <w:style w:type="character" w:customStyle="1" w:styleId="WW8Num21z1">
    <w:name w:val="WW8Num21z1"/>
    <w:rsid w:val="00A03300"/>
    <w:rPr>
      <w:rFonts w:ascii="Courier New" w:hAnsi="Courier New"/>
      <w:sz w:val="20"/>
    </w:rPr>
  </w:style>
  <w:style w:type="character" w:customStyle="1" w:styleId="WW8Num21z2">
    <w:name w:val="WW8Num21z2"/>
    <w:rsid w:val="00A03300"/>
    <w:rPr>
      <w:rFonts w:ascii="Wingdings" w:hAnsi="Wingdings"/>
      <w:sz w:val="20"/>
    </w:rPr>
  </w:style>
  <w:style w:type="character" w:customStyle="1" w:styleId="WW8Num24z0">
    <w:name w:val="WW8Num24z0"/>
    <w:rsid w:val="00A03300"/>
    <w:rPr>
      <w:rFonts w:ascii="Symbol" w:hAnsi="Symbol"/>
      <w:sz w:val="20"/>
    </w:rPr>
  </w:style>
  <w:style w:type="character" w:customStyle="1" w:styleId="WW8Num24z1">
    <w:name w:val="WW8Num24z1"/>
    <w:rsid w:val="00A03300"/>
    <w:rPr>
      <w:rFonts w:ascii="Courier New" w:hAnsi="Courier New"/>
    </w:rPr>
  </w:style>
  <w:style w:type="character" w:customStyle="1" w:styleId="WW8Num24z2">
    <w:name w:val="WW8Num24z2"/>
    <w:rsid w:val="00A03300"/>
    <w:rPr>
      <w:rFonts w:ascii="Wingdings" w:hAnsi="Wingdings"/>
    </w:rPr>
  </w:style>
  <w:style w:type="character" w:customStyle="1" w:styleId="WW8Num24z3">
    <w:name w:val="WW8Num24z3"/>
    <w:rsid w:val="00A03300"/>
    <w:rPr>
      <w:rFonts w:ascii="Symbol" w:hAnsi="Symbol"/>
    </w:rPr>
  </w:style>
  <w:style w:type="character" w:customStyle="1" w:styleId="WW8Num25z0">
    <w:name w:val="WW8Num25z0"/>
    <w:rsid w:val="00A03300"/>
    <w:rPr>
      <w:rFonts w:ascii="Symbol" w:hAnsi="Symbol"/>
    </w:rPr>
  </w:style>
  <w:style w:type="character" w:customStyle="1" w:styleId="WW8Num25z1">
    <w:name w:val="WW8Num25z1"/>
    <w:rsid w:val="00A03300"/>
    <w:rPr>
      <w:rFonts w:ascii="Courier New" w:hAnsi="Courier New"/>
    </w:rPr>
  </w:style>
  <w:style w:type="character" w:customStyle="1" w:styleId="WW8Num25z2">
    <w:name w:val="WW8Num25z2"/>
    <w:rsid w:val="00A03300"/>
    <w:rPr>
      <w:rFonts w:ascii="Wingdings" w:hAnsi="Wingdings"/>
    </w:rPr>
  </w:style>
  <w:style w:type="character" w:customStyle="1" w:styleId="WW8Num26z0">
    <w:name w:val="WW8Num26z0"/>
    <w:rsid w:val="00A03300"/>
    <w:rPr>
      <w:rFonts w:ascii="Symbol" w:hAnsi="Symbol"/>
    </w:rPr>
  </w:style>
  <w:style w:type="character" w:customStyle="1" w:styleId="WW8Num26z1">
    <w:name w:val="WW8Num26z1"/>
    <w:rsid w:val="00A03300"/>
    <w:rPr>
      <w:rFonts w:ascii="Courier New" w:hAnsi="Courier New"/>
    </w:rPr>
  </w:style>
  <w:style w:type="character" w:customStyle="1" w:styleId="WW8Num26z2">
    <w:name w:val="WW8Num26z2"/>
    <w:rsid w:val="00A03300"/>
    <w:rPr>
      <w:rFonts w:ascii="Wingdings" w:hAnsi="Wingdings"/>
    </w:rPr>
  </w:style>
  <w:style w:type="character" w:customStyle="1" w:styleId="WW8Num27z0">
    <w:name w:val="WW8Num27z0"/>
    <w:rsid w:val="00A03300"/>
    <w:rPr>
      <w:sz w:val="24"/>
    </w:rPr>
  </w:style>
  <w:style w:type="character" w:customStyle="1" w:styleId="WW8Num28z0">
    <w:name w:val="WW8Num28z0"/>
    <w:rsid w:val="00A03300"/>
    <w:rPr>
      <w:rFonts w:ascii="Times New Roman" w:hAnsi="Times New Roman"/>
    </w:rPr>
  </w:style>
  <w:style w:type="character" w:customStyle="1" w:styleId="WW8Num28z1">
    <w:name w:val="WW8Num28z1"/>
    <w:rsid w:val="00A03300"/>
    <w:rPr>
      <w:rFonts w:ascii="Courier New" w:hAnsi="Courier New"/>
    </w:rPr>
  </w:style>
  <w:style w:type="character" w:customStyle="1" w:styleId="WW8Num28z2">
    <w:name w:val="WW8Num28z2"/>
    <w:rsid w:val="00A03300"/>
    <w:rPr>
      <w:rFonts w:ascii="Wingdings" w:hAnsi="Wingdings"/>
    </w:rPr>
  </w:style>
  <w:style w:type="character" w:customStyle="1" w:styleId="WW8Num28z3">
    <w:name w:val="WW8Num28z3"/>
    <w:rsid w:val="00A03300"/>
    <w:rPr>
      <w:rFonts w:ascii="Symbol" w:hAnsi="Symbol"/>
    </w:rPr>
  </w:style>
  <w:style w:type="character" w:customStyle="1" w:styleId="WW8Num30z0">
    <w:name w:val="WW8Num30z0"/>
    <w:rsid w:val="00A03300"/>
    <w:rPr>
      <w:rFonts w:ascii="Symbol" w:hAnsi="Symbol"/>
    </w:rPr>
  </w:style>
  <w:style w:type="character" w:customStyle="1" w:styleId="WW8Num30z1">
    <w:name w:val="WW8Num30z1"/>
    <w:rsid w:val="00A03300"/>
    <w:rPr>
      <w:rFonts w:ascii="Courier New" w:hAnsi="Courier New"/>
    </w:rPr>
  </w:style>
  <w:style w:type="character" w:customStyle="1" w:styleId="WW8Num30z2">
    <w:name w:val="WW8Num30z2"/>
    <w:rsid w:val="00A03300"/>
    <w:rPr>
      <w:rFonts w:ascii="Wingdings" w:hAnsi="Wingdings"/>
    </w:rPr>
  </w:style>
  <w:style w:type="character" w:customStyle="1" w:styleId="WW8Num31z0">
    <w:name w:val="WW8Num31z0"/>
    <w:rsid w:val="00A03300"/>
    <w:rPr>
      <w:rFonts w:ascii="Symbol" w:hAnsi="Symbol"/>
    </w:rPr>
  </w:style>
  <w:style w:type="character" w:customStyle="1" w:styleId="WW8Num31z1">
    <w:name w:val="WW8Num31z1"/>
    <w:rsid w:val="00A03300"/>
    <w:rPr>
      <w:rFonts w:ascii="Courier New" w:hAnsi="Courier New"/>
    </w:rPr>
  </w:style>
  <w:style w:type="character" w:customStyle="1" w:styleId="WW8Num31z2">
    <w:name w:val="WW8Num31z2"/>
    <w:rsid w:val="00A03300"/>
    <w:rPr>
      <w:rFonts w:ascii="Wingdings" w:hAnsi="Wingdings"/>
    </w:rPr>
  </w:style>
  <w:style w:type="character" w:customStyle="1" w:styleId="WW8Num31z3">
    <w:name w:val="WW8Num31z3"/>
    <w:rsid w:val="00A03300"/>
    <w:rPr>
      <w:rFonts w:ascii="Symbol" w:hAnsi="Symbol"/>
    </w:rPr>
  </w:style>
  <w:style w:type="character" w:customStyle="1" w:styleId="WW8Num32z0">
    <w:name w:val="WW8Num32z0"/>
    <w:rsid w:val="00A03300"/>
    <w:rPr>
      <w:rFonts w:ascii="Symbol" w:hAnsi="Symbol"/>
    </w:rPr>
  </w:style>
  <w:style w:type="character" w:customStyle="1" w:styleId="WW8Num32z1">
    <w:name w:val="WW8Num32z1"/>
    <w:rsid w:val="00A03300"/>
    <w:rPr>
      <w:rFonts w:ascii="Courier New" w:hAnsi="Courier New"/>
    </w:rPr>
  </w:style>
  <w:style w:type="character" w:customStyle="1" w:styleId="WW8Num32z2">
    <w:name w:val="WW8Num32z2"/>
    <w:rsid w:val="00A03300"/>
    <w:rPr>
      <w:rFonts w:ascii="Wingdings" w:hAnsi="Wingdings"/>
    </w:rPr>
  </w:style>
  <w:style w:type="character" w:customStyle="1" w:styleId="WW8Num33z0">
    <w:name w:val="WW8Num33z0"/>
    <w:rsid w:val="00A03300"/>
    <w:rPr>
      <w:rFonts w:ascii="Symbol" w:hAnsi="Symbol"/>
    </w:rPr>
  </w:style>
  <w:style w:type="character" w:customStyle="1" w:styleId="WW8Num33z1">
    <w:name w:val="WW8Num33z1"/>
    <w:rsid w:val="00A03300"/>
    <w:rPr>
      <w:rFonts w:ascii="Courier New" w:hAnsi="Courier New"/>
    </w:rPr>
  </w:style>
  <w:style w:type="character" w:customStyle="1" w:styleId="WW8Num33z2">
    <w:name w:val="WW8Num33z2"/>
    <w:rsid w:val="00A03300"/>
    <w:rPr>
      <w:rFonts w:ascii="Wingdings" w:hAnsi="Wingdings"/>
    </w:rPr>
  </w:style>
  <w:style w:type="character" w:customStyle="1" w:styleId="WW8Num34z0">
    <w:name w:val="WW8Num34z0"/>
    <w:rsid w:val="00A03300"/>
    <w:rPr>
      <w:rFonts w:ascii="Symbol" w:hAnsi="Symbol"/>
    </w:rPr>
  </w:style>
  <w:style w:type="character" w:customStyle="1" w:styleId="WW8Num34z1">
    <w:name w:val="WW8Num34z1"/>
    <w:rsid w:val="00A03300"/>
    <w:rPr>
      <w:rFonts w:ascii="Courier New" w:hAnsi="Courier New"/>
    </w:rPr>
  </w:style>
  <w:style w:type="character" w:customStyle="1" w:styleId="WW8Num34z2">
    <w:name w:val="WW8Num34z2"/>
    <w:rsid w:val="00A03300"/>
    <w:rPr>
      <w:rFonts w:ascii="Wingdings" w:hAnsi="Wingdings"/>
    </w:rPr>
  </w:style>
  <w:style w:type="character" w:customStyle="1" w:styleId="WW8NumSt30z0">
    <w:name w:val="WW8NumSt30z0"/>
    <w:rsid w:val="00A03300"/>
    <w:rPr>
      <w:rFonts w:ascii="Wingdings" w:hAnsi="Wingdings"/>
      <w:sz w:val="20"/>
    </w:rPr>
  </w:style>
  <w:style w:type="character" w:customStyle="1" w:styleId="Numrodepage">
    <w:name w:val="Numéro de page"/>
    <w:rsid w:val="00A03300"/>
    <w:rPr>
      <w:rFonts w:cs="Times New Roman"/>
    </w:rPr>
  </w:style>
  <w:style w:type="character" w:customStyle="1" w:styleId="Internetlink">
    <w:name w:val="Internet link"/>
    <w:rsid w:val="00A03300"/>
    <w:rPr>
      <w:color w:val="0000FF"/>
      <w:u w:val="single"/>
    </w:rPr>
  </w:style>
  <w:style w:type="character" w:customStyle="1" w:styleId="FootnoteSymbol">
    <w:name w:val="Footnote Symbol"/>
    <w:rsid w:val="00A03300"/>
    <w:rPr>
      <w:position w:val="0"/>
      <w:vertAlign w:val="superscript"/>
    </w:rPr>
  </w:style>
  <w:style w:type="character" w:customStyle="1" w:styleId="VisitedInternetLink">
    <w:name w:val="Visited Internet Link"/>
    <w:rsid w:val="00A03300"/>
    <w:rPr>
      <w:color w:val="606420"/>
      <w:u w:val="single"/>
    </w:rPr>
  </w:style>
  <w:style w:type="character" w:customStyle="1" w:styleId="NotedebasdepageCar">
    <w:name w:val="Note de bas de page Car"/>
    <w:rsid w:val="00A03300"/>
    <w:rPr>
      <w:rFonts w:cs="Times New Roman"/>
    </w:rPr>
  </w:style>
  <w:style w:type="character" w:customStyle="1" w:styleId="PieddepageCar">
    <w:name w:val="Pied de page Car"/>
    <w:rsid w:val="00A03300"/>
    <w:rPr>
      <w:sz w:val="24"/>
    </w:rPr>
  </w:style>
  <w:style w:type="character" w:customStyle="1" w:styleId="En-tteCar">
    <w:name w:val="En-tête Car"/>
    <w:rsid w:val="00A03300"/>
    <w:rPr>
      <w:sz w:val="24"/>
    </w:rPr>
  </w:style>
  <w:style w:type="character" w:customStyle="1" w:styleId="MainParanoChapterChar">
    <w:name w:val="Main Para no Chapter # Char"/>
    <w:rsid w:val="00A03300"/>
    <w:rPr>
      <w:color w:val="000000"/>
      <w:sz w:val="24"/>
    </w:rPr>
  </w:style>
  <w:style w:type="character" w:customStyle="1" w:styleId="Titre2Car">
    <w:name w:val="Titre 2 Car"/>
    <w:rsid w:val="00A03300"/>
    <w:rPr>
      <w:i/>
      <w:sz w:val="24"/>
    </w:rPr>
  </w:style>
  <w:style w:type="character" w:customStyle="1" w:styleId="Marquedecommentaire">
    <w:name w:val="Marque de commentaire"/>
    <w:rsid w:val="00A03300"/>
    <w:rPr>
      <w:sz w:val="16"/>
    </w:rPr>
  </w:style>
  <w:style w:type="character" w:customStyle="1" w:styleId="CommentaireCar">
    <w:name w:val="Commentaire Car"/>
    <w:rsid w:val="00A03300"/>
    <w:rPr>
      <w:rFonts w:cs="Times New Roman"/>
    </w:rPr>
  </w:style>
  <w:style w:type="character" w:customStyle="1" w:styleId="ObjetducommentaireCar">
    <w:name w:val="Objet du commentaire Car"/>
    <w:rsid w:val="00A03300"/>
    <w:rPr>
      <w:b/>
    </w:rPr>
  </w:style>
  <w:style w:type="character" w:customStyle="1" w:styleId="TextedebullesCar">
    <w:name w:val="Texte de bulles Car"/>
    <w:rsid w:val="00A03300"/>
    <w:rPr>
      <w:rFonts w:ascii="Tahoma" w:hAnsi="Tahoma"/>
      <w:sz w:val="16"/>
    </w:rPr>
  </w:style>
  <w:style w:type="character" w:customStyle="1" w:styleId="StrongEmphasis">
    <w:name w:val="Strong Emphasis"/>
    <w:rsid w:val="00A03300"/>
    <w:rPr>
      <w:b/>
    </w:rPr>
  </w:style>
  <w:style w:type="character" w:customStyle="1" w:styleId="Accentuation">
    <w:name w:val="Accentuation"/>
    <w:rsid w:val="00A03300"/>
    <w:rPr>
      <w:i/>
    </w:rPr>
  </w:style>
  <w:style w:type="character" w:customStyle="1" w:styleId="Footnoteanchor">
    <w:name w:val="Footnote anchor"/>
    <w:rsid w:val="00A03300"/>
    <w:rPr>
      <w:position w:val="0"/>
      <w:vertAlign w:val="superscript"/>
    </w:rPr>
  </w:style>
  <w:style w:type="character" w:customStyle="1" w:styleId="EndnoteSymbol">
    <w:name w:val="Endnote Symbol"/>
    <w:rsid w:val="00A03300"/>
    <w:rPr>
      <w:position w:val="0"/>
      <w:vertAlign w:val="superscript"/>
    </w:rPr>
  </w:style>
  <w:style w:type="character" w:customStyle="1" w:styleId="WW-Caractresdenotedefin">
    <w:name w:val="WW-Caractères de note de fin"/>
    <w:rsid w:val="00A03300"/>
  </w:style>
  <w:style w:type="character" w:customStyle="1" w:styleId="CorpsdetexteCar">
    <w:name w:val="Corps de texte Car"/>
    <w:rsid w:val="00A03300"/>
    <w:rPr>
      <w:sz w:val="21"/>
    </w:rPr>
  </w:style>
  <w:style w:type="character" w:customStyle="1" w:styleId="RetraitcorpsdetexteCar">
    <w:name w:val="Retrait corps de texte Car"/>
    <w:rsid w:val="00A03300"/>
    <w:rPr>
      <w:sz w:val="21"/>
    </w:rPr>
  </w:style>
  <w:style w:type="character" w:customStyle="1" w:styleId="NotedebasdepageCar1">
    <w:name w:val="Note de bas de page Car1"/>
    <w:rsid w:val="00A03300"/>
    <w:rPr>
      <w:sz w:val="18"/>
    </w:rPr>
  </w:style>
  <w:style w:type="character" w:customStyle="1" w:styleId="ParagraphedelisteCar">
    <w:name w:val="Paragraphe de liste Car"/>
    <w:rsid w:val="00A03300"/>
    <w:rPr>
      <w:rFonts w:eastAsia="Times New Roman"/>
      <w:sz w:val="18"/>
      <w:lang w:val="en-GB"/>
    </w:rPr>
  </w:style>
  <w:style w:type="character" w:customStyle="1" w:styleId="Appelnotedebasdep">
    <w:name w:val="Appel note de bas de p."/>
    <w:rsid w:val="00A03300"/>
    <w:rPr>
      <w:position w:val="0"/>
      <w:vertAlign w:val="superscript"/>
    </w:rPr>
  </w:style>
  <w:style w:type="character" w:customStyle="1" w:styleId="apple-converted-space">
    <w:name w:val="apple-converted-space"/>
    <w:rsid w:val="00A03300"/>
    <w:rPr>
      <w:rFonts w:cs="Times New Roman"/>
    </w:rPr>
  </w:style>
  <w:style w:type="character" w:customStyle="1" w:styleId="BalloonTextChar">
    <w:name w:val="Balloon Text Char"/>
    <w:rsid w:val="00A03300"/>
    <w:rPr>
      <w:rFonts w:ascii="Tahoma" w:hAnsi="Tahoma"/>
      <w:sz w:val="14"/>
    </w:rPr>
  </w:style>
  <w:style w:type="character" w:styleId="CommentReference">
    <w:name w:val="annotation reference"/>
    <w:semiHidden/>
    <w:rsid w:val="00A03300"/>
    <w:rPr>
      <w:rFonts w:cs="Times New Roman"/>
      <w:sz w:val="16"/>
    </w:rPr>
  </w:style>
  <w:style w:type="character" w:customStyle="1" w:styleId="FooterChar">
    <w:name w:val="Footer Char"/>
    <w:rsid w:val="00A03300"/>
    <w:rPr>
      <w:sz w:val="21"/>
    </w:rPr>
  </w:style>
  <w:style w:type="character" w:customStyle="1" w:styleId="HeaderChar">
    <w:name w:val="Header Char"/>
    <w:rsid w:val="00A03300"/>
    <w:rPr>
      <w:sz w:val="21"/>
    </w:rPr>
  </w:style>
  <w:style w:type="character" w:customStyle="1" w:styleId="BalloonTextChar1">
    <w:name w:val="Balloon Text Char1"/>
    <w:rsid w:val="00A03300"/>
    <w:rPr>
      <w:rFonts w:ascii="Tahoma" w:hAnsi="Tahoma" w:cs="Times New Roman"/>
      <w:sz w:val="14"/>
    </w:rPr>
  </w:style>
  <w:style w:type="character" w:styleId="FootnoteReference">
    <w:name w:val="footnote reference"/>
    <w:semiHidden/>
    <w:rsid w:val="00A03300"/>
    <w:rPr>
      <w:rFonts w:cs="Times New Roman"/>
      <w:position w:val="0"/>
      <w:vertAlign w:val="superscript"/>
    </w:rPr>
  </w:style>
  <w:style w:type="character" w:styleId="Strong">
    <w:name w:val="Strong"/>
    <w:qFormat/>
    <w:rsid w:val="00B577E3"/>
    <w:rPr>
      <w:rFonts w:cs="Times New Roman"/>
      <w:b/>
      <w:bCs/>
    </w:rPr>
  </w:style>
  <w:style w:type="paragraph" w:styleId="ListParagraph">
    <w:name w:val="List Paragraph"/>
    <w:basedOn w:val="Normal"/>
    <w:qFormat/>
    <w:rsid w:val="00B75414"/>
    <w:pPr>
      <w:widowControl/>
      <w:suppressAutoHyphens w:val="0"/>
      <w:autoSpaceDN/>
      <w:spacing w:after="200" w:line="276" w:lineRule="auto"/>
      <w:ind w:left="720"/>
      <w:contextualSpacing/>
      <w:textAlignment w:val="auto"/>
    </w:pPr>
    <w:rPr>
      <w:rFonts w:ascii="Calibri" w:hAnsi="Calibri" w:cs="Times New Roman"/>
      <w:kern w:val="0"/>
      <w:sz w:val="22"/>
      <w:szCs w:val="22"/>
      <w:lang w:val="en-GB" w:eastAsia="en-GB"/>
    </w:rPr>
  </w:style>
  <w:style w:type="paragraph" w:styleId="Revision">
    <w:name w:val="Revision"/>
    <w:hidden/>
    <w:semiHidden/>
    <w:rsid w:val="00E073B5"/>
    <w:rPr>
      <w:kern w:val="3"/>
      <w:sz w:val="24"/>
      <w:szCs w:val="21"/>
      <w:lang w:val="fr-FR" w:eastAsia="zh-CN" w:bidi="en-US"/>
    </w:rPr>
  </w:style>
  <w:style w:type="paragraph" w:styleId="Header">
    <w:name w:val="header"/>
    <w:basedOn w:val="Normal"/>
    <w:semiHidden/>
    <w:rsid w:val="00531A2F"/>
    <w:pPr>
      <w:tabs>
        <w:tab w:val="center" w:pos="4680"/>
        <w:tab w:val="right" w:pos="9360"/>
      </w:tabs>
    </w:pPr>
    <w:rPr>
      <w:szCs w:val="21"/>
    </w:rPr>
  </w:style>
  <w:style w:type="character" w:customStyle="1" w:styleId="HeaderChar1">
    <w:name w:val="Header Char1"/>
    <w:semiHidden/>
    <w:rsid w:val="00531A2F"/>
    <w:rPr>
      <w:rFonts w:cs="Times New Roman"/>
      <w:kern w:val="3"/>
      <w:sz w:val="21"/>
      <w:lang w:val="fr-FR" w:eastAsia="zh-CN"/>
    </w:rPr>
  </w:style>
  <w:style w:type="paragraph" w:styleId="Footer">
    <w:name w:val="footer"/>
    <w:basedOn w:val="Normal"/>
    <w:semiHidden/>
    <w:rsid w:val="00531A2F"/>
    <w:pPr>
      <w:tabs>
        <w:tab w:val="center" w:pos="4680"/>
        <w:tab w:val="right" w:pos="9360"/>
      </w:tabs>
    </w:pPr>
    <w:rPr>
      <w:szCs w:val="21"/>
    </w:rPr>
  </w:style>
  <w:style w:type="character" w:customStyle="1" w:styleId="FooterChar1">
    <w:name w:val="Footer Char1"/>
    <w:semiHidden/>
    <w:rsid w:val="00531A2F"/>
    <w:rPr>
      <w:rFonts w:cs="Times New Roman"/>
      <w:kern w:val="3"/>
      <w:sz w:val="21"/>
      <w:lang w:val="fr-FR" w:eastAsia="zh-CN"/>
    </w:rPr>
  </w:style>
  <w:style w:type="paragraph" w:styleId="FootnoteText">
    <w:name w:val="footnote text"/>
    <w:basedOn w:val="Normal"/>
    <w:semiHidden/>
    <w:rsid w:val="00746A4C"/>
    <w:rPr>
      <w:sz w:val="20"/>
      <w:szCs w:val="18"/>
    </w:rPr>
  </w:style>
  <w:style w:type="character" w:customStyle="1" w:styleId="FootnoteTextChar">
    <w:name w:val="Footnote Text Char"/>
    <w:semiHidden/>
    <w:rsid w:val="00746A4C"/>
    <w:rPr>
      <w:rFonts w:cs="Times New Roman"/>
      <w:kern w:val="3"/>
      <w:sz w:val="18"/>
      <w:lang w:val="fr-FR" w:eastAsia="zh-CN"/>
    </w:rPr>
  </w:style>
  <w:style w:type="character" w:styleId="Hyperlink">
    <w:name w:val="Hyperlink"/>
    <w:rsid w:val="00746A4C"/>
    <w:rPr>
      <w:rFonts w:cs="Times New Roman"/>
      <w:color w:val="0000FF"/>
      <w:u w:val="single"/>
    </w:rPr>
  </w:style>
  <w:style w:type="paragraph" w:styleId="NoSpacing">
    <w:name w:val="No Spacing"/>
    <w:qFormat/>
    <w:rsid w:val="008C58A8"/>
    <w:pPr>
      <w:widowControl w:val="0"/>
      <w:suppressAutoHyphens/>
      <w:autoSpaceDN w:val="0"/>
      <w:textAlignment w:val="baseline"/>
    </w:pPr>
    <w:rPr>
      <w:kern w:val="3"/>
      <w:sz w:val="24"/>
      <w:szCs w:val="21"/>
      <w:lang w:val="fr-FR" w:eastAsia="zh-CN" w:bidi="en-US"/>
    </w:rPr>
  </w:style>
  <w:style w:type="table" w:styleId="TableGrid">
    <w:name w:val="Table Grid"/>
    <w:basedOn w:val="TableNormal"/>
    <w:rsid w:val="009B5754"/>
    <w:rPr>
      <w:rFonts w:cs="Times New Roman"/>
      <w:lang w:val="fr-FR"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130E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Genev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00"/>
    <w:pPr>
      <w:widowControl w:val="0"/>
      <w:suppressAutoHyphens/>
      <w:autoSpaceDN w:val="0"/>
      <w:textAlignment w:val="baseline"/>
    </w:pPr>
    <w:rPr>
      <w:kern w:val="3"/>
      <w:sz w:val="24"/>
      <w:szCs w:val="24"/>
      <w:lang w:val="fr-FR" w:eastAsia="zh-C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3300"/>
    <w:rPr>
      <w:rFonts w:ascii="Tahoma" w:hAnsi="Tahoma"/>
      <w:sz w:val="16"/>
      <w:szCs w:val="14"/>
    </w:rPr>
  </w:style>
  <w:style w:type="paragraph" w:customStyle="1" w:styleId="Titre1">
    <w:name w:val="Titre 1"/>
    <w:basedOn w:val="Standard"/>
    <w:next w:val="Standard"/>
    <w:rsid w:val="00A03300"/>
    <w:pPr>
      <w:keepNext/>
      <w:outlineLvl w:val="0"/>
    </w:pPr>
    <w:rPr>
      <w:b/>
      <w:bCs/>
      <w:u w:val="single"/>
    </w:rPr>
  </w:style>
  <w:style w:type="paragraph" w:customStyle="1" w:styleId="MainParanoChapter">
    <w:name w:val="Main Para no Chapter #"/>
    <w:basedOn w:val="Standard"/>
    <w:rsid w:val="00A03300"/>
    <w:pPr>
      <w:numPr>
        <w:ilvl w:val="1"/>
        <w:numId w:val="1"/>
      </w:numPr>
      <w:spacing w:before="120" w:after="240"/>
      <w:outlineLvl w:val="1"/>
    </w:pPr>
    <w:rPr>
      <w:color w:val="000000"/>
    </w:rPr>
  </w:style>
  <w:style w:type="paragraph" w:customStyle="1" w:styleId="Titre3">
    <w:name w:val="Titre 3"/>
    <w:basedOn w:val="Standard"/>
    <w:next w:val="Standard"/>
    <w:rsid w:val="00A03300"/>
    <w:pPr>
      <w:keepNext/>
      <w:outlineLvl w:val="2"/>
    </w:pPr>
    <w:rPr>
      <w:b/>
      <w:bCs/>
    </w:rPr>
  </w:style>
  <w:style w:type="paragraph" w:customStyle="1" w:styleId="Titre4">
    <w:name w:val="Titre 4"/>
    <w:basedOn w:val="Standard"/>
    <w:next w:val="Standard"/>
    <w:rsid w:val="00A03300"/>
    <w:pPr>
      <w:keepNext/>
      <w:pBdr>
        <w:top w:val="single" w:sz="4" w:space="0" w:color="000000"/>
        <w:left w:val="single" w:sz="4" w:space="0" w:color="000000"/>
        <w:bottom w:val="single" w:sz="4" w:space="0" w:color="000000"/>
        <w:right w:val="single" w:sz="4" w:space="0" w:color="000000"/>
      </w:pBdr>
      <w:shd w:val="clear" w:color="auto" w:fill="595959"/>
      <w:ind w:left="720"/>
      <w:outlineLvl w:val="3"/>
    </w:pPr>
    <w:rPr>
      <w:rFonts w:ascii="Times New Roman Bold" w:hAnsi="Times New Roman Bold"/>
      <w:b/>
      <w:smallCaps/>
      <w:color w:val="FFFFFF"/>
    </w:rPr>
  </w:style>
  <w:style w:type="paragraph" w:customStyle="1" w:styleId="Titre5">
    <w:name w:val="Titre 5"/>
    <w:basedOn w:val="Standard"/>
    <w:next w:val="Standard"/>
    <w:rsid w:val="00A03300"/>
    <w:pPr>
      <w:keepNext/>
      <w:ind w:left="720"/>
      <w:outlineLvl w:val="4"/>
    </w:pPr>
    <w:rPr>
      <w:b/>
      <w:bCs/>
    </w:rPr>
  </w:style>
  <w:style w:type="paragraph" w:customStyle="1" w:styleId="Titre6">
    <w:name w:val="Titre 6"/>
    <w:basedOn w:val="Standard"/>
    <w:next w:val="Standard"/>
    <w:rsid w:val="00A03300"/>
    <w:pPr>
      <w:keepNext/>
      <w:ind w:left="360"/>
      <w:outlineLvl w:val="5"/>
    </w:pPr>
    <w:rPr>
      <w:b/>
      <w:bCs/>
      <w:smallCaps/>
    </w:rPr>
  </w:style>
  <w:style w:type="paragraph" w:customStyle="1" w:styleId="Titre7">
    <w:name w:val="Titre 7"/>
    <w:basedOn w:val="Standard"/>
    <w:next w:val="Standard"/>
    <w:rsid w:val="00A03300"/>
    <w:pPr>
      <w:keepNext/>
      <w:outlineLvl w:val="6"/>
    </w:pPr>
    <w:rPr>
      <w:b/>
      <w:bCs/>
      <w:sz w:val="20"/>
    </w:rPr>
  </w:style>
  <w:style w:type="paragraph" w:customStyle="1" w:styleId="Titre8">
    <w:name w:val="Titre 8"/>
    <w:basedOn w:val="Standard"/>
    <w:next w:val="Standard"/>
    <w:rsid w:val="00A03300"/>
    <w:pPr>
      <w:keepNext/>
      <w:jc w:val="center"/>
      <w:outlineLvl w:val="7"/>
    </w:pPr>
    <w:rPr>
      <w:b/>
      <w:bCs/>
      <w:sz w:val="20"/>
    </w:rPr>
  </w:style>
  <w:style w:type="paragraph" w:customStyle="1" w:styleId="Titre9">
    <w:name w:val="Titre 9"/>
    <w:basedOn w:val="Standard"/>
    <w:next w:val="Standard"/>
    <w:rsid w:val="00A03300"/>
    <w:pPr>
      <w:keepNext/>
      <w:outlineLvl w:val="8"/>
    </w:pPr>
    <w:rPr>
      <w:b/>
      <w:bCs/>
    </w:rPr>
  </w:style>
  <w:style w:type="paragraph" w:customStyle="1" w:styleId="Titre2">
    <w:name w:val="Titre 2"/>
    <w:basedOn w:val="Standard"/>
    <w:next w:val="Standard"/>
    <w:rsid w:val="00A03300"/>
    <w:pPr>
      <w:keepNext/>
      <w:outlineLvl w:val="1"/>
    </w:pPr>
    <w:rPr>
      <w:i/>
      <w:iCs/>
    </w:rPr>
  </w:style>
  <w:style w:type="character" w:customStyle="1" w:styleId="Policepardfaut">
    <w:name w:val="Police par défaut"/>
    <w:rsid w:val="00A03300"/>
  </w:style>
  <w:style w:type="paragraph" w:customStyle="1" w:styleId="Standard">
    <w:name w:val="Standard"/>
    <w:rsid w:val="00A03300"/>
    <w:pPr>
      <w:suppressAutoHyphens/>
      <w:autoSpaceDN w:val="0"/>
      <w:textAlignment w:val="baseline"/>
    </w:pPr>
    <w:rPr>
      <w:rFonts w:cs="Times New Roman"/>
      <w:kern w:val="3"/>
      <w:sz w:val="24"/>
      <w:szCs w:val="24"/>
      <w:lang w:eastAsia="zh-CN" w:bidi="en-US"/>
    </w:rPr>
  </w:style>
  <w:style w:type="paragraph" w:customStyle="1" w:styleId="Heading">
    <w:name w:val="Heading"/>
    <w:basedOn w:val="Standard"/>
    <w:next w:val="Textbody"/>
    <w:rsid w:val="00A03300"/>
    <w:pPr>
      <w:keepNext/>
      <w:spacing w:before="240" w:after="120"/>
    </w:pPr>
    <w:rPr>
      <w:rFonts w:ascii="Arial" w:hAnsi="Arial" w:cs="Mangal"/>
      <w:sz w:val="28"/>
      <w:szCs w:val="28"/>
    </w:rPr>
  </w:style>
  <w:style w:type="paragraph" w:customStyle="1" w:styleId="Textbody">
    <w:name w:val="Text body"/>
    <w:basedOn w:val="Standard"/>
    <w:rsid w:val="00A03300"/>
    <w:rPr>
      <w:sz w:val="20"/>
    </w:rPr>
  </w:style>
  <w:style w:type="paragraph" w:customStyle="1" w:styleId="Liste">
    <w:name w:val="Liste"/>
    <w:basedOn w:val="Textbody"/>
    <w:rsid w:val="00A03300"/>
    <w:rPr>
      <w:rFonts w:cs="Mangal"/>
    </w:rPr>
  </w:style>
  <w:style w:type="paragraph" w:customStyle="1" w:styleId="Lgende">
    <w:name w:val="Légende"/>
    <w:basedOn w:val="Standard"/>
    <w:next w:val="Standard"/>
    <w:rsid w:val="00A03300"/>
    <w:rPr>
      <w:rFonts w:ascii="Times New Roman Bold" w:hAnsi="Times New Roman Bold"/>
      <w:b/>
      <w:bCs/>
      <w:caps/>
    </w:rPr>
  </w:style>
  <w:style w:type="paragraph" w:customStyle="1" w:styleId="Index">
    <w:name w:val="Index"/>
    <w:basedOn w:val="Standard"/>
    <w:rsid w:val="00A03300"/>
    <w:pPr>
      <w:suppressLineNumbers/>
    </w:pPr>
    <w:rPr>
      <w:rFonts w:cs="Mangal"/>
    </w:rPr>
  </w:style>
  <w:style w:type="paragraph" w:customStyle="1" w:styleId="Pieddepage">
    <w:name w:val="Pied de page"/>
    <w:basedOn w:val="Normal"/>
    <w:rsid w:val="00A03300"/>
    <w:pPr>
      <w:tabs>
        <w:tab w:val="center" w:pos="4680"/>
        <w:tab w:val="right" w:pos="9360"/>
      </w:tabs>
    </w:pPr>
    <w:rPr>
      <w:szCs w:val="21"/>
    </w:rPr>
  </w:style>
  <w:style w:type="paragraph" w:customStyle="1" w:styleId="En-tte">
    <w:name w:val="En-tête"/>
    <w:basedOn w:val="Normal"/>
    <w:rsid w:val="00A03300"/>
    <w:pPr>
      <w:tabs>
        <w:tab w:val="center" w:pos="4680"/>
        <w:tab w:val="right" w:pos="9360"/>
      </w:tabs>
    </w:pPr>
    <w:rPr>
      <w:szCs w:val="21"/>
    </w:rPr>
  </w:style>
  <w:style w:type="paragraph" w:customStyle="1" w:styleId="Corpsdetexte2">
    <w:name w:val="Corps de texte 2"/>
    <w:basedOn w:val="Standard"/>
    <w:rsid w:val="00A03300"/>
    <w:rPr>
      <w:b/>
      <w:bCs/>
      <w:smallCaps/>
    </w:rPr>
  </w:style>
  <w:style w:type="paragraph" w:customStyle="1" w:styleId="Outline">
    <w:name w:val="Outline"/>
    <w:basedOn w:val="Standard"/>
    <w:rsid w:val="00A03300"/>
    <w:pPr>
      <w:spacing w:before="240"/>
    </w:pPr>
    <w:rPr>
      <w:szCs w:val="20"/>
    </w:rPr>
  </w:style>
  <w:style w:type="paragraph" w:customStyle="1" w:styleId="Retraitcorpsdetexte2">
    <w:name w:val="Retrait corps de texte 2"/>
    <w:basedOn w:val="Standard"/>
    <w:rsid w:val="00A03300"/>
    <w:pPr>
      <w:ind w:left="360"/>
    </w:pPr>
    <w:rPr>
      <w:i/>
      <w:iCs/>
      <w:sz w:val="22"/>
    </w:rPr>
  </w:style>
  <w:style w:type="paragraph" w:customStyle="1" w:styleId="Textbodyindent">
    <w:name w:val="Text body indent"/>
    <w:basedOn w:val="Standard"/>
    <w:rsid w:val="00A03300"/>
    <w:pPr>
      <w:spacing w:after="80"/>
      <w:ind w:left="1080"/>
      <w:jc w:val="both"/>
    </w:pPr>
  </w:style>
  <w:style w:type="paragraph" w:customStyle="1" w:styleId="Retraitcorpsdetexte3">
    <w:name w:val="Retrait corps de texte 3"/>
    <w:basedOn w:val="Standard"/>
    <w:rsid w:val="00A03300"/>
    <w:pPr>
      <w:ind w:left="540"/>
    </w:pPr>
  </w:style>
  <w:style w:type="paragraph" w:customStyle="1" w:styleId="Textedebulles">
    <w:name w:val="Texte de bulles"/>
    <w:basedOn w:val="Normal"/>
    <w:rsid w:val="00A03300"/>
    <w:rPr>
      <w:rFonts w:ascii="Tahoma" w:hAnsi="Tahoma"/>
      <w:sz w:val="16"/>
      <w:szCs w:val="14"/>
    </w:rPr>
  </w:style>
  <w:style w:type="paragraph" w:customStyle="1" w:styleId="Footnote">
    <w:name w:val="Footnote"/>
    <w:basedOn w:val="Normal"/>
    <w:rsid w:val="00A03300"/>
    <w:pPr>
      <w:widowControl/>
      <w:suppressAutoHyphens w:val="0"/>
      <w:textAlignment w:val="auto"/>
    </w:pPr>
  </w:style>
  <w:style w:type="paragraph" w:customStyle="1" w:styleId="Explorateurdedocuments">
    <w:name w:val="Explorateur de documents"/>
    <w:basedOn w:val="Standard"/>
    <w:rsid w:val="00A03300"/>
    <w:pPr>
      <w:shd w:val="clear" w:color="auto" w:fill="000080"/>
    </w:pPr>
    <w:rPr>
      <w:rFonts w:ascii="Tahoma" w:hAnsi="Tahoma" w:cs="Tahoma"/>
      <w:sz w:val="20"/>
      <w:szCs w:val="20"/>
    </w:rPr>
  </w:style>
  <w:style w:type="paragraph" w:customStyle="1" w:styleId="Contents1">
    <w:name w:val="Contents 1"/>
    <w:basedOn w:val="Standard"/>
    <w:next w:val="Standard"/>
    <w:rsid w:val="00A03300"/>
    <w:pPr>
      <w:tabs>
        <w:tab w:val="right" w:leader="dot" w:pos="13238"/>
      </w:tabs>
      <w:ind w:left="3600"/>
      <w:jc w:val="right"/>
    </w:pPr>
    <w:rPr>
      <w:b/>
      <w:caps/>
      <w:sz w:val="22"/>
      <w:szCs w:val="22"/>
    </w:rPr>
  </w:style>
  <w:style w:type="paragraph" w:customStyle="1" w:styleId="Paragraphedeliste">
    <w:name w:val="Paragraphe de liste"/>
    <w:basedOn w:val="Standard"/>
    <w:rsid w:val="00A03300"/>
    <w:pPr>
      <w:ind w:left="60"/>
    </w:pPr>
    <w:rPr>
      <w:sz w:val="22"/>
      <w:szCs w:val="18"/>
      <w:lang w:val="en-GB"/>
    </w:rPr>
  </w:style>
  <w:style w:type="paragraph" w:customStyle="1" w:styleId="Sansinterligne">
    <w:name w:val="Sans interligne"/>
    <w:rsid w:val="00A03300"/>
    <w:pPr>
      <w:suppressAutoHyphens/>
      <w:autoSpaceDN w:val="0"/>
      <w:textAlignment w:val="baseline"/>
    </w:pPr>
    <w:rPr>
      <w:rFonts w:ascii="Calibri" w:hAnsi="Calibri" w:cs="Times New Roman"/>
      <w:kern w:val="3"/>
      <w:sz w:val="22"/>
      <w:szCs w:val="22"/>
      <w:lang w:eastAsia="zh-CN" w:bidi="en-US"/>
    </w:rPr>
  </w:style>
  <w:style w:type="paragraph" w:customStyle="1" w:styleId="Commentaire">
    <w:name w:val="Commentaire"/>
    <w:basedOn w:val="Standard"/>
    <w:rsid w:val="00A03300"/>
    <w:rPr>
      <w:sz w:val="20"/>
      <w:szCs w:val="20"/>
    </w:rPr>
  </w:style>
  <w:style w:type="paragraph" w:customStyle="1" w:styleId="Objetducommentaire">
    <w:name w:val="Objet du commentaire"/>
    <w:basedOn w:val="Commentaire"/>
    <w:next w:val="Commentaire"/>
    <w:rsid w:val="00A03300"/>
    <w:rPr>
      <w:b/>
      <w:bCs/>
    </w:rPr>
  </w:style>
  <w:style w:type="paragraph" w:styleId="NormalWeb">
    <w:name w:val="Normal (Web)"/>
    <w:basedOn w:val="Standard"/>
    <w:rsid w:val="00A03300"/>
    <w:pPr>
      <w:spacing w:before="280" w:after="280"/>
    </w:pPr>
    <w:rPr>
      <w:lang w:val="fr-FR"/>
    </w:rPr>
  </w:style>
  <w:style w:type="paragraph" w:customStyle="1" w:styleId="green">
    <w:name w:val="green"/>
    <w:basedOn w:val="Standard"/>
    <w:rsid w:val="00A03300"/>
    <w:pPr>
      <w:spacing w:before="75" w:after="150"/>
    </w:pPr>
    <w:rPr>
      <w:rFonts w:ascii="Arial" w:hAnsi="Arial" w:cs="Arial"/>
      <w:color w:val="666666"/>
      <w:sz w:val="18"/>
      <w:szCs w:val="18"/>
      <w:lang w:val="fr-FR"/>
    </w:rPr>
  </w:style>
  <w:style w:type="paragraph" w:customStyle="1" w:styleId="Framecontents">
    <w:name w:val="Frame contents"/>
    <w:basedOn w:val="Textbody"/>
    <w:rsid w:val="00A03300"/>
  </w:style>
  <w:style w:type="paragraph" w:customStyle="1" w:styleId="TableContents">
    <w:name w:val="Table Contents"/>
    <w:basedOn w:val="Standard"/>
    <w:rsid w:val="00A03300"/>
    <w:pPr>
      <w:suppressLineNumbers/>
    </w:pPr>
  </w:style>
  <w:style w:type="paragraph" w:customStyle="1" w:styleId="TableHeading">
    <w:name w:val="Table Heading"/>
    <w:basedOn w:val="TableContents"/>
    <w:rsid w:val="00A03300"/>
    <w:pPr>
      <w:jc w:val="center"/>
    </w:pPr>
    <w:rPr>
      <w:b/>
      <w:bCs/>
    </w:rPr>
  </w:style>
  <w:style w:type="paragraph" w:customStyle="1" w:styleId="Retraitcorpsdetexte">
    <w:name w:val="Retrait corps de texte"/>
    <w:basedOn w:val="Normal"/>
    <w:rsid w:val="00A03300"/>
    <w:pPr>
      <w:spacing w:after="120"/>
      <w:ind w:left="283"/>
    </w:pPr>
    <w:rPr>
      <w:szCs w:val="21"/>
    </w:rPr>
  </w:style>
  <w:style w:type="paragraph" w:customStyle="1" w:styleId="Default">
    <w:name w:val="Default"/>
    <w:rsid w:val="00A03300"/>
    <w:pPr>
      <w:autoSpaceDE w:val="0"/>
      <w:autoSpaceDN w:val="0"/>
    </w:pPr>
    <w:rPr>
      <w:rFonts w:ascii="DLEAJ B+ New Century Schlbk" w:hAnsi="DLEAJ B+ New Century Schlbk" w:cs="DLEAJ B+ New Century Schlbk"/>
      <w:color w:val="000000"/>
      <w:sz w:val="24"/>
      <w:szCs w:val="24"/>
      <w:lang w:bidi="en-US"/>
    </w:rPr>
  </w:style>
  <w:style w:type="paragraph" w:styleId="CommentText">
    <w:name w:val="annotation text"/>
    <w:basedOn w:val="Normal"/>
    <w:semiHidden/>
    <w:rsid w:val="00A03300"/>
    <w:rPr>
      <w:sz w:val="20"/>
      <w:szCs w:val="18"/>
    </w:rPr>
  </w:style>
  <w:style w:type="character" w:customStyle="1" w:styleId="CommentTextChar">
    <w:name w:val="Comment Text Char"/>
    <w:rsid w:val="00A03300"/>
    <w:rPr>
      <w:rFonts w:cs="Times New Roman"/>
      <w:sz w:val="18"/>
    </w:rPr>
  </w:style>
  <w:style w:type="paragraph" w:styleId="CommentSubject">
    <w:name w:val="annotation subject"/>
    <w:basedOn w:val="CommentText"/>
    <w:next w:val="CommentText"/>
    <w:semiHidden/>
    <w:rsid w:val="00A03300"/>
    <w:rPr>
      <w:b/>
      <w:bCs/>
    </w:rPr>
  </w:style>
  <w:style w:type="character" w:customStyle="1" w:styleId="CommentSubjectChar">
    <w:name w:val="Comment Subject Char"/>
    <w:rsid w:val="00A03300"/>
    <w:rPr>
      <w:rFonts w:cs="Times New Roman"/>
      <w:b/>
      <w:sz w:val="18"/>
    </w:rPr>
  </w:style>
  <w:style w:type="character" w:customStyle="1" w:styleId="WW8Num1z0">
    <w:name w:val="WW8Num1z0"/>
    <w:rsid w:val="00A03300"/>
    <w:rPr>
      <w:rFonts w:ascii="Symbol" w:hAnsi="Symbol"/>
    </w:rPr>
  </w:style>
  <w:style w:type="character" w:customStyle="1" w:styleId="WW8Num2z0">
    <w:name w:val="WW8Num2z0"/>
    <w:rsid w:val="00A03300"/>
    <w:rPr>
      <w:rFonts w:ascii="Times New Roman Bold" w:hAnsi="Times New Roman Bold"/>
      <w:b/>
    </w:rPr>
  </w:style>
  <w:style w:type="character" w:customStyle="1" w:styleId="WW8Num3z0">
    <w:name w:val="WW8Num3z0"/>
    <w:rsid w:val="00A03300"/>
    <w:rPr>
      <w:rFonts w:ascii="Symbol" w:hAnsi="Symbol"/>
      <w:sz w:val="20"/>
    </w:rPr>
  </w:style>
  <w:style w:type="character" w:customStyle="1" w:styleId="WW8Num4z0">
    <w:name w:val="WW8Num4z0"/>
    <w:rsid w:val="00A03300"/>
    <w:rPr>
      <w:sz w:val="24"/>
    </w:rPr>
  </w:style>
  <w:style w:type="character" w:customStyle="1" w:styleId="WW8Num5z0">
    <w:name w:val="WW8Num5z0"/>
    <w:rsid w:val="00A03300"/>
    <w:rPr>
      <w:rFonts w:ascii="Symbol" w:hAnsi="Symbol"/>
    </w:rPr>
  </w:style>
  <w:style w:type="character" w:customStyle="1" w:styleId="WW8Num7z0">
    <w:name w:val="WW8Num7z0"/>
    <w:rsid w:val="00A03300"/>
    <w:rPr>
      <w:rFonts w:ascii="Symbol" w:hAnsi="Symbol"/>
    </w:rPr>
  </w:style>
  <w:style w:type="character" w:customStyle="1" w:styleId="Absatz-Standardschriftart">
    <w:name w:val="Absatz-Standardschriftart"/>
    <w:rsid w:val="00A03300"/>
  </w:style>
  <w:style w:type="character" w:customStyle="1" w:styleId="WW8Num1z1">
    <w:name w:val="WW8Num1z1"/>
    <w:rsid w:val="00A03300"/>
    <w:rPr>
      <w:rFonts w:ascii="Courier New" w:hAnsi="Courier New"/>
    </w:rPr>
  </w:style>
  <w:style w:type="character" w:customStyle="1" w:styleId="WW8Num1z2">
    <w:name w:val="WW8Num1z2"/>
    <w:rsid w:val="00A03300"/>
    <w:rPr>
      <w:rFonts w:ascii="Wingdings" w:hAnsi="Wingdings"/>
    </w:rPr>
  </w:style>
  <w:style w:type="character" w:customStyle="1" w:styleId="WW8Num3z1">
    <w:name w:val="WW8Num3z1"/>
    <w:rsid w:val="00A03300"/>
    <w:rPr>
      <w:rFonts w:ascii="Courier New" w:hAnsi="Courier New"/>
    </w:rPr>
  </w:style>
  <w:style w:type="character" w:customStyle="1" w:styleId="WW8Num3z2">
    <w:name w:val="WW8Num3z2"/>
    <w:rsid w:val="00A03300"/>
    <w:rPr>
      <w:rFonts w:ascii="Wingdings" w:hAnsi="Wingdings"/>
    </w:rPr>
  </w:style>
  <w:style w:type="character" w:customStyle="1" w:styleId="WW8Num3z3">
    <w:name w:val="WW8Num3z3"/>
    <w:rsid w:val="00A03300"/>
    <w:rPr>
      <w:rFonts w:ascii="Symbol" w:hAnsi="Symbol"/>
    </w:rPr>
  </w:style>
  <w:style w:type="character" w:customStyle="1" w:styleId="WW8Num5z1">
    <w:name w:val="WW8Num5z1"/>
    <w:rsid w:val="00A03300"/>
    <w:rPr>
      <w:rFonts w:ascii="Courier New" w:hAnsi="Courier New"/>
    </w:rPr>
  </w:style>
  <w:style w:type="character" w:customStyle="1" w:styleId="WW8Num5z2">
    <w:name w:val="WW8Num5z2"/>
    <w:rsid w:val="00A03300"/>
    <w:rPr>
      <w:rFonts w:ascii="Wingdings" w:hAnsi="Wingdings"/>
    </w:rPr>
  </w:style>
  <w:style w:type="character" w:customStyle="1" w:styleId="WW8Num6z0">
    <w:name w:val="WW8Num6z0"/>
    <w:rsid w:val="00A03300"/>
    <w:rPr>
      <w:rFonts w:ascii="Times New Roman" w:hAnsi="Times New Roman"/>
      <w:b/>
    </w:rPr>
  </w:style>
  <w:style w:type="character" w:customStyle="1" w:styleId="WW8Num10z0">
    <w:name w:val="WW8Num10z0"/>
    <w:rsid w:val="00A03300"/>
    <w:rPr>
      <w:rFonts w:ascii="Times New Roman" w:hAnsi="Times New Roman"/>
      <w:color w:val="000000"/>
      <w:sz w:val="24"/>
    </w:rPr>
  </w:style>
  <w:style w:type="character" w:customStyle="1" w:styleId="WW8Num10z1">
    <w:name w:val="WW8Num10z1"/>
    <w:rsid w:val="00A03300"/>
  </w:style>
  <w:style w:type="character" w:customStyle="1" w:styleId="WW8Num11z0">
    <w:name w:val="WW8Num11z0"/>
    <w:rsid w:val="00A03300"/>
    <w:rPr>
      <w:rFonts w:ascii="Symbol" w:hAnsi="Symbol"/>
    </w:rPr>
  </w:style>
  <w:style w:type="character" w:customStyle="1" w:styleId="WW8Num11z1">
    <w:name w:val="WW8Num11z1"/>
    <w:rsid w:val="00A03300"/>
    <w:rPr>
      <w:rFonts w:ascii="Courier New" w:hAnsi="Courier New"/>
    </w:rPr>
  </w:style>
  <w:style w:type="character" w:customStyle="1" w:styleId="WW8Num11z2">
    <w:name w:val="WW8Num11z2"/>
    <w:rsid w:val="00A03300"/>
    <w:rPr>
      <w:rFonts w:ascii="Wingdings" w:hAnsi="Wingdings"/>
    </w:rPr>
  </w:style>
  <w:style w:type="character" w:customStyle="1" w:styleId="WW8Num12z0">
    <w:name w:val="WW8Num12z0"/>
    <w:rsid w:val="00A03300"/>
    <w:rPr>
      <w:rFonts w:ascii="Symbol" w:hAnsi="Symbol"/>
    </w:rPr>
  </w:style>
  <w:style w:type="character" w:customStyle="1" w:styleId="WW8Num12z1">
    <w:name w:val="WW8Num12z1"/>
    <w:rsid w:val="00A03300"/>
    <w:rPr>
      <w:rFonts w:ascii="Courier New" w:hAnsi="Courier New"/>
    </w:rPr>
  </w:style>
  <w:style w:type="character" w:customStyle="1" w:styleId="WW8Num12z2">
    <w:name w:val="WW8Num12z2"/>
    <w:rsid w:val="00A03300"/>
    <w:rPr>
      <w:rFonts w:ascii="Wingdings" w:hAnsi="Wingdings"/>
    </w:rPr>
  </w:style>
  <w:style w:type="character" w:customStyle="1" w:styleId="WW8Num13z0">
    <w:name w:val="WW8Num13z0"/>
    <w:rsid w:val="00A03300"/>
    <w:rPr>
      <w:rFonts w:ascii="Symbol" w:hAnsi="Symbol"/>
    </w:rPr>
  </w:style>
  <w:style w:type="character" w:customStyle="1" w:styleId="WW8Num13z1">
    <w:name w:val="WW8Num13z1"/>
    <w:rsid w:val="00A03300"/>
    <w:rPr>
      <w:rFonts w:ascii="Courier New" w:hAnsi="Courier New"/>
    </w:rPr>
  </w:style>
  <w:style w:type="character" w:customStyle="1" w:styleId="WW8Num13z2">
    <w:name w:val="WW8Num13z2"/>
    <w:rsid w:val="00A03300"/>
    <w:rPr>
      <w:rFonts w:ascii="Wingdings" w:hAnsi="Wingdings"/>
    </w:rPr>
  </w:style>
  <w:style w:type="character" w:customStyle="1" w:styleId="WW8Num14z0">
    <w:name w:val="WW8Num14z0"/>
    <w:rsid w:val="00A03300"/>
    <w:rPr>
      <w:rFonts w:ascii="Symbol" w:hAnsi="Symbol"/>
    </w:rPr>
  </w:style>
  <w:style w:type="character" w:customStyle="1" w:styleId="WW8Num14z1">
    <w:name w:val="WW8Num14z1"/>
    <w:rsid w:val="00A03300"/>
    <w:rPr>
      <w:rFonts w:ascii="Calibri" w:hAnsi="Calibri"/>
    </w:rPr>
  </w:style>
  <w:style w:type="character" w:customStyle="1" w:styleId="WW8Num14z2">
    <w:name w:val="WW8Num14z2"/>
    <w:rsid w:val="00A03300"/>
    <w:rPr>
      <w:rFonts w:ascii="Wingdings" w:hAnsi="Wingdings"/>
    </w:rPr>
  </w:style>
  <w:style w:type="character" w:customStyle="1" w:styleId="WW8Num14z4">
    <w:name w:val="WW8Num14z4"/>
    <w:rsid w:val="00A03300"/>
    <w:rPr>
      <w:rFonts w:ascii="Courier New" w:hAnsi="Courier New"/>
    </w:rPr>
  </w:style>
  <w:style w:type="character" w:customStyle="1" w:styleId="WW8Num15z0">
    <w:name w:val="WW8Num15z0"/>
    <w:rsid w:val="00A03300"/>
    <w:rPr>
      <w:rFonts w:ascii="Courier New" w:hAnsi="Courier New"/>
    </w:rPr>
  </w:style>
  <w:style w:type="character" w:customStyle="1" w:styleId="WW8Num15z2">
    <w:name w:val="WW8Num15z2"/>
    <w:rsid w:val="00A03300"/>
    <w:rPr>
      <w:rFonts w:ascii="Wingdings" w:hAnsi="Wingdings"/>
    </w:rPr>
  </w:style>
  <w:style w:type="character" w:customStyle="1" w:styleId="WW8Num15z3">
    <w:name w:val="WW8Num15z3"/>
    <w:rsid w:val="00A03300"/>
    <w:rPr>
      <w:rFonts w:ascii="Symbol" w:hAnsi="Symbol"/>
    </w:rPr>
  </w:style>
  <w:style w:type="character" w:customStyle="1" w:styleId="WW8Num16z0">
    <w:name w:val="WW8Num16z0"/>
    <w:rsid w:val="00A03300"/>
    <w:rPr>
      <w:rFonts w:ascii="Symbol" w:hAnsi="Symbol"/>
    </w:rPr>
  </w:style>
  <w:style w:type="character" w:customStyle="1" w:styleId="WW8Num16z1">
    <w:name w:val="WW8Num16z1"/>
    <w:rsid w:val="00A03300"/>
    <w:rPr>
      <w:rFonts w:ascii="Courier New" w:hAnsi="Courier New"/>
    </w:rPr>
  </w:style>
  <w:style w:type="character" w:customStyle="1" w:styleId="WW8Num16z2">
    <w:name w:val="WW8Num16z2"/>
    <w:rsid w:val="00A03300"/>
    <w:rPr>
      <w:rFonts w:ascii="Wingdings" w:hAnsi="Wingdings"/>
    </w:rPr>
  </w:style>
  <w:style w:type="character" w:customStyle="1" w:styleId="WW8Num17z0">
    <w:name w:val="WW8Num17z0"/>
    <w:rsid w:val="00A03300"/>
    <w:rPr>
      <w:rFonts w:ascii="Symbol" w:hAnsi="Symbol"/>
    </w:rPr>
  </w:style>
  <w:style w:type="character" w:customStyle="1" w:styleId="WW8Num17z1">
    <w:name w:val="WW8Num17z1"/>
    <w:rsid w:val="00A03300"/>
    <w:rPr>
      <w:rFonts w:ascii="Courier New" w:hAnsi="Courier New"/>
    </w:rPr>
  </w:style>
  <w:style w:type="character" w:customStyle="1" w:styleId="WW8Num17z2">
    <w:name w:val="WW8Num17z2"/>
    <w:rsid w:val="00A03300"/>
    <w:rPr>
      <w:rFonts w:ascii="Wingdings" w:hAnsi="Wingdings"/>
    </w:rPr>
  </w:style>
  <w:style w:type="character" w:customStyle="1" w:styleId="WW8Num19z0">
    <w:name w:val="WW8Num19z0"/>
    <w:rsid w:val="00A03300"/>
    <w:rPr>
      <w:rFonts w:ascii="Wingdings" w:hAnsi="Wingdings"/>
    </w:rPr>
  </w:style>
  <w:style w:type="character" w:customStyle="1" w:styleId="WW8Num19z1">
    <w:name w:val="WW8Num19z1"/>
    <w:rsid w:val="00A03300"/>
    <w:rPr>
      <w:rFonts w:ascii="Courier New" w:hAnsi="Courier New"/>
    </w:rPr>
  </w:style>
  <w:style w:type="character" w:customStyle="1" w:styleId="WW8Num19z3">
    <w:name w:val="WW8Num19z3"/>
    <w:rsid w:val="00A03300"/>
    <w:rPr>
      <w:rFonts w:ascii="Symbol" w:hAnsi="Symbol"/>
    </w:rPr>
  </w:style>
  <w:style w:type="character" w:customStyle="1" w:styleId="WW8Num20z0">
    <w:name w:val="WW8Num20z0"/>
    <w:rsid w:val="00A03300"/>
    <w:rPr>
      <w:rFonts w:ascii="Times New Roman" w:hAnsi="Times New Roman"/>
    </w:rPr>
  </w:style>
  <w:style w:type="character" w:customStyle="1" w:styleId="WW8Num20z1">
    <w:name w:val="WW8Num20z1"/>
    <w:rsid w:val="00A03300"/>
    <w:rPr>
      <w:rFonts w:ascii="Courier New" w:hAnsi="Courier New"/>
    </w:rPr>
  </w:style>
  <w:style w:type="character" w:customStyle="1" w:styleId="WW8Num20z2">
    <w:name w:val="WW8Num20z2"/>
    <w:rsid w:val="00A03300"/>
    <w:rPr>
      <w:rFonts w:ascii="Wingdings" w:hAnsi="Wingdings"/>
    </w:rPr>
  </w:style>
  <w:style w:type="character" w:customStyle="1" w:styleId="WW8Num20z3">
    <w:name w:val="WW8Num20z3"/>
    <w:rsid w:val="00A03300"/>
    <w:rPr>
      <w:rFonts w:ascii="Symbol" w:hAnsi="Symbol"/>
    </w:rPr>
  </w:style>
  <w:style w:type="character" w:customStyle="1" w:styleId="WW8Num21z0">
    <w:name w:val="WW8Num21z0"/>
    <w:rsid w:val="00A03300"/>
    <w:rPr>
      <w:rFonts w:ascii="Symbol" w:hAnsi="Symbol"/>
      <w:sz w:val="20"/>
    </w:rPr>
  </w:style>
  <w:style w:type="character" w:customStyle="1" w:styleId="WW8Num21z1">
    <w:name w:val="WW8Num21z1"/>
    <w:rsid w:val="00A03300"/>
    <w:rPr>
      <w:rFonts w:ascii="Courier New" w:hAnsi="Courier New"/>
      <w:sz w:val="20"/>
    </w:rPr>
  </w:style>
  <w:style w:type="character" w:customStyle="1" w:styleId="WW8Num21z2">
    <w:name w:val="WW8Num21z2"/>
    <w:rsid w:val="00A03300"/>
    <w:rPr>
      <w:rFonts w:ascii="Wingdings" w:hAnsi="Wingdings"/>
      <w:sz w:val="20"/>
    </w:rPr>
  </w:style>
  <w:style w:type="character" w:customStyle="1" w:styleId="WW8Num24z0">
    <w:name w:val="WW8Num24z0"/>
    <w:rsid w:val="00A03300"/>
    <w:rPr>
      <w:rFonts w:ascii="Symbol" w:hAnsi="Symbol"/>
      <w:sz w:val="20"/>
    </w:rPr>
  </w:style>
  <w:style w:type="character" w:customStyle="1" w:styleId="WW8Num24z1">
    <w:name w:val="WW8Num24z1"/>
    <w:rsid w:val="00A03300"/>
    <w:rPr>
      <w:rFonts w:ascii="Courier New" w:hAnsi="Courier New"/>
    </w:rPr>
  </w:style>
  <w:style w:type="character" w:customStyle="1" w:styleId="WW8Num24z2">
    <w:name w:val="WW8Num24z2"/>
    <w:rsid w:val="00A03300"/>
    <w:rPr>
      <w:rFonts w:ascii="Wingdings" w:hAnsi="Wingdings"/>
    </w:rPr>
  </w:style>
  <w:style w:type="character" w:customStyle="1" w:styleId="WW8Num24z3">
    <w:name w:val="WW8Num24z3"/>
    <w:rsid w:val="00A03300"/>
    <w:rPr>
      <w:rFonts w:ascii="Symbol" w:hAnsi="Symbol"/>
    </w:rPr>
  </w:style>
  <w:style w:type="character" w:customStyle="1" w:styleId="WW8Num25z0">
    <w:name w:val="WW8Num25z0"/>
    <w:rsid w:val="00A03300"/>
    <w:rPr>
      <w:rFonts w:ascii="Symbol" w:hAnsi="Symbol"/>
    </w:rPr>
  </w:style>
  <w:style w:type="character" w:customStyle="1" w:styleId="WW8Num25z1">
    <w:name w:val="WW8Num25z1"/>
    <w:rsid w:val="00A03300"/>
    <w:rPr>
      <w:rFonts w:ascii="Courier New" w:hAnsi="Courier New"/>
    </w:rPr>
  </w:style>
  <w:style w:type="character" w:customStyle="1" w:styleId="WW8Num25z2">
    <w:name w:val="WW8Num25z2"/>
    <w:rsid w:val="00A03300"/>
    <w:rPr>
      <w:rFonts w:ascii="Wingdings" w:hAnsi="Wingdings"/>
    </w:rPr>
  </w:style>
  <w:style w:type="character" w:customStyle="1" w:styleId="WW8Num26z0">
    <w:name w:val="WW8Num26z0"/>
    <w:rsid w:val="00A03300"/>
    <w:rPr>
      <w:rFonts w:ascii="Symbol" w:hAnsi="Symbol"/>
    </w:rPr>
  </w:style>
  <w:style w:type="character" w:customStyle="1" w:styleId="WW8Num26z1">
    <w:name w:val="WW8Num26z1"/>
    <w:rsid w:val="00A03300"/>
    <w:rPr>
      <w:rFonts w:ascii="Courier New" w:hAnsi="Courier New"/>
    </w:rPr>
  </w:style>
  <w:style w:type="character" w:customStyle="1" w:styleId="WW8Num26z2">
    <w:name w:val="WW8Num26z2"/>
    <w:rsid w:val="00A03300"/>
    <w:rPr>
      <w:rFonts w:ascii="Wingdings" w:hAnsi="Wingdings"/>
    </w:rPr>
  </w:style>
  <w:style w:type="character" w:customStyle="1" w:styleId="WW8Num27z0">
    <w:name w:val="WW8Num27z0"/>
    <w:rsid w:val="00A03300"/>
    <w:rPr>
      <w:sz w:val="24"/>
    </w:rPr>
  </w:style>
  <w:style w:type="character" w:customStyle="1" w:styleId="WW8Num28z0">
    <w:name w:val="WW8Num28z0"/>
    <w:rsid w:val="00A03300"/>
    <w:rPr>
      <w:rFonts w:ascii="Times New Roman" w:hAnsi="Times New Roman"/>
    </w:rPr>
  </w:style>
  <w:style w:type="character" w:customStyle="1" w:styleId="WW8Num28z1">
    <w:name w:val="WW8Num28z1"/>
    <w:rsid w:val="00A03300"/>
    <w:rPr>
      <w:rFonts w:ascii="Courier New" w:hAnsi="Courier New"/>
    </w:rPr>
  </w:style>
  <w:style w:type="character" w:customStyle="1" w:styleId="WW8Num28z2">
    <w:name w:val="WW8Num28z2"/>
    <w:rsid w:val="00A03300"/>
    <w:rPr>
      <w:rFonts w:ascii="Wingdings" w:hAnsi="Wingdings"/>
    </w:rPr>
  </w:style>
  <w:style w:type="character" w:customStyle="1" w:styleId="WW8Num28z3">
    <w:name w:val="WW8Num28z3"/>
    <w:rsid w:val="00A03300"/>
    <w:rPr>
      <w:rFonts w:ascii="Symbol" w:hAnsi="Symbol"/>
    </w:rPr>
  </w:style>
  <w:style w:type="character" w:customStyle="1" w:styleId="WW8Num30z0">
    <w:name w:val="WW8Num30z0"/>
    <w:rsid w:val="00A03300"/>
    <w:rPr>
      <w:rFonts w:ascii="Symbol" w:hAnsi="Symbol"/>
    </w:rPr>
  </w:style>
  <w:style w:type="character" w:customStyle="1" w:styleId="WW8Num30z1">
    <w:name w:val="WW8Num30z1"/>
    <w:rsid w:val="00A03300"/>
    <w:rPr>
      <w:rFonts w:ascii="Courier New" w:hAnsi="Courier New"/>
    </w:rPr>
  </w:style>
  <w:style w:type="character" w:customStyle="1" w:styleId="WW8Num30z2">
    <w:name w:val="WW8Num30z2"/>
    <w:rsid w:val="00A03300"/>
    <w:rPr>
      <w:rFonts w:ascii="Wingdings" w:hAnsi="Wingdings"/>
    </w:rPr>
  </w:style>
  <w:style w:type="character" w:customStyle="1" w:styleId="WW8Num31z0">
    <w:name w:val="WW8Num31z0"/>
    <w:rsid w:val="00A03300"/>
    <w:rPr>
      <w:rFonts w:ascii="Symbol" w:hAnsi="Symbol"/>
    </w:rPr>
  </w:style>
  <w:style w:type="character" w:customStyle="1" w:styleId="WW8Num31z1">
    <w:name w:val="WW8Num31z1"/>
    <w:rsid w:val="00A03300"/>
    <w:rPr>
      <w:rFonts w:ascii="Courier New" w:hAnsi="Courier New"/>
    </w:rPr>
  </w:style>
  <w:style w:type="character" w:customStyle="1" w:styleId="WW8Num31z2">
    <w:name w:val="WW8Num31z2"/>
    <w:rsid w:val="00A03300"/>
    <w:rPr>
      <w:rFonts w:ascii="Wingdings" w:hAnsi="Wingdings"/>
    </w:rPr>
  </w:style>
  <w:style w:type="character" w:customStyle="1" w:styleId="WW8Num31z3">
    <w:name w:val="WW8Num31z3"/>
    <w:rsid w:val="00A03300"/>
    <w:rPr>
      <w:rFonts w:ascii="Symbol" w:hAnsi="Symbol"/>
    </w:rPr>
  </w:style>
  <w:style w:type="character" w:customStyle="1" w:styleId="WW8Num32z0">
    <w:name w:val="WW8Num32z0"/>
    <w:rsid w:val="00A03300"/>
    <w:rPr>
      <w:rFonts w:ascii="Symbol" w:hAnsi="Symbol"/>
    </w:rPr>
  </w:style>
  <w:style w:type="character" w:customStyle="1" w:styleId="WW8Num32z1">
    <w:name w:val="WW8Num32z1"/>
    <w:rsid w:val="00A03300"/>
    <w:rPr>
      <w:rFonts w:ascii="Courier New" w:hAnsi="Courier New"/>
    </w:rPr>
  </w:style>
  <w:style w:type="character" w:customStyle="1" w:styleId="WW8Num32z2">
    <w:name w:val="WW8Num32z2"/>
    <w:rsid w:val="00A03300"/>
    <w:rPr>
      <w:rFonts w:ascii="Wingdings" w:hAnsi="Wingdings"/>
    </w:rPr>
  </w:style>
  <w:style w:type="character" w:customStyle="1" w:styleId="WW8Num33z0">
    <w:name w:val="WW8Num33z0"/>
    <w:rsid w:val="00A03300"/>
    <w:rPr>
      <w:rFonts w:ascii="Symbol" w:hAnsi="Symbol"/>
    </w:rPr>
  </w:style>
  <w:style w:type="character" w:customStyle="1" w:styleId="WW8Num33z1">
    <w:name w:val="WW8Num33z1"/>
    <w:rsid w:val="00A03300"/>
    <w:rPr>
      <w:rFonts w:ascii="Courier New" w:hAnsi="Courier New"/>
    </w:rPr>
  </w:style>
  <w:style w:type="character" w:customStyle="1" w:styleId="WW8Num33z2">
    <w:name w:val="WW8Num33z2"/>
    <w:rsid w:val="00A03300"/>
    <w:rPr>
      <w:rFonts w:ascii="Wingdings" w:hAnsi="Wingdings"/>
    </w:rPr>
  </w:style>
  <w:style w:type="character" w:customStyle="1" w:styleId="WW8Num34z0">
    <w:name w:val="WW8Num34z0"/>
    <w:rsid w:val="00A03300"/>
    <w:rPr>
      <w:rFonts w:ascii="Symbol" w:hAnsi="Symbol"/>
    </w:rPr>
  </w:style>
  <w:style w:type="character" w:customStyle="1" w:styleId="WW8Num34z1">
    <w:name w:val="WW8Num34z1"/>
    <w:rsid w:val="00A03300"/>
    <w:rPr>
      <w:rFonts w:ascii="Courier New" w:hAnsi="Courier New"/>
    </w:rPr>
  </w:style>
  <w:style w:type="character" w:customStyle="1" w:styleId="WW8Num34z2">
    <w:name w:val="WW8Num34z2"/>
    <w:rsid w:val="00A03300"/>
    <w:rPr>
      <w:rFonts w:ascii="Wingdings" w:hAnsi="Wingdings"/>
    </w:rPr>
  </w:style>
  <w:style w:type="character" w:customStyle="1" w:styleId="WW8NumSt30z0">
    <w:name w:val="WW8NumSt30z0"/>
    <w:rsid w:val="00A03300"/>
    <w:rPr>
      <w:rFonts w:ascii="Wingdings" w:hAnsi="Wingdings"/>
      <w:sz w:val="20"/>
    </w:rPr>
  </w:style>
  <w:style w:type="character" w:customStyle="1" w:styleId="Numrodepage">
    <w:name w:val="Numéro de page"/>
    <w:rsid w:val="00A03300"/>
    <w:rPr>
      <w:rFonts w:cs="Times New Roman"/>
    </w:rPr>
  </w:style>
  <w:style w:type="character" w:customStyle="1" w:styleId="Internetlink">
    <w:name w:val="Internet link"/>
    <w:rsid w:val="00A03300"/>
    <w:rPr>
      <w:color w:val="0000FF"/>
      <w:u w:val="single"/>
    </w:rPr>
  </w:style>
  <w:style w:type="character" w:customStyle="1" w:styleId="FootnoteSymbol">
    <w:name w:val="Footnote Symbol"/>
    <w:rsid w:val="00A03300"/>
    <w:rPr>
      <w:position w:val="0"/>
      <w:vertAlign w:val="superscript"/>
    </w:rPr>
  </w:style>
  <w:style w:type="character" w:customStyle="1" w:styleId="VisitedInternetLink">
    <w:name w:val="Visited Internet Link"/>
    <w:rsid w:val="00A03300"/>
    <w:rPr>
      <w:color w:val="606420"/>
      <w:u w:val="single"/>
    </w:rPr>
  </w:style>
  <w:style w:type="character" w:customStyle="1" w:styleId="NotedebasdepageCar">
    <w:name w:val="Note de bas de page Car"/>
    <w:rsid w:val="00A03300"/>
    <w:rPr>
      <w:rFonts w:cs="Times New Roman"/>
    </w:rPr>
  </w:style>
  <w:style w:type="character" w:customStyle="1" w:styleId="PieddepageCar">
    <w:name w:val="Pied de page Car"/>
    <w:rsid w:val="00A03300"/>
    <w:rPr>
      <w:sz w:val="24"/>
    </w:rPr>
  </w:style>
  <w:style w:type="character" w:customStyle="1" w:styleId="En-tteCar">
    <w:name w:val="En-tête Car"/>
    <w:rsid w:val="00A03300"/>
    <w:rPr>
      <w:sz w:val="24"/>
    </w:rPr>
  </w:style>
  <w:style w:type="character" w:customStyle="1" w:styleId="MainParanoChapterChar">
    <w:name w:val="Main Para no Chapter # Char"/>
    <w:rsid w:val="00A03300"/>
    <w:rPr>
      <w:color w:val="000000"/>
      <w:sz w:val="24"/>
    </w:rPr>
  </w:style>
  <w:style w:type="character" w:customStyle="1" w:styleId="Titre2Car">
    <w:name w:val="Titre 2 Car"/>
    <w:rsid w:val="00A03300"/>
    <w:rPr>
      <w:i/>
      <w:sz w:val="24"/>
    </w:rPr>
  </w:style>
  <w:style w:type="character" w:customStyle="1" w:styleId="Marquedecommentaire">
    <w:name w:val="Marque de commentaire"/>
    <w:rsid w:val="00A03300"/>
    <w:rPr>
      <w:sz w:val="16"/>
    </w:rPr>
  </w:style>
  <w:style w:type="character" w:customStyle="1" w:styleId="CommentaireCar">
    <w:name w:val="Commentaire Car"/>
    <w:rsid w:val="00A03300"/>
    <w:rPr>
      <w:rFonts w:cs="Times New Roman"/>
    </w:rPr>
  </w:style>
  <w:style w:type="character" w:customStyle="1" w:styleId="ObjetducommentaireCar">
    <w:name w:val="Objet du commentaire Car"/>
    <w:rsid w:val="00A03300"/>
    <w:rPr>
      <w:b/>
    </w:rPr>
  </w:style>
  <w:style w:type="character" w:customStyle="1" w:styleId="TextedebullesCar">
    <w:name w:val="Texte de bulles Car"/>
    <w:rsid w:val="00A03300"/>
    <w:rPr>
      <w:rFonts w:ascii="Tahoma" w:hAnsi="Tahoma"/>
      <w:sz w:val="16"/>
    </w:rPr>
  </w:style>
  <w:style w:type="character" w:customStyle="1" w:styleId="StrongEmphasis">
    <w:name w:val="Strong Emphasis"/>
    <w:rsid w:val="00A03300"/>
    <w:rPr>
      <w:b/>
    </w:rPr>
  </w:style>
  <w:style w:type="character" w:customStyle="1" w:styleId="Accentuation">
    <w:name w:val="Accentuation"/>
    <w:rsid w:val="00A03300"/>
    <w:rPr>
      <w:i/>
    </w:rPr>
  </w:style>
  <w:style w:type="character" w:customStyle="1" w:styleId="Footnoteanchor">
    <w:name w:val="Footnote anchor"/>
    <w:rsid w:val="00A03300"/>
    <w:rPr>
      <w:position w:val="0"/>
      <w:vertAlign w:val="superscript"/>
    </w:rPr>
  </w:style>
  <w:style w:type="character" w:customStyle="1" w:styleId="EndnoteSymbol">
    <w:name w:val="Endnote Symbol"/>
    <w:rsid w:val="00A03300"/>
    <w:rPr>
      <w:position w:val="0"/>
      <w:vertAlign w:val="superscript"/>
    </w:rPr>
  </w:style>
  <w:style w:type="character" w:customStyle="1" w:styleId="WW-Caractresdenotedefin">
    <w:name w:val="WW-Caractères de note de fin"/>
    <w:rsid w:val="00A03300"/>
  </w:style>
  <w:style w:type="character" w:customStyle="1" w:styleId="CorpsdetexteCar">
    <w:name w:val="Corps de texte Car"/>
    <w:rsid w:val="00A03300"/>
    <w:rPr>
      <w:sz w:val="21"/>
    </w:rPr>
  </w:style>
  <w:style w:type="character" w:customStyle="1" w:styleId="RetraitcorpsdetexteCar">
    <w:name w:val="Retrait corps de texte Car"/>
    <w:rsid w:val="00A03300"/>
    <w:rPr>
      <w:sz w:val="21"/>
    </w:rPr>
  </w:style>
  <w:style w:type="character" w:customStyle="1" w:styleId="NotedebasdepageCar1">
    <w:name w:val="Note de bas de page Car1"/>
    <w:rsid w:val="00A03300"/>
    <w:rPr>
      <w:sz w:val="18"/>
    </w:rPr>
  </w:style>
  <w:style w:type="character" w:customStyle="1" w:styleId="ParagraphedelisteCar">
    <w:name w:val="Paragraphe de liste Car"/>
    <w:rsid w:val="00A03300"/>
    <w:rPr>
      <w:rFonts w:eastAsia="Times New Roman"/>
      <w:sz w:val="18"/>
      <w:lang w:val="en-GB"/>
    </w:rPr>
  </w:style>
  <w:style w:type="character" w:customStyle="1" w:styleId="Appelnotedebasdep">
    <w:name w:val="Appel note de bas de p."/>
    <w:rsid w:val="00A03300"/>
    <w:rPr>
      <w:position w:val="0"/>
      <w:vertAlign w:val="superscript"/>
    </w:rPr>
  </w:style>
  <w:style w:type="character" w:customStyle="1" w:styleId="apple-converted-space">
    <w:name w:val="apple-converted-space"/>
    <w:rsid w:val="00A03300"/>
    <w:rPr>
      <w:rFonts w:cs="Times New Roman"/>
    </w:rPr>
  </w:style>
  <w:style w:type="character" w:customStyle="1" w:styleId="BalloonTextChar">
    <w:name w:val="Balloon Text Char"/>
    <w:rsid w:val="00A03300"/>
    <w:rPr>
      <w:rFonts w:ascii="Tahoma" w:hAnsi="Tahoma"/>
      <w:sz w:val="14"/>
    </w:rPr>
  </w:style>
  <w:style w:type="character" w:styleId="CommentReference">
    <w:name w:val="annotation reference"/>
    <w:semiHidden/>
    <w:rsid w:val="00A03300"/>
    <w:rPr>
      <w:rFonts w:cs="Times New Roman"/>
      <w:sz w:val="16"/>
    </w:rPr>
  </w:style>
  <w:style w:type="character" w:customStyle="1" w:styleId="FooterChar">
    <w:name w:val="Footer Char"/>
    <w:rsid w:val="00A03300"/>
    <w:rPr>
      <w:sz w:val="21"/>
    </w:rPr>
  </w:style>
  <w:style w:type="character" w:customStyle="1" w:styleId="HeaderChar">
    <w:name w:val="Header Char"/>
    <w:rsid w:val="00A03300"/>
    <w:rPr>
      <w:sz w:val="21"/>
    </w:rPr>
  </w:style>
  <w:style w:type="character" w:customStyle="1" w:styleId="BalloonTextChar1">
    <w:name w:val="Balloon Text Char1"/>
    <w:rsid w:val="00A03300"/>
    <w:rPr>
      <w:rFonts w:ascii="Tahoma" w:hAnsi="Tahoma" w:cs="Times New Roman"/>
      <w:sz w:val="14"/>
    </w:rPr>
  </w:style>
  <w:style w:type="character" w:styleId="FootnoteReference">
    <w:name w:val="footnote reference"/>
    <w:semiHidden/>
    <w:rsid w:val="00A03300"/>
    <w:rPr>
      <w:rFonts w:cs="Times New Roman"/>
      <w:position w:val="0"/>
      <w:vertAlign w:val="superscript"/>
    </w:rPr>
  </w:style>
  <w:style w:type="character" w:styleId="Strong">
    <w:name w:val="Strong"/>
    <w:qFormat/>
    <w:rsid w:val="00B577E3"/>
    <w:rPr>
      <w:rFonts w:cs="Times New Roman"/>
      <w:b/>
      <w:bCs/>
    </w:rPr>
  </w:style>
  <w:style w:type="paragraph" w:styleId="ListParagraph">
    <w:name w:val="List Paragraph"/>
    <w:basedOn w:val="Normal"/>
    <w:qFormat/>
    <w:rsid w:val="00B75414"/>
    <w:pPr>
      <w:widowControl/>
      <w:suppressAutoHyphens w:val="0"/>
      <w:autoSpaceDN/>
      <w:spacing w:after="200" w:line="276" w:lineRule="auto"/>
      <w:ind w:left="720"/>
      <w:contextualSpacing/>
      <w:textAlignment w:val="auto"/>
    </w:pPr>
    <w:rPr>
      <w:rFonts w:ascii="Calibri" w:hAnsi="Calibri" w:cs="Times New Roman"/>
      <w:kern w:val="0"/>
      <w:sz w:val="22"/>
      <w:szCs w:val="22"/>
      <w:lang w:val="en-GB" w:eastAsia="en-GB"/>
    </w:rPr>
  </w:style>
  <w:style w:type="paragraph" w:styleId="Revision">
    <w:name w:val="Revision"/>
    <w:hidden/>
    <w:semiHidden/>
    <w:rsid w:val="00E073B5"/>
    <w:rPr>
      <w:kern w:val="3"/>
      <w:sz w:val="24"/>
      <w:szCs w:val="21"/>
      <w:lang w:val="fr-FR" w:eastAsia="zh-CN" w:bidi="en-US"/>
    </w:rPr>
  </w:style>
  <w:style w:type="paragraph" w:styleId="Header">
    <w:name w:val="header"/>
    <w:basedOn w:val="Normal"/>
    <w:semiHidden/>
    <w:rsid w:val="00531A2F"/>
    <w:pPr>
      <w:tabs>
        <w:tab w:val="center" w:pos="4680"/>
        <w:tab w:val="right" w:pos="9360"/>
      </w:tabs>
    </w:pPr>
    <w:rPr>
      <w:szCs w:val="21"/>
    </w:rPr>
  </w:style>
  <w:style w:type="character" w:customStyle="1" w:styleId="HeaderChar1">
    <w:name w:val="Header Char1"/>
    <w:semiHidden/>
    <w:rsid w:val="00531A2F"/>
    <w:rPr>
      <w:rFonts w:cs="Times New Roman"/>
      <w:kern w:val="3"/>
      <w:sz w:val="21"/>
      <w:lang w:val="fr-FR" w:eastAsia="zh-CN"/>
    </w:rPr>
  </w:style>
  <w:style w:type="paragraph" w:styleId="Footer">
    <w:name w:val="footer"/>
    <w:basedOn w:val="Normal"/>
    <w:semiHidden/>
    <w:rsid w:val="00531A2F"/>
    <w:pPr>
      <w:tabs>
        <w:tab w:val="center" w:pos="4680"/>
        <w:tab w:val="right" w:pos="9360"/>
      </w:tabs>
    </w:pPr>
    <w:rPr>
      <w:szCs w:val="21"/>
    </w:rPr>
  </w:style>
  <w:style w:type="character" w:customStyle="1" w:styleId="FooterChar1">
    <w:name w:val="Footer Char1"/>
    <w:semiHidden/>
    <w:rsid w:val="00531A2F"/>
    <w:rPr>
      <w:rFonts w:cs="Times New Roman"/>
      <w:kern w:val="3"/>
      <w:sz w:val="21"/>
      <w:lang w:val="fr-FR" w:eastAsia="zh-CN"/>
    </w:rPr>
  </w:style>
  <w:style w:type="paragraph" w:styleId="FootnoteText">
    <w:name w:val="footnote text"/>
    <w:basedOn w:val="Normal"/>
    <w:semiHidden/>
    <w:rsid w:val="00746A4C"/>
    <w:rPr>
      <w:sz w:val="20"/>
      <w:szCs w:val="18"/>
    </w:rPr>
  </w:style>
  <w:style w:type="character" w:customStyle="1" w:styleId="FootnoteTextChar">
    <w:name w:val="Footnote Text Char"/>
    <w:semiHidden/>
    <w:rsid w:val="00746A4C"/>
    <w:rPr>
      <w:rFonts w:cs="Times New Roman"/>
      <w:kern w:val="3"/>
      <w:sz w:val="18"/>
      <w:lang w:val="fr-FR" w:eastAsia="zh-CN"/>
    </w:rPr>
  </w:style>
  <w:style w:type="character" w:styleId="Hyperlink">
    <w:name w:val="Hyperlink"/>
    <w:rsid w:val="00746A4C"/>
    <w:rPr>
      <w:rFonts w:cs="Times New Roman"/>
      <w:color w:val="0000FF"/>
      <w:u w:val="single"/>
    </w:rPr>
  </w:style>
  <w:style w:type="paragraph" w:styleId="NoSpacing">
    <w:name w:val="No Spacing"/>
    <w:qFormat/>
    <w:rsid w:val="008C58A8"/>
    <w:pPr>
      <w:widowControl w:val="0"/>
      <w:suppressAutoHyphens/>
      <w:autoSpaceDN w:val="0"/>
      <w:textAlignment w:val="baseline"/>
    </w:pPr>
    <w:rPr>
      <w:kern w:val="3"/>
      <w:sz w:val="24"/>
      <w:szCs w:val="21"/>
      <w:lang w:val="fr-FR" w:eastAsia="zh-CN" w:bidi="en-US"/>
    </w:rPr>
  </w:style>
  <w:style w:type="table" w:styleId="TableGrid">
    <w:name w:val="Table Grid"/>
    <w:basedOn w:val="TableNormal"/>
    <w:rsid w:val="009B5754"/>
    <w:rPr>
      <w:rFonts w:cs="Times New Roman"/>
      <w:lang w:val="fr-FR"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13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Documents%20and%20Settings/blakep/Users/colvilleg/AppData/Local/Temp/wb12456/Desktop/C.40.11.Rev_.1_Outstanding_Issues_Nagoya_Protocol.pdf" TargetMode="External"/><Relationship Id="rId18" Type="http://schemas.openxmlformats.org/officeDocument/2006/relationships/hyperlink" Target="http://www.thegef.org/gef/sites/thegef.org/files/documents/OFP%20Endorsement%20Letter%20Template%2011-1-11_0.doc" TargetMode="Externa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thegef.org/gef/sites/thegef.org/files/documents/Program%20strategy%20V.2.pdf" TargetMode="External"/><Relationship Id="rId17" Type="http://schemas.openxmlformats.org/officeDocument/2006/relationships/hyperlink" Target="http://www.thegef.org/gef/sites/thegef.org/files/publication/mainstreaming-gender-at-the-GEF.pdf"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thegef.org/gef/sites/thegef.org/files/documents/CPE-Global_Environmental_Benefits_Assessment_Outline.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gef.org/gef/sites/thegef.org/files/documents/GEF.R.5.19.Rev_.1.2009.pdf" TargetMode="Externa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www.thegef.org/gef/node/1325" TargetMode="External"/><Relationship Id="rId23" Type="http://schemas.openxmlformats.org/officeDocument/2006/relationships/theme" Target="theme/theme1.xml"/><Relationship Id="rId10" Type="http://schemas.openxmlformats.org/officeDocument/2006/relationships/hyperlink" Target="http://gefweb.org/Documents/Council_Documents/GEF_C21/C.20.6.Rev.1.pdf" TargetMode="External"/><Relationship Id="rId19" Type="http://schemas.openxmlformats.org/officeDocument/2006/relationships/hyperlink" Target="http://www.thegef.org/gef/sites/thegef.org/files/documents/OFP%20Endorsement%20Letter%20Template%20for%20SGP%2009-08-2010.doc" TargetMode="External"/><Relationship Id="rId4" Type="http://schemas.openxmlformats.org/officeDocument/2006/relationships/settings" Target="settings.xml"/><Relationship Id="rId9" Type="http://schemas.openxmlformats.org/officeDocument/2006/relationships/hyperlink" Target="http://www.thegef.org/gef/sites/thegef.org/files/documents/document/GEF5-Template%20Reference%20Guide%209-14-10rev11-18-2010.doc" TargetMode="External"/><Relationship Id="rId14" Type="http://schemas.openxmlformats.org/officeDocument/2006/relationships/hyperlink" Target="http://www.thegef.org/gef/node/189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creee.org/Studies/Existing_CDM_Potential&amp;Perspectives_for_Carbon_Finance_in_RCREEE_Member_States_Beyond_2012.pdf" TargetMode="External"/><Relationship Id="rId1" Type="http://schemas.openxmlformats.org/officeDocument/2006/relationships/hyperlink" Target="http://www.thegef.org/gef/sites/thegef.org/files/documents/document/GEF5-Template%20Reference%20Guide%209-14-10rev11-18-20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6232B-581A-4CE2-90AC-634554C06FC2}"/>
</file>

<file path=customXml/itemProps2.xml><?xml version="1.0" encoding="utf-8"?>
<ds:datastoreItem xmlns:ds="http://schemas.openxmlformats.org/officeDocument/2006/customXml" ds:itemID="{0E35E067-2ACD-4FFD-B5A5-32EF01522388}"/>
</file>

<file path=customXml/itemProps3.xml><?xml version="1.0" encoding="utf-8"?>
<ds:datastoreItem xmlns:ds="http://schemas.openxmlformats.org/officeDocument/2006/customXml" ds:itemID="{37D4203D-C336-418F-B0CF-83D15CC4A3BA}"/>
</file>

<file path=docProps/app.xml><?xml version="1.0" encoding="utf-8"?>
<Properties xmlns="http://schemas.openxmlformats.org/officeDocument/2006/extended-properties" xmlns:vt="http://schemas.openxmlformats.org/officeDocument/2006/docPropsVTypes">
  <Template>Normal.dotm</Template>
  <TotalTime>0</TotalTime>
  <Pages>15</Pages>
  <Words>6921</Words>
  <Characters>39452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FINANCING PLAN (IN US$):</vt:lpstr>
    </vt:vector>
  </TitlesOfParts>
  <Company>DTIE</Company>
  <LinksUpToDate>false</LinksUpToDate>
  <CharactersWithSpaces>46281</CharactersWithSpaces>
  <SharedDoc>false</SharedDoc>
  <HLinks>
    <vt:vector size="78" baseType="variant">
      <vt:variant>
        <vt:i4>917593</vt:i4>
      </vt:variant>
      <vt:variant>
        <vt:i4>120</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117</vt:i4>
      </vt:variant>
      <vt:variant>
        <vt:i4>0</vt:i4>
      </vt:variant>
      <vt:variant>
        <vt:i4>5</vt:i4>
      </vt:variant>
      <vt:variant>
        <vt:lpwstr>http://www.thegef.org/gef/sites/thegef.org/files/documents/OFP Endorsement Letter Template 11-1-11_0.doc</vt:lpwstr>
      </vt:variant>
      <vt:variant>
        <vt:lpwstr/>
      </vt:variant>
      <vt:variant>
        <vt:i4>1638475</vt:i4>
      </vt:variant>
      <vt:variant>
        <vt:i4>111</vt:i4>
      </vt:variant>
      <vt:variant>
        <vt:i4>0</vt:i4>
      </vt:variant>
      <vt:variant>
        <vt:i4>5</vt:i4>
      </vt:variant>
      <vt:variant>
        <vt:lpwstr>http://www.thegef.org/gef/sites/thegef.org/files/publication/mainstreaming-gender-at-the-GEF.pdf</vt:lpwstr>
      </vt:variant>
      <vt:variant>
        <vt:lpwstr/>
      </vt:variant>
      <vt:variant>
        <vt:i4>5570651</vt:i4>
      </vt:variant>
      <vt:variant>
        <vt:i4>108</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105</vt:i4>
      </vt:variant>
      <vt:variant>
        <vt:i4>0</vt:i4>
      </vt:variant>
      <vt:variant>
        <vt:i4>5</vt:i4>
      </vt:variant>
      <vt:variant>
        <vt:lpwstr>http://www.thegef.org/gef/node/1325</vt:lpwstr>
      </vt:variant>
      <vt:variant>
        <vt:lpwstr/>
      </vt:variant>
      <vt:variant>
        <vt:i4>6553645</vt:i4>
      </vt:variant>
      <vt:variant>
        <vt:i4>102</vt:i4>
      </vt:variant>
      <vt:variant>
        <vt:i4>0</vt:i4>
      </vt:variant>
      <vt:variant>
        <vt:i4>5</vt:i4>
      </vt:variant>
      <vt:variant>
        <vt:lpwstr>http://www.thegef.org/gef/node/1890</vt:lpwstr>
      </vt:variant>
      <vt:variant>
        <vt:lpwstr/>
      </vt:variant>
      <vt:variant>
        <vt:i4>4718717</vt:i4>
      </vt:variant>
      <vt:variant>
        <vt:i4>94</vt:i4>
      </vt:variant>
      <vt:variant>
        <vt:i4>0</vt:i4>
      </vt:variant>
      <vt:variant>
        <vt:i4>5</vt:i4>
      </vt:variant>
      <vt:variant>
        <vt:lpwstr>C:\Documents and Settings\blakep\Users\colvilleg\AppData\Local\Temp\wb12456\Desktop\C.40.11.Rev_.1_Outstanding_Issues_Nagoya_Protocol.pdf</vt:lpwstr>
      </vt:variant>
      <vt:variant>
        <vt:lpwstr/>
      </vt:variant>
      <vt:variant>
        <vt:i4>8126509</vt:i4>
      </vt:variant>
      <vt:variant>
        <vt:i4>91</vt:i4>
      </vt:variant>
      <vt:variant>
        <vt:i4>0</vt:i4>
      </vt:variant>
      <vt:variant>
        <vt:i4>5</vt:i4>
      </vt:variant>
      <vt:variant>
        <vt:lpwstr>http://www.thegef.org/gef/sites/thegef.org/files/documents/Program strategy V.2.pdf</vt:lpwstr>
      </vt:variant>
      <vt:variant>
        <vt:lpwstr/>
      </vt:variant>
      <vt:variant>
        <vt:i4>3145803</vt:i4>
      </vt:variant>
      <vt:variant>
        <vt:i4>88</vt:i4>
      </vt:variant>
      <vt:variant>
        <vt:i4>0</vt:i4>
      </vt:variant>
      <vt:variant>
        <vt:i4>5</vt:i4>
      </vt:variant>
      <vt:variant>
        <vt:lpwstr>http://www.thegef.org/gef/sites/thegef.org/files/documents/GEF.R.5.19.Rev_.1.2009.pdf</vt:lpwstr>
      </vt:variant>
      <vt:variant>
        <vt:lpwstr/>
      </vt:variant>
      <vt:variant>
        <vt:i4>2556011</vt:i4>
      </vt:variant>
      <vt:variant>
        <vt:i4>65</vt:i4>
      </vt:variant>
      <vt:variant>
        <vt:i4>0</vt:i4>
      </vt:variant>
      <vt:variant>
        <vt:i4>5</vt:i4>
      </vt:variant>
      <vt:variant>
        <vt:lpwstr>http://gefweb.org/Documents/Council_Documents/GEF_C21/C.20.6.Rev.1.pdf</vt:lpwstr>
      </vt:variant>
      <vt:variant>
        <vt:lpwstr/>
      </vt:variant>
      <vt:variant>
        <vt:i4>6357090</vt:i4>
      </vt:variant>
      <vt:variant>
        <vt:i4>11</vt:i4>
      </vt:variant>
      <vt:variant>
        <vt:i4>0</vt:i4>
      </vt:variant>
      <vt:variant>
        <vt:i4>5</vt:i4>
      </vt:variant>
      <vt:variant>
        <vt:lpwstr>http://www.thegef.org/gef/sites/thegef.org/files/documents/document/GEF5-Template Reference Guide 9-14-10rev11-18-2010.doc</vt:lpwstr>
      </vt:variant>
      <vt:variant>
        <vt:lpwstr/>
      </vt:variant>
      <vt:variant>
        <vt:i4>3997761</vt:i4>
      </vt:variant>
      <vt:variant>
        <vt:i4>3</vt:i4>
      </vt:variant>
      <vt:variant>
        <vt:i4>0</vt:i4>
      </vt:variant>
      <vt:variant>
        <vt:i4>5</vt:i4>
      </vt:variant>
      <vt:variant>
        <vt:lpwstr>http://www.rcreee.org/Studies/Existing_CDM_Potential&amp;Perspectives_for_Carbon_Finance_in_RCREEE_Member_States_Beyond_2012.pdf</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Dickson M Njiru</cp:lastModifiedBy>
  <cp:revision>2</cp:revision>
  <cp:lastPrinted>2013-02-11T18:05:00Z</cp:lastPrinted>
  <dcterms:created xsi:type="dcterms:W3CDTF">2013-02-12T18:54:00Z</dcterms:created>
  <dcterms:modified xsi:type="dcterms:W3CDTF">2013-02-12T18:54:00Z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2</vt:r8>
  </property>
  <property fmtid="{D5CDD505-2E9C-101B-9397-08002B2CF9AE}" pid="3" name="ContentTypeId">
    <vt:lpwstr>0x01010078FD0EB9EC318C41BC3215F8FE928E39</vt:lpwstr>
  </property>
</Properties>
</file>