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CD3" w:rsidRDefault="00022CD3">
      <w:pPr>
        <w:pStyle w:val="Heading9"/>
        <w:framePr w:wrap="around" w:x="3781"/>
        <w:rPr>
          <w:sz w:val="32"/>
        </w:rPr>
      </w:pPr>
      <w:r>
        <w:rPr>
          <w:sz w:val="32"/>
        </w:rPr>
        <w:t>Medium-sized Project proposal</w:t>
      </w:r>
    </w:p>
    <w:p w:rsidR="00022CD3" w:rsidRDefault="00022CD3">
      <w:pPr>
        <w:framePr w:w="7141" w:h="1081" w:hSpace="180" w:wrap="around" w:vAnchor="text" w:hAnchor="page" w:x="3781" w:y="-179"/>
      </w:pPr>
      <w:r>
        <w:rPr>
          <w:rFonts w:ascii="Times New Roman Bold" w:hAnsi="Times New Roman Bold"/>
          <w:b/>
          <w:bCs/>
          <w:smallCaps/>
          <w:color w:val="000000"/>
          <w:sz w:val="28"/>
          <w:szCs w:val="52"/>
        </w:rPr>
        <w:t xml:space="preserve">Request for GEF Funding    </w:t>
      </w:r>
      <w:r>
        <w:rPr>
          <w:b/>
          <w:bCs/>
          <w:color w:val="000000"/>
          <w:sz w:val="52"/>
          <w:szCs w:val="52"/>
        </w:rPr>
        <w:t xml:space="preserve">  </w:t>
      </w:r>
    </w:p>
    <w:p w:rsidR="00022CD3" w:rsidRPr="00761C00" w:rsidRDefault="00022CD3">
      <w:pPr>
        <w:framePr w:w="4981" w:h="3061" w:hSpace="180" w:wrap="around" w:vAnchor="text" w:hAnchor="page" w:x="1261" w:y="1621"/>
        <w:rPr>
          <w:b/>
        </w:rPr>
      </w:pPr>
      <w:r>
        <w:rPr>
          <w:rFonts w:ascii="Times New Roman Bold" w:hAnsi="Times New Roman Bold"/>
          <w:b/>
          <w:smallCaps/>
        </w:rPr>
        <w:t>Agency’s Project ID:</w:t>
      </w:r>
      <w:r>
        <w:t xml:space="preserve"> </w:t>
      </w:r>
      <w:r w:rsidR="00761C00" w:rsidRPr="00761C00">
        <w:rPr>
          <w:b/>
        </w:rPr>
        <w:t>P120702</w:t>
      </w:r>
    </w:p>
    <w:p w:rsidR="00022CD3" w:rsidRDefault="00022CD3">
      <w:pPr>
        <w:framePr w:w="4981" w:h="3061" w:hSpace="180" w:wrap="around" w:vAnchor="text" w:hAnchor="page" w:x="1261" w:y="1621"/>
        <w:rPr>
          <w:rFonts w:ascii="Times New Roman Bold" w:hAnsi="Times New Roman Bold"/>
          <w:b/>
          <w:smallCaps/>
        </w:rPr>
      </w:pPr>
      <w:r>
        <w:rPr>
          <w:rFonts w:ascii="Times New Roman Bold" w:hAnsi="Times New Roman Bold"/>
          <w:b/>
          <w:smallCaps/>
        </w:rPr>
        <w:t xml:space="preserve">GEFSEC Project ID: </w:t>
      </w:r>
      <w:r w:rsidR="00761C00">
        <w:rPr>
          <w:rFonts w:ascii="Times New Roman Bold" w:hAnsi="Times New Roman Bold"/>
          <w:b/>
          <w:smallCaps/>
        </w:rPr>
        <w:t>4194</w:t>
      </w:r>
    </w:p>
    <w:p w:rsidR="00022CD3" w:rsidRDefault="00022CD3">
      <w:pPr>
        <w:framePr w:w="4981" w:h="3061" w:hSpace="180" w:wrap="around" w:vAnchor="text" w:hAnchor="page" w:x="1261" w:y="1621"/>
      </w:pPr>
      <w:r>
        <w:rPr>
          <w:rFonts w:ascii="Times New Roman Bold" w:hAnsi="Times New Roman Bold"/>
          <w:b/>
          <w:smallCaps/>
        </w:rPr>
        <w:t>Country:</w:t>
      </w:r>
      <w:r>
        <w:t xml:space="preserve"> </w:t>
      </w:r>
      <w:smartTag w:uri="urn:schemas-microsoft-com:office:smarttags" w:element="place">
        <w:smartTag w:uri="urn:schemas-microsoft-com:office:smarttags" w:element="PlaceType">
          <w:r w:rsidR="00796AFD" w:rsidRPr="00796AFD">
            <w:rPr>
              <w:b/>
            </w:rPr>
            <w:t>REPUBLIC</w:t>
          </w:r>
        </w:smartTag>
        <w:r w:rsidR="00796AFD" w:rsidRPr="00796AFD">
          <w:rPr>
            <w:b/>
          </w:rPr>
          <w:t xml:space="preserve"> OF </w:t>
        </w:r>
        <w:smartTag w:uri="urn:schemas-microsoft-com:office:smarttags" w:element="PlaceName">
          <w:r w:rsidR="00796AFD" w:rsidRPr="00796AFD">
            <w:rPr>
              <w:b/>
            </w:rPr>
            <w:t>MOLDOVA</w:t>
          </w:r>
        </w:smartTag>
      </w:smartTag>
    </w:p>
    <w:p w:rsidR="00022CD3" w:rsidRDefault="00022CD3">
      <w:pPr>
        <w:framePr w:w="4981" w:h="3061" w:hSpace="180" w:wrap="around" w:vAnchor="text" w:hAnchor="page" w:x="1261" w:y="1621"/>
      </w:pPr>
      <w:r>
        <w:rPr>
          <w:rFonts w:ascii="Times New Roman Bold" w:hAnsi="Times New Roman Bold"/>
          <w:b/>
          <w:smallCaps/>
        </w:rPr>
        <w:t>Project Title:</w:t>
      </w:r>
      <w:r>
        <w:t xml:space="preserve"> </w:t>
      </w:r>
      <w:r w:rsidR="00796AFD" w:rsidRPr="00796AFD">
        <w:rPr>
          <w:b/>
        </w:rPr>
        <w:t>BIOGAS GENERATION FROM ANIMAL MANURE PILOT PROJECT</w:t>
      </w:r>
    </w:p>
    <w:p w:rsidR="00022CD3" w:rsidRDefault="00022CD3">
      <w:pPr>
        <w:framePr w:w="4981" w:h="3061" w:hSpace="180" w:wrap="around" w:vAnchor="text" w:hAnchor="page" w:x="1261" w:y="1621"/>
      </w:pPr>
      <w:r>
        <w:rPr>
          <w:rFonts w:ascii="Times New Roman Bold" w:hAnsi="Times New Roman Bold"/>
          <w:b/>
          <w:smallCaps/>
        </w:rPr>
        <w:t>GEF Agency:</w:t>
      </w:r>
      <w:r>
        <w:t xml:space="preserve"> </w:t>
      </w:r>
      <w:r w:rsidR="00796AFD" w:rsidRPr="00796AFD">
        <w:rPr>
          <w:b/>
        </w:rPr>
        <w:t>WORLD BANK</w:t>
      </w:r>
    </w:p>
    <w:p w:rsidR="00022CD3" w:rsidRDefault="00022CD3">
      <w:pPr>
        <w:framePr w:w="4981" w:h="3061" w:hSpace="180" w:wrap="around" w:vAnchor="text" w:hAnchor="page" w:x="1261" w:y="1621"/>
      </w:pPr>
      <w:r>
        <w:rPr>
          <w:rFonts w:ascii="Times New Roman Bold" w:hAnsi="Times New Roman Bold"/>
          <w:b/>
          <w:smallCaps/>
        </w:rPr>
        <w:t xml:space="preserve">Other Executing Agency(ies): </w:t>
      </w:r>
      <w:r w:rsidR="00796AFD">
        <w:rPr>
          <w:rFonts w:ascii="Times New Roman Bold" w:hAnsi="Times New Roman Bold"/>
          <w:b/>
          <w:smallCaps/>
        </w:rPr>
        <w:t>MINISTRY OF ENVIRONMENT</w:t>
      </w:r>
    </w:p>
    <w:p w:rsidR="00022CD3" w:rsidRDefault="00022CD3">
      <w:pPr>
        <w:framePr w:w="4981" w:h="3061" w:hSpace="180" w:wrap="around" w:vAnchor="text" w:hAnchor="page" w:x="1261" w:y="1621"/>
      </w:pPr>
      <w:r>
        <w:rPr>
          <w:rFonts w:ascii="Times New Roman Bold" w:hAnsi="Times New Roman Bold"/>
          <w:b/>
          <w:smallCaps/>
        </w:rPr>
        <w:t>Duration:</w:t>
      </w:r>
      <w:r>
        <w:t xml:space="preserve"> </w:t>
      </w:r>
      <w:r w:rsidR="00796AFD" w:rsidRPr="00796AFD">
        <w:rPr>
          <w:b/>
        </w:rPr>
        <w:t>36 months</w:t>
      </w:r>
    </w:p>
    <w:p w:rsidR="00022CD3" w:rsidRDefault="00022CD3">
      <w:pPr>
        <w:framePr w:w="4981" w:h="3061" w:hSpace="180" w:wrap="around" w:vAnchor="text" w:hAnchor="page" w:x="1261" w:y="1621"/>
      </w:pPr>
      <w:r>
        <w:rPr>
          <w:rFonts w:ascii="Times New Roman Bold" w:hAnsi="Times New Roman Bold"/>
          <w:b/>
          <w:smallCaps/>
        </w:rPr>
        <w:t>GEF Focal Area:</w:t>
      </w:r>
      <w:r>
        <w:t xml:space="preserve"> </w:t>
      </w:r>
      <w:r w:rsidR="00796AFD" w:rsidRPr="00796AFD">
        <w:rPr>
          <w:b/>
        </w:rPr>
        <w:t>Climate Change</w:t>
      </w:r>
    </w:p>
    <w:p w:rsidR="00022CD3" w:rsidRDefault="00022CD3">
      <w:pPr>
        <w:framePr w:w="4981" w:h="3061" w:hSpace="180" w:wrap="around" w:vAnchor="text" w:hAnchor="page" w:x="1261" w:y="1621"/>
      </w:pPr>
      <w:r>
        <w:rPr>
          <w:rFonts w:ascii="Times New Roman Bold" w:hAnsi="Times New Roman Bold"/>
          <w:b/>
          <w:smallCaps/>
        </w:rPr>
        <w:t>GEF Operational Program:</w:t>
      </w:r>
      <w:r>
        <w:t xml:space="preserve"> </w:t>
      </w:r>
      <w:r w:rsidR="00796AFD" w:rsidRPr="00796AFD">
        <w:rPr>
          <w:b/>
        </w:rPr>
        <w:t>OP6</w:t>
      </w:r>
      <w:r w:rsidR="005A3092">
        <w:rPr>
          <w:b/>
        </w:rPr>
        <w:t xml:space="preserve"> (promoting adoption of renewable energy)</w:t>
      </w:r>
    </w:p>
    <w:p w:rsidR="00022CD3" w:rsidRDefault="00022CD3">
      <w:pPr>
        <w:framePr w:w="4981" w:h="3061" w:hSpace="180" w:wrap="around" w:vAnchor="text" w:hAnchor="page" w:x="1261" w:y="1621"/>
        <w:rPr>
          <w:rFonts w:ascii="Times New Roman Bold" w:hAnsi="Times New Roman Bold"/>
          <w:b/>
          <w:smallCaps/>
        </w:rPr>
      </w:pPr>
      <w:r>
        <w:rPr>
          <w:rFonts w:ascii="Times New Roman Bold" w:hAnsi="Times New Roman Bold"/>
          <w:b/>
          <w:smallCaps/>
        </w:rPr>
        <w:t xml:space="preserve">GEF Strategic Priority: </w:t>
      </w:r>
      <w:r w:rsidR="00796AFD">
        <w:rPr>
          <w:rFonts w:ascii="Times New Roman Bold" w:hAnsi="Times New Roman Bold"/>
          <w:b/>
          <w:smallCaps/>
        </w:rPr>
        <w:t>CC-SP3-RE</w:t>
      </w:r>
    </w:p>
    <w:p w:rsidR="00022CD3" w:rsidRDefault="00022CD3">
      <w:pPr>
        <w:framePr w:w="4981" w:h="3061" w:hSpace="180" w:wrap="around" w:vAnchor="text" w:hAnchor="page" w:x="1261" w:y="1621"/>
      </w:pPr>
      <w:r>
        <w:rPr>
          <w:rFonts w:ascii="Times New Roman Bold" w:hAnsi="Times New Roman Bold"/>
          <w:b/>
          <w:smallCaps/>
        </w:rPr>
        <w:t>Estimated Starting Date:</w:t>
      </w:r>
      <w:r>
        <w:t xml:space="preserve"> </w:t>
      </w:r>
      <w:r w:rsidR="009555B0">
        <w:rPr>
          <w:b/>
        </w:rPr>
        <w:t>0</w:t>
      </w:r>
      <w:r w:rsidR="009F3AEF">
        <w:rPr>
          <w:b/>
        </w:rPr>
        <w:t>3</w:t>
      </w:r>
      <w:r w:rsidR="009555B0">
        <w:rPr>
          <w:b/>
        </w:rPr>
        <w:t>/2011</w:t>
      </w:r>
    </w:p>
    <w:p w:rsidR="00022CD3" w:rsidRDefault="00022CD3">
      <w:pPr>
        <w:framePr w:w="4981" w:h="3061" w:hSpace="180" w:wrap="around" w:vAnchor="text" w:hAnchor="page" w:x="1261" w:y="1621"/>
        <w:rPr>
          <w:rFonts w:ascii="Times New Roman Bold" w:hAnsi="Times New Roman Bold"/>
          <w:b/>
          <w:smallCaps/>
        </w:rPr>
      </w:pPr>
      <w:r>
        <w:rPr>
          <w:rFonts w:ascii="Times New Roman Bold" w:hAnsi="Times New Roman Bold"/>
          <w:b/>
          <w:smallCaps/>
        </w:rPr>
        <w:t xml:space="preserve">Implementing Agency Fee: </w:t>
      </w:r>
      <w:r w:rsidR="00761C00">
        <w:rPr>
          <w:rFonts w:ascii="Times New Roman Bold" w:hAnsi="Times New Roman Bold"/>
          <w:b/>
          <w:smallCaps/>
        </w:rPr>
        <w:t>US$</w:t>
      </w:r>
      <w:r w:rsidR="00905245">
        <w:rPr>
          <w:rFonts w:ascii="Times New Roman Bold" w:hAnsi="Times New Roman Bold"/>
          <w:b/>
          <w:smallCaps/>
        </w:rPr>
        <w:t xml:space="preserve"> </w:t>
      </w:r>
      <w:r w:rsidR="00761C00">
        <w:rPr>
          <w:rFonts w:ascii="Times New Roman Bold" w:hAnsi="Times New Roman Bold"/>
          <w:b/>
          <w:smallCaps/>
        </w:rPr>
        <w:t>98,000</w:t>
      </w:r>
    </w:p>
    <w:p w:rsidR="00022CD3" w:rsidRDefault="00022CD3">
      <w:pPr>
        <w:framePr w:w="4981" w:h="3061" w:hSpace="180" w:wrap="around" w:vAnchor="text" w:hAnchor="page" w:x="1261" w:y="1621"/>
        <w:rPr>
          <w:rFonts w:ascii="Times New Roman Bold" w:hAnsi="Times New Roman Bold"/>
          <w:b/>
          <w:smallCaps/>
        </w:rPr>
      </w:pPr>
    </w:p>
    <w:tbl>
      <w:tblPr>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440"/>
      </w:tblGrid>
      <w:tr w:rsidR="00022CD3">
        <w:trPr>
          <w:cantSplit/>
          <w:trHeight w:val="180"/>
        </w:trPr>
        <w:tc>
          <w:tcPr>
            <w:tcW w:w="4068" w:type="dxa"/>
            <w:gridSpan w:val="2"/>
          </w:tcPr>
          <w:p w:rsidR="00022CD3" w:rsidRDefault="00022CD3">
            <w:pPr>
              <w:framePr w:w="3801" w:h="3961" w:hSpace="180" w:wrap="around" w:vAnchor="text" w:hAnchor="page" w:x="7141" w:y="1621"/>
              <w:jc w:val="center"/>
              <w:rPr>
                <w:caps/>
              </w:rPr>
            </w:pPr>
            <w:r>
              <w:rPr>
                <w:rFonts w:ascii="Times New Roman Bold" w:hAnsi="Times New Roman Bold"/>
                <w:b/>
                <w:caps/>
              </w:rPr>
              <w:t>Financing Plan (US$)</w:t>
            </w:r>
          </w:p>
        </w:tc>
      </w:tr>
      <w:tr w:rsidR="00022CD3">
        <w:trPr>
          <w:cantSplit/>
          <w:trHeight w:val="360"/>
        </w:trPr>
        <w:tc>
          <w:tcPr>
            <w:tcW w:w="4068" w:type="dxa"/>
            <w:gridSpan w:val="2"/>
          </w:tcPr>
          <w:p w:rsidR="00022CD3" w:rsidRDefault="00022CD3">
            <w:pPr>
              <w:framePr w:w="3801" w:h="3961" w:hSpace="180" w:wrap="around" w:vAnchor="text" w:hAnchor="page" w:x="7141" w:y="1621"/>
              <w:rPr>
                <w:rFonts w:ascii="Times New Roman Bold" w:hAnsi="Times New Roman Bold"/>
                <w:b/>
                <w:smallCaps/>
              </w:rPr>
            </w:pPr>
            <w:r>
              <w:rPr>
                <w:rFonts w:ascii="Times New Roman Bold" w:hAnsi="Times New Roman Bold"/>
                <w:b/>
                <w:smallCaps/>
              </w:rPr>
              <w:t>GEF Project/Component</w:t>
            </w:r>
          </w:p>
        </w:tc>
      </w:tr>
      <w:tr w:rsidR="00022CD3">
        <w:tc>
          <w:tcPr>
            <w:tcW w:w="2628" w:type="dxa"/>
          </w:tcPr>
          <w:p w:rsidR="00022CD3" w:rsidRDefault="00022CD3">
            <w:pPr>
              <w:framePr w:w="3801" w:h="3961" w:hSpace="180" w:wrap="around" w:vAnchor="text" w:hAnchor="page" w:x="7141" w:y="1621"/>
            </w:pPr>
            <w:r>
              <w:t>Project</w:t>
            </w:r>
          </w:p>
        </w:tc>
        <w:tc>
          <w:tcPr>
            <w:tcW w:w="1440" w:type="dxa"/>
          </w:tcPr>
          <w:p w:rsidR="00022CD3" w:rsidRDefault="00D1586F">
            <w:pPr>
              <w:framePr w:w="3801" w:h="3961" w:hSpace="180" w:wrap="around" w:vAnchor="text" w:hAnchor="page" w:x="7141" w:y="1621"/>
              <w:jc w:val="right"/>
            </w:pPr>
            <w:r>
              <w:t>980,000</w:t>
            </w:r>
          </w:p>
        </w:tc>
      </w:tr>
      <w:tr w:rsidR="00022CD3">
        <w:tc>
          <w:tcPr>
            <w:tcW w:w="2628" w:type="dxa"/>
          </w:tcPr>
          <w:p w:rsidR="00022CD3" w:rsidRDefault="00022CD3">
            <w:pPr>
              <w:framePr w:w="3801" w:h="3961" w:hSpace="180" w:wrap="around" w:vAnchor="text" w:hAnchor="page" w:x="7141" w:y="1621"/>
            </w:pPr>
            <w:r>
              <w:t>PDF A*</w:t>
            </w:r>
          </w:p>
        </w:tc>
        <w:tc>
          <w:tcPr>
            <w:tcW w:w="1440" w:type="dxa"/>
          </w:tcPr>
          <w:p w:rsidR="00022CD3" w:rsidRDefault="00B90C83">
            <w:pPr>
              <w:framePr w:w="3801" w:h="3961" w:hSpace="180" w:wrap="around" w:vAnchor="text" w:hAnchor="page" w:x="7141" w:y="1621"/>
              <w:jc w:val="right"/>
            </w:pPr>
            <w:r w:rsidRPr="00AB1ECF">
              <w:fldChar w:fldCharType="begin">
                <w:ffData>
                  <w:name w:val="Text61"/>
                  <w:enabled/>
                  <w:calcOnExit w:val="0"/>
                  <w:helpText w:type="text" w:val="Amount in US dollars, not in thousands or in millions"/>
                  <w:textInput/>
                </w:ffData>
              </w:fldChar>
            </w:r>
            <w:bookmarkStart w:id="0" w:name="Text61"/>
            <w:r w:rsidR="00022CD3" w:rsidRPr="00AB1ECF">
              <w:instrText xml:space="preserve"> FORMTEXT </w:instrText>
            </w:r>
            <w:r w:rsidRPr="00AB1ECF">
              <w:fldChar w:fldCharType="separate"/>
            </w:r>
            <w:r w:rsidR="00022CD3" w:rsidRPr="00AB1ECF">
              <w:rPr>
                <w:noProof/>
              </w:rPr>
              <w:t> </w:t>
            </w:r>
            <w:r w:rsidR="00022CD3" w:rsidRPr="00AB1ECF">
              <w:rPr>
                <w:noProof/>
              </w:rPr>
              <w:t> </w:t>
            </w:r>
            <w:r w:rsidR="00022CD3" w:rsidRPr="00AB1ECF">
              <w:rPr>
                <w:noProof/>
              </w:rPr>
              <w:t> </w:t>
            </w:r>
            <w:r w:rsidR="00022CD3" w:rsidRPr="00AB1ECF">
              <w:rPr>
                <w:noProof/>
              </w:rPr>
              <w:t> </w:t>
            </w:r>
            <w:r w:rsidR="00022CD3" w:rsidRPr="00AB1ECF">
              <w:rPr>
                <w:noProof/>
              </w:rPr>
              <w:t> </w:t>
            </w:r>
            <w:r w:rsidRPr="00AB1ECF">
              <w:fldChar w:fldCharType="end"/>
            </w:r>
            <w:bookmarkEnd w:id="0"/>
          </w:p>
        </w:tc>
      </w:tr>
      <w:tr w:rsidR="00022CD3">
        <w:tc>
          <w:tcPr>
            <w:tcW w:w="2628" w:type="dxa"/>
          </w:tcPr>
          <w:p w:rsidR="00022CD3" w:rsidRDefault="00022CD3">
            <w:pPr>
              <w:pStyle w:val="Heading1"/>
              <w:framePr w:w="3801" w:h="3961" w:hSpace="180" w:wrap="around" w:vAnchor="text" w:hAnchor="page" w:x="7141" w:y="1621"/>
              <w:rPr>
                <w:i/>
                <w:iCs/>
              </w:rPr>
            </w:pPr>
            <w:r>
              <w:rPr>
                <w:i/>
                <w:iCs/>
              </w:rPr>
              <w:t>Sub-Total GEF</w:t>
            </w:r>
          </w:p>
        </w:tc>
        <w:tc>
          <w:tcPr>
            <w:tcW w:w="1440" w:type="dxa"/>
          </w:tcPr>
          <w:p w:rsidR="00022CD3" w:rsidRDefault="00D1586F">
            <w:pPr>
              <w:framePr w:w="3801" w:h="3961" w:hSpace="180" w:wrap="around" w:vAnchor="text" w:hAnchor="page" w:x="7141" w:y="1621"/>
              <w:jc w:val="right"/>
            </w:pPr>
            <w:r>
              <w:t>980,000</w:t>
            </w:r>
          </w:p>
        </w:tc>
      </w:tr>
      <w:tr w:rsidR="00022CD3">
        <w:trPr>
          <w:cantSplit/>
        </w:trPr>
        <w:tc>
          <w:tcPr>
            <w:tcW w:w="4068" w:type="dxa"/>
            <w:gridSpan w:val="2"/>
          </w:tcPr>
          <w:p w:rsidR="00022CD3" w:rsidRDefault="00022CD3">
            <w:pPr>
              <w:pStyle w:val="Heading2"/>
              <w:framePr w:w="3801" w:h="3961" w:hSpace="180" w:wrap="around" w:vAnchor="text" w:hAnchor="page" w:x="7141" w:y="1621"/>
              <w:rPr>
                <w:b/>
                <w:smallCaps/>
              </w:rPr>
            </w:pPr>
            <w:r>
              <w:rPr>
                <w:b/>
                <w:i w:val="0"/>
                <w:iCs w:val="0"/>
                <w:smallCaps/>
              </w:rPr>
              <w:t>Co-financing**</w:t>
            </w:r>
          </w:p>
        </w:tc>
      </w:tr>
      <w:tr w:rsidR="00022CD3">
        <w:tc>
          <w:tcPr>
            <w:tcW w:w="2628" w:type="dxa"/>
          </w:tcPr>
          <w:p w:rsidR="00022CD3" w:rsidRDefault="00022CD3">
            <w:pPr>
              <w:framePr w:w="3801" w:h="3961" w:hSpace="180" w:wrap="around" w:vAnchor="text" w:hAnchor="page" w:x="7141" w:y="1621"/>
            </w:pPr>
            <w:r>
              <w:t>GEF Agency</w:t>
            </w:r>
          </w:p>
        </w:tc>
        <w:tc>
          <w:tcPr>
            <w:tcW w:w="1440" w:type="dxa"/>
          </w:tcPr>
          <w:p w:rsidR="00022CD3" w:rsidRDefault="00D1586F">
            <w:pPr>
              <w:framePr w:w="3801" w:h="3961" w:hSpace="180" w:wrap="around" w:vAnchor="text" w:hAnchor="page" w:x="7141" w:y="1621"/>
              <w:jc w:val="right"/>
            </w:pPr>
            <w:r>
              <w:t>1,575,000</w:t>
            </w:r>
          </w:p>
        </w:tc>
      </w:tr>
      <w:tr w:rsidR="00022CD3">
        <w:tc>
          <w:tcPr>
            <w:tcW w:w="2628" w:type="dxa"/>
          </w:tcPr>
          <w:p w:rsidR="00022CD3" w:rsidRDefault="00022CD3">
            <w:pPr>
              <w:framePr w:w="3801" w:h="3961" w:hSpace="180" w:wrap="around" w:vAnchor="text" w:hAnchor="page" w:x="7141" w:y="1621"/>
            </w:pPr>
            <w:r>
              <w:t>Government</w:t>
            </w:r>
          </w:p>
        </w:tc>
        <w:tc>
          <w:tcPr>
            <w:tcW w:w="1440" w:type="dxa"/>
          </w:tcPr>
          <w:p w:rsidR="00022CD3" w:rsidRDefault="00D1586F">
            <w:pPr>
              <w:framePr w:w="3801" w:h="3961" w:hSpace="180" w:wrap="around" w:vAnchor="text" w:hAnchor="page" w:x="7141" w:y="1621"/>
              <w:jc w:val="right"/>
            </w:pPr>
            <w:r>
              <w:t>31,400</w:t>
            </w:r>
          </w:p>
        </w:tc>
      </w:tr>
      <w:tr w:rsidR="00022CD3">
        <w:tc>
          <w:tcPr>
            <w:tcW w:w="2628" w:type="dxa"/>
          </w:tcPr>
          <w:p w:rsidR="00022CD3" w:rsidRDefault="00022CD3">
            <w:pPr>
              <w:framePr w:w="3801" w:h="3961" w:hSpace="180" w:wrap="around" w:vAnchor="text" w:hAnchor="page" w:x="7141" w:y="1621"/>
            </w:pPr>
            <w:r>
              <w:t>Bilateral</w:t>
            </w:r>
          </w:p>
        </w:tc>
        <w:tc>
          <w:tcPr>
            <w:tcW w:w="1440" w:type="dxa"/>
          </w:tcPr>
          <w:p w:rsidR="00022CD3" w:rsidRDefault="00B90C83">
            <w:pPr>
              <w:framePr w:w="3801" w:h="3961" w:hSpace="180" w:wrap="around" w:vAnchor="text" w:hAnchor="page" w:x="7141" w:y="1621"/>
              <w:jc w:val="right"/>
            </w:pPr>
            <w:r>
              <w:fldChar w:fldCharType="begin">
                <w:ffData>
                  <w:name w:val="Text137"/>
                  <w:enabled/>
                  <w:calcOnExit w:val="0"/>
                  <w:textInput/>
                </w:ffData>
              </w:fldChar>
            </w:r>
            <w:bookmarkStart w:id="1" w:name="Text137"/>
            <w:r w:rsidR="00022CD3">
              <w:instrText xml:space="preserve"> FORMTEXT </w:instrText>
            </w:r>
            <w:r>
              <w:fldChar w:fldCharType="separate"/>
            </w:r>
            <w:r w:rsidR="00022CD3">
              <w:rPr>
                <w:noProof/>
              </w:rPr>
              <w:t> </w:t>
            </w:r>
            <w:r w:rsidR="00022CD3">
              <w:rPr>
                <w:noProof/>
              </w:rPr>
              <w:t> </w:t>
            </w:r>
            <w:r w:rsidR="00022CD3">
              <w:rPr>
                <w:noProof/>
              </w:rPr>
              <w:t> </w:t>
            </w:r>
            <w:r w:rsidR="00022CD3">
              <w:rPr>
                <w:noProof/>
              </w:rPr>
              <w:t> </w:t>
            </w:r>
            <w:r w:rsidR="00022CD3">
              <w:rPr>
                <w:noProof/>
              </w:rPr>
              <w:t> </w:t>
            </w:r>
            <w:r>
              <w:fldChar w:fldCharType="end"/>
            </w:r>
            <w:bookmarkEnd w:id="1"/>
          </w:p>
        </w:tc>
      </w:tr>
      <w:tr w:rsidR="00022CD3">
        <w:tc>
          <w:tcPr>
            <w:tcW w:w="2628" w:type="dxa"/>
          </w:tcPr>
          <w:p w:rsidR="00022CD3" w:rsidRDefault="00022CD3">
            <w:pPr>
              <w:framePr w:w="3801" w:h="3961" w:hSpace="180" w:wrap="around" w:vAnchor="text" w:hAnchor="page" w:x="7141" w:y="1621"/>
            </w:pPr>
            <w:r>
              <w:t>NGOs</w:t>
            </w:r>
          </w:p>
        </w:tc>
        <w:tc>
          <w:tcPr>
            <w:tcW w:w="1440" w:type="dxa"/>
          </w:tcPr>
          <w:p w:rsidR="00022CD3" w:rsidRDefault="00B90C83">
            <w:pPr>
              <w:framePr w:w="3801" w:h="3961" w:hSpace="180" w:wrap="around" w:vAnchor="text" w:hAnchor="page" w:x="7141" w:y="1621"/>
              <w:jc w:val="right"/>
            </w:pPr>
            <w:r>
              <w:fldChar w:fldCharType="begin">
                <w:ffData>
                  <w:name w:val="Text138"/>
                  <w:enabled/>
                  <w:calcOnExit w:val="0"/>
                  <w:textInput/>
                </w:ffData>
              </w:fldChar>
            </w:r>
            <w:bookmarkStart w:id="2" w:name="Text138"/>
            <w:r w:rsidR="00022CD3">
              <w:instrText xml:space="preserve"> FORMTEXT </w:instrText>
            </w:r>
            <w:r>
              <w:fldChar w:fldCharType="separate"/>
            </w:r>
            <w:r w:rsidR="00022CD3">
              <w:rPr>
                <w:noProof/>
              </w:rPr>
              <w:t> </w:t>
            </w:r>
            <w:r w:rsidR="00022CD3">
              <w:rPr>
                <w:noProof/>
              </w:rPr>
              <w:t> </w:t>
            </w:r>
            <w:r w:rsidR="00022CD3">
              <w:rPr>
                <w:noProof/>
              </w:rPr>
              <w:t> </w:t>
            </w:r>
            <w:r w:rsidR="00022CD3">
              <w:rPr>
                <w:noProof/>
              </w:rPr>
              <w:t> </w:t>
            </w:r>
            <w:r w:rsidR="00022CD3">
              <w:rPr>
                <w:noProof/>
              </w:rPr>
              <w:t> </w:t>
            </w:r>
            <w:r>
              <w:fldChar w:fldCharType="end"/>
            </w:r>
            <w:bookmarkEnd w:id="2"/>
          </w:p>
        </w:tc>
      </w:tr>
      <w:tr w:rsidR="00022CD3">
        <w:tc>
          <w:tcPr>
            <w:tcW w:w="2628" w:type="dxa"/>
          </w:tcPr>
          <w:p w:rsidR="00022CD3" w:rsidRDefault="00022CD3">
            <w:pPr>
              <w:framePr w:w="3801" w:h="3961" w:hSpace="180" w:wrap="around" w:vAnchor="text" w:hAnchor="page" w:x="7141" w:y="1621"/>
            </w:pPr>
            <w:r>
              <w:t>Others</w:t>
            </w:r>
            <w:r w:rsidR="00CA2C1B">
              <w:t xml:space="preserve"> </w:t>
            </w:r>
          </w:p>
        </w:tc>
        <w:tc>
          <w:tcPr>
            <w:tcW w:w="1440" w:type="dxa"/>
          </w:tcPr>
          <w:p w:rsidR="00022CD3" w:rsidRDefault="00D1586F">
            <w:pPr>
              <w:framePr w:w="3801" w:h="3961" w:hSpace="180" w:wrap="around" w:vAnchor="text" w:hAnchor="page" w:x="7141" w:y="1621"/>
              <w:jc w:val="right"/>
            </w:pPr>
            <w:r>
              <w:t>906,600</w:t>
            </w:r>
          </w:p>
        </w:tc>
      </w:tr>
      <w:tr w:rsidR="00022CD3">
        <w:tc>
          <w:tcPr>
            <w:tcW w:w="2628" w:type="dxa"/>
          </w:tcPr>
          <w:p w:rsidR="00022CD3" w:rsidRDefault="00022CD3">
            <w:pPr>
              <w:framePr w:w="3801" w:h="3961" w:hSpace="180" w:wrap="around" w:vAnchor="text" w:hAnchor="page" w:x="7141" w:y="1621"/>
              <w:rPr>
                <w:i/>
                <w:iCs/>
              </w:rPr>
            </w:pPr>
            <w:r>
              <w:rPr>
                <w:i/>
                <w:iCs/>
              </w:rPr>
              <w:t>Sub-Total Co-financing:</w:t>
            </w:r>
          </w:p>
        </w:tc>
        <w:tc>
          <w:tcPr>
            <w:tcW w:w="1440" w:type="dxa"/>
          </w:tcPr>
          <w:p w:rsidR="00022CD3" w:rsidRDefault="00D1586F">
            <w:pPr>
              <w:framePr w:w="3801" w:h="3961" w:hSpace="180" w:wrap="around" w:vAnchor="text" w:hAnchor="page" w:x="7141" w:y="1621"/>
              <w:jc w:val="right"/>
            </w:pPr>
            <w:r>
              <w:t>2,513,000</w:t>
            </w:r>
          </w:p>
        </w:tc>
      </w:tr>
      <w:tr w:rsidR="00022CD3">
        <w:tc>
          <w:tcPr>
            <w:tcW w:w="2628" w:type="dxa"/>
          </w:tcPr>
          <w:p w:rsidR="00022CD3" w:rsidRDefault="00022CD3">
            <w:pPr>
              <w:framePr w:w="3801" w:h="3961" w:hSpace="180" w:wrap="around" w:vAnchor="text" w:hAnchor="page" w:x="7141" w:y="1621"/>
              <w:rPr>
                <w:i/>
                <w:iCs/>
              </w:rPr>
            </w:pPr>
            <w:r>
              <w:rPr>
                <w:i/>
                <w:iCs/>
              </w:rPr>
              <w:t>Total Project Financing:</w:t>
            </w:r>
          </w:p>
        </w:tc>
        <w:tc>
          <w:tcPr>
            <w:tcW w:w="1440" w:type="dxa"/>
          </w:tcPr>
          <w:p w:rsidR="00022CD3" w:rsidRDefault="00D1586F">
            <w:pPr>
              <w:framePr w:w="3801" w:h="3961" w:hSpace="180" w:wrap="around" w:vAnchor="text" w:hAnchor="page" w:x="7141" w:y="1621"/>
              <w:jc w:val="right"/>
            </w:pPr>
            <w:r>
              <w:t>3,493,000</w:t>
            </w:r>
            <w:r w:rsidR="009F5E77">
              <w:rPr>
                <w:rStyle w:val="FootnoteReference"/>
              </w:rPr>
              <w:footnoteReference w:id="1"/>
            </w:r>
          </w:p>
        </w:tc>
      </w:tr>
      <w:tr w:rsidR="00022CD3">
        <w:trPr>
          <w:cantSplit/>
        </w:trPr>
        <w:tc>
          <w:tcPr>
            <w:tcW w:w="4068" w:type="dxa"/>
            <w:gridSpan w:val="2"/>
          </w:tcPr>
          <w:p w:rsidR="00022CD3" w:rsidRDefault="00022CD3">
            <w:pPr>
              <w:framePr w:w="3801" w:h="3961" w:hSpace="180" w:wrap="around" w:vAnchor="text" w:hAnchor="page" w:x="7141" w:y="1621"/>
              <w:rPr>
                <w:rFonts w:ascii="Times New Roman Bold" w:hAnsi="Times New Roman Bold"/>
                <w:b/>
                <w:smallCaps/>
              </w:rPr>
            </w:pPr>
            <w:r>
              <w:rPr>
                <w:rFonts w:ascii="Times New Roman Bold" w:hAnsi="Times New Roman Bold"/>
                <w:b/>
                <w:smallCaps/>
              </w:rPr>
              <w:t xml:space="preserve">Financing for Associated Activity If Any:                             </w:t>
            </w:r>
            <w:r w:rsidR="00B90C83">
              <w:rPr>
                <w:rFonts w:ascii="Times New Roman Bold" w:hAnsi="Times New Roman Bold"/>
                <w:b/>
                <w:smallCaps/>
              </w:rPr>
              <w:fldChar w:fldCharType="begin">
                <w:ffData>
                  <w:name w:val="Text139"/>
                  <w:enabled/>
                  <w:calcOnExit w:val="0"/>
                  <w:textInput/>
                </w:ffData>
              </w:fldChar>
            </w:r>
            <w:bookmarkStart w:id="3" w:name="Text139"/>
            <w:r>
              <w:rPr>
                <w:rFonts w:ascii="Times New Roman Bold" w:hAnsi="Times New Roman Bold"/>
                <w:b/>
                <w:smallCaps/>
              </w:rPr>
              <w:instrText xml:space="preserve"> FORMTEXT </w:instrText>
            </w:r>
            <w:r w:rsidR="00B90C83">
              <w:rPr>
                <w:rFonts w:ascii="Times New Roman Bold" w:hAnsi="Times New Roman Bold"/>
                <w:b/>
                <w:smallCaps/>
              </w:rPr>
            </w:r>
            <w:r w:rsidR="00B90C83">
              <w:rPr>
                <w:rFonts w:ascii="Times New Roman Bold" w:hAnsi="Times New Roman Bold"/>
                <w:b/>
                <w:smallCaps/>
              </w:rPr>
              <w:fldChar w:fldCharType="separate"/>
            </w:r>
            <w:r>
              <w:rPr>
                <w:rFonts w:ascii="Times New Roman Bold" w:hAnsi="Times New Roman Bold"/>
                <w:b/>
                <w:smallCaps/>
                <w:noProof/>
              </w:rPr>
              <w:t> </w:t>
            </w:r>
            <w:r>
              <w:rPr>
                <w:rFonts w:ascii="Times New Roman Bold" w:hAnsi="Times New Roman Bold"/>
                <w:b/>
                <w:smallCaps/>
                <w:noProof/>
              </w:rPr>
              <w:t> </w:t>
            </w:r>
            <w:r>
              <w:rPr>
                <w:rFonts w:ascii="Times New Roman Bold" w:hAnsi="Times New Roman Bold"/>
                <w:b/>
                <w:smallCaps/>
                <w:noProof/>
              </w:rPr>
              <w:t> </w:t>
            </w:r>
            <w:r>
              <w:rPr>
                <w:rFonts w:ascii="Times New Roman Bold" w:hAnsi="Times New Roman Bold"/>
                <w:b/>
                <w:smallCaps/>
                <w:noProof/>
              </w:rPr>
              <w:t> </w:t>
            </w:r>
            <w:r>
              <w:rPr>
                <w:rFonts w:ascii="Times New Roman Bold" w:hAnsi="Times New Roman Bold"/>
                <w:b/>
                <w:smallCaps/>
                <w:noProof/>
              </w:rPr>
              <w:t> </w:t>
            </w:r>
            <w:r w:rsidR="00B90C83">
              <w:rPr>
                <w:rFonts w:ascii="Times New Roman Bold" w:hAnsi="Times New Roman Bold"/>
                <w:b/>
                <w:smallCaps/>
              </w:rPr>
              <w:fldChar w:fldCharType="end"/>
            </w:r>
            <w:bookmarkEnd w:id="3"/>
          </w:p>
        </w:tc>
      </w:tr>
    </w:tbl>
    <w:p w:rsidR="00022CD3" w:rsidRDefault="00022CD3">
      <w:pPr>
        <w:pStyle w:val="BodyText"/>
        <w:framePr w:h="3961" w:wrap="around" w:x="7141" w:y="1621"/>
      </w:pPr>
      <w:r>
        <w:t xml:space="preserve">* Indicate approval date of PDFA </w:t>
      </w:r>
      <w:r w:rsidR="00B90C83">
        <w:fldChar w:fldCharType="begin">
          <w:ffData>
            <w:name w:val="Text140"/>
            <w:enabled/>
            <w:calcOnExit w:val="0"/>
            <w:textInput/>
          </w:ffData>
        </w:fldChar>
      </w:r>
      <w:bookmarkStart w:id="4" w:name="Text140"/>
      <w:r>
        <w:instrText xml:space="preserve"> FORMTEXT </w:instrText>
      </w:r>
      <w:r w:rsidR="00B90C83">
        <w:fldChar w:fldCharType="separate"/>
      </w:r>
      <w:r>
        <w:rPr>
          <w:noProof/>
        </w:rPr>
        <w:t> </w:t>
      </w:r>
      <w:r>
        <w:rPr>
          <w:noProof/>
        </w:rPr>
        <w:t> </w:t>
      </w:r>
      <w:r>
        <w:rPr>
          <w:noProof/>
        </w:rPr>
        <w:t> </w:t>
      </w:r>
      <w:r>
        <w:rPr>
          <w:noProof/>
        </w:rPr>
        <w:t> </w:t>
      </w:r>
      <w:r>
        <w:rPr>
          <w:noProof/>
        </w:rPr>
        <w:t> </w:t>
      </w:r>
      <w:r w:rsidR="00B90C83">
        <w:fldChar w:fldCharType="end"/>
      </w:r>
      <w:bookmarkEnd w:id="4"/>
    </w:p>
    <w:p w:rsidR="00022CD3" w:rsidRDefault="00022CD3">
      <w:pPr>
        <w:pStyle w:val="BodyText"/>
        <w:framePr w:h="3961" w:wrap="around" w:x="7141" w:y="1621"/>
      </w:pPr>
      <w:r>
        <w:t>** Details provided in the Financing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8"/>
        <w:gridCol w:w="4839"/>
      </w:tblGrid>
      <w:tr w:rsidR="008129D2" w:rsidTr="008129D2">
        <w:trPr>
          <w:cantSplit/>
        </w:trPr>
        <w:tc>
          <w:tcPr>
            <w:tcW w:w="9677" w:type="dxa"/>
            <w:gridSpan w:val="2"/>
            <w:tcBorders>
              <w:top w:val="nil"/>
              <w:left w:val="nil"/>
              <w:bottom w:val="nil"/>
              <w:right w:val="nil"/>
            </w:tcBorders>
          </w:tcPr>
          <w:p w:rsidR="008129D2" w:rsidRDefault="008129D2" w:rsidP="008129D2">
            <w:pPr>
              <w:framePr w:w="9461" w:h="2161" w:hSpace="180" w:wrap="around" w:vAnchor="text" w:hAnchor="page" w:x="1381" w:y="9721"/>
            </w:pPr>
            <w:r>
              <w:t>This proposal has been prepared in accordance with GEF policies and procedures and meets the standards of the GEF Project Review Criteria for a Medium-sized Project.</w:t>
            </w:r>
          </w:p>
        </w:tc>
      </w:tr>
      <w:tr w:rsidR="008129D2" w:rsidTr="008129D2">
        <w:tc>
          <w:tcPr>
            <w:tcW w:w="4838" w:type="dxa"/>
            <w:tcBorders>
              <w:top w:val="nil"/>
              <w:left w:val="nil"/>
              <w:bottom w:val="nil"/>
              <w:right w:val="nil"/>
            </w:tcBorders>
          </w:tcPr>
          <w:p w:rsidR="008129D2" w:rsidRDefault="008129D2" w:rsidP="008129D2">
            <w:pPr>
              <w:framePr w:w="9461" w:h="2161" w:hSpace="180" w:wrap="around" w:vAnchor="text" w:hAnchor="page" w:x="1381" w:y="9721"/>
            </w:pPr>
            <w:r>
              <w:fldChar w:fldCharType="begin">
                <w:ffData>
                  <w:name w:val="Text36"/>
                  <w:enabled/>
                  <w:calcOnExit w:val="0"/>
                  <w:textInput>
                    <w:default w:val="Name &amp; Signature"/>
                  </w:textInput>
                </w:ffData>
              </w:fldChar>
            </w:r>
            <w:r>
              <w:instrText xml:space="preserve"> FORMTEXT </w:instrText>
            </w:r>
            <w:r>
              <w:fldChar w:fldCharType="separate"/>
            </w:r>
            <w:r>
              <w:rPr>
                <w:noProof/>
              </w:rPr>
              <w:t>Karin Shepardson</w:t>
            </w:r>
            <w:r w:rsidRPr="00247D1E">
              <w:rPr>
                <w:noProof/>
              </w:rPr>
              <w:t xml:space="preserve"> </w:t>
            </w:r>
            <w:r>
              <w:fldChar w:fldCharType="end"/>
            </w:r>
          </w:p>
          <w:p w:rsidR="008129D2" w:rsidRDefault="008129D2" w:rsidP="008129D2">
            <w:pPr>
              <w:framePr w:w="9461" w:h="2161" w:hSpace="180" w:wrap="around" w:vAnchor="text" w:hAnchor="page" w:x="1381" w:y="9721"/>
            </w:pPr>
            <w:r>
              <w:t>IA/ExA Coordinator</w:t>
            </w:r>
          </w:p>
          <w:p w:rsidR="008129D2" w:rsidRDefault="008129D2" w:rsidP="008129D2">
            <w:pPr>
              <w:framePr w:w="9461" w:h="2161" w:hSpace="180" w:wrap="around" w:vAnchor="text" w:hAnchor="page" w:x="1381" w:y="9721"/>
            </w:pPr>
            <w:r>
              <w:rPr>
                <w:noProof/>
              </w:rPr>
              <w:drawing>
                <wp:inline distT="0" distB="0" distL="0" distR="0">
                  <wp:extent cx="1885950" cy="571500"/>
                  <wp:effectExtent l="19050" t="0" r="0" b="0"/>
                  <wp:docPr id="3" name="Picture 1" descr="C:\Users\wb155507\AppData\Local\Temp\notes938A93\KarinSigna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155507\AppData\Local\Temp\notes938A93\KarinSignature.gif"/>
                          <pic:cNvPicPr>
                            <a:picLocks noChangeAspect="1" noChangeArrowheads="1"/>
                          </pic:cNvPicPr>
                        </pic:nvPicPr>
                        <pic:blipFill>
                          <a:blip r:embed="rId8" cstate="print"/>
                          <a:srcRect/>
                          <a:stretch>
                            <a:fillRect/>
                          </a:stretch>
                        </pic:blipFill>
                        <pic:spPr bwMode="auto">
                          <a:xfrm>
                            <a:off x="0" y="0"/>
                            <a:ext cx="1885950" cy="571500"/>
                          </a:xfrm>
                          <a:prstGeom prst="rect">
                            <a:avLst/>
                          </a:prstGeom>
                          <a:noFill/>
                          <a:ln w="9525">
                            <a:noFill/>
                            <a:miter lim="800000"/>
                            <a:headEnd/>
                            <a:tailEnd/>
                          </a:ln>
                        </pic:spPr>
                      </pic:pic>
                    </a:graphicData>
                  </a:graphic>
                </wp:inline>
              </w:drawing>
            </w:r>
          </w:p>
        </w:tc>
        <w:tc>
          <w:tcPr>
            <w:tcW w:w="4839" w:type="dxa"/>
            <w:tcBorders>
              <w:top w:val="nil"/>
              <w:left w:val="nil"/>
              <w:bottom w:val="nil"/>
              <w:right w:val="nil"/>
            </w:tcBorders>
          </w:tcPr>
          <w:p w:rsidR="008129D2" w:rsidRDefault="008129D2" w:rsidP="008129D2">
            <w:pPr>
              <w:framePr w:w="9461" w:h="2161" w:hSpace="180" w:wrap="around" w:vAnchor="text" w:hAnchor="page" w:x="1381" w:y="9721"/>
              <w:rPr>
                <w:noProof/>
              </w:rPr>
            </w:pPr>
            <w:r>
              <w:fldChar w:fldCharType="begin">
                <w:ffData>
                  <w:name w:val="Text35"/>
                  <w:enabled/>
                  <w:calcOnExit w:val="0"/>
                  <w:textInput/>
                </w:ffData>
              </w:fldChar>
            </w:r>
            <w:r>
              <w:instrText xml:space="preserve"> FORMTEXT </w:instrText>
            </w:r>
            <w:r>
              <w:fldChar w:fldCharType="separate"/>
            </w:r>
            <w:r w:rsidRPr="00247D1E">
              <w:rPr>
                <w:noProof/>
              </w:rPr>
              <w:t>Angela Armstrong, GEF Regional Coordinator</w:t>
            </w:r>
            <w:r>
              <w:rPr>
                <w:noProof/>
              </w:rPr>
              <w:t xml:space="preserve"> (</w:t>
            </w:r>
            <w:r w:rsidRPr="00247D1E">
              <w:rPr>
                <w:noProof/>
              </w:rPr>
              <w:t>202) 458-0975 aarmstrong@worldbank.org</w:t>
            </w:r>
          </w:p>
          <w:p w:rsidR="008129D2" w:rsidRDefault="008129D2" w:rsidP="008129D2">
            <w:pPr>
              <w:framePr w:w="9461" w:h="2161" w:hSpace="180" w:wrap="around" w:vAnchor="text" w:hAnchor="page" w:x="1381" w:y="9721"/>
              <w:rPr>
                <w:noProof/>
              </w:rPr>
            </w:pPr>
            <w:r>
              <w:rPr>
                <w:noProof/>
              </w:rPr>
              <w:t>Sandra Broka</w:t>
            </w:r>
          </w:p>
          <w:p w:rsidR="008129D2" w:rsidRDefault="008129D2" w:rsidP="008129D2">
            <w:pPr>
              <w:framePr w:w="9461" w:h="2161" w:hSpace="180" w:wrap="around" w:vAnchor="text" w:hAnchor="page" w:x="1381" w:y="9721"/>
              <w:rPr>
                <w:noProof/>
              </w:rPr>
            </w:pPr>
            <w:r>
              <w:rPr>
                <w:noProof/>
              </w:rPr>
              <w:t>Task Team Leader</w:t>
            </w:r>
          </w:p>
          <w:p w:rsidR="008129D2" w:rsidRDefault="008129D2" w:rsidP="008129D2">
            <w:pPr>
              <w:framePr w:w="9461" w:h="2161" w:hSpace="180" w:wrap="around" w:vAnchor="text" w:hAnchor="page" w:x="1381" w:y="9721"/>
            </w:pPr>
            <w:r>
              <w:fldChar w:fldCharType="end"/>
            </w:r>
            <w:r>
              <w:t>Project Contact Person</w:t>
            </w:r>
          </w:p>
        </w:tc>
      </w:tr>
      <w:tr w:rsidR="008129D2" w:rsidTr="008129D2">
        <w:tc>
          <w:tcPr>
            <w:tcW w:w="4838" w:type="dxa"/>
            <w:tcBorders>
              <w:top w:val="nil"/>
              <w:left w:val="nil"/>
              <w:bottom w:val="nil"/>
              <w:right w:val="nil"/>
            </w:tcBorders>
          </w:tcPr>
          <w:p w:rsidR="008129D2" w:rsidRDefault="008129D2" w:rsidP="008129D2">
            <w:pPr>
              <w:framePr w:w="9461" w:h="2161" w:hSpace="180" w:wrap="around" w:vAnchor="text" w:hAnchor="page" w:x="1381" w:y="9721"/>
            </w:pPr>
            <w:r>
              <w:t>Date: 12/21/2010</w:t>
            </w:r>
          </w:p>
        </w:tc>
        <w:tc>
          <w:tcPr>
            <w:tcW w:w="4839" w:type="dxa"/>
            <w:tcBorders>
              <w:top w:val="nil"/>
              <w:left w:val="nil"/>
              <w:bottom w:val="nil"/>
              <w:right w:val="nil"/>
            </w:tcBorders>
          </w:tcPr>
          <w:p w:rsidR="008129D2" w:rsidRDefault="008129D2" w:rsidP="008129D2">
            <w:pPr>
              <w:framePr w:w="9461" w:h="2161" w:hSpace="180" w:wrap="around" w:vAnchor="text" w:hAnchor="page" w:x="1381" w:y="9721"/>
            </w:pPr>
            <w:r>
              <w:t>Tel. and email:</w:t>
            </w:r>
            <w:r>
              <w:fldChar w:fldCharType="begin">
                <w:ffData>
                  <w:name w:val="Text37"/>
                  <w:enabled/>
                  <w:calcOnExit w:val="0"/>
                  <w:textInput/>
                </w:ffData>
              </w:fldChar>
            </w:r>
            <w:r>
              <w:instrText xml:space="preserve"> FORMTEXT </w:instrText>
            </w:r>
            <w:r>
              <w:fldChar w:fldCharType="separate"/>
            </w:r>
            <w:r w:rsidRPr="00247D1E">
              <w:t>(202) 458-9644</w:t>
            </w:r>
            <w:r>
              <w:t xml:space="preserve"> </w:t>
            </w:r>
            <w:r w:rsidRPr="00247D1E">
              <w:t>sbroka@worldbank.org</w:t>
            </w:r>
            <w:r>
              <w:fldChar w:fldCharType="end"/>
            </w:r>
          </w:p>
        </w:tc>
      </w:tr>
    </w:tbl>
    <w:p w:rsidR="008129D2" w:rsidRDefault="008129D2" w:rsidP="008129D2">
      <w:pPr>
        <w:framePr w:w="9461" w:h="2161" w:hSpace="180" w:wrap="around" w:vAnchor="text" w:hAnchor="page" w:x="1381" w:y="9721"/>
      </w:pPr>
    </w:p>
    <w:p w:rsidR="008129D2" w:rsidRDefault="008129D2" w:rsidP="008129D2">
      <w:pPr>
        <w:framePr w:w="9901" w:h="1456" w:hSpace="180" w:wrap="around" w:vAnchor="text" w:hAnchor="page" w:x="1081" w:y="6721"/>
      </w:pPr>
      <w:r>
        <w:rPr>
          <w:b/>
          <w:bCs/>
          <w:smallCaps/>
        </w:rPr>
        <w:t>Contribution to Key Indicators of the Business Plan:</w:t>
      </w:r>
      <w:r>
        <w:t xml:space="preserve"> The project will remove barriers to enabling the use of biogas renewable energy technology in the country; build farmer capacity in environmentally sound manure management systems to reduce environmental pollution; and help address the climate change effect through reducing green-house gases (GHG) by using a viable alternative to fossil fuels.</w:t>
      </w:r>
    </w:p>
    <w:p w:rsidR="008129D2" w:rsidRDefault="008129D2" w:rsidP="008129D2">
      <w:pPr>
        <w:framePr w:w="9661" w:h="961" w:hSpace="180" w:wrap="around" w:vAnchor="text" w:hAnchor="page" w:x="1186" w:y="8386"/>
        <w:rPr>
          <w:b/>
          <w:bCs/>
          <w:smallCaps/>
        </w:rPr>
      </w:pPr>
      <w:r>
        <w:rPr>
          <w:b/>
          <w:bCs/>
          <w:smallCaps/>
        </w:rPr>
        <w:t>Record of  endorsement on behalf of the Government:</w:t>
      </w:r>
    </w:p>
    <w:tbl>
      <w:tblPr>
        <w:tblW w:w="0" w:type="auto"/>
        <w:tblLook w:val="0000"/>
      </w:tblPr>
      <w:tblGrid>
        <w:gridCol w:w="4938"/>
        <w:gridCol w:w="4939"/>
      </w:tblGrid>
      <w:tr w:rsidR="008129D2" w:rsidTr="00263B20">
        <w:tc>
          <w:tcPr>
            <w:tcW w:w="4938" w:type="dxa"/>
          </w:tcPr>
          <w:p w:rsidR="008129D2" w:rsidRDefault="008129D2" w:rsidP="008129D2">
            <w:pPr>
              <w:framePr w:w="9661" w:h="961" w:hSpace="180" w:wrap="around" w:vAnchor="text" w:hAnchor="page" w:x="1186" w:y="8386"/>
            </w:pPr>
            <w:r>
              <w:rPr>
                <w:i/>
                <w:iCs/>
              </w:rPr>
              <w:t>Gheorghe Salaru, GEF Operational Focal Point, Minister of Environment</w:t>
            </w:r>
          </w:p>
        </w:tc>
        <w:tc>
          <w:tcPr>
            <w:tcW w:w="4939" w:type="dxa"/>
          </w:tcPr>
          <w:p w:rsidR="008129D2" w:rsidRDefault="008129D2" w:rsidP="008129D2">
            <w:pPr>
              <w:framePr w:w="9661" w:h="961" w:hSpace="180" w:wrap="around" w:vAnchor="text" w:hAnchor="page" w:x="1186" w:y="8386"/>
            </w:pPr>
            <w:r>
              <w:t>Date</w:t>
            </w:r>
            <w:r>
              <w:rPr>
                <w:i/>
                <w:iCs/>
              </w:rPr>
              <w:t>: December 8, 2009</w:t>
            </w:r>
          </w:p>
        </w:tc>
      </w:tr>
    </w:tbl>
    <w:p w:rsidR="008129D2" w:rsidRDefault="008129D2" w:rsidP="008129D2">
      <w:pPr>
        <w:framePr w:w="9661" w:h="961" w:hSpace="180" w:wrap="around" w:vAnchor="text" w:hAnchor="page" w:x="1186" w:y="8386"/>
      </w:pPr>
    </w:p>
    <w:p w:rsidR="00022CD3" w:rsidRDefault="007D344A">
      <w:r>
        <w:rPr>
          <w:rFonts w:ascii="Times New Roman Bold" w:hAnsi="Times New Roman Bold"/>
          <w:b/>
          <w:bCs/>
          <w:caps/>
          <w:noProof/>
          <w:sz w:val="20"/>
        </w:rPr>
        <w:drawing>
          <wp:anchor distT="0" distB="0" distL="114300" distR="114300" simplePos="0" relativeHeight="251657728" behindDoc="0" locked="0" layoutInCell="1" allowOverlap="1">
            <wp:simplePos x="0" y="0"/>
            <wp:positionH relativeFrom="column">
              <wp:posOffset>114300</wp:posOffset>
            </wp:positionH>
            <wp:positionV relativeFrom="paragraph">
              <wp:posOffset>-342900</wp:posOffset>
            </wp:positionV>
            <wp:extent cx="1022350" cy="922655"/>
            <wp:effectExtent l="19050" t="0" r="6350" b="0"/>
            <wp:wrapNone/>
            <wp:docPr id="7" name="Picture 7" descr="GEF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Fcolor"/>
                    <pic:cNvPicPr>
                      <a:picLocks noChangeAspect="1" noChangeArrowheads="1"/>
                    </pic:cNvPicPr>
                  </pic:nvPicPr>
                  <pic:blipFill>
                    <a:blip r:embed="rId9" cstate="print"/>
                    <a:srcRect/>
                    <a:stretch>
                      <a:fillRect/>
                    </a:stretch>
                  </pic:blipFill>
                  <pic:spPr bwMode="auto">
                    <a:xfrm>
                      <a:off x="0" y="0"/>
                      <a:ext cx="1022350" cy="922655"/>
                    </a:xfrm>
                    <a:prstGeom prst="rect">
                      <a:avLst/>
                    </a:prstGeom>
                    <a:noFill/>
                    <a:ln w="9525">
                      <a:noFill/>
                      <a:miter lim="800000"/>
                      <a:headEnd/>
                      <a:tailEnd/>
                    </a:ln>
                  </pic:spPr>
                </pic:pic>
              </a:graphicData>
            </a:graphic>
          </wp:anchor>
        </w:drawing>
      </w:r>
      <w:r w:rsidR="00022CD3">
        <w:rPr>
          <w:b/>
          <w:bCs/>
          <w:caps/>
        </w:rPr>
        <w:br w:type="page"/>
      </w:r>
    </w:p>
    <w:p w:rsidR="00022CD3" w:rsidRDefault="00022CD3">
      <w:pPr>
        <w:pBdr>
          <w:top w:val="single" w:sz="4" w:space="1" w:color="auto"/>
          <w:left w:val="single" w:sz="4" w:space="4" w:color="auto"/>
          <w:bottom w:val="single" w:sz="4" w:space="1" w:color="auto"/>
          <w:right w:val="single" w:sz="4" w:space="4" w:color="auto"/>
        </w:pBdr>
        <w:shd w:val="clear" w:color="auto" w:fill="595959"/>
        <w:ind w:left="360"/>
        <w:rPr>
          <w:rFonts w:ascii="Times New Roman Bold" w:hAnsi="Times New Roman Bold"/>
          <w:b/>
          <w:bCs/>
          <w:caps/>
          <w:color w:val="FFFFFF"/>
        </w:rPr>
      </w:pPr>
      <w:r>
        <w:rPr>
          <w:rFonts w:ascii="Times New Roman Bold" w:hAnsi="Times New Roman Bold"/>
          <w:b/>
          <w:bCs/>
          <w:caps/>
          <w:color w:val="FFFFFF"/>
        </w:rPr>
        <w:lastRenderedPageBreak/>
        <w:t>PART I -  Project Concept</w:t>
      </w:r>
    </w:p>
    <w:p w:rsidR="00022CD3" w:rsidRDefault="00022CD3">
      <w:pPr>
        <w:ind w:left="360"/>
        <w:rPr>
          <w:rFonts w:ascii="Times New Roman Bold" w:hAnsi="Times New Roman Bold"/>
          <w:smallCaps/>
        </w:rPr>
      </w:pPr>
      <w:r>
        <w:rPr>
          <w:rFonts w:ascii="Times New Roman Bold" w:hAnsi="Times New Roman Bold"/>
          <w:smallCaps/>
        </w:rPr>
        <w:t>A - Summary</w:t>
      </w:r>
    </w:p>
    <w:p w:rsidR="00850CB7" w:rsidRDefault="00850CB7">
      <w:pPr>
        <w:ind w:left="360"/>
        <w:rPr>
          <w:rFonts w:ascii="Times New Roman Bold" w:hAnsi="Times New Roman Bold"/>
        </w:rPr>
      </w:pPr>
    </w:p>
    <w:p w:rsidR="00022CD3" w:rsidRPr="00EB7860" w:rsidRDefault="00EB7860" w:rsidP="00B15596">
      <w:pPr>
        <w:numPr>
          <w:ilvl w:val="0"/>
          <w:numId w:val="1"/>
        </w:numPr>
        <w:rPr>
          <w:smallCaps/>
        </w:rPr>
      </w:pPr>
      <w:r>
        <w:rPr>
          <w:smallCaps/>
        </w:rPr>
        <w:t xml:space="preserve">Project Objectives </w:t>
      </w:r>
    </w:p>
    <w:p w:rsidR="004F448C" w:rsidRDefault="00B90C83" w:rsidP="008756CE">
      <w:pPr>
        <w:spacing w:before="240" w:after="12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B95719" w:rsidRPr="00E30154">
        <w:t>The project</w:t>
      </w:r>
      <w:r w:rsidR="000108FE">
        <w:t xml:space="preserve">’s </w:t>
      </w:r>
      <w:r w:rsidR="00173FFA">
        <w:t>three</w:t>
      </w:r>
      <w:r w:rsidR="000108FE">
        <w:t xml:space="preserve">-year </w:t>
      </w:r>
      <w:r w:rsidR="000108FE" w:rsidRPr="000108FE">
        <w:rPr>
          <w:u w:val="single"/>
        </w:rPr>
        <w:t>D</w:t>
      </w:r>
      <w:r w:rsidR="008756CE">
        <w:rPr>
          <w:u w:val="single"/>
        </w:rPr>
        <w:t>evelopment O</w:t>
      </w:r>
      <w:r w:rsidR="000108FE" w:rsidRPr="000108FE">
        <w:rPr>
          <w:u w:val="single"/>
        </w:rPr>
        <w:t>bjective</w:t>
      </w:r>
      <w:r w:rsidR="000108FE">
        <w:t xml:space="preserve"> is to </w:t>
      </w:r>
      <w:r w:rsidR="004F448C">
        <w:t xml:space="preserve">promote the transfer of a new environmentally sustainable renewable energy technology through piloting the use of animal manure for biogas-based heating and electricity production at the farm level.  The Development Objective will be achieved </w:t>
      </w:r>
      <w:r w:rsidR="004433F4">
        <w:t>by</w:t>
      </w:r>
      <w:r w:rsidR="004F448C">
        <w:t>: (i) removing barriers to enabl</w:t>
      </w:r>
      <w:r w:rsidR="004433F4">
        <w:t>e</w:t>
      </w:r>
      <w:r w:rsidR="004F448C">
        <w:t xml:space="preserve"> the use of biogas renewable energy technology in the country; (ii) building farmer capacity in environmentally sound manure management systems to reduce environmental pollution; and (iii) </w:t>
      </w:r>
      <w:r w:rsidR="004433F4">
        <w:t xml:space="preserve">reducing greenhouse gas (GHG) </w:t>
      </w:r>
      <w:r w:rsidR="00771DAB">
        <w:t xml:space="preserve">emissions </w:t>
      </w:r>
      <w:r w:rsidR="004433F4">
        <w:t xml:space="preserve">to </w:t>
      </w:r>
      <w:r w:rsidR="004F448C">
        <w:t>help address climate change effect</w:t>
      </w:r>
      <w:r w:rsidR="004433F4">
        <w:t>s</w:t>
      </w:r>
      <w:r w:rsidR="004F448C">
        <w:t xml:space="preserve"> by using a viable alternative to fossil fuels.</w:t>
      </w:r>
    </w:p>
    <w:p w:rsidR="00EB7860" w:rsidRDefault="00B90C83" w:rsidP="001D7C20">
      <w:pPr>
        <w:spacing w:before="240" w:after="12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8756CE">
        <w:t xml:space="preserve">The </w:t>
      </w:r>
      <w:r w:rsidR="008756CE" w:rsidRPr="008756CE">
        <w:rPr>
          <w:u w:val="single"/>
        </w:rPr>
        <w:t>Global Environment Objective</w:t>
      </w:r>
      <w:r w:rsidR="008756CE">
        <w:t xml:space="preserve"> is to </w:t>
      </w:r>
      <w:r w:rsidR="001D7C20" w:rsidRPr="001D7C20">
        <w:t>contribute to the reduction of GHG emissions through the adoption of on-grid renewable energy supplies.</w:t>
      </w:r>
      <w:r w:rsidR="001D7C20">
        <w:t xml:space="preserve"> </w:t>
      </w:r>
    </w:p>
    <w:p w:rsidR="001D7C20" w:rsidRPr="00E30154" w:rsidRDefault="001D7C20" w:rsidP="001D7C20">
      <w:pPr>
        <w:spacing w:before="240" w:after="120"/>
        <w:ind w:left="360"/>
        <w:jc w:val="both"/>
      </w:pPr>
    </w:p>
    <w:p w:rsidR="00EB7860" w:rsidRDefault="00EB7860" w:rsidP="00EB7860">
      <w:pPr>
        <w:numPr>
          <w:ilvl w:val="0"/>
          <w:numId w:val="1"/>
        </w:numPr>
        <w:rPr>
          <w:smallCaps/>
        </w:rPr>
      </w:pPr>
      <w:r>
        <w:rPr>
          <w:smallCaps/>
        </w:rPr>
        <w:t>Background and Rational</w:t>
      </w:r>
    </w:p>
    <w:p w:rsidR="0034303C" w:rsidRPr="00EB7860" w:rsidRDefault="00B90C83" w:rsidP="0034303C">
      <w:pPr>
        <w:spacing w:before="240" w:after="12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EB7860" w:rsidRPr="00EB7860">
        <w:t>Moldova is small, landlocked and one of the poorest countries in Europe with GDP per capita significantly below the average for Central European countries (in 2007, the gross nationa</w:t>
      </w:r>
      <w:r w:rsidR="005E7493">
        <w:t xml:space="preserve">l income per capita was $1,055 - </w:t>
      </w:r>
      <w:r w:rsidR="006C005E">
        <w:t>GNI, Atlas method)</w:t>
      </w:r>
      <w:r w:rsidR="00EB7860" w:rsidRPr="00EB7860">
        <w:t xml:space="preserve">. </w:t>
      </w:r>
      <w:r w:rsidR="0034303C" w:rsidRPr="00936225">
        <w:rPr>
          <w:color w:val="000000"/>
        </w:rPr>
        <w:t>Moldova is almost totally dependent on import</w:t>
      </w:r>
      <w:r w:rsidR="0034303C">
        <w:rPr>
          <w:color w:val="000000"/>
        </w:rPr>
        <w:t>ed</w:t>
      </w:r>
      <w:r w:rsidR="0034303C" w:rsidRPr="00936225">
        <w:rPr>
          <w:color w:val="000000"/>
        </w:rPr>
        <w:t xml:space="preserve"> fossil fu</w:t>
      </w:r>
      <w:r w:rsidR="0034303C" w:rsidRPr="00936225">
        <w:rPr>
          <w:color w:val="000000"/>
        </w:rPr>
        <w:softHyphen/>
        <w:t xml:space="preserve">els. </w:t>
      </w:r>
      <w:r w:rsidR="0034303C" w:rsidRPr="00EB7860">
        <w:t xml:space="preserve">If the geopolitical situation changes and gas and oil prices increase, the negative impact on </w:t>
      </w:r>
      <w:r w:rsidR="0034303C">
        <w:t xml:space="preserve">the </w:t>
      </w:r>
      <w:r w:rsidR="0034303C" w:rsidRPr="00EB7860">
        <w:t>country’s economy will be significant</w:t>
      </w:r>
      <w:r w:rsidR="0034303C">
        <w:t xml:space="preserve">. A recent World Bank report on Energy Outlook in Eastern Europe and </w:t>
      </w:r>
      <w:r w:rsidR="00483674">
        <w:t xml:space="preserve">the </w:t>
      </w:r>
      <w:r w:rsidR="0034303C">
        <w:t xml:space="preserve">Central Asia </w:t>
      </w:r>
      <w:r w:rsidR="00483674">
        <w:t>R</w:t>
      </w:r>
      <w:r w:rsidR="0034303C">
        <w:t xml:space="preserve">egion notes that, while the financial and economic crisis provided a temporary relief to the energy crunch, with the increase in economic activity, energy security will become one of the most important issues for the region. In particular, it will affect energy importers, making them increasingly dependent on their energy suppliers. At the same time, </w:t>
      </w:r>
      <w:r w:rsidR="0034303C" w:rsidRPr="00EB7860">
        <w:t>the country has a strong interest in using possible available sources of renewable energy</w:t>
      </w:r>
      <w:r w:rsidR="0034303C">
        <w:t xml:space="preserve"> which </w:t>
      </w:r>
      <w:r w:rsidR="0034303C" w:rsidRPr="00EB7860">
        <w:t xml:space="preserve">should play an important role in Moldova’s energy future. </w:t>
      </w:r>
    </w:p>
    <w:p w:rsidR="0034303C" w:rsidRDefault="00B90C83" w:rsidP="0034303C">
      <w:pPr>
        <w:autoSpaceDE w:val="0"/>
        <w:autoSpaceDN w:val="0"/>
        <w:adjustRightInd w:val="0"/>
        <w:spacing w:before="240"/>
        <w:ind w:left="360"/>
        <w:jc w:val="both"/>
        <w:rPr>
          <w:color w:val="000000"/>
        </w:rPr>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34303C" w:rsidRPr="00936225">
        <w:rPr>
          <w:color w:val="000000"/>
        </w:rPr>
        <w:t>The country imports both primary energy resources (natural gas, petroleum products and coal) and electricity. Nearly half of the energy import</w:t>
      </w:r>
      <w:r w:rsidR="00483674">
        <w:rPr>
          <w:color w:val="000000"/>
        </w:rPr>
        <w:t>ed</w:t>
      </w:r>
      <w:r w:rsidR="0034303C" w:rsidRPr="00936225">
        <w:rPr>
          <w:color w:val="000000"/>
        </w:rPr>
        <w:t xml:space="preserve"> is natural gas, about 25% are liquid fuels, and the rest is mainly represented by electricity and coal.</w:t>
      </w:r>
      <w:r w:rsidR="0034303C" w:rsidRPr="001E5BC6">
        <w:rPr>
          <w:color w:val="000000"/>
        </w:rPr>
        <w:t xml:space="preserve"> </w:t>
      </w:r>
      <w:r w:rsidR="0034303C" w:rsidRPr="00936225">
        <w:rPr>
          <w:color w:val="000000"/>
        </w:rPr>
        <w:t xml:space="preserve">Most energy resources (over 70%) are </w:t>
      </w:r>
      <w:r w:rsidR="0034303C">
        <w:rPr>
          <w:color w:val="000000"/>
        </w:rPr>
        <w:t xml:space="preserve">used </w:t>
      </w:r>
      <w:r w:rsidR="0034303C" w:rsidRPr="00936225">
        <w:rPr>
          <w:color w:val="000000"/>
        </w:rPr>
        <w:t>for electricity and heat production</w:t>
      </w:r>
      <w:r w:rsidR="0034303C">
        <w:rPr>
          <w:color w:val="000000"/>
        </w:rPr>
        <w:t xml:space="preserve">. </w:t>
      </w:r>
      <w:r w:rsidR="0034303C" w:rsidRPr="00936225">
        <w:rPr>
          <w:color w:val="000000"/>
        </w:rPr>
        <w:t xml:space="preserve">During the last decade, only </w:t>
      </w:r>
      <w:r w:rsidR="0034303C">
        <w:rPr>
          <w:color w:val="000000"/>
        </w:rPr>
        <w:t>about 4</w:t>
      </w:r>
      <w:r w:rsidR="0034303C" w:rsidRPr="00936225">
        <w:rPr>
          <w:color w:val="000000"/>
        </w:rPr>
        <w:t xml:space="preserve">% of the energy </w:t>
      </w:r>
      <w:r w:rsidR="00B54B0A">
        <w:rPr>
          <w:color w:val="000000"/>
        </w:rPr>
        <w:t>consumed came</w:t>
      </w:r>
      <w:r w:rsidR="0034303C" w:rsidRPr="00936225">
        <w:rPr>
          <w:color w:val="000000"/>
        </w:rPr>
        <w:t xml:space="preserve"> from internal sources. </w:t>
      </w:r>
      <w:r w:rsidR="0034303C">
        <w:rPr>
          <w:color w:val="000000"/>
        </w:rPr>
        <w:t xml:space="preserve">The remaining </w:t>
      </w:r>
      <w:r w:rsidR="0034303C" w:rsidRPr="00936225">
        <w:t xml:space="preserve">96% of primary and electrical energy </w:t>
      </w:r>
      <w:r w:rsidR="0034303C">
        <w:t>was</w:t>
      </w:r>
      <w:r w:rsidR="0034303C" w:rsidRPr="00936225">
        <w:t xml:space="preserve"> imported</w:t>
      </w:r>
      <w:r w:rsidR="0034303C">
        <w:t>: n</w:t>
      </w:r>
      <w:r w:rsidR="0034303C" w:rsidRPr="00936225">
        <w:t>atural gas from Russia</w:t>
      </w:r>
      <w:r w:rsidR="0034303C">
        <w:t xml:space="preserve">, </w:t>
      </w:r>
      <w:r w:rsidR="0034303C" w:rsidRPr="00936225">
        <w:t>electric</w:t>
      </w:r>
      <w:r w:rsidR="0034303C">
        <w:t xml:space="preserve">ity from </w:t>
      </w:r>
      <w:r w:rsidR="0034303C" w:rsidRPr="00936225">
        <w:t>Ukraine (30%), Romania (10%), Transnistria (30%)</w:t>
      </w:r>
      <w:r w:rsidR="0034303C">
        <w:t>, and only 30% of electricity was produced from internal sources</w:t>
      </w:r>
      <w:r w:rsidR="0034303C" w:rsidRPr="00936225">
        <w:t xml:space="preserve">. </w:t>
      </w:r>
    </w:p>
    <w:p w:rsidR="0034303C" w:rsidRDefault="0034303C" w:rsidP="0034303C">
      <w:pPr>
        <w:autoSpaceDE w:val="0"/>
        <w:autoSpaceDN w:val="0"/>
        <w:adjustRightInd w:val="0"/>
        <w:ind w:left="360"/>
        <w:jc w:val="both"/>
        <w:rPr>
          <w:color w:val="000000"/>
        </w:rPr>
      </w:pPr>
    </w:p>
    <w:p w:rsidR="0034303C" w:rsidRPr="00FD34A8" w:rsidRDefault="00B90C83" w:rsidP="0034303C">
      <w:pPr>
        <w:pStyle w:val="Subtitle"/>
        <w:ind w:left="360"/>
        <w:jc w:val="both"/>
        <w:rPr>
          <w:b w:val="0"/>
          <w:color w:val="000000"/>
          <w:sz w:val="24"/>
          <w:szCs w:val="24"/>
        </w:rPr>
      </w:pPr>
      <w:r w:rsidRPr="00F431A5">
        <w:rPr>
          <w:b w:val="0"/>
          <w:szCs w:val="22"/>
        </w:rPr>
        <w:fldChar w:fldCharType="begin"/>
      </w:r>
      <w:r w:rsidR="00F431A5" w:rsidRPr="00F431A5">
        <w:rPr>
          <w:b w:val="0"/>
          <w:szCs w:val="22"/>
        </w:rPr>
        <w:instrText xml:space="preserve"> AUTONUM  </w:instrText>
      </w:r>
      <w:r w:rsidRPr="00F431A5">
        <w:rPr>
          <w:b w:val="0"/>
          <w:szCs w:val="22"/>
        </w:rPr>
        <w:fldChar w:fldCharType="end"/>
      </w:r>
      <w:r w:rsidR="00F431A5" w:rsidRPr="00F431A5">
        <w:rPr>
          <w:b w:val="0"/>
          <w:szCs w:val="22"/>
        </w:rPr>
        <w:tab/>
      </w:r>
      <w:r w:rsidR="0034303C" w:rsidRPr="006C03D5">
        <w:rPr>
          <w:b w:val="0"/>
          <w:sz w:val="24"/>
          <w:szCs w:val="24"/>
        </w:rPr>
        <w:t xml:space="preserve">Moldova has </w:t>
      </w:r>
      <w:r w:rsidR="0034303C">
        <w:rPr>
          <w:b w:val="0"/>
          <w:sz w:val="24"/>
          <w:szCs w:val="24"/>
        </w:rPr>
        <w:t>almost no</w:t>
      </w:r>
      <w:r w:rsidR="0034303C" w:rsidRPr="006C03D5">
        <w:rPr>
          <w:b w:val="0"/>
          <w:sz w:val="24"/>
          <w:szCs w:val="24"/>
        </w:rPr>
        <w:t xml:space="preserve"> oil and natural gas reserves. A small coal industry produces low-grade bituminous coal. </w:t>
      </w:r>
      <w:r w:rsidR="0034303C" w:rsidRPr="00FD34A8">
        <w:rPr>
          <w:b w:val="0"/>
          <w:sz w:val="24"/>
          <w:szCs w:val="24"/>
          <w:lang w:val="en-US"/>
        </w:rPr>
        <w:t xml:space="preserve">The majority of the population lives in rural communities, where living conditions are especially difficult in the cold winter months. </w:t>
      </w:r>
      <w:r w:rsidR="0034303C">
        <w:rPr>
          <w:b w:val="0"/>
          <w:sz w:val="24"/>
          <w:szCs w:val="24"/>
          <w:lang w:val="en-US"/>
        </w:rPr>
        <w:t>In rural area</w:t>
      </w:r>
      <w:r w:rsidR="00B54B0A">
        <w:rPr>
          <w:b w:val="0"/>
          <w:sz w:val="24"/>
          <w:szCs w:val="24"/>
          <w:lang w:val="en-US"/>
        </w:rPr>
        <w:t>s</w:t>
      </w:r>
      <w:r w:rsidR="0034303C">
        <w:rPr>
          <w:b w:val="0"/>
          <w:sz w:val="24"/>
          <w:szCs w:val="24"/>
          <w:lang w:val="en-US"/>
        </w:rPr>
        <w:t>, t</w:t>
      </w:r>
      <w:r w:rsidR="0034303C" w:rsidRPr="00FD34A8">
        <w:rPr>
          <w:b w:val="0"/>
          <w:sz w:val="24"/>
          <w:szCs w:val="24"/>
          <w:lang w:val="en-US"/>
        </w:rPr>
        <w:t xml:space="preserve">raditionally, coal and </w:t>
      </w:r>
      <w:r w:rsidR="0034303C">
        <w:rPr>
          <w:b w:val="0"/>
          <w:sz w:val="24"/>
          <w:szCs w:val="24"/>
          <w:lang w:val="en-US"/>
        </w:rPr>
        <w:t>firew</w:t>
      </w:r>
      <w:r w:rsidR="0034303C" w:rsidRPr="00FD34A8">
        <w:rPr>
          <w:b w:val="0"/>
          <w:sz w:val="24"/>
          <w:szCs w:val="24"/>
          <w:lang w:val="en-US"/>
        </w:rPr>
        <w:t xml:space="preserve">ood </w:t>
      </w:r>
      <w:r w:rsidR="0034303C">
        <w:rPr>
          <w:b w:val="0"/>
          <w:sz w:val="24"/>
          <w:szCs w:val="24"/>
          <w:lang w:val="en-US"/>
        </w:rPr>
        <w:t>is used for heating</w:t>
      </w:r>
      <w:r w:rsidR="0034303C" w:rsidRPr="00FD34A8">
        <w:rPr>
          <w:b w:val="0"/>
          <w:sz w:val="24"/>
          <w:szCs w:val="24"/>
          <w:lang w:val="en-US"/>
        </w:rPr>
        <w:t xml:space="preserve">. </w:t>
      </w:r>
      <w:r w:rsidR="00C11821">
        <w:rPr>
          <w:b w:val="0"/>
          <w:sz w:val="24"/>
          <w:szCs w:val="24"/>
          <w:lang w:val="en-US"/>
        </w:rPr>
        <w:t>The p</w:t>
      </w:r>
      <w:r w:rsidR="0034303C" w:rsidRPr="00FD34A8">
        <w:rPr>
          <w:b w:val="0"/>
          <w:sz w:val="24"/>
          <w:szCs w:val="24"/>
          <w:lang w:val="en-US"/>
        </w:rPr>
        <w:t xml:space="preserve">rice of fuels, including coal, </w:t>
      </w:r>
      <w:r w:rsidR="00C11821">
        <w:rPr>
          <w:b w:val="0"/>
          <w:sz w:val="24"/>
          <w:szCs w:val="24"/>
          <w:lang w:val="en-US"/>
        </w:rPr>
        <w:t xml:space="preserve">has </w:t>
      </w:r>
      <w:r w:rsidR="0034303C" w:rsidRPr="00FD34A8">
        <w:rPr>
          <w:b w:val="0"/>
          <w:sz w:val="24"/>
          <w:szCs w:val="24"/>
          <w:lang w:val="en-US"/>
        </w:rPr>
        <w:t xml:space="preserve">increased dramatically resulting in </w:t>
      </w:r>
      <w:r w:rsidR="00C11821">
        <w:rPr>
          <w:b w:val="0"/>
          <w:sz w:val="24"/>
          <w:szCs w:val="24"/>
          <w:lang w:val="en-US"/>
        </w:rPr>
        <w:t>a fall in</w:t>
      </w:r>
      <w:r w:rsidR="0034303C" w:rsidRPr="00FD34A8">
        <w:rPr>
          <w:b w:val="0"/>
          <w:sz w:val="24"/>
          <w:szCs w:val="24"/>
          <w:lang w:val="en-US"/>
        </w:rPr>
        <w:t xml:space="preserve"> coal consumption. </w:t>
      </w:r>
    </w:p>
    <w:p w:rsidR="0034303C" w:rsidRPr="006C03D5" w:rsidRDefault="0034303C" w:rsidP="0034303C">
      <w:pPr>
        <w:autoSpaceDE w:val="0"/>
        <w:autoSpaceDN w:val="0"/>
        <w:adjustRightInd w:val="0"/>
        <w:ind w:left="360"/>
        <w:jc w:val="both"/>
      </w:pPr>
    </w:p>
    <w:p w:rsidR="0034303C" w:rsidRPr="00936225" w:rsidRDefault="00B90C83" w:rsidP="00C40203">
      <w:pPr>
        <w:autoSpaceDE w:val="0"/>
        <w:autoSpaceDN w:val="0"/>
        <w:adjustRightInd w:val="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34303C" w:rsidRPr="00936225">
        <w:t xml:space="preserve">Moldova has </w:t>
      </w:r>
      <w:r w:rsidR="00C11821">
        <w:t>the</w:t>
      </w:r>
      <w:r w:rsidR="0034303C">
        <w:t xml:space="preserve"> potential </w:t>
      </w:r>
      <w:r w:rsidR="00C11821">
        <w:t>to</w:t>
      </w:r>
      <w:r w:rsidR="0034303C">
        <w:t xml:space="preserve"> produc</w:t>
      </w:r>
      <w:r w:rsidR="00C11821">
        <w:t>e</w:t>
      </w:r>
      <w:r w:rsidR="0034303C">
        <w:t xml:space="preserve"> energy from </w:t>
      </w:r>
      <w:r w:rsidR="0034303C" w:rsidRPr="00936225">
        <w:t xml:space="preserve">renewable </w:t>
      </w:r>
      <w:r w:rsidR="0034303C">
        <w:t>sources</w:t>
      </w:r>
      <w:r w:rsidR="00C11821">
        <w:t>.</w:t>
      </w:r>
      <w:r w:rsidR="0034303C">
        <w:t xml:space="preserve"> </w:t>
      </w:r>
      <w:r w:rsidR="00C11821">
        <w:t>H</w:t>
      </w:r>
      <w:r w:rsidR="0034303C">
        <w:t xml:space="preserve">owever, </w:t>
      </w:r>
      <w:r w:rsidR="00C11821">
        <w:t>renewable energy</w:t>
      </w:r>
      <w:r w:rsidR="0034303C">
        <w:t xml:space="preserve"> technologies are </w:t>
      </w:r>
      <w:r w:rsidR="00C11821">
        <w:t>rarely</w:t>
      </w:r>
      <w:r w:rsidR="0034303C">
        <w:t xml:space="preserve"> used due to lack of funds and skills</w:t>
      </w:r>
      <w:r w:rsidR="0034303C" w:rsidRPr="00936225">
        <w:t xml:space="preserve">. </w:t>
      </w:r>
      <w:r w:rsidR="00EF670D">
        <w:t xml:space="preserve">The Energy Strategy for the Republic of Moldova estimates that a wide range of renewable energy sources are available in </w:t>
      </w:r>
      <w:r w:rsidR="005F48E3">
        <w:t>the country, including</w:t>
      </w:r>
      <w:r w:rsidR="00EF670D" w:rsidRPr="00EF670D">
        <w:t xml:space="preserve"> </w:t>
      </w:r>
      <w:r w:rsidR="00EF670D" w:rsidRPr="00EF670D">
        <w:rPr>
          <w:rStyle w:val="docbody1"/>
          <w:rFonts w:eastAsia="Calibri"/>
        </w:rPr>
        <w:t>solar, wind,</w:t>
      </w:r>
      <w:r w:rsidR="00AD7369" w:rsidRPr="00EF670D">
        <w:rPr>
          <w:rStyle w:val="docbody1"/>
          <w:rFonts w:eastAsia="Calibri"/>
        </w:rPr>
        <w:t xml:space="preserve"> </w:t>
      </w:r>
      <w:r w:rsidR="0034303C" w:rsidRPr="00EF670D">
        <w:rPr>
          <w:rStyle w:val="docbody1"/>
          <w:rFonts w:eastAsia="Calibri"/>
        </w:rPr>
        <w:t xml:space="preserve">biological sources </w:t>
      </w:r>
      <w:r w:rsidR="005F48E3">
        <w:rPr>
          <w:rStyle w:val="docbody1"/>
          <w:rFonts w:eastAsia="Calibri"/>
        </w:rPr>
        <w:t>such as</w:t>
      </w:r>
      <w:r w:rsidR="0034303C" w:rsidRPr="00EF670D">
        <w:rPr>
          <w:rStyle w:val="docbody1"/>
          <w:rFonts w:eastAsia="Calibri"/>
        </w:rPr>
        <w:t xml:space="preserve"> </w:t>
      </w:r>
      <w:r w:rsidR="00EF670D" w:rsidRPr="00EF670D">
        <w:rPr>
          <w:rStyle w:val="docbody1"/>
          <w:rFonts w:eastAsia="Calibri"/>
        </w:rPr>
        <w:t>manure</w:t>
      </w:r>
      <w:r w:rsidR="00AD7369" w:rsidRPr="00EF670D">
        <w:rPr>
          <w:rStyle w:val="docbody1"/>
          <w:rFonts w:eastAsia="Calibri"/>
        </w:rPr>
        <w:t xml:space="preserve">, </w:t>
      </w:r>
      <w:r w:rsidR="00EF670D" w:rsidRPr="00EF670D">
        <w:rPr>
          <w:rStyle w:val="docbody1"/>
          <w:rFonts w:eastAsia="Calibri"/>
        </w:rPr>
        <w:t>as well as</w:t>
      </w:r>
      <w:r w:rsidR="00AD7369" w:rsidRPr="00EF670D">
        <w:rPr>
          <w:rStyle w:val="docbody1"/>
          <w:rFonts w:eastAsia="Calibri"/>
        </w:rPr>
        <w:t xml:space="preserve"> hydropower</w:t>
      </w:r>
      <w:r w:rsidR="00EF670D" w:rsidRPr="00EF670D">
        <w:rPr>
          <w:rStyle w:val="docbody1"/>
          <w:rFonts w:eastAsia="Calibri"/>
        </w:rPr>
        <w:t>.</w:t>
      </w:r>
      <w:r w:rsidR="00EF670D">
        <w:rPr>
          <w:rStyle w:val="docbody1"/>
          <w:rFonts w:eastAsia="Calibri"/>
        </w:rPr>
        <w:t xml:space="preserve"> </w:t>
      </w:r>
    </w:p>
    <w:p w:rsidR="00C40203" w:rsidRDefault="00C40203" w:rsidP="00C40203">
      <w:pPr>
        <w:ind w:left="360"/>
        <w:jc w:val="both"/>
      </w:pPr>
    </w:p>
    <w:p w:rsidR="00C40203" w:rsidRPr="00936225" w:rsidRDefault="00B90C83" w:rsidP="00C40203">
      <w:pPr>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3116D0" w:rsidRPr="00EB7860">
        <w:t>The agricultural sector in Moldova contri</w:t>
      </w:r>
      <w:r w:rsidR="00C40203">
        <w:t xml:space="preserve">butes 34% of the country’s GDP. Of </w:t>
      </w:r>
      <w:r w:rsidR="00C40203" w:rsidRPr="00936225">
        <w:t>t</w:t>
      </w:r>
      <w:r w:rsidR="00C40203">
        <w:t xml:space="preserve">he total agricultural production, animal production comprises </w:t>
      </w:r>
      <w:r w:rsidR="00C40203" w:rsidRPr="00936225">
        <w:t>42%</w:t>
      </w:r>
      <w:r w:rsidR="00C40203">
        <w:t>, thus making it a vital sector</w:t>
      </w:r>
      <w:r w:rsidR="00C40203" w:rsidRPr="00936225">
        <w:t xml:space="preserve">.  The structure of </w:t>
      </w:r>
      <w:r w:rsidR="00C40203">
        <w:t xml:space="preserve">animal </w:t>
      </w:r>
      <w:r w:rsidR="00C40203" w:rsidRPr="00936225">
        <w:t xml:space="preserve">production is presented </w:t>
      </w:r>
      <w:r w:rsidR="00C40203">
        <w:t xml:space="preserve">in Table </w:t>
      </w:r>
      <w:r w:rsidR="005F48E3">
        <w:t xml:space="preserve">1 </w:t>
      </w:r>
      <w:r w:rsidR="00C40203" w:rsidRPr="00936225">
        <w:t>below.</w:t>
      </w:r>
    </w:p>
    <w:p w:rsidR="00C40203" w:rsidRDefault="00C40203" w:rsidP="00C40203">
      <w:pPr>
        <w:shd w:val="clear" w:color="auto" w:fill="FFFFFF"/>
        <w:tabs>
          <w:tab w:val="left" w:pos="989"/>
        </w:tabs>
        <w:autoSpaceDE w:val="0"/>
        <w:autoSpaceDN w:val="0"/>
        <w:adjustRightInd w:val="0"/>
        <w:ind w:left="360"/>
        <w:jc w:val="center"/>
      </w:pPr>
    </w:p>
    <w:p w:rsidR="005F48E3" w:rsidRPr="005F48E3" w:rsidRDefault="00257162" w:rsidP="00C40203">
      <w:pPr>
        <w:shd w:val="clear" w:color="auto" w:fill="FFFFFF"/>
        <w:tabs>
          <w:tab w:val="left" w:pos="989"/>
        </w:tabs>
        <w:autoSpaceDE w:val="0"/>
        <w:autoSpaceDN w:val="0"/>
        <w:adjustRightInd w:val="0"/>
        <w:ind w:left="360"/>
        <w:jc w:val="center"/>
        <w:rPr>
          <w:b/>
          <w:sz w:val="22"/>
          <w:szCs w:val="22"/>
        </w:rPr>
      </w:pPr>
      <w:r w:rsidRPr="00257162">
        <w:rPr>
          <w:b/>
          <w:sz w:val="22"/>
          <w:szCs w:val="22"/>
        </w:rPr>
        <w:t xml:space="preserve">Table 1. Animal Production </w:t>
      </w:r>
      <w:r w:rsidR="001428F5">
        <w:rPr>
          <w:b/>
          <w:sz w:val="22"/>
          <w:szCs w:val="22"/>
        </w:rPr>
        <w:t xml:space="preserve">by Type of Animal </w:t>
      </w:r>
      <w:r w:rsidR="00FD39BF">
        <w:rPr>
          <w:b/>
          <w:sz w:val="22"/>
          <w:szCs w:val="22"/>
        </w:rPr>
        <w:t>as a Percentage of Total Production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5"/>
        <w:gridCol w:w="785"/>
      </w:tblGrid>
      <w:tr w:rsidR="00C40203" w:rsidRPr="00936225" w:rsidTr="00FA5E38">
        <w:trPr>
          <w:jc w:val="center"/>
        </w:trPr>
        <w:tc>
          <w:tcPr>
            <w:tcW w:w="0" w:type="auto"/>
          </w:tcPr>
          <w:p w:rsidR="00C40203" w:rsidRPr="00936225" w:rsidRDefault="00C40203" w:rsidP="007B6026">
            <w:pPr>
              <w:tabs>
                <w:tab w:val="left" w:pos="989"/>
              </w:tabs>
              <w:autoSpaceDE w:val="0"/>
              <w:autoSpaceDN w:val="0"/>
              <w:adjustRightInd w:val="0"/>
              <w:jc w:val="both"/>
              <w:rPr>
                <w:sz w:val="22"/>
                <w:szCs w:val="22"/>
              </w:rPr>
            </w:pPr>
            <w:r w:rsidRPr="00936225">
              <w:rPr>
                <w:iCs/>
                <w:color w:val="1A171B"/>
                <w:spacing w:val="-2"/>
                <w:sz w:val="22"/>
                <w:szCs w:val="22"/>
              </w:rPr>
              <w:t>Animal production, of which</w:t>
            </w:r>
          </w:p>
        </w:tc>
        <w:tc>
          <w:tcPr>
            <w:tcW w:w="0" w:type="auto"/>
          </w:tcPr>
          <w:p w:rsidR="00C40203" w:rsidRPr="00936225" w:rsidRDefault="007B6026" w:rsidP="007B6026">
            <w:pPr>
              <w:tabs>
                <w:tab w:val="left" w:pos="989"/>
              </w:tabs>
              <w:autoSpaceDE w:val="0"/>
              <w:autoSpaceDN w:val="0"/>
              <w:adjustRightInd w:val="0"/>
              <w:jc w:val="center"/>
              <w:rPr>
                <w:sz w:val="22"/>
                <w:szCs w:val="22"/>
              </w:rPr>
            </w:pPr>
            <w:r>
              <w:rPr>
                <w:sz w:val="22"/>
                <w:szCs w:val="22"/>
              </w:rPr>
              <w:t>41.</w:t>
            </w:r>
            <w:r w:rsidR="00C40203" w:rsidRPr="00936225">
              <w:rPr>
                <w:sz w:val="22"/>
                <w:szCs w:val="22"/>
              </w:rPr>
              <w:t>9</w:t>
            </w:r>
            <w:r>
              <w:rPr>
                <w:sz w:val="22"/>
                <w:szCs w:val="22"/>
              </w:rPr>
              <w:t>%</w:t>
            </w:r>
          </w:p>
        </w:tc>
      </w:tr>
      <w:tr w:rsidR="00C40203" w:rsidRPr="00936225" w:rsidTr="00FA5E38">
        <w:trPr>
          <w:jc w:val="center"/>
        </w:trPr>
        <w:tc>
          <w:tcPr>
            <w:tcW w:w="0" w:type="auto"/>
          </w:tcPr>
          <w:p w:rsidR="00C40203" w:rsidRPr="00936225" w:rsidRDefault="00C40203" w:rsidP="007B6026">
            <w:pPr>
              <w:tabs>
                <w:tab w:val="left" w:pos="989"/>
              </w:tabs>
              <w:autoSpaceDE w:val="0"/>
              <w:autoSpaceDN w:val="0"/>
              <w:adjustRightInd w:val="0"/>
              <w:jc w:val="both"/>
              <w:rPr>
                <w:sz w:val="22"/>
                <w:szCs w:val="22"/>
              </w:rPr>
            </w:pPr>
            <w:r w:rsidRPr="00936225">
              <w:rPr>
                <w:iCs/>
                <w:color w:val="1A171B"/>
                <w:sz w:val="22"/>
                <w:szCs w:val="22"/>
              </w:rPr>
              <w:t xml:space="preserve"> Production of </w:t>
            </w:r>
            <w:r w:rsidR="007B6026">
              <w:rPr>
                <w:iCs/>
                <w:color w:val="1A171B"/>
                <w:sz w:val="22"/>
                <w:szCs w:val="22"/>
              </w:rPr>
              <w:t>animals</w:t>
            </w:r>
            <w:r w:rsidRPr="00936225">
              <w:rPr>
                <w:iCs/>
                <w:color w:val="1A171B"/>
                <w:sz w:val="22"/>
                <w:szCs w:val="22"/>
              </w:rPr>
              <w:t xml:space="preserve"> and poultry, of </w:t>
            </w:r>
            <w:r w:rsidR="007B6026">
              <w:rPr>
                <w:iCs/>
                <w:color w:val="1A171B"/>
                <w:sz w:val="22"/>
                <w:szCs w:val="22"/>
              </w:rPr>
              <w:t>which</w:t>
            </w:r>
            <w:r w:rsidRPr="00936225">
              <w:rPr>
                <w:iCs/>
                <w:color w:val="1A171B"/>
                <w:sz w:val="22"/>
                <w:szCs w:val="22"/>
              </w:rPr>
              <w:t>:</w:t>
            </w:r>
          </w:p>
        </w:tc>
        <w:tc>
          <w:tcPr>
            <w:tcW w:w="0" w:type="auto"/>
          </w:tcPr>
          <w:p w:rsidR="00C40203" w:rsidRPr="00936225" w:rsidRDefault="007B6026" w:rsidP="007B6026">
            <w:pPr>
              <w:tabs>
                <w:tab w:val="left" w:pos="989"/>
              </w:tabs>
              <w:autoSpaceDE w:val="0"/>
              <w:autoSpaceDN w:val="0"/>
              <w:adjustRightInd w:val="0"/>
              <w:jc w:val="center"/>
              <w:rPr>
                <w:sz w:val="22"/>
                <w:szCs w:val="22"/>
              </w:rPr>
            </w:pPr>
            <w:r>
              <w:rPr>
                <w:sz w:val="22"/>
                <w:szCs w:val="22"/>
              </w:rPr>
              <w:t>21.</w:t>
            </w:r>
            <w:r w:rsidR="00C40203" w:rsidRPr="00936225">
              <w:rPr>
                <w:sz w:val="22"/>
                <w:szCs w:val="22"/>
              </w:rPr>
              <w:t>6</w:t>
            </w:r>
            <w:r>
              <w:rPr>
                <w:sz w:val="22"/>
                <w:szCs w:val="22"/>
              </w:rPr>
              <w:t>%</w:t>
            </w:r>
          </w:p>
        </w:tc>
      </w:tr>
      <w:tr w:rsidR="00C40203" w:rsidRPr="00936225" w:rsidTr="00FA5E38">
        <w:trPr>
          <w:jc w:val="center"/>
        </w:trPr>
        <w:tc>
          <w:tcPr>
            <w:tcW w:w="0" w:type="auto"/>
          </w:tcPr>
          <w:p w:rsidR="00C40203" w:rsidRPr="00936225" w:rsidRDefault="00C40203" w:rsidP="007B6026">
            <w:pPr>
              <w:tabs>
                <w:tab w:val="left" w:pos="989"/>
              </w:tabs>
              <w:autoSpaceDE w:val="0"/>
              <w:autoSpaceDN w:val="0"/>
              <w:adjustRightInd w:val="0"/>
              <w:jc w:val="both"/>
              <w:rPr>
                <w:sz w:val="22"/>
                <w:szCs w:val="22"/>
              </w:rPr>
            </w:pPr>
            <w:r w:rsidRPr="00936225">
              <w:rPr>
                <w:sz w:val="22"/>
                <w:szCs w:val="22"/>
              </w:rPr>
              <w:t xml:space="preserve">  </w:t>
            </w:r>
            <w:r w:rsidR="007B6026">
              <w:rPr>
                <w:sz w:val="22"/>
                <w:szCs w:val="22"/>
              </w:rPr>
              <w:t xml:space="preserve">     </w:t>
            </w:r>
            <w:r w:rsidRPr="00936225">
              <w:rPr>
                <w:sz w:val="22"/>
                <w:szCs w:val="22"/>
              </w:rPr>
              <w:t xml:space="preserve"> Cattle</w:t>
            </w:r>
          </w:p>
        </w:tc>
        <w:tc>
          <w:tcPr>
            <w:tcW w:w="0" w:type="auto"/>
          </w:tcPr>
          <w:p w:rsidR="00C40203" w:rsidRPr="00936225" w:rsidRDefault="00C40203" w:rsidP="007B6026">
            <w:pPr>
              <w:tabs>
                <w:tab w:val="left" w:pos="989"/>
              </w:tabs>
              <w:autoSpaceDE w:val="0"/>
              <w:autoSpaceDN w:val="0"/>
              <w:adjustRightInd w:val="0"/>
              <w:jc w:val="center"/>
              <w:rPr>
                <w:sz w:val="22"/>
                <w:szCs w:val="22"/>
              </w:rPr>
            </w:pPr>
            <w:r w:rsidRPr="00936225">
              <w:rPr>
                <w:sz w:val="22"/>
                <w:szCs w:val="22"/>
              </w:rPr>
              <w:t>3</w:t>
            </w:r>
            <w:r w:rsidR="007B6026">
              <w:rPr>
                <w:sz w:val="22"/>
                <w:szCs w:val="22"/>
              </w:rPr>
              <w:t>.2%</w:t>
            </w:r>
          </w:p>
        </w:tc>
      </w:tr>
      <w:tr w:rsidR="00C40203" w:rsidRPr="00936225" w:rsidTr="00FA5E38">
        <w:trPr>
          <w:jc w:val="center"/>
        </w:trPr>
        <w:tc>
          <w:tcPr>
            <w:tcW w:w="0" w:type="auto"/>
          </w:tcPr>
          <w:p w:rsidR="00C40203" w:rsidRPr="00936225" w:rsidRDefault="007B6026" w:rsidP="007B6026">
            <w:pPr>
              <w:tabs>
                <w:tab w:val="left" w:pos="989"/>
              </w:tabs>
              <w:autoSpaceDE w:val="0"/>
              <w:autoSpaceDN w:val="0"/>
              <w:adjustRightInd w:val="0"/>
              <w:jc w:val="both"/>
              <w:rPr>
                <w:sz w:val="22"/>
                <w:szCs w:val="22"/>
              </w:rPr>
            </w:pPr>
            <w:r>
              <w:rPr>
                <w:sz w:val="22"/>
                <w:szCs w:val="22"/>
              </w:rPr>
              <w:t xml:space="preserve">        </w:t>
            </w:r>
            <w:r w:rsidR="00C40203" w:rsidRPr="00936225">
              <w:rPr>
                <w:sz w:val="22"/>
                <w:szCs w:val="22"/>
              </w:rPr>
              <w:t xml:space="preserve">Pigs </w:t>
            </w:r>
          </w:p>
        </w:tc>
        <w:tc>
          <w:tcPr>
            <w:tcW w:w="0" w:type="auto"/>
          </w:tcPr>
          <w:p w:rsidR="00C40203" w:rsidRPr="00936225" w:rsidRDefault="00C40203" w:rsidP="007B6026">
            <w:pPr>
              <w:tabs>
                <w:tab w:val="left" w:pos="989"/>
              </w:tabs>
              <w:autoSpaceDE w:val="0"/>
              <w:autoSpaceDN w:val="0"/>
              <w:adjustRightInd w:val="0"/>
              <w:jc w:val="center"/>
              <w:rPr>
                <w:sz w:val="22"/>
                <w:szCs w:val="22"/>
              </w:rPr>
            </w:pPr>
            <w:r w:rsidRPr="00936225">
              <w:rPr>
                <w:sz w:val="22"/>
                <w:szCs w:val="22"/>
              </w:rPr>
              <w:t>11</w:t>
            </w:r>
            <w:r w:rsidR="007B6026">
              <w:rPr>
                <w:sz w:val="22"/>
                <w:szCs w:val="22"/>
              </w:rPr>
              <w:t>.5%</w:t>
            </w:r>
          </w:p>
        </w:tc>
      </w:tr>
      <w:tr w:rsidR="00C40203" w:rsidRPr="00936225" w:rsidTr="00FA5E38">
        <w:trPr>
          <w:jc w:val="center"/>
        </w:trPr>
        <w:tc>
          <w:tcPr>
            <w:tcW w:w="0" w:type="auto"/>
          </w:tcPr>
          <w:p w:rsidR="00C40203" w:rsidRPr="00936225" w:rsidRDefault="007B6026" w:rsidP="007B6026">
            <w:pPr>
              <w:tabs>
                <w:tab w:val="left" w:pos="989"/>
              </w:tabs>
              <w:autoSpaceDE w:val="0"/>
              <w:autoSpaceDN w:val="0"/>
              <w:adjustRightInd w:val="0"/>
              <w:jc w:val="both"/>
              <w:rPr>
                <w:sz w:val="22"/>
                <w:szCs w:val="22"/>
              </w:rPr>
            </w:pPr>
            <w:r>
              <w:rPr>
                <w:sz w:val="22"/>
                <w:szCs w:val="22"/>
              </w:rPr>
              <w:t xml:space="preserve">        S</w:t>
            </w:r>
            <w:r w:rsidR="00C40203" w:rsidRPr="00936225">
              <w:rPr>
                <w:sz w:val="22"/>
                <w:szCs w:val="22"/>
              </w:rPr>
              <w:t>heep and goats</w:t>
            </w:r>
          </w:p>
        </w:tc>
        <w:tc>
          <w:tcPr>
            <w:tcW w:w="0" w:type="auto"/>
          </w:tcPr>
          <w:p w:rsidR="00C40203" w:rsidRPr="00936225" w:rsidRDefault="00C40203" w:rsidP="007B6026">
            <w:pPr>
              <w:tabs>
                <w:tab w:val="left" w:pos="989"/>
              </w:tabs>
              <w:autoSpaceDE w:val="0"/>
              <w:autoSpaceDN w:val="0"/>
              <w:adjustRightInd w:val="0"/>
              <w:jc w:val="center"/>
              <w:rPr>
                <w:sz w:val="22"/>
                <w:szCs w:val="22"/>
              </w:rPr>
            </w:pPr>
            <w:r w:rsidRPr="00936225">
              <w:rPr>
                <w:sz w:val="22"/>
                <w:szCs w:val="22"/>
              </w:rPr>
              <w:t>0</w:t>
            </w:r>
            <w:r w:rsidR="007B6026">
              <w:rPr>
                <w:sz w:val="22"/>
                <w:szCs w:val="22"/>
              </w:rPr>
              <w:t>.5%</w:t>
            </w:r>
          </w:p>
        </w:tc>
      </w:tr>
      <w:tr w:rsidR="00C40203" w:rsidRPr="00936225" w:rsidTr="00FA5E38">
        <w:trPr>
          <w:jc w:val="center"/>
        </w:trPr>
        <w:tc>
          <w:tcPr>
            <w:tcW w:w="0" w:type="auto"/>
          </w:tcPr>
          <w:p w:rsidR="00C40203" w:rsidRPr="00936225" w:rsidRDefault="007B6026" w:rsidP="007B6026">
            <w:pPr>
              <w:tabs>
                <w:tab w:val="left" w:pos="989"/>
              </w:tabs>
              <w:autoSpaceDE w:val="0"/>
              <w:autoSpaceDN w:val="0"/>
              <w:adjustRightInd w:val="0"/>
              <w:jc w:val="both"/>
              <w:rPr>
                <w:sz w:val="22"/>
                <w:szCs w:val="22"/>
              </w:rPr>
            </w:pPr>
            <w:r>
              <w:rPr>
                <w:sz w:val="22"/>
                <w:szCs w:val="22"/>
              </w:rPr>
              <w:t xml:space="preserve">        </w:t>
            </w:r>
            <w:r w:rsidR="00C40203" w:rsidRPr="00936225">
              <w:rPr>
                <w:sz w:val="22"/>
                <w:szCs w:val="22"/>
              </w:rPr>
              <w:t>Poultry</w:t>
            </w:r>
          </w:p>
        </w:tc>
        <w:tc>
          <w:tcPr>
            <w:tcW w:w="0" w:type="auto"/>
          </w:tcPr>
          <w:p w:rsidR="00C40203" w:rsidRPr="00936225" w:rsidRDefault="00C40203" w:rsidP="007B6026">
            <w:pPr>
              <w:tabs>
                <w:tab w:val="left" w:pos="989"/>
              </w:tabs>
              <w:autoSpaceDE w:val="0"/>
              <w:autoSpaceDN w:val="0"/>
              <w:adjustRightInd w:val="0"/>
              <w:jc w:val="center"/>
              <w:rPr>
                <w:sz w:val="22"/>
                <w:szCs w:val="22"/>
              </w:rPr>
            </w:pPr>
            <w:r w:rsidRPr="00936225">
              <w:rPr>
                <w:sz w:val="22"/>
                <w:szCs w:val="22"/>
              </w:rPr>
              <w:t>6</w:t>
            </w:r>
            <w:r w:rsidR="007B6026">
              <w:rPr>
                <w:sz w:val="22"/>
                <w:szCs w:val="22"/>
              </w:rPr>
              <w:t>.4%</w:t>
            </w:r>
          </w:p>
        </w:tc>
      </w:tr>
      <w:tr w:rsidR="00C40203" w:rsidRPr="00936225" w:rsidTr="00FA5E38">
        <w:trPr>
          <w:jc w:val="center"/>
        </w:trPr>
        <w:tc>
          <w:tcPr>
            <w:tcW w:w="0" w:type="auto"/>
          </w:tcPr>
          <w:p w:rsidR="00C40203" w:rsidRPr="00936225" w:rsidRDefault="007B6026" w:rsidP="00FA5E38">
            <w:pPr>
              <w:tabs>
                <w:tab w:val="left" w:pos="989"/>
              </w:tabs>
              <w:autoSpaceDE w:val="0"/>
              <w:autoSpaceDN w:val="0"/>
              <w:adjustRightInd w:val="0"/>
              <w:jc w:val="both"/>
              <w:rPr>
                <w:sz w:val="22"/>
                <w:szCs w:val="22"/>
              </w:rPr>
            </w:pPr>
            <w:r>
              <w:rPr>
                <w:sz w:val="22"/>
                <w:szCs w:val="22"/>
              </w:rPr>
              <w:t xml:space="preserve">   </w:t>
            </w:r>
            <w:r w:rsidR="00C40203" w:rsidRPr="00936225">
              <w:rPr>
                <w:sz w:val="22"/>
                <w:szCs w:val="22"/>
              </w:rPr>
              <w:t>Milk</w:t>
            </w:r>
          </w:p>
        </w:tc>
        <w:tc>
          <w:tcPr>
            <w:tcW w:w="0" w:type="auto"/>
          </w:tcPr>
          <w:p w:rsidR="00C40203" w:rsidRPr="00936225" w:rsidRDefault="00C40203" w:rsidP="007B6026">
            <w:pPr>
              <w:tabs>
                <w:tab w:val="left" w:pos="989"/>
              </w:tabs>
              <w:autoSpaceDE w:val="0"/>
              <w:autoSpaceDN w:val="0"/>
              <w:adjustRightInd w:val="0"/>
              <w:jc w:val="center"/>
              <w:rPr>
                <w:sz w:val="22"/>
                <w:szCs w:val="22"/>
              </w:rPr>
            </w:pPr>
            <w:r w:rsidRPr="00936225">
              <w:rPr>
                <w:sz w:val="22"/>
                <w:szCs w:val="22"/>
              </w:rPr>
              <w:t>13</w:t>
            </w:r>
            <w:r w:rsidR="007B6026">
              <w:rPr>
                <w:sz w:val="22"/>
                <w:szCs w:val="22"/>
              </w:rPr>
              <w:t>.3%</w:t>
            </w:r>
          </w:p>
        </w:tc>
      </w:tr>
      <w:tr w:rsidR="00C40203" w:rsidRPr="00936225" w:rsidTr="00FA5E38">
        <w:trPr>
          <w:jc w:val="center"/>
        </w:trPr>
        <w:tc>
          <w:tcPr>
            <w:tcW w:w="0" w:type="auto"/>
          </w:tcPr>
          <w:p w:rsidR="00C40203" w:rsidRPr="00936225" w:rsidRDefault="007B6026" w:rsidP="00FA5E38">
            <w:pPr>
              <w:tabs>
                <w:tab w:val="left" w:pos="989"/>
              </w:tabs>
              <w:autoSpaceDE w:val="0"/>
              <w:autoSpaceDN w:val="0"/>
              <w:adjustRightInd w:val="0"/>
              <w:jc w:val="both"/>
              <w:rPr>
                <w:sz w:val="22"/>
                <w:szCs w:val="22"/>
              </w:rPr>
            </w:pPr>
            <w:r>
              <w:rPr>
                <w:sz w:val="22"/>
                <w:szCs w:val="22"/>
              </w:rPr>
              <w:t xml:space="preserve">   </w:t>
            </w:r>
            <w:r w:rsidR="00C40203" w:rsidRPr="00936225">
              <w:rPr>
                <w:sz w:val="22"/>
                <w:szCs w:val="22"/>
              </w:rPr>
              <w:t>Eggs</w:t>
            </w:r>
          </w:p>
        </w:tc>
        <w:tc>
          <w:tcPr>
            <w:tcW w:w="0" w:type="auto"/>
          </w:tcPr>
          <w:p w:rsidR="00C40203" w:rsidRPr="00936225" w:rsidRDefault="00C40203" w:rsidP="007B6026">
            <w:pPr>
              <w:tabs>
                <w:tab w:val="left" w:pos="989"/>
              </w:tabs>
              <w:autoSpaceDE w:val="0"/>
              <w:autoSpaceDN w:val="0"/>
              <w:adjustRightInd w:val="0"/>
              <w:jc w:val="center"/>
              <w:rPr>
                <w:sz w:val="22"/>
                <w:szCs w:val="22"/>
              </w:rPr>
            </w:pPr>
            <w:r w:rsidRPr="00936225">
              <w:rPr>
                <w:sz w:val="22"/>
                <w:szCs w:val="22"/>
              </w:rPr>
              <w:t>5</w:t>
            </w:r>
            <w:r w:rsidR="007B6026">
              <w:rPr>
                <w:sz w:val="22"/>
                <w:szCs w:val="22"/>
              </w:rPr>
              <w:t>.4%</w:t>
            </w:r>
          </w:p>
        </w:tc>
      </w:tr>
      <w:tr w:rsidR="00C40203" w:rsidRPr="00936225" w:rsidTr="00FA5E38">
        <w:trPr>
          <w:jc w:val="center"/>
        </w:trPr>
        <w:tc>
          <w:tcPr>
            <w:tcW w:w="0" w:type="auto"/>
          </w:tcPr>
          <w:p w:rsidR="00C40203" w:rsidRPr="00936225" w:rsidRDefault="007B6026" w:rsidP="00FA5E38">
            <w:pPr>
              <w:tabs>
                <w:tab w:val="left" w:pos="989"/>
              </w:tabs>
              <w:autoSpaceDE w:val="0"/>
              <w:autoSpaceDN w:val="0"/>
              <w:adjustRightInd w:val="0"/>
              <w:jc w:val="both"/>
              <w:rPr>
                <w:sz w:val="22"/>
                <w:szCs w:val="22"/>
              </w:rPr>
            </w:pPr>
            <w:r>
              <w:rPr>
                <w:sz w:val="22"/>
                <w:szCs w:val="22"/>
              </w:rPr>
              <w:t xml:space="preserve">   </w:t>
            </w:r>
            <w:r w:rsidR="00F00128">
              <w:rPr>
                <w:sz w:val="22"/>
                <w:szCs w:val="22"/>
              </w:rPr>
              <w:t>Other</w:t>
            </w:r>
          </w:p>
        </w:tc>
        <w:tc>
          <w:tcPr>
            <w:tcW w:w="0" w:type="auto"/>
          </w:tcPr>
          <w:p w:rsidR="00C40203" w:rsidRPr="00936225" w:rsidRDefault="00F00128" w:rsidP="007B6026">
            <w:pPr>
              <w:tabs>
                <w:tab w:val="left" w:pos="989"/>
              </w:tabs>
              <w:autoSpaceDE w:val="0"/>
              <w:autoSpaceDN w:val="0"/>
              <w:adjustRightInd w:val="0"/>
              <w:jc w:val="center"/>
              <w:rPr>
                <w:sz w:val="22"/>
                <w:szCs w:val="22"/>
              </w:rPr>
            </w:pPr>
            <w:r>
              <w:rPr>
                <w:sz w:val="22"/>
                <w:szCs w:val="22"/>
              </w:rPr>
              <w:t>1.6</w:t>
            </w:r>
            <w:r w:rsidR="007B6026">
              <w:rPr>
                <w:sz w:val="22"/>
                <w:szCs w:val="22"/>
              </w:rPr>
              <w:t>%</w:t>
            </w:r>
          </w:p>
        </w:tc>
      </w:tr>
    </w:tbl>
    <w:p w:rsidR="00C40203" w:rsidRDefault="00C40203" w:rsidP="00C40203">
      <w:pPr>
        <w:shd w:val="clear" w:color="auto" w:fill="FFFFFF"/>
        <w:tabs>
          <w:tab w:val="left" w:pos="213"/>
        </w:tabs>
        <w:rPr>
          <w:sz w:val="20"/>
          <w:szCs w:val="20"/>
        </w:rPr>
      </w:pPr>
      <w:r w:rsidRPr="00936225">
        <w:t xml:space="preserve">                                    </w:t>
      </w:r>
      <w:r w:rsidRPr="002E7D29">
        <w:rPr>
          <w:sz w:val="20"/>
          <w:szCs w:val="20"/>
        </w:rPr>
        <w:t>Source: National Bureau of Statistics, 2008</w:t>
      </w:r>
    </w:p>
    <w:p w:rsidR="003A290C" w:rsidRDefault="007B6026" w:rsidP="003A290C">
      <w:pPr>
        <w:shd w:val="clear" w:color="auto" w:fill="FFFFFF"/>
        <w:tabs>
          <w:tab w:val="left" w:pos="213"/>
        </w:tabs>
        <w:rPr>
          <w:sz w:val="20"/>
          <w:szCs w:val="20"/>
        </w:rPr>
      </w:pPr>
      <w:r>
        <w:rPr>
          <w:sz w:val="20"/>
          <w:szCs w:val="20"/>
        </w:rPr>
        <w:tab/>
      </w:r>
    </w:p>
    <w:p w:rsidR="004A08DE" w:rsidRDefault="00B90C83" w:rsidP="00B204D0">
      <w:pPr>
        <w:shd w:val="clear" w:color="auto" w:fill="FFFFFF"/>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3116D0" w:rsidRPr="00EB7860">
        <w:t>Furthermore, the agricultural sector is the second greatest source of greenhouse gas (GHG) emissions after the energy sector, and according to data for 2005, accounts for 18% of total</w:t>
      </w:r>
      <w:r w:rsidR="003116D0">
        <w:t xml:space="preserve"> national GHG direct emissions - </w:t>
      </w:r>
      <w:r w:rsidR="003116D0" w:rsidRPr="00EB7860">
        <w:t xml:space="preserve">excluding </w:t>
      </w:r>
      <w:r w:rsidR="003116D0">
        <w:t>land use, land use change and forestry (</w:t>
      </w:r>
      <w:r w:rsidR="003116D0" w:rsidRPr="00EB7860">
        <w:t>LULUCF).</w:t>
      </w:r>
      <w:r w:rsidR="004A08DE">
        <w:t xml:space="preserve"> Table</w:t>
      </w:r>
      <w:r w:rsidR="00883439">
        <w:t xml:space="preserve"> 2 below</w:t>
      </w:r>
      <w:r w:rsidR="004A08DE">
        <w:t xml:space="preserve"> provides data on animal waste</w:t>
      </w:r>
      <w:r w:rsidR="00883439">
        <w:t>.</w:t>
      </w:r>
    </w:p>
    <w:p w:rsidR="00883439" w:rsidRDefault="00883439" w:rsidP="00B204D0">
      <w:pPr>
        <w:shd w:val="clear" w:color="auto" w:fill="FFFFFF"/>
        <w:ind w:left="360"/>
        <w:jc w:val="both"/>
      </w:pPr>
    </w:p>
    <w:p w:rsidR="006C5A7D" w:rsidRDefault="00883439">
      <w:pPr>
        <w:shd w:val="clear" w:color="auto" w:fill="FFFFFF"/>
        <w:tabs>
          <w:tab w:val="left" w:pos="989"/>
        </w:tabs>
        <w:autoSpaceDE w:val="0"/>
        <w:autoSpaceDN w:val="0"/>
        <w:adjustRightInd w:val="0"/>
        <w:ind w:left="360"/>
        <w:jc w:val="center"/>
        <w:rPr>
          <w:sz w:val="20"/>
          <w:szCs w:val="20"/>
        </w:rPr>
      </w:pPr>
      <w:r w:rsidRPr="005F48E3">
        <w:rPr>
          <w:b/>
          <w:sz w:val="22"/>
          <w:szCs w:val="22"/>
        </w:rPr>
        <w:t>Table</w:t>
      </w:r>
      <w:r>
        <w:rPr>
          <w:b/>
          <w:sz w:val="22"/>
          <w:szCs w:val="22"/>
        </w:rPr>
        <w:t xml:space="preserve"> 2</w:t>
      </w:r>
      <w:r w:rsidRPr="005F48E3">
        <w:rPr>
          <w:b/>
          <w:sz w:val="22"/>
          <w:szCs w:val="22"/>
        </w:rPr>
        <w:t xml:space="preserve">. Animal </w:t>
      </w:r>
      <w:r>
        <w:rPr>
          <w:b/>
          <w:sz w:val="22"/>
          <w:szCs w:val="22"/>
        </w:rPr>
        <w:t xml:space="preserve">Waste </w:t>
      </w:r>
      <w:r w:rsidRPr="005F48E3">
        <w:rPr>
          <w:b/>
          <w:sz w:val="22"/>
          <w:szCs w:val="22"/>
        </w:rPr>
        <w:t>Production in Moldova</w:t>
      </w:r>
      <w:r>
        <w:rPr>
          <w:b/>
          <w:sz w:val="22"/>
          <w:szCs w:val="22"/>
        </w:rPr>
        <w:t xml:space="preserve"> (2007)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275"/>
        <w:gridCol w:w="1418"/>
        <w:gridCol w:w="1276"/>
        <w:gridCol w:w="992"/>
        <w:gridCol w:w="1418"/>
      </w:tblGrid>
      <w:tr w:rsidR="004A08DE" w:rsidRPr="00936225" w:rsidTr="00FA5E38">
        <w:trPr>
          <w:cantSplit/>
          <w:jc w:val="center"/>
        </w:trPr>
        <w:tc>
          <w:tcPr>
            <w:tcW w:w="1101" w:type="dxa"/>
          </w:tcPr>
          <w:p w:rsidR="004A08DE" w:rsidRPr="00936225" w:rsidRDefault="00584620" w:rsidP="004A08DE">
            <w:pPr>
              <w:jc w:val="center"/>
              <w:rPr>
                <w:sz w:val="22"/>
                <w:szCs w:val="22"/>
              </w:rPr>
            </w:pPr>
            <w:r>
              <w:rPr>
                <w:sz w:val="22"/>
                <w:szCs w:val="22"/>
              </w:rPr>
              <w:t>Types of animals</w:t>
            </w:r>
          </w:p>
        </w:tc>
        <w:tc>
          <w:tcPr>
            <w:tcW w:w="1275" w:type="dxa"/>
          </w:tcPr>
          <w:p w:rsidR="004A08DE" w:rsidRPr="00936225" w:rsidRDefault="00584620" w:rsidP="004A08DE">
            <w:pPr>
              <w:jc w:val="center"/>
              <w:rPr>
                <w:sz w:val="22"/>
                <w:szCs w:val="22"/>
              </w:rPr>
            </w:pPr>
            <w:r>
              <w:rPr>
                <w:sz w:val="22"/>
                <w:szCs w:val="22"/>
              </w:rPr>
              <w:t>Number of Animals</w:t>
            </w:r>
          </w:p>
        </w:tc>
        <w:tc>
          <w:tcPr>
            <w:tcW w:w="1418" w:type="dxa"/>
          </w:tcPr>
          <w:p w:rsidR="004A08DE" w:rsidRPr="00936225" w:rsidRDefault="004A08DE" w:rsidP="004A08DE">
            <w:pPr>
              <w:jc w:val="center"/>
              <w:rPr>
                <w:sz w:val="22"/>
                <w:szCs w:val="22"/>
              </w:rPr>
            </w:pPr>
            <w:r w:rsidRPr="00936225">
              <w:rPr>
                <w:sz w:val="22"/>
                <w:szCs w:val="22"/>
              </w:rPr>
              <w:t>Daily Waste</w:t>
            </w:r>
          </w:p>
          <w:p w:rsidR="004A08DE" w:rsidRPr="00936225" w:rsidRDefault="004A08DE" w:rsidP="004A08DE">
            <w:pPr>
              <w:jc w:val="center"/>
              <w:rPr>
                <w:sz w:val="22"/>
                <w:szCs w:val="22"/>
              </w:rPr>
            </w:pPr>
            <w:r w:rsidRPr="00936225">
              <w:rPr>
                <w:sz w:val="22"/>
                <w:szCs w:val="22"/>
              </w:rPr>
              <w:t>Produced</w:t>
            </w:r>
          </w:p>
          <w:p w:rsidR="004A08DE" w:rsidRPr="00936225" w:rsidRDefault="004A08DE" w:rsidP="004A08DE">
            <w:pPr>
              <w:jc w:val="center"/>
              <w:rPr>
                <w:sz w:val="22"/>
                <w:szCs w:val="22"/>
              </w:rPr>
            </w:pPr>
            <w:r w:rsidRPr="00936225">
              <w:rPr>
                <w:sz w:val="22"/>
                <w:szCs w:val="22"/>
              </w:rPr>
              <w:t>(l/day/</w:t>
            </w:r>
          </w:p>
          <w:p w:rsidR="004A08DE" w:rsidRPr="00936225" w:rsidRDefault="004A08DE" w:rsidP="004A08DE">
            <w:pPr>
              <w:jc w:val="center"/>
              <w:rPr>
                <w:sz w:val="22"/>
                <w:szCs w:val="22"/>
              </w:rPr>
            </w:pPr>
            <w:r w:rsidRPr="00936225">
              <w:rPr>
                <w:sz w:val="22"/>
                <w:szCs w:val="22"/>
              </w:rPr>
              <w:t>capita)</w:t>
            </w:r>
          </w:p>
        </w:tc>
        <w:tc>
          <w:tcPr>
            <w:tcW w:w="1276" w:type="dxa"/>
          </w:tcPr>
          <w:p w:rsidR="004A08DE" w:rsidRPr="00936225" w:rsidRDefault="00584620" w:rsidP="004A08DE">
            <w:pPr>
              <w:jc w:val="center"/>
              <w:rPr>
                <w:sz w:val="22"/>
                <w:szCs w:val="22"/>
              </w:rPr>
            </w:pPr>
            <w:r>
              <w:rPr>
                <w:sz w:val="22"/>
                <w:szCs w:val="22"/>
              </w:rPr>
              <w:t>Yearly    Volume of Produced  W</w:t>
            </w:r>
            <w:r w:rsidR="004A08DE" w:rsidRPr="00936225">
              <w:rPr>
                <w:sz w:val="22"/>
                <w:szCs w:val="22"/>
              </w:rPr>
              <w:t>aste</w:t>
            </w:r>
          </w:p>
          <w:p w:rsidR="004A08DE" w:rsidRPr="00936225" w:rsidRDefault="004A08DE" w:rsidP="004A08DE">
            <w:pPr>
              <w:jc w:val="center"/>
              <w:rPr>
                <w:sz w:val="22"/>
                <w:szCs w:val="22"/>
              </w:rPr>
            </w:pPr>
            <w:r w:rsidRPr="00936225">
              <w:rPr>
                <w:sz w:val="22"/>
                <w:szCs w:val="22"/>
              </w:rPr>
              <w:t>(m</w:t>
            </w:r>
            <w:r w:rsidRPr="00936225">
              <w:rPr>
                <w:sz w:val="22"/>
                <w:szCs w:val="22"/>
                <w:vertAlign w:val="superscript"/>
              </w:rPr>
              <w:t>3</w:t>
            </w:r>
            <w:r w:rsidRPr="00936225">
              <w:rPr>
                <w:sz w:val="22"/>
                <w:szCs w:val="22"/>
              </w:rPr>
              <w:t>/year)</w:t>
            </w:r>
          </w:p>
        </w:tc>
        <w:tc>
          <w:tcPr>
            <w:tcW w:w="992" w:type="dxa"/>
          </w:tcPr>
          <w:p w:rsidR="004A08DE" w:rsidRPr="00936225" w:rsidRDefault="004A08DE" w:rsidP="004A08DE">
            <w:pPr>
              <w:jc w:val="center"/>
              <w:rPr>
                <w:sz w:val="22"/>
                <w:szCs w:val="22"/>
              </w:rPr>
            </w:pPr>
            <w:r w:rsidRPr="00936225">
              <w:rPr>
                <w:sz w:val="22"/>
                <w:szCs w:val="22"/>
              </w:rPr>
              <w:t>Dry</w:t>
            </w:r>
          </w:p>
          <w:p w:rsidR="004A08DE" w:rsidRPr="00936225" w:rsidRDefault="004A08DE" w:rsidP="004A08DE">
            <w:pPr>
              <w:jc w:val="center"/>
              <w:rPr>
                <w:sz w:val="22"/>
                <w:szCs w:val="22"/>
              </w:rPr>
            </w:pPr>
            <w:r w:rsidRPr="00936225">
              <w:rPr>
                <w:sz w:val="22"/>
                <w:szCs w:val="22"/>
              </w:rPr>
              <w:t>Matter (%)</w:t>
            </w:r>
          </w:p>
        </w:tc>
        <w:tc>
          <w:tcPr>
            <w:tcW w:w="1418" w:type="dxa"/>
          </w:tcPr>
          <w:p w:rsidR="004A08DE" w:rsidRPr="00936225" w:rsidRDefault="004A08DE" w:rsidP="004A08DE">
            <w:pPr>
              <w:jc w:val="center"/>
              <w:rPr>
                <w:sz w:val="22"/>
                <w:szCs w:val="22"/>
              </w:rPr>
            </w:pPr>
            <w:r w:rsidRPr="00936225">
              <w:rPr>
                <w:sz w:val="22"/>
                <w:szCs w:val="22"/>
              </w:rPr>
              <w:t>Animal Solid Waste (tons/year)</w:t>
            </w:r>
          </w:p>
        </w:tc>
      </w:tr>
      <w:tr w:rsidR="004A08DE" w:rsidRPr="00936225" w:rsidTr="00FA5E38">
        <w:trPr>
          <w:cantSplit/>
          <w:jc w:val="center"/>
        </w:trPr>
        <w:tc>
          <w:tcPr>
            <w:tcW w:w="1101" w:type="dxa"/>
          </w:tcPr>
          <w:p w:rsidR="004A08DE" w:rsidRPr="003E4021" w:rsidRDefault="004A08DE" w:rsidP="00FA5E38">
            <w:pPr>
              <w:rPr>
                <w:sz w:val="22"/>
                <w:szCs w:val="22"/>
              </w:rPr>
            </w:pPr>
            <w:r>
              <w:rPr>
                <w:sz w:val="22"/>
                <w:szCs w:val="22"/>
              </w:rPr>
              <w:t>Cattle</w:t>
            </w:r>
          </w:p>
        </w:tc>
        <w:tc>
          <w:tcPr>
            <w:tcW w:w="1275" w:type="dxa"/>
          </w:tcPr>
          <w:p w:rsidR="004A08DE" w:rsidRPr="00936225" w:rsidRDefault="004A08DE" w:rsidP="004A08DE">
            <w:pPr>
              <w:jc w:val="center"/>
              <w:rPr>
                <w:sz w:val="22"/>
                <w:szCs w:val="22"/>
              </w:rPr>
            </w:pPr>
            <w:r w:rsidRPr="00936225">
              <w:rPr>
                <w:sz w:val="22"/>
                <w:szCs w:val="22"/>
              </w:rPr>
              <w:t>232</w:t>
            </w:r>
            <w:r>
              <w:rPr>
                <w:sz w:val="22"/>
                <w:szCs w:val="22"/>
              </w:rPr>
              <w:t>,</w:t>
            </w:r>
            <w:r w:rsidRPr="00936225">
              <w:rPr>
                <w:sz w:val="22"/>
                <w:szCs w:val="22"/>
              </w:rPr>
              <w:t>000</w:t>
            </w:r>
          </w:p>
        </w:tc>
        <w:tc>
          <w:tcPr>
            <w:tcW w:w="1418" w:type="dxa"/>
          </w:tcPr>
          <w:p w:rsidR="004A08DE" w:rsidRPr="00936225" w:rsidRDefault="004A08DE" w:rsidP="004A08DE">
            <w:pPr>
              <w:jc w:val="center"/>
              <w:rPr>
                <w:sz w:val="22"/>
                <w:szCs w:val="22"/>
              </w:rPr>
            </w:pPr>
            <w:r w:rsidRPr="00936225">
              <w:rPr>
                <w:sz w:val="22"/>
                <w:szCs w:val="22"/>
              </w:rPr>
              <w:t>42*</w:t>
            </w:r>
          </w:p>
        </w:tc>
        <w:tc>
          <w:tcPr>
            <w:tcW w:w="1276" w:type="dxa"/>
          </w:tcPr>
          <w:p w:rsidR="004A08DE" w:rsidRPr="00936225" w:rsidRDefault="004A08DE" w:rsidP="004A08DE">
            <w:pPr>
              <w:jc w:val="center"/>
              <w:rPr>
                <w:sz w:val="22"/>
                <w:szCs w:val="22"/>
              </w:rPr>
            </w:pPr>
            <w:r w:rsidRPr="00936225">
              <w:rPr>
                <w:sz w:val="22"/>
                <w:szCs w:val="22"/>
              </w:rPr>
              <w:t>9</w:t>
            </w:r>
            <w:r>
              <w:rPr>
                <w:sz w:val="22"/>
                <w:szCs w:val="22"/>
              </w:rPr>
              <w:t>,</w:t>
            </w:r>
            <w:r w:rsidRPr="00936225">
              <w:rPr>
                <w:sz w:val="22"/>
                <w:szCs w:val="22"/>
              </w:rPr>
              <w:t>744</w:t>
            </w:r>
            <w:r>
              <w:rPr>
                <w:sz w:val="22"/>
                <w:szCs w:val="22"/>
              </w:rPr>
              <w:t>,</w:t>
            </w:r>
            <w:r w:rsidRPr="00936225">
              <w:rPr>
                <w:sz w:val="22"/>
                <w:szCs w:val="22"/>
              </w:rPr>
              <w:t>000</w:t>
            </w:r>
          </w:p>
        </w:tc>
        <w:tc>
          <w:tcPr>
            <w:tcW w:w="992" w:type="dxa"/>
          </w:tcPr>
          <w:p w:rsidR="004A08DE" w:rsidRPr="00936225" w:rsidRDefault="004A08DE" w:rsidP="004A08DE">
            <w:pPr>
              <w:jc w:val="center"/>
              <w:rPr>
                <w:sz w:val="22"/>
                <w:szCs w:val="22"/>
              </w:rPr>
            </w:pPr>
            <w:r w:rsidRPr="00936225">
              <w:rPr>
                <w:sz w:val="22"/>
                <w:szCs w:val="22"/>
              </w:rPr>
              <w:t>9*</w:t>
            </w:r>
          </w:p>
        </w:tc>
        <w:tc>
          <w:tcPr>
            <w:tcW w:w="1418" w:type="dxa"/>
          </w:tcPr>
          <w:p w:rsidR="004A08DE" w:rsidRPr="00936225" w:rsidRDefault="004A08DE" w:rsidP="004A08DE">
            <w:pPr>
              <w:jc w:val="center"/>
              <w:rPr>
                <w:sz w:val="22"/>
                <w:szCs w:val="22"/>
              </w:rPr>
            </w:pPr>
            <w:r w:rsidRPr="00936225">
              <w:rPr>
                <w:sz w:val="22"/>
                <w:szCs w:val="22"/>
              </w:rPr>
              <w:t>877</w:t>
            </w:r>
          </w:p>
        </w:tc>
      </w:tr>
      <w:tr w:rsidR="004A08DE" w:rsidRPr="00936225" w:rsidTr="00FA5E38">
        <w:trPr>
          <w:cantSplit/>
          <w:jc w:val="center"/>
        </w:trPr>
        <w:tc>
          <w:tcPr>
            <w:tcW w:w="1101" w:type="dxa"/>
          </w:tcPr>
          <w:p w:rsidR="004A08DE" w:rsidRPr="00936225" w:rsidRDefault="004A08DE" w:rsidP="00FA5E38">
            <w:pPr>
              <w:rPr>
                <w:sz w:val="22"/>
                <w:szCs w:val="22"/>
              </w:rPr>
            </w:pPr>
            <w:r w:rsidRPr="00936225">
              <w:rPr>
                <w:sz w:val="22"/>
                <w:szCs w:val="22"/>
              </w:rPr>
              <w:t>Pigs</w:t>
            </w:r>
          </w:p>
        </w:tc>
        <w:tc>
          <w:tcPr>
            <w:tcW w:w="1275" w:type="dxa"/>
          </w:tcPr>
          <w:p w:rsidR="004A08DE" w:rsidRPr="00936225" w:rsidRDefault="004A08DE" w:rsidP="004A08DE">
            <w:pPr>
              <w:jc w:val="center"/>
              <w:rPr>
                <w:sz w:val="22"/>
                <w:szCs w:val="22"/>
              </w:rPr>
            </w:pPr>
            <w:r w:rsidRPr="00936225">
              <w:rPr>
                <w:sz w:val="22"/>
                <w:szCs w:val="22"/>
              </w:rPr>
              <w:t>299</w:t>
            </w:r>
            <w:r>
              <w:rPr>
                <w:sz w:val="22"/>
                <w:szCs w:val="22"/>
              </w:rPr>
              <w:t>,</w:t>
            </w:r>
            <w:r w:rsidRPr="00936225">
              <w:rPr>
                <w:sz w:val="22"/>
                <w:szCs w:val="22"/>
              </w:rPr>
              <w:t>000</w:t>
            </w:r>
          </w:p>
        </w:tc>
        <w:tc>
          <w:tcPr>
            <w:tcW w:w="1418" w:type="dxa"/>
          </w:tcPr>
          <w:p w:rsidR="004A08DE" w:rsidRPr="00936225" w:rsidRDefault="004A08DE" w:rsidP="004A08DE">
            <w:pPr>
              <w:jc w:val="center"/>
              <w:rPr>
                <w:sz w:val="22"/>
                <w:szCs w:val="22"/>
              </w:rPr>
            </w:pPr>
            <w:r w:rsidRPr="00936225">
              <w:rPr>
                <w:sz w:val="22"/>
                <w:szCs w:val="22"/>
              </w:rPr>
              <w:t>4,5*</w:t>
            </w:r>
          </w:p>
        </w:tc>
        <w:tc>
          <w:tcPr>
            <w:tcW w:w="1276" w:type="dxa"/>
          </w:tcPr>
          <w:p w:rsidR="004A08DE" w:rsidRPr="00936225" w:rsidRDefault="004A08DE" w:rsidP="004A08DE">
            <w:pPr>
              <w:jc w:val="center"/>
              <w:rPr>
                <w:sz w:val="22"/>
                <w:szCs w:val="22"/>
              </w:rPr>
            </w:pPr>
            <w:r w:rsidRPr="00936225">
              <w:rPr>
                <w:sz w:val="22"/>
                <w:szCs w:val="22"/>
              </w:rPr>
              <w:t>1</w:t>
            </w:r>
            <w:r>
              <w:rPr>
                <w:sz w:val="22"/>
                <w:szCs w:val="22"/>
              </w:rPr>
              <w:t>,</w:t>
            </w:r>
            <w:r w:rsidRPr="00936225">
              <w:rPr>
                <w:sz w:val="22"/>
                <w:szCs w:val="22"/>
              </w:rPr>
              <w:t>345</w:t>
            </w:r>
            <w:r>
              <w:rPr>
                <w:sz w:val="22"/>
                <w:szCs w:val="22"/>
              </w:rPr>
              <w:t>,</w:t>
            </w:r>
            <w:r w:rsidRPr="00936225">
              <w:rPr>
                <w:sz w:val="22"/>
                <w:szCs w:val="22"/>
              </w:rPr>
              <w:t>500</w:t>
            </w:r>
          </w:p>
        </w:tc>
        <w:tc>
          <w:tcPr>
            <w:tcW w:w="992" w:type="dxa"/>
          </w:tcPr>
          <w:p w:rsidR="004A08DE" w:rsidRPr="00936225" w:rsidRDefault="004A08DE" w:rsidP="004A08DE">
            <w:pPr>
              <w:jc w:val="center"/>
              <w:rPr>
                <w:sz w:val="22"/>
                <w:szCs w:val="22"/>
              </w:rPr>
            </w:pPr>
            <w:r w:rsidRPr="00936225">
              <w:rPr>
                <w:sz w:val="22"/>
                <w:szCs w:val="22"/>
              </w:rPr>
              <w:t>6*</w:t>
            </w:r>
          </w:p>
        </w:tc>
        <w:tc>
          <w:tcPr>
            <w:tcW w:w="1418" w:type="dxa"/>
          </w:tcPr>
          <w:p w:rsidR="004A08DE" w:rsidRPr="00936225" w:rsidRDefault="004A08DE" w:rsidP="004A08DE">
            <w:pPr>
              <w:jc w:val="center"/>
              <w:rPr>
                <w:sz w:val="22"/>
                <w:szCs w:val="22"/>
              </w:rPr>
            </w:pPr>
            <w:r w:rsidRPr="00936225">
              <w:rPr>
                <w:sz w:val="22"/>
                <w:szCs w:val="22"/>
              </w:rPr>
              <w:t>81</w:t>
            </w:r>
          </w:p>
        </w:tc>
      </w:tr>
      <w:tr w:rsidR="004A08DE" w:rsidRPr="00936225" w:rsidTr="00FA5E38">
        <w:trPr>
          <w:cantSplit/>
          <w:jc w:val="center"/>
        </w:trPr>
        <w:tc>
          <w:tcPr>
            <w:tcW w:w="1101" w:type="dxa"/>
          </w:tcPr>
          <w:p w:rsidR="004A08DE" w:rsidRPr="00936225" w:rsidRDefault="004A08DE" w:rsidP="00FA5E38">
            <w:pPr>
              <w:rPr>
                <w:sz w:val="22"/>
                <w:szCs w:val="22"/>
              </w:rPr>
            </w:pPr>
            <w:r w:rsidRPr="00936225">
              <w:rPr>
                <w:sz w:val="22"/>
                <w:szCs w:val="22"/>
              </w:rPr>
              <w:t>Horses</w:t>
            </w:r>
          </w:p>
        </w:tc>
        <w:tc>
          <w:tcPr>
            <w:tcW w:w="1275" w:type="dxa"/>
          </w:tcPr>
          <w:p w:rsidR="004A08DE" w:rsidRPr="00936225" w:rsidRDefault="004A08DE" w:rsidP="004A08DE">
            <w:pPr>
              <w:jc w:val="center"/>
              <w:rPr>
                <w:sz w:val="22"/>
                <w:szCs w:val="22"/>
              </w:rPr>
            </w:pPr>
            <w:r w:rsidRPr="00936225">
              <w:rPr>
                <w:sz w:val="22"/>
                <w:szCs w:val="22"/>
              </w:rPr>
              <w:t>58</w:t>
            </w:r>
            <w:r>
              <w:rPr>
                <w:sz w:val="22"/>
                <w:szCs w:val="22"/>
              </w:rPr>
              <w:t>,</w:t>
            </w:r>
            <w:r w:rsidRPr="00936225">
              <w:rPr>
                <w:sz w:val="22"/>
                <w:szCs w:val="22"/>
              </w:rPr>
              <w:t>000</w:t>
            </w:r>
          </w:p>
        </w:tc>
        <w:tc>
          <w:tcPr>
            <w:tcW w:w="1418" w:type="dxa"/>
          </w:tcPr>
          <w:p w:rsidR="004A08DE" w:rsidRPr="00936225" w:rsidRDefault="004A08DE" w:rsidP="004A08DE">
            <w:pPr>
              <w:jc w:val="center"/>
              <w:rPr>
                <w:sz w:val="22"/>
                <w:szCs w:val="22"/>
              </w:rPr>
            </w:pPr>
            <w:r w:rsidRPr="00936225">
              <w:rPr>
                <w:sz w:val="22"/>
                <w:szCs w:val="22"/>
              </w:rPr>
              <w:t>27**</w:t>
            </w:r>
          </w:p>
        </w:tc>
        <w:tc>
          <w:tcPr>
            <w:tcW w:w="1276" w:type="dxa"/>
          </w:tcPr>
          <w:p w:rsidR="004A08DE" w:rsidRPr="00936225" w:rsidRDefault="004A08DE" w:rsidP="004A08DE">
            <w:pPr>
              <w:jc w:val="center"/>
              <w:rPr>
                <w:sz w:val="22"/>
                <w:szCs w:val="22"/>
              </w:rPr>
            </w:pPr>
            <w:r w:rsidRPr="00936225">
              <w:rPr>
                <w:sz w:val="22"/>
                <w:szCs w:val="22"/>
              </w:rPr>
              <w:t>1</w:t>
            </w:r>
            <w:r>
              <w:rPr>
                <w:sz w:val="22"/>
                <w:szCs w:val="22"/>
              </w:rPr>
              <w:t>,</w:t>
            </w:r>
            <w:r w:rsidRPr="00936225">
              <w:rPr>
                <w:sz w:val="22"/>
                <w:szCs w:val="22"/>
              </w:rPr>
              <w:t>566</w:t>
            </w:r>
            <w:r>
              <w:rPr>
                <w:sz w:val="22"/>
                <w:szCs w:val="22"/>
              </w:rPr>
              <w:t>,</w:t>
            </w:r>
            <w:r w:rsidRPr="00936225">
              <w:rPr>
                <w:sz w:val="22"/>
                <w:szCs w:val="22"/>
              </w:rPr>
              <w:t>000</w:t>
            </w:r>
          </w:p>
        </w:tc>
        <w:tc>
          <w:tcPr>
            <w:tcW w:w="992" w:type="dxa"/>
          </w:tcPr>
          <w:p w:rsidR="004A08DE" w:rsidRPr="00936225" w:rsidRDefault="004A08DE" w:rsidP="004A08DE">
            <w:pPr>
              <w:jc w:val="center"/>
              <w:rPr>
                <w:sz w:val="22"/>
                <w:szCs w:val="22"/>
              </w:rPr>
            </w:pPr>
            <w:r w:rsidRPr="00936225">
              <w:rPr>
                <w:sz w:val="22"/>
                <w:szCs w:val="22"/>
              </w:rPr>
              <w:t>9**</w:t>
            </w:r>
          </w:p>
        </w:tc>
        <w:tc>
          <w:tcPr>
            <w:tcW w:w="1418" w:type="dxa"/>
          </w:tcPr>
          <w:p w:rsidR="004A08DE" w:rsidRPr="00936225" w:rsidRDefault="004A08DE" w:rsidP="004A08DE">
            <w:pPr>
              <w:jc w:val="center"/>
              <w:rPr>
                <w:sz w:val="22"/>
                <w:szCs w:val="22"/>
              </w:rPr>
            </w:pPr>
            <w:r w:rsidRPr="00936225">
              <w:rPr>
                <w:sz w:val="22"/>
                <w:szCs w:val="22"/>
              </w:rPr>
              <w:t>141</w:t>
            </w:r>
          </w:p>
        </w:tc>
      </w:tr>
      <w:tr w:rsidR="004A08DE" w:rsidRPr="00936225" w:rsidTr="00FA5E38">
        <w:trPr>
          <w:cantSplit/>
          <w:jc w:val="center"/>
        </w:trPr>
        <w:tc>
          <w:tcPr>
            <w:tcW w:w="1101" w:type="dxa"/>
          </w:tcPr>
          <w:p w:rsidR="004A08DE" w:rsidRPr="00936225" w:rsidRDefault="004A08DE" w:rsidP="00FA5E38">
            <w:pPr>
              <w:rPr>
                <w:sz w:val="22"/>
                <w:szCs w:val="22"/>
              </w:rPr>
            </w:pPr>
            <w:r w:rsidRPr="00936225">
              <w:rPr>
                <w:sz w:val="22"/>
                <w:szCs w:val="22"/>
              </w:rPr>
              <w:t>Sheep/</w:t>
            </w:r>
          </w:p>
          <w:p w:rsidR="004A08DE" w:rsidRPr="00936225" w:rsidRDefault="004A08DE" w:rsidP="00FA5E38">
            <w:pPr>
              <w:rPr>
                <w:sz w:val="22"/>
                <w:szCs w:val="22"/>
              </w:rPr>
            </w:pPr>
            <w:r w:rsidRPr="00936225">
              <w:rPr>
                <w:sz w:val="22"/>
                <w:szCs w:val="22"/>
              </w:rPr>
              <w:t>goats</w:t>
            </w:r>
          </w:p>
        </w:tc>
        <w:tc>
          <w:tcPr>
            <w:tcW w:w="1275" w:type="dxa"/>
          </w:tcPr>
          <w:p w:rsidR="004A08DE" w:rsidRPr="00936225" w:rsidRDefault="004A08DE" w:rsidP="004A08DE">
            <w:pPr>
              <w:jc w:val="center"/>
              <w:rPr>
                <w:sz w:val="22"/>
                <w:szCs w:val="22"/>
              </w:rPr>
            </w:pPr>
            <w:r w:rsidRPr="00936225">
              <w:rPr>
                <w:sz w:val="22"/>
                <w:szCs w:val="22"/>
              </w:rPr>
              <w:t>853</w:t>
            </w:r>
            <w:r>
              <w:rPr>
                <w:sz w:val="22"/>
                <w:szCs w:val="22"/>
              </w:rPr>
              <w:t>,</w:t>
            </w:r>
            <w:r w:rsidRPr="00936225">
              <w:rPr>
                <w:sz w:val="22"/>
                <w:szCs w:val="22"/>
              </w:rPr>
              <w:t>000</w:t>
            </w:r>
          </w:p>
        </w:tc>
        <w:tc>
          <w:tcPr>
            <w:tcW w:w="1418" w:type="dxa"/>
          </w:tcPr>
          <w:p w:rsidR="004A08DE" w:rsidRPr="00936225" w:rsidRDefault="004A08DE" w:rsidP="004A08DE">
            <w:pPr>
              <w:jc w:val="center"/>
              <w:rPr>
                <w:sz w:val="22"/>
                <w:szCs w:val="22"/>
              </w:rPr>
            </w:pPr>
            <w:r w:rsidRPr="00936225">
              <w:rPr>
                <w:sz w:val="22"/>
                <w:szCs w:val="22"/>
              </w:rPr>
              <w:t>1</w:t>
            </w:r>
            <w:r>
              <w:rPr>
                <w:sz w:val="22"/>
                <w:szCs w:val="22"/>
              </w:rPr>
              <w:t>.</w:t>
            </w:r>
            <w:r w:rsidRPr="00936225">
              <w:rPr>
                <w:sz w:val="22"/>
                <w:szCs w:val="22"/>
              </w:rPr>
              <w:t>8*</w:t>
            </w:r>
          </w:p>
        </w:tc>
        <w:tc>
          <w:tcPr>
            <w:tcW w:w="1276" w:type="dxa"/>
          </w:tcPr>
          <w:p w:rsidR="004A08DE" w:rsidRPr="00936225" w:rsidRDefault="004A08DE" w:rsidP="004A08DE">
            <w:pPr>
              <w:jc w:val="center"/>
              <w:rPr>
                <w:sz w:val="22"/>
                <w:szCs w:val="22"/>
              </w:rPr>
            </w:pPr>
            <w:r w:rsidRPr="00936225">
              <w:rPr>
                <w:sz w:val="22"/>
                <w:szCs w:val="22"/>
              </w:rPr>
              <w:t>1</w:t>
            </w:r>
            <w:r>
              <w:rPr>
                <w:sz w:val="22"/>
                <w:szCs w:val="22"/>
              </w:rPr>
              <w:t>,</w:t>
            </w:r>
            <w:r w:rsidRPr="00936225">
              <w:rPr>
                <w:sz w:val="22"/>
                <w:szCs w:val="22"/>
              </w:rPr>
              <w:t>535</w:t>
            </w:r>
            <w:r>
              <w:rPr>
                <w:sz w:val="22"/>
                <w:szCs w:val="22"/>
              </w:rPr>
              <w:t>,</w:t>
            </w:r>
            <w:r w:rsidRPr="00936225">
              <w:rPr>
                <w:sz w:val="22"/>
                <w:szCs w:val="22"/>
              </w:rPr>
              <w:t>400</w:t>
            </w:r>
          </w:p>
        </w:tc>
        <w:tc>
          <w:tcPr>
            <w:tcW w:w="992" w:type="dxa"/>
          </w:tcPr>
          <w:p w:rsidR="004A08DE" w:rsidRPr="00936225" w:rsidRDefault="004A08DE" w:rsidP="004A08DE">
            <w:pPr>
              <w:jc w:val="center"/>
              <w:rPr>
                <w:sz w:val="22"/>
                <w:szCs w:val="22"/>
              </w:rPr>
            </w:pPr>
            <w:r w:rsidRPr="00936225">
              <w:rPr>
                <w:sz w:val="22"/>
                <w:szCs w:val="22"/>
              </w:rPr>
              <w:t>10*</w:t>
            </w:r>
          </w:p>
        </w:tc>
        <w:tc>
          <w:tcPr>
            <w:tcW w:w="1418" w:type="dxa"/>
          </w:tcPr>
          <w:p w:rsidR="004A08DE" w:rsidRPr="00936225" w:rsidRDefault="004A08DE" w:rsidP="004A08DE">
            <w:pPr>
              <w:jc w:val="center"/>
              <w:rPr>
                <w:sz w:val="22"/>
                <w:szCs w:val="22"/>
              </w:rPr>
            </w:pPr>
            <w:r w:rsidRPr="00936225">
              <w:rPr>
                <w:sz w:val="22"/>
                <w:szCs w:val="22"/>
              </w:rPr>
              <w:t>154</w:t>
            </w:r>
          </w:p>
        </w:tc>
      </w:tr>
      <w:tr w:rsidR="004A08DE" w:rsidRPr="00936225" w:rsidTr="00FA5E38">
        <w:trPr>
          <w:cantSplit/>
          <w:jc w:val="center"/>
        </w:trPr>
        <w:tc>
          <w:tcPr>
            <w:tcW w:w="1101" w:type="dxa"/>
          </w:tcPr>
          <w:p w:rsidR="004A08DE" w:rsidRPr="00936225" w:rsidRDefault="004A08DE" w:rsidP="00FA5E38">
            <w:pPr>
              <w:pStyle w:val="Header"/>
              <w:rPr>
                <w:sz w:val="22"/>
                <w:szCs w:val="22"/>
              </w:rPr>
            </w:pPr>
            <w:r w:rsidRPr="00936225">
              <w:rPr>
                <w:sz w:val="22"/>
                <w:szCs w:val="22"/>
              </w:rPr>
              <w:t>Poultry</w:t>
            </w:r>
          </w:p>
        </w:tc>
        <w:tc>
          <w:tcPr>
            <w:tcW w:w="1275" w:type="dxa"/>
          </w:tcPr>
          <w:p w:rsidR="004A08DE" w:rsidRPr="00936225" w:rsidRDefault="004A08DE" w:rsidP="004A08DE">
            <w:pPr>
              <w:jc w:val="center"/>
              <w:rPr>
                <w:sz w:val="22"/>
                <w:szCs w:val="22"/>
              </w:rPr>
            </w:pPr>
            <w:r w:rsidRPr="00936225">
              <w:rPr>
                <w:sz w:val="22"/>
                <w:szCs w:val="22"/>
              </w:rPr>
              <w:t>17</w:t>
            </w:r>
            <w:r>
              <w:rPr>
                <w:sz w:val="22"/>
                <w:szCs w:val="22"/>
              </w:rPr>
              <w:t>,</w:t>
            </w:r>
            <w:r w:rsidRPr="00936225">
              <w:rPr>
                <w:sz w:val="22"/>
                <w:szCs w:val="22"/>
              </w:rPr>
              <w:t>000</w:t>
            </w:r>
            <w:r>
              <w:rPr>
                <w:sz w:val="22"/>
                <w:szCs w:val="22"/>
              </w:rPr>
              <w:t>,</w:t>
            </w:r>
            <w:r w:rsidRPr="00936225">
              <w:rPr>
                <w:sz w:val="22"/>
                <w:szCs w:val="22"/>
              </w:rPr>
              <w:t>000</w:t>
            </w:r>
          </w:p>
        </w:tc>
        <w:tc>
          <w:tcPr>
            <w:tcW w:w="1418" w:type="dxa"/>
          </w:tcPr>
          <w:p w:rsidR="004A08DE" w:rsidRPr="00A6299F" w:rsidRDefault="004A08DE" w:rsidP="004A08DE">
            <w:pPr>
              <w:jc w:val="center"/>
              <w:rPr>
                <w:sz w:val="22"/>
                <w:szCs w:val="22"/>
              </w:rPr>
            </w:pPr>
            <w:r w:rsidRPr="00936225">
              <w:rPr>
                <w:sz w:val="22"/>
                <w:szCs w:val="22"/>
              </w:rPr>
              <w:t>0</w:t>
            </w:r>
            <w:r>
              <w:rPr>
                <w:sz w:val="22"/>
                <w:szCs w:val="22"/>
              </w:rPr>
              <w:t>.</w:t>
            </w:r>
            <w:r w:rsidRPr="00936225">
              <w:rPr>
                <w:sz w:val="22"/>
                <w:szCs w:val="22"/>
              </w:rPr>
              <w:t>1*</w:t>
            </w:r>
            <w:r>
              <w:rPr>
                <w:sz w:val="22"/>
                <w:szCs w:val="22"/>
              </w:rPr>
              <w:t>*</w:t>
            </w:r>
          </w:p>
        </w:tc>
        <w:tc>
          <w:tcPr>
            <w:tcW w:w="1276" w:type="dxa"/>
          </w:tcPr>
          <w:p w:rsidR="004A08DE" w:rsidRPr="00936225" w:rsidRDefault="004A08DE" w:rsidP="004A08DE">
            <w:pPr>
              <w:jc w:val="center"/>
              <w:rPr>
                <w:sz w:val="22"/>
                <w:szCs w:val="22"/>
              </w:rPr>
            </w:pPr>
            <w:r w:rsidRPr="00936225">
              <w:rPr>
                <w:sz w:val="22"/>
                <w:szCs w:val="22"/>
              </w:rPr>
              <w:t>1</w:t>
            </w:r>
            <w:r>
              <w:rPr>
                <w:sz w:val="22"/>
                <w:szCs w:val="22"/>
              </w:rPr>
              <w:t>,</w:t>
            </w:r>
            <w:r w:rsidRPr="00936225">
              <w:rPr>
                <w:sz w:val="22"/>
                <w:szCs w:val="22"/>
              </w:rPr>
              <w:t>700</w:t>
            </w:r>
            <w:r>
              <w:rPr>
                <w:sz w:val="22"/>
                <w:szCs w:val="22"/>
              </w:rPr>
              <w:t>,</w:t>
            </w:r>
            <w:r w:rsidRPr="00936225">
              <w:rPr>
                <w:sz w:val="22"/>
                <w:szCs w:val="22"/>
              </w:rPr>
              <w:t>000</w:t>
            </w:r>
          </w:p>
        </w:tc>
        <w:tc>
          <w:tcPr>
            <w:tcW w:w="992" w:type="dxa"/>
          </w:tcPr>
          <w:p w:rsidR="004A08DE" w:rsidRPr="00936225" w:rsidRDefault="004A08DE" w:rsidP="004A08DE">
            <w:pPr>
              <w:jc w:val="center"/>
              <w:rPr>
                <w:sz w:val="22"/>
                <w:szCs w:val="22"/>
              </w:rPr>
            </w:pPr>
            <w:r w:rsidRPr="00936225">
              <w:rPr>
                <w:sz w:val="22"/>
                <w:szCs w:val="22"/>
              </w:rPr>
              <w:t>55**</w:t>
            </w:r>
          </w:p>
        </w:tc>
        <w:tc>
          <w:tcPr>
            <w:tcW w:w="1418" w:type="dxa"/>
          </w:tcPr>
          <w:p w:rsidR="004A08DE" w:rsidRPr="00936225" w:rsidRDefault="004A08DE" w:rsidP="004A08DE">
            <w:pPr>
              <w:jc w:val="center"/>
              <w:rPr>
                <w:sz w:val="22"/>
                <w:szCs w:val="22"/>
              </w:rPr>
            </w:pPr>
            <w:r w:rsidRPr="00936225">
              <w:rPr>
                <w:sz w:val="22"/>
                <w:szCs w:val="22"/>
              </w:rPr>
              <w:t>953</w:t>
            </w:r>
          </w:p>
        </w:tc>
      </w:tr>
      <w:tr w:rsidR="004A08DE" w:rsidRPr="00936225" w:rsidTr="00FA5E38">
        <w:trPr>
          <w:cantSplit/>
          <w:jc w:val="center"/>
        </w:trPr>
        <w:tc>
          <w:tcPr>
            <w:tcW w:w="1101" w:type="dxa"/>
          </w:tcPr>
          <w:p w:rsidR="004A08DE" w:rsidRPr="00936225" w:rsidRDefault="004A08DE" w:rsidP="00FA5E38">
            <w:pPr>
              <w:pStyle w:val="Header"/>
              <w:rPr>
                <w:sz w:val="22"/>
                <w:szCs w:val="22"/>
              </w:rPr>
            </w:pPr>
            <w:r w:rsidRPr="00936225">
              <w:rPr>
                <w:sz w:val="22"/>
                <w:szCs w:val="22"/>
              </w:rPr>
              <w:t>Total</w:t>
            </w:r>
          </w:p>
        </w:tc>
        <w:tc>
          <w:tcPr>
            <w:tcW w:w="1275" w:type="dxa"/>
          </w:tcPr>
          <w:p w:rsidR="004A08DE" w:rsidRPr="00936225" w:rsidRDefault="004A08DE" w:rsidP="004A08DE">
            <w:pPr>
              <w:jc w:val="center"/>
              <w:rPr>
                <w:sz w:val="22"/>
                <w:szCs w:val="22"/>
              </w:rPr>
            </w:pPr>
            <w:r w:rsidRPr="00936225">
              <w:rPr>
                <w:sz w:val="22"/>
                <w:szCs w:val="22"/>
              </w:rPr>
              <w:t>18</w:t>
            </w:r>
            <w:r>
              <w:rPr>
                <w:sz w:val="22"/>
                <w:szCs w:val="22"/>
              </w:rPr>
              <w:t>,</w:t>
            </w:r>
            <w:r w:rsidRPr="00936225">
              <w:rPr>
                <w:sz w:val="22"/>
                <w:szCs w:val="22"/>
              </w:rPr>
              <w:t>442</w:t>
            </w:r>
            <w:r>
              <w:rPr>
                <w:sz w:val="22"/>
                <w:szCs w:val="22"/>
              </w:rPr>
              <w:t>,</w:t>
            </w:r>
            <w:r w:rsidRPr="00936225">
              <w:rPr>
                <w:sz w:val="22"/>
                <w:szCs w:val="22"/>
              </w:rPr>
              <w:t>000</w:t>
            </w:r>
          </w:p>
        </w:tc>
        <w:tc>
          <w:tcPr>
            <w:tcW w:w="1418" w:type="dxa"/>
          </w:tcPr>
          <w:p w:rsidR="004A08DE" w:rsidRPr="00936225" w:rsidRDefault="004A08DE" w:rsidP="004A08DE">
            <w:pPr>
              <w:jc w:val="center"/>
              <w:rPr>
                <w:sz w:val="22"/>
                <w:szCs w:val="22"/>
              </w:rPr>
            </w:pPr>
          </w:p>
        </w:tc>
        <w:tc>
          <w:tcPr>
            <w:tcW w:w="1276" w:type="dxa"/>
          </w:tcPr>
          <w:p w:rsidR="004A08DE" w:rsidRPr="00936225" w:rsidRDefault="004A08DE" w:rsidP="004A08DE">
            <w:pPr>
              <w:jc w:val="center"/>
              <w:rPr>
                <w:sz w:val="22"/>
                <w:szCs w:val="22"/>
              </w:rPr>
            </w:pPr>
            <w:r w:rsidRPr="00936225">
              <w:rPr>
                <w:sz w:val="22"/>
                <w:szCs w:val="22"/>
              </w:rPr>
              <w:t>15</w:t>
            </w:r>
            <w:r>
              <w:rPr>
                <w:sz w:val="22"/>
                <w:szCs w:val="22"/>
              </w:rPr>
              <w:t>,</w:t>
            </w:r>
            <w:r w:rsidRPr="00936225">
              <w:rPr>
                <w:sz w:val="22"/>
                <w:szCs w:val="22"/>
              </w:rPr>
              <w:t>890</w:t>
            </w:r>
            <w:r>
              <w:rPr>
                <w:sz w:val="22"/>
                <w:szCs w:val="22"/>
              </w:rPr>
              <w:t>,</w:t>
            </w:r>
            <w:r w:rsidRPr="00936225">
              <w:rPr>
                <w:sz w:val="22"/>
                <w:szCs w:val="22"/>
              </w:rPr>
              <w:t>900</w:t>
            </w:r>
          </w:p>
        </w:tc>
        <w:tc>
          <w:tcPr>
            <w:tcW w:w="992" w:type="dxa"/>
          </w:tcPr>
          <w:p w:rsidR="004A08DE" w:rsidRPr="00936225" w:rsidRDefault="004A08DE" w:rsidP="004A08DE">
            <w:pPr>
              <w:jc w:val="center"/>
              <w:rPr>
                <w:sz w:val="22"/>
                <w:szCs w:val="22"/>
              </w:rPr>
            </w:pPr>
          </w:p>
        </w:tc>
        <w:tc>
          <w:tcPr>
            <w:tcW w:w="1418" w:type="dxa"/>
          </w:tcPr>
          <w:p w:rsidR="004A08DE" w:rsidRPr="00936225" w:rsidRDefault="004A08DE" w:rsidP="004A08DE">
            <w:pPr>
              <w:jc w:val="center"/>
              <w:rPr>
                <w:sz w:val="22"/>
                <w:szCs w:val="22"/>
              </w:rPr>
            </w:pPr>
            <w:r w:rsidRPr="00936225">
              <w:rPr>
                <w:sz w:val="22"/>
                <w:szCs w:val="22"/>
              </w:rPr>
              <w:t>2</w:t>
            </w:r>
            <w:r>
              <w:rPr>
                <w:sz w:val="22"/>
                <w:szCs w:val="22"/>
              </w:rPr>
              <w:t>,</w:t>
            </w:r>
            <w:r w:rsidRPr="00936225">
              <w:rPr>
                <w:sz w:val="22"/>
                <w:szCs w:val="22"/>
              </w:rPr>
              <w:t>206</w:t>
            </w:r>
          </w:p>
        </w:tc>
      </w:tr>
    </w:tbl>
    <w:p w:rsidR="004A08DE" w:rsidRDefault="004A08DE" w:rsidP="004A08DE">
      <w:pPr>
        <w:pStyle w:val="TOC1"/>
        <w:ind w:left="708"/>
      </w:pPr>
      <w:r>
        <w:t>* Source: TACIS Project “Prut River Tributaries”, Nutrient Management Study, 2001</w:t>
      </w:r>
    </w:p>
    <w:p w:rsidR="004A08DE" w:rsidRPr="00936225" w:rsidRDefault="004A08DE" w:rsidP="004A08DE">
      <w:pPr>
        <w:pStyle w:val="TOC1"/>
        <w:ind w:left="708"/>
      </w:pPr>
      <w:r>
        <w:t>** E</w:t>
      </w:r>
      <w:r w:rsidRPr="00936225">
        <w:t>stimate</w:t>
      </w:r>
      <w:r>
        <w:t>d</w:t>
      </w:r>
      <w:r w:rsidRPr="00936225">
        <w:t xml:space="preserve"> data</w:t>
      </w:r>
    </w:p>
    <w:p w:rsidR="004A08DE" w:rsidRDefault="004A08DE" w:rsidP="004A08DE">
      <w:pPr>
        <w:shd w:val="clear" w:color="auto" w:fill="FFFFFF"/>
        <w:jc w:val="both"/>
        <w:rPr>
          <w:i/>
        </w:rPr>
      </w:pPr>
    </w:p>
    <w:p w:rsidR="004A08DE" w:rsidRDefault="004A08DE" w:rsidP="003116D0">
      <w:pPr>
        <w:spacing w:before="240" w:after="120"/>
        <w:ind w:left="360"/>
        <w:jc w:val="both"/>
      </w:pPr>
    </w:p>
    <w:p w:rsidR="00EB7860" w:rsidRDefault="00B90C83" w:rsidP="00EB7860">
      <w:pPr>
        <w:spacing w:before="240" w:after="12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18230A">
        <w:t xml:space="preserve">The </w:t>
      </w:r>
      <w:r w:rsidR="00EB7860" w:rsidRPr="00EB7860">
        <w:t xml:space="preserve">production </w:t>
      </w:r>
      <w:r w:rsidR="0018230A">
        <w:t xml:space="preserve">of bio-energy </w:t>
      </w:r>
      <w:r w:rsidR="00EB7860" w:rsidRPr="00EB7860">
        <w:t>is strongly supported by the Law on Re</w:t>
      </w:r>
      <w:r w:rsidR="00D569EF">
        <w:t>newable Energy (passed in July</w:t>
      </w:r>
      <w:r w:rsidR="00EB7860" w:rsidRPr="00EB7860">
        <w:t xml:space="preserve"> 2007), which sets a very ambitious goal of usin</w:t>
      </w:r>
      <w:r w:rsidR="006C005E">
        <w:t>g renewable resources to supply</w:t>
      </w:r>
      <w:r w:rsidR="00EB7860" w:rsidRPr="00EB7860">
        <w:t xml:space="preserve"> 20% of the country’s energy needs by 2020. Among renewable energy sources, emphasis should be placed on bio-waste, especially waste that harms the environment such as animal manure. Using biogas technologies to convert local animal waste into electricity, fuel and fertilizer would allow the country to move towards incre</w:t>
      </w:r>
      <w:r w:rsidR="005E7493">
        <w:t>ased energy security and reduce</w:t>
      </w:r>
      <w:r w:rsidR="00EB7860" w:rsidRPr="00EB7860">
        <w:t xml:space="preserve"> GHG emissions into the atmosphere.  </w:t>
      </w:r>
    </w:p>
    <w:p w:rsidR="00D61CBE" w:rsidRDefault="00B90C83" w:rsidP="00D61CBE">
      <w:pPr>
        <w:spacing w:before="240" w:after="12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D61CBE" w:rsidRPr="007F1074">
        <w:t>However, there is no clear follow-up action plan, budget or related re</w:t>
      </w:r>
      <w:r w:rsidR="00D737F8">
        <w:t>gulations to achieve the l</w:t>
      </w:r>
      <w:r w:rsidR="00D61CBE">
        <w:t>aw’s goals</w:t>
      </w:r>
      <w:r w:rsidR="003730A3">
        <w:t xml:space="preserve">, and the need to tackle </w:t>
      </w:r>
      <w:r w:rsidR="0034161E">
        <w:t>the legal and regulatory framework</w:t>
      </w:r>
      <w:r w:rsidR="003730A3">
        <w:t xml:space="preserve"> as the first step for energy reform has been highlighted in donor </w:t>
      </w:r>
      <w:r w:rsidR="00D737F8">
        <w:t>policy advice to the Government of Moldova (GOM)</w:t>
      </w:r>
      <w:r w:rsidR="0022746B">
        <w:t xml:space="preserve">. </w:t>
      </w:r>
      <w:r w:rsidR="00D702F1">
        <w:t>The Law on Renewable Energy designates Moldova’s National Ag</w:t>
      </w:r>
      <w:r w:rsidR="00905245">
        <w:t>ency for Energy Regulation (ANRE</w:t>
      </w:r>
      <w:r w:rsidR="00D702F1">
        <w:t xml:space="preserve">) as the principal regulator of the renewable energy market with </w:t>
      </w:r>
      <w:r w:rsidR="00562774">
        <w:t>the responsibility of</w:t>
      </w:r>
      <w:r w:rsidR="00D702F1">
        <w:t xml:space="preserve"> set</w:t>
      </w:r>
      <w:r w:rsidR="00562774">
        <w:t>ting</w:t>
      </w:r>
      <w:r w:rsidR="00D702F1">
        <w:t xml:space="preserve"> tariffs, develop</w:t>
      </w:r>
      <w:r w:rsidR="00562774">
        <w:t>ing</w:t>
      </w:r>
      <w:r w:rsidR="00D702F1">
        <w:t xml:space="preserve"> commercial contracts for the supply of renewable energy and issu</w:t>
      </w:r>
      <w:r w:rsidR="00562774">
        <w:t>ing</w:t>
      </w:r>
      <w:r w:rsidR="00D702F1">
        <w:t xml:space="preserve"> licenses for th</w:t>
      </w:r>
      <w:r w:rsidR="0022746B">
        <w:t>e production of renewable fuel.</w:t>
      </w:r>
      <w:r w:rsidR="00D702F1">
        <w:t xml:space="preserve"> </w:t>
      </w:r>
      <w:r w:rsidR="00D61CBE" w:rsidRPr="007F1074">
        <w:t xml:space="preserve">The project will </w:t>
      </w:r>
      <w:r w:rsidR="00562774">
        <w:t>support</w:t>
      </w:r>
      <w:r w:rsidR="00905245">
        <w:t xml:space="preserve"> ANRE</w:t>
      </w:r>
      <w:r w:rsidR="00D702F1">
        <w:t xml:space="preserve"> </w:t>
      </w:r>
      <w:r w:rsidR="00562774">
        <w:t>i</w:t>
      </w:r>
      <w:r w:rsidR="00D702F1">
        <w:t xml:space="preserve">n </w:t>
      </w:r>
      <w:r w:rsidR="006E457E">
        <w:t xml:space="preserve">implementing the law’s provisions </w:t>
      </w:r>
      <w:r w:rsidR="00D61CBE" w:rsidRPr="007F1074">
        <w:t>for on</w:t>
      </w:r>
      <w:r w:rsidR="0034161E">
        <w:t>e type of renewable energy</w:t>
      </w:r>
      <w:r w:rsidR="00327F1C">
        <w:t>:</w:t>
      </w:r>
      <w:r w:rsidR="0034161E">
        <w:t xml:space="preserve"> promoting </w:t>
      </w:r>
      <w:r w:rsidR="00D61CBE" w:rsidRPr="007F1074">
        <w:t xml:space="preserve">the use of </w:t>
      </w:r>
      <w:r w:rsidR="00F335B2">
        <w:t>biodigesters</w:t>
      </w:r>
      <w:r w:rsidR="00D61CBE" w:rsidRPr="007F1074">
        <w:t xml:space="preserve"> in Moldova. Project activities will include development of the specifications for </w:t>
      </w:r>
      <w:r w:rsidR="00F335B2">
        <w:t>biodigesters</w:t>
      </w:r>
      <w:r w:rsidR="00D61CBE" w:rsidRPr="007F1074">
        <w:t xml:space="preserve"> and assistance with </w:t>
      </w:r>
      <w:r w:rsidR="005E7493">
        <w:t xml:space="preserve">the licensing and authorization of their </w:t>
      </w:r>
      <w:r w:rsidR="0034161E">
        <w:t>use in Moldova.  Furthermore</w:t>
      </w:r>
      <w:r w:rsidR="00D61CBE" w:rsidRPr="007F1074">
        <w:t xml:space="preserve">, while there are regulations permitting the sale of surplus energy from renewable resources into the grid, </w:t>
      </w:r>
      <w:r w:rsidR="005E7493">
        <w:t>there is need for easier</w:t>
      </w:r>
      <w:r w:rsidR="0022746B">
        <w:t xml:space="preserve"> access by smaller producers. </w:t>
      </w:r>
      <w:r w:rsidR="00327F1C">
        <w:t xml:space="preserve">The </w:t>
      </w:r>
      <w:r w:rsidR="00562774">
        <w:t>project will also support</w:t>
      </w:r>
      <w:r w:rsidR="00144F0B">
        <w:t xml:space="preserve"> </w:t>
      </w:r>
      <w:r w:rsidR="00905245">
        <w:t>ANRE</w:t>
      </w:r>
      <w:r w:rsidR="006E457E">
        <w:t xml:space="preserve"> </w:t>
      </w:r>
      <w:r w:rsidR="008853A0">
        <w:t>in</w:t>
      </w:r>
      <w:r w:rsidR="00327F1C">
        <w:t xml:space="preserve"> facilitating</w:t>
      </w:r>
      <w:r w:rsidR="00D61CBE" w:rsidRPr="007F1074">
        <w:t xml:space="preserve"> the sale</w:t>
      </w:r>
      <w:r w:rsidR="0086295D">
        <w:t xml:space="preserve"> of electricity </w:t>
      </w:r>
      <w:r w:rsidR="00327F1C">
        <w:t xml:space="preserve">generated </w:t>
      </w:r>
      <w:r w:rsidR="006E457E">
        <w:t xml:space="preserve">from biogas </w:t>
      </w:r>
      <w:r w:rsidR="0086295D">
        <w:t>into the grid</w:t>
      </w:r>
      <w:r w:rsidR="005E7493">
        <w:t xml:space="preserve">, including the </w:t>
      </w:r>
      <w:r w:rsidR="00D702F1">
        <w:t xml:space="preserve">tariffs </w:t>
      </w:r>
      <w:r w:rsidR="006E457E">
        <w:t xml:space="preserve">to be applied and </w:t>
      </w:r>
      <w:r w:rsidR="00D61CBE" w:rsidRPr="007F1074">
        <w:t xml:space="preserve">conditions and procedures for </w:t>
      </w:r>
      <w:r w:rsidR="0086295D" w:rsidRPr="007F1074">
        <w:t xml:space="preserve">smaller producers </w:t>
      </w:r>
      <w:r w:rsidR="0086295D">
        <w:t>to supply</w:t>
      </w:r>
      <w:r w:rsidR="0034161E">
        <w:t xml:space="preserve"> electricity </w:t>
      </w:r>
      <w:r w:rsidR="0086295D">
        <w:t>to the grid</w:t>
      </w:r>
      <w:r w:rsidR="00D61CBE" w:rsidRPr="007F1074">
        <w:t xml:space="preserve">. </w:t>
      </w:r>
    </w:p>
    <w:p w:rsidR="00476EE5" w:rsidRDefault="00B90C83" w:rsidP="00476EE5">
      <w:pPr>
        <w:tabs>
          <w:tab w:val="left" w:pos="450"/>
        </w:tabs>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86295D" w:rsidRPr="007F1074">
        <w:t>Overall, the project will, therefore, contribute to the implementation of the Law on Renewable Energy by piloting alternative – renewable – sources of energy (biogas), which should provide benefits at the farm level of reducing emissions and  pollution (in p</w:t>
      </w:r>
      <w:r w:rsidR="002B6597">
        <w:t xml:space="preserve">articular, water pollution) while </w:t>
      </w:r>
      <w:r w:rsidR="0086295D" w:rsidRPr="007F1074">
        <w:t xml:space="preserve">improving on-farm operational efficiency. The project will make international legal and technical advisors available, as necessary, who will work together with local experts to update the legal framework. </w:t>
      </w:r>
    </w:p>
    <w:p w:rsidR="00476EE5" w:rsidRPr="007F1074" w:rsidRDefault="00476EE5" w:rsidP="00476EE5">
      <w:pPr>
        <w:tabs>
          <w:tab w:val="left" w:pos="450"/>
        </w:tabs>
        <w:ind w:left="360"/>
        <w:jc w:val="both"/>
      </w:pPr>
    </w:p>
    <w:p w:rsidR="00D569EF" w:rsidRPr="0022746B" w:rsidRDefault="00B90C83" w:rsidP="0022746B">
      <w:pPr>
        <w:ind w:left="360"/>
        <w:jc w:val="both"/>
        <w:rPr>
          <w:color w:val="000000"/>
        </w:rPr>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34161E" w:rsidRPr="0022746B">
        <w:t xml:space="preserve">The </w:t>
      </w:r>
      <w:r w:rsidR="00D737F8" w:rsidRPr="0022746B">
        <w:t xml:space="preserve">poverty analysis contained within the </w:t>
      </w:r>
      <w:r w:rsidR="0034161E" w:rsidRPr="0022746B">
        <w:t>National Development Strategy</w:t>
      </w:r>
      <w:r w:rsidR="00D737F8" w:rsidRPr="0022746B">
        <w:t xml:space="preserve"> (2008-2011) </w:t>
      </w:r>
      <w:r w:rsidR="00D569EF" w:rsidRPr="0022746B">
        <w:t>indicates</w:t>
      </w:r>
      <w:r w:rsidR="003116D0" w:rsidRPr="0022746B">
        <w:t xml:space="preserve"> that Moldova’s transition to a market economy has been accompanied by a widening gap between the urban and rural sectors</w:t>
      </w:r>
      <w:r w:rsidR="0018230A" w:rsidRPr="0022746B">
        <w:t>,</w:t>
      </w:r>
      <w:r w:rsidR="003116D0" w:rsidRPr="0022746B">
        <w:t xml:space="preserve"> </w:t>
      </w:r>
      <w:r w:rsidR="00D569EF" w:rsidRPr="0022746B">
        <w:t xml:space="preserve">and investments to modernize </w:t>
      </w:r>
      <w:r w:rsidR="003116D0" w:rsidRPr="0022746B">
        <w:t>the agricultur</w:t>
      </w:r>
      <w:r w:rsidR="00D569EF" w:rsidRPr="0022746B">
        <w:t xml:space="preserve">al sector are a priority for </w:t>
      </w:r>
      <w:r w:rsidR="003116D0" w:rsidRPr="0022746B">
        <w:t>rural economic development</w:t>
      </w:r>
      <w:r w:rsidR="00D569EF" w:rsidRPr="0022746B">
        <w:t xml:space="preserve"> and reducing the divide</w:t>
      </w:r>
      <w:r w:rsidR="003116D0" w:rsidRPr="0022746B">
        <w:t>.</w:t>
      </w:r>
      <w:r w:rsidR="0022746B">
        <w:t xml:space="preserve"> </w:t>
      </w:r>
      <w:r w:rsidR="0022746B">
        <w:rPr>
          <w:color w:val="000000"/>
        </w:rPr>
        <w:t xml:space="preserve">The </w:t>
      </w:r>
      <w:r w:rsidR="0022746B" w:rsidRPr="0022746B">
        <w:rPr>
          <w:color w:val="000000"/>
        </w:rPr>
        <w:t xml:space="preserve">poverty </w:t>
      </w:r>
      <w:r w:rsidR="0022746B">
        <w:rPr>
          <w:color w:val="000000"/>
        </w:rPr>
        <w:t>analysis also</w:t>
      </w:r>
      <w:r w:rsidR="0022746B" w:rsidRPr="0022746B">
        <w:rPr>
          <w:color w:val="000000"/>
        </w:rPr>
        <w:t xml:space="preserve"> shows that the increase in energy prices has a negative impact on poverty levels</w:t>
      </w:r>
      <w:r w:rsidR="0022746B">
        <w:rPr>
          <w:color w:val="000000"/>
        </w:rPr>
        <w:t xml:space="preserve">: </w:t>
      </w:r>
      <w:r w:rsidR="0022746B" w:rsidRPr="0022746B">
        <w:rPr>
          <w:color w:val="000000"/>
        </w:rPr>
        <w:t xml:space="preserve">a 10% increase in the price of energy directly increases </w:t>
      </w:r>
      <w:r w:rsidR="00FD39BF">
        <w:rPr>
          <w:color w:val="000000"/>
        </w:rPr>
        <w:t xml:space="preserve">the </w:t>
      </w:r>
      <w:r w:rsidR="0022746B" w:rsidRPr="0022746B">
        <w:rPr>
          <w:color w:val="000000"/>
        </w:rPr>
        <w:t xml:space="preserve">poverty rate by 0.8%. The poor spend relatively large amounts of their income on wood and electricity and are impacted by their prices. The impact of an energy price increase is greater in rural areas and in the North, which are relatively poor areas. The situation is further exacerbated by the fact that remittances sent to Moldova by those working overseas are in sharp decline due to the financial and economic crisis, which has affected, in particular, the rural poor. </w:t>
      </w:r>
      <w:r w:rsidR="00313839">
        <w:t>Improvements in the diversification of energy supplies should help to constrain price increases.</w:t>
      </w:r>
    </w:p>
    <w:p w:rsidR="00EB7860" w:rsidRDefault="00B90C83" w:rsidP="00D569EF">
      <w:pPr>
        <w:spacing w:before="240" w:after="12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EB7860" w:rsidRPr="00E30154">
        <w:t xml:space="preserve">The project will provide an </w:t>
      </w:r>
      <w:r w:rsidR="00EB7860" w:rsidRPr="0018230A">
        <w:t>integrated approach</w:t>
      </w:r>
      <w:r w:rsidR="00EB7860" w:rsidRPr="00E30154">
        <w:t xml:space="preserve"> to piloting the use of renewable energy sources, in particular, biogas. It will contribute to the reduction of climate change effects, the reduction of water resource pollution, bring benefits to the energy sector through the introduction of environmentally friendly energy installations, as well as increase efficiency in the agricultural sector. The proj</w:t>
      </w:r>
      <w:r w:rsidR="00B55F3A">
        <w:t xml:space="preserve">ect is a follow-up to the GEF-supported </w:t>
      </w:r>
      <w:r w:rsidR="00EB7860" w:rsidRPr="00E30154">
        <w:t xml:space="preserve">Agricultural Pollution Control Project (APCP), which </w:t>
      </w:r>
      <w:r w:rsidR="00B55F3A">
        <w:t xml:space="preserve">successfully </w:t>
      </w:r>
      <w:r w:rsidR="00EB7860" w:rsidRPr="00E30154">
        <w:t xml:space="preserve">piloted the installation of </w:t>
      </w:r>
      <w:r w:rsidR="00476EE5">
        <w:t xml:space="preserve">cattle </w:t>
      </w:r>
      <w:r w:rsidR="00EB7860" w:rsidRPr="00E30154">
        <w:t>manure management platforms on private farms and in village communities.</w:t>
      </w:r>
    </w:p>
    <w:p w:rsidR="00850CB7" w:rsidRDefault="00850CB7">
      <w:pPr>
        <w:ind w:left="360"/>
        <w:rPr>
          <w:rFonts w:ascii="Times New Roman Bold" w:hAnsi="Times New Roman Bold"/>
        </w:rPr>
      </w:pPr>
    </w:p>
    <w:p w:rsidR="00022CD3" w:rsidRDefault="00022CD3">
      <w:pPr>
        <w:pStyle w:val="Heading6"/>
        <w:rPr>
          <w:rFonts w:ascii="Times New Roman Bold" w:hAnsi="Times New Roman Bold"/>
        </w:rPr>
      </w:pPr>
      <w:r>
        <w:rPr>
          <w:rFonts w:ascii="Times New Roman Bold" w:hAnsi="Times New Roman Bold"/>
        </w:rPr>
        <w:t>B - Country ownership</w:t>
      </w:r>
    </w:p>
    <w:p w:rsidR="00313839" w:rsidRPr="00313839" w:rsidRDefault="00313839" w:rsidP="00313839"/>
    <w:p w:rsidR="00022CD3" w:rsidRDefault="00022CD3" w:rsidP="00EE1115">
      <w:pPr>
        <w:numPr>
          <w:ilvl w:val="0"/>
          <w:numId w:val="3"/>
        </w:numPr>
        <w:tabs>
          <w:tab w:val="clear" w:pos="360"/>
          <w:tab w:val="num" w:pos="720"/>
        </w:tabs>
        <w:ind w:left="720"/>
        <w:rPr>
          <w:smallCaps/>
        </w:rPr>
      </w:pPr>
      <w:r>
        <w:rPr>
          <w:smallCaps/>
        </w:rPr>
        <w:t>Country Eligibility</w:t>
      </w:r>
    </w:p>
    <w:p w:rsidR="00D33F97" w:rsidRDefault="00D33F97" w:rsidP="003E4F8E">
      <w:pPr>
        <w:autoSpaceDE w:val="0"/>
        <w:autoSpaceDN w:val="0"/>
        <w:adjustRightInd w:val="0"/>
        <w:ind w:left="360"/>
        <w:jc w:val="both"/>
      </w:pPr>
    </w:p>
    <w:p w:rsidR="003E4F8E" w:rsidRPr="003E4F8E" w:rsidRDefault="00B90C83" w:rsidP="003E4F8E">
      <w:pPr>
        <w:pStyle w:val="Default"/>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3E4F8E" w:rsidRPr="003E4F8E">
        <w:t>T</w:t>
      </w:r>
      <w:r w:rsidR="00D569EF">
        <w:t>he G</w:t>
      </w:r>
      <w:r w:rsidR="00313839">
        <w:t xml:space="preserve">overnment of Moldova (GOM) has ratified the UN Framework Convention on Climate Change (UNFCCC) and </w:t>
      </w:r>
      <w:r w:rsidR="006C005E">
        <w:t xml:space="preserve">the proposed project </w:t>
      </w:r>
      <w:r w:rsidR="00313839">
        <w:t>meets the GEF strategic objective CC3 promoting market approaches for renewable energy. Furthermore</w:t>
      </w:r>
      <w:r w:rsidR="00C476F3">
        <w:t xml:space="preserve">, </w:t>
      </w:r>
      <w:r w:rsidR="00313839">
        <w:t xml:space="preserve">GOM </w:t>
      </w:r>
      <w:r w:rsidR="003E4F8E">
        <w:t xml:space="preserve">is </w:t>
      </w:r>
      <w:r w:rsidR="00313839">
        <w:t xml:space="preserve">a </w:t>
      </w:r>
      <w:r w:rsidR="003E4F8E">
        <w:t>signatory to the Kyoto Protocol</w:t>
      </w:r>
      <w:r w:rsidR="00D569EF">
        <w:t>,</w:t>
      </w:r>
      <w:r w:rsidR="003E4F8E">
        <w:t xml:space="preserve"> and</w:t>
      </w:r>
      <w:r w:rsidR="00D569EF">
        <w:t>,</w:t>
      </w:r>
      <w:r w:rsidR="003E4F8E">
        <w:t xml:space="preserve"> under its</w:t>
      </w:r>
      <w:r w:rsidR="003E4F8E" w:rsidRPr="003E4F8E">
        <w:t xml:space="preserve"> Clean Development Mechanism (CDM)</w:t>
      </w:r>
      <w:r w:rsidR="00D569EF">
        <w:t>,</w:t>
      </w:r>
      <w:r w:rsidR="003E4F8E">
        <w:t xml:space="preserve"> with </w:t>
      </w:r>
      <w:r w:rsidR="003E4F8E" w:rsidRPr="003E4F8E">
        <w:t xml:space="preserve">World Bank sponsorship </w:t>
      </w:r>
      <w:r w:rsidR="00C476F3">
        <w:t xml:space="preserve">will develop activities complementary to this GEF-financed project, to </w:t>
      </w:r>
      <w:r w:rsidR="003E4F8E" w:rsidRPr="003E4F8E">
        <w:t>develop and finance biogas development</w:t>
      </w:r>
      <w:r w:rsidR="00DA5D6B">
        <w:t xml:space="preserve"> in the country.</w:t>
      </w:r>
    </w:p>
    <w:p w:rsidR="004C1201" w:rsidRDefault="004C1201" w:rsidP="003E4F8E">
      <w:pPr>
        <w:autoSpaceDE w:val="0"/>
        <w:autoSpaceDN w:val="0"/>
        <w:adjustRightInd w:val="0"/>
        <w:ind w:left="360"/>
        <w:jc w:val="both"/>
      </w:pPr>
    </w:p>
    <w:p w:rsidR="00022CD3" w:rsidRDefault="00EB7860" w:rsidP="00EE1115">
      <w:pPr>
        <w:numPr>
          <w:ilvl w:val="0"/>
          <w:numId w:val="3"/>
        </w:numPr>
        <w:tabs>
          <w:tab w:val="clear" w:pos="360"/>
          <w:tab w:val="num" w:pos="720"/>
        </w:tabs>
        <w:ind w:left="720"/>
        <w:rPr>
          <w:smallCaps/>
        </w:rPr>
      </w:pPr>
      <w:r>
        <w:rPr>
          <w:smallCaps/>
        </w:rPr>
        <w:t>Country Dr</w:t>
      </w:r>
      <w:r w:rsidR="00632BEC">
        <w:rPr>
          <w:smallCaps/>
        </w:rPr>
        <w:t>iven</w:t>
      </w:r>
      <w:r w:rsidR="00022CD3">
        <w:rPr>
          <w:smallCaps/>
        </w:rPr>
        <w:t>ness</w:t>
      </w:r>
    </w:p>
    <w:p w:rsidR="00072985" w:rsidRDefault="00B90C83" w:rsidP="003E4F8E">
      <w:pPr>
        <w:spacing w:before="240" w:after="12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072985" w:rsidRPr="00072985">
        <w:t>Moldova is fully dependent on imported energy, and most of its energy supply comes from fossil fuel. Energy security, therefore, is an important issue. The existing legal and regulatory framework in Moldova does support the development of renewable resources. A number of laws and regulatory documents have been approved that support implementation of renewable energy resource te</w:t>
      </w:r>
      <w:r w:rsidR="00313839">
        <w:t xml:space="preserve">chnologies, including the </w:t>
      </w:r>
      <w:r w:rsidR="00072985" w:rsidRPr="00072985">
        <w:t>production</w:t>
      </w:r>
      <w:r w:rsidR="00313839">
        <w:t xml:space="preserve"> of bio</w:t>
      </w:r>
      <w:r w:rsidR="00FB67ED">
        <w:t>-</w:t>
      </w:r>
      <w:r w:rsidR="00313839">
        <w:t>energy</w:t>
      </w:r>
      <w:r w:rsidR="00072985" w:rsidRPr="00072985">
        <w:t>. One of the most important documents, in this regard, is the “Energy Strategy of the Republic of Moldova until 2020” approved by Government Resolution no. 958 dated 21.08.2007, which sets forth the following objectives: (i) ensure energy security; (ii) promote energy efficiency and use of renewable energy; (iii) liberalize the energy market and restructure the energy complex according to European Union requirements; and (iv) increase the country’s capacity to produce its own electricity.</w:t>
      </w:r>
    </w:p>
    <w:p w:rsidR="0086295D" w:rsidRDefault="00B90C83" w:rsidP="0086295D">
      <w:pPr>
        <w:spacing w:before="240" w:after="12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86295D" w:rsidRPr="00072985">
        <w:t>The Law on Renewable Energy (160-XVI), dated 12.07.2007, establishes the goal of using renewable sources to address around 20% of energy needs by 2020. The law provides a framework for promoting various types of renewable energy. At the same time, the Government of Moldova is keen to support the development of alternative energy sources and willing to introduce supportive institutional and policy measures to provide traction and long-term sustain</w:t>
      </w:r>
      <w:r w:rsidR="00FB67ED">
        <w:t xml:space="preserve">ability </w:t>
      </w:r>
      <w:r w:rsidR="00DA5D6B">
        <w:t>to the planned program.  In ANRE</w:t>
      </w:r>
      <w:r w:rsidR="00FB67ED">
        <w:t xml:space="preserve"> it has an energy regulator with clear responsibilities in the renewable ene</w:t>
      </w:r>
      <w:r w:rsidR="00A065C1">
        <w:t xml:space="preserve">rgy field, as well as </w:t>
      </w:r>
      <w:r w:rsidR="00327F1C">
        <w:t xml:space="preserve">a </w:t>
      </w:r>
      <w:r w:rsidR="00A065C1">
        <w:t>strong counterpart organization</w:t>
      </w:r>
      <w:r w:rsidR="00327F1C">
        <w:t xml:space="preserve"> to work with</w:t>
      </w:r>
      <w:r w:rsidR="006E38EB">
        <w:t xml:space="preserve"> the project </w:t>
      </w:r>
      <w:r w:rsidR="008A27D7">
        <w:t>to put in place the enabling framework for exploiting biogas production.</w:t>
      </w:r>
    </w:p>
    <w:p w:rsidR="00072985" w:rsidRPr="00072985" w:rsidRDefault="00B90C83" w:rsidP="003E4F8E">
      <w:pPr>
        <w:spacing w:before="240" w:after="12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072985" w:rsidRPr="00072985">
        <w:t xml:space="preserve">The National Development Strategy also includes programs and measures supporting the efficient use of natural resources and preserving the quality of the environment through energy efficiency, promotion of renewable energy and cleaner production. </w:t>
      </w:r>
    </w:p>
    <w:p w:rsidR="00995B5B" w:rsidRDefault="00B90C83" w:rsidP="003E4F8E">
      <w:pPr>
        <w:spacing w:before="240" w:after="12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995B5B">
        <w:t>With GEF support</w:t>
      </w:r>
      <w:r w:rsidR="002026AE">
        <w:t>,</w:t>
      </w:r>
      <w:r w:rsidR="00995B5B">
        <w:t xml:space="preserve"> </w:t>
      </w:r>
      <w:r w:rsidR="002026AE">
        <w:t xml:space="preserve">the Government </w:t>
      </w:r>
      <w:r w:rsidR="00995B5B">
        <w:t>implemented the Agricultural Pollution Control Project (APCP)</w:t>
      </w:r>
      <w:r w:rsidR="002026AE">
        <w:t>,</w:t>
      </w:r>
      <w:r w:rsidR="00995B5B">
        <w:t xml:space="preserve"> which piloted actions to reduce the impact of animal waste on the environment both at the communal level and on individual </w:t>
      </w:r>
      <w:r w:rsidR="002026AE">
        <w:t>farms</w:t>
      </w:r>
      <w:r w:rsidR="00B55F3A">
        <w:t>, between 2004</w:t>
      </w:r>
      <w:r w:rsidR="002026AE">
        <w:t xml:space="preserve"> and 2009.</w:t>
      </w:r>
      <w:r w:rsidR="00995B5B">
        <w:t xml:space="preserve">  While this project focused on avoiding the pollution of water bodies through safer storage of </w:t>
      </w:r>
      <w:r w:rsidR="00B55F3A">
        <w:t xml:space="preserve">animal </w:t>
      </w:r>
      <w:r w:rsidR="00995B5B">
        <w:t xml:space="preserve">waste, it also </w:t>
      </w:r>
      <w:r w:rsidR="0086295D">
        <w:t>examined</w:t>
      </w:r>
      <w:r w:rsidR="00995B5B">
        <w:t xml:space="preserve"> the opportunities for using the waste as a s</w:t>
      </w:r>
      <w:r w:rsidR="006F04B5">
        <w:t>ource of energy.</w:t>
      </w:r>
      <w:r w:rsidR="00DA5D6B">
        <w:t xml:space="preserve"> </w:t>
      </w:r>
      <w:r w:rsidR="002026AE">
        <w:t>The ICR confirms that the project was implemented successfully and that its development and global environmental objectives were</w:t>
      </w:r>
      <w:r w:rsidR="00B55F3A">
        <w:t xml:space="preserve"> largely</w:t>
      </w:r>
      <w:r w:rsidR="002026AE">
        <w:t xml:space="preserve"> achieved</w:t>
      </w:r>
      <w:r w:rsidR="00DA5D6B">
        <w:t xml:space="preserve">. </w:t>
      </w:r>
      <w:r w:rsidR="00455D1D">
        <w:t xml:space="preserve">GOM wishes </w:t>
      </w:r>
      <w:r w:rsidR="0086295D">
        <w:t>to bu</w:t>
      </w:r>
      <w:r w:rsidR="006C005E">
        <w:t>ild on this experience and take a</w:t>
      </w:r>
      <w:r w:rsidR="004A613B">
        <w:t xml:space="preserve"> further</w:t>
      </w:r>
      <w:r w:rsidR="006C005E">
        <w:t xml:space="preserve"> step to</w:t>
      </w:r>
      <w:r w:rsidR="0086295D">
        <w:t>wards developing a</w:t>
      </w:r>
      <w:r w:rsidR="00B55F3A">
        <w:t xml:space="preserve"> more efficient and environmentally </w:t>
      </w:r>
      <w:r w:rsidR="0086295D">
        <w:t>friendly agricultur</w:t>
      </w:r>
      <w:r w:rsidR="004A613B">
        <w:t>al sector</w:t>
      </w:r>
      <w:r w:rsidR="0086295D">
        <w:t>.</w:t>
      </w:r>
    </w:p>
    <w:p w:rsidR="00022CD3" w:rsidRDefault="00022CD3">
      <w:pPr>
        <w:ind w:left="360"/>
      </w:pPr>
    </w:p>
    <w:p w:rsidR="00022CD3" w:rsidRDefault="00022CD3">
      <w:pPr>
        <w:pStyle w:val="Heading6"/>
        <w:rPr>
          <w:rFonts w:ascii="Times New Roman Bold" w:hAnsi="Times New Roman Bold"/>
        </w:rPr>
      </w:pPr>
      <w:r>
        <w:rPr>
          <w:rFonts w:ascii="Times New Roman Bold" w:hAnsi="Times New Roman Bold"/>
        </w:rPr>
        <w:t>C – Program and Policy Conformity</w:t>
      </w:r>
    </w:p>
    <w:p w:rsidR="004C1201" w:rsidRPr="004C1201" w:rsidRDefault="004C1201" w:rsidP="004C1201"/>
    <w:p w:rsidR="00022CD3" w:rsidRDefault="00022CD3" w:rsidP="00022CD3">
      <w:pPr>
        <w:numPr>
          <w:ilvl w:val="0"/>
          <w:numId w:val="2"/>
        </w:numPr>
        <w:rPr>
          <w:smallCaps/>
        </w:rPr>
      </w:pPr>
      <w:r>
        <w:rPr>
          <w:smallCaps/>
        </w:rPr>
        <w:t>Program Designation and Conformity</w:t>
      </w:r>
    </w:p>
    <w:p w:rsidR="00072985" w:rsidRDefault="00072985" w:rsidP="00072985">
      <w:pPr>
        <w:autoSpaceDE w:val="0"/>
        <w:autoSpaceDN w:val="0"/>
        <w:adjustRightInd w:val="0"/>
        <w:jc w:val="both"/>
      </w:pPr>
    </w:p>
    <w:p w:rsidR="00072985" w:rsidRDefault="00B90C83" w:rsidP="00072985">
      <w:pPr>
        <w:autoSpaceDE w:val="0"/>
        <w:autoSpaceDN w:val="0"/>
        <w:adjustRightInd w:val="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072985" w:rsidRPr="00072985">
        <w:t>The proposed pr</w:t>
      </w:r>
      <w:r w:rsidR="006C005E">
        <w:t xml:space="preserve">oject will </w:t>
      </w:r>
      <w:r w:rsidR="00072985" w:rsidRPr="00072985">
        <w:t xml:space="preserve">respond </w:t>
      </w:r>
      <w:r w:rsidR="006C005E">
        <w:t xml:space="preserve">directly </w:t>
      </w:r>
      <w:r w:rsidR="00072985" w:rsidRPr="00072985">
        <w:t>to the strategic goal</w:t>
      </w:r>
      <w:r w:rsidR="00853394">
        <w:t>s of GEF-4</w:t>
      </w:r>
      <w:r w:rsidR="00B55F3A">
        <w:t xml:space="preserve"> in the Climate Change Focal A</w:t>
      </w:r>
      <w:r w:rsidR="00072985" w:rsidRPr="00072985">
        <w:t>rea, namely promoting the use of renewable energy for the provision of rural energy services and supporting new low-GHG emitting energy technologies. As such, it is consistent with GEF</w:t>
      </w:r>
      <w:r w:rsidR="00455D1D">
        <w:t xml:space="preserve">-4 Strategic Program </w:t>
      </w:r>
      <w:r w:rsidR="00072985" w:rsidRPr="00072985">
        <w:t>3, which</w:t>
      </w:r>
      <w:r w:rsidR="00B55F3A">
        <w:t xml:space="preserve"> promotes market approaches to </w:t>
      </w:r>
      <w:r w:rsidR="00072985" w:rsidRPr="00072985">
        <w:t>the supply of</w:t>
      </w:r>
      <w:r w:rsidR="00B55F3A">
        <w:t>,</w:t>
      </w:r>
      <w:r w:rsidR="00072985" w:rsidRPr="00072985">
        <w:t xml:space="preserve"> and demand for renewable electricity in grid</w:t>
      </w:r>
      <w:r w:rsidR="00455D1D">
        <w:t>-based systems. The project would put</w:t>
      </w:r>
      <w:r w:rsidR="00072985" w:rsidRPr="00072985">
        <w:t xml:space="preserve"> in place legal, policy and technological measures to mainstream renewable energy in Moldova’s energy sector by developing </w:t>
      </w:r>
      <w:r w:rsidR="008A27D7">
        <w:t xml:space="preserve">regulations for implementing </w:t>
      </w:r>
      <w:r w:rsidR="00072985" w:rsidRPr="00072985">
        <w:t>renewable energy legislation, technologies and capacity build</w:t>
      </w:r>
      <w:r w:rsidR="00632BEC">
        <w:t>ing in rural areas. T</w:t>
      </w:r>
      <w:r w:rsidR="00072985" w:rsidRPr="00072985">
        <w:t xml:space="preserve">he Project is </w:t>
      </w:r>
      <w:r w:rsidR="00632BEC">
        <w:t xml:space="preserve">thus </w:t>
      </w:r>
      <w:r w:rsidR="00072985" w:rsidRPr="00072985">
        <w:t xml:space="preserve">well aligned with the Climate Change Focal Area.  </w:t>
      </w:r>
    </w:p>
    <w:p w:rsidR="00170837" w:rsidRDefault="00170837" w:rsidP="00072985">
      <w:pPr>
        <w:autoSpaceDE w:val="0"/>
        <w:autoSpaceDN w:val="0"/>
        <w:adjustRightInd w:val="0"/>
        <w:ind w:left="360"/>
        <w:jc w:val="both"/>
      </w:pPr>
    </w:p>
    <w:p w:rsidR="0087283B" w:rsidRDefault="00B90C83" w:rsidP="00170837">
      <w:pPr>
        <w:pStyle w:val="Footer"/>
        <w:tabs>
          <w:tab w:val="clear" w:pos="4320"/>
          <w:tab w:val="clear" w:pos="8640"/>
        </w:tabs>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170837" w:rsidRPr="00170837">
        <w:t xml:space="preserve">GEF support through this proposed demonstration </w:t>
      </w:r>
      <w:r w:rsidR="00376EA9">
        <w:t>biodigester</w:t>
      </w:r>
      <w:r w:rsidR="00170837" w:rsidRPr="00170837">
        <w:t xml:space="preserve"> project is critical. Without the GEF project, achieving positive pilot results will be very difficult, if not impossible. </w:t>
      </w:r>
      <w:r w:rsidR="00FC3020">
        <w:t>While the farmers in Moldova are very keen to adopt this new technology, the lack of knowledge a</w:t>
      </w:r>
      <w:r w:rsidR="00A22676">
        <w:t xml:space="preserve">nd the need to make fairly sizeable investment, makes farmers cautious, in particular </w:t>
      </w:r>
      <w:r w:rsidR="004A613B">
        <w:t>during</w:t>
      </w:r>
      <w:r w:rsidR="00A22676">
        <w:t xml:space="preserve"> th</w:t>
      </w:r>
      <w:r w:rsidR="004A613B">
        <w:t>e</w:t>
      </w:r>
      <w:r w:rsidR="00A22676">
        <w:t>s</w:t>
      </w:r>
      <w:r w:rsidR="004A613B">
        <w:t>e</w:t>
      </w:r>
      <w:r w:rsidR="00A22676">
        <w:t xml:space="preserve"> challenging economic </w:t>
      </w:r>
      <w:r w:rsidR="004A613B">
        <w:t>times</w:t>
      </w:r>
      <w:r w:rsidR="00A22676">
        <w:t xml:space="preserve">. </w:t>
      </w:r>
      <w:r w:rsidR="00170837" w:rsidRPr="00170837">
        <w:t xml:space="preserve">At the same time, it is very important to achieve positive results under this biogas pilot, which </w:t>
      </w:r>
      <w:r w:rsidR="004A613B">
        <w:t>will be</w:t>
      </w:r>
      <w:r w:rsidR="00170837" w:rsidRPr="00170837">
        <w:t xml:space="preserve"> the </w:t>
      </w:r>
      <w:r w:rsidR="00170837" w:rsidRPr="0087283B">
        <w:t>first farm-level biogas project in the region.</w:t>
      </w:r>
      <w:r w:rsidR="00170837" w:rsidRPr="00170837">
        <w:t xml:space="preserve"> There is significant interest in Moldova and the </w:t>
      </w:r>
      <w:r w:rsidR="00DA5D6B">
        <w:t xml:space="preserve">broader </w:t>
      </w:r>
      <w:r w:rsidR="00170837" w:rsidRPr="00170837">
        <w:t xml:space="preserve">ECA Region in the generation of heat and </w:t>
      </w:r>
      <w:r w:rsidR="0086295D">
        <w:t xml:space="preserve">electricity using </w:t>
      </w:r>
      <w:r w:rsidR="00F335B2">
        <w:t>biodigesters</w:t>
      </w:r>
      <w:r w:rsidR="0086295D">
        <w:t xml:space="preserve">; </w:t>
      </w:r>
      <w:r w:rsidR="00170837" w:rsidRPr="00170837">
        <w:t xml:space="preserve">however, scaling up efforts would be fruitless without positive results achieved under this biogas pilot. </w:t>
      </w:r>
    </w:p>
    <w:p w:rsidR="00DA5D6B" w:rsidRDefault="00DA5D6B" w:rsidP="00170837">
      <w:pPr>
        <w:pStyle w:val="Footer"/>
        <w:tabs>
          <w:tab w:val="clear" w:pos="4320"/>
          <w:tab w:val="clear" w:pos="8640"/>
        </w:tabs>
        <w:ind w:left="360"/>
        <w:jc w:val="both"/>
      </w:pPr>
    </w:p>
    <w:p w:rsidR="0087283B" w:rsidRDefault="00B90C83" w:rsidP="00170837">
      <w:pPr>
        <w:pStyle w:val="Footer"/>
        <w:tabs>
          <w:tab w:val="clear" w:pos="4320"/>
          <w:tab w:val="clear" w:pos="8640"/>
        </w:tabs>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170837" w:rsidRPr="00170837">
        <w:t>The GEF support will</w:t>
      </w:r>
      <w:r w:rsidR="00455D1D">
        <w:t xml:space="preserve"> help develop appropriate macro-</w:t>
      </w:r>
      <w:r w:rsidR="00170837" w:rsidRPr="00170837">
        <w:t>level legislation and policies, raise farm-level and country-wide awareness</w:t>
      </w:r>
      <w:r w:rsidR="006C005E">
        <w:t>,</w:t>
      </w:r>
      <w:r w:rsidR="00170837" w:rsidRPr="00170837">
        <w:t xml:space="preserve"> and </w:t>
      </w:r>
      <w:r w:rsidR="006C005E">
        <w:t xml:space="preserve">boost </w:t>
      </w:r>
      <w:r w:rsidR="00170837" w:rsidRPr="00170837">
        <w:t xml:space="preserve">technical capacity, as well as demonstrate and test new technologies for </w:t>
      </w:r>
      <w:r w:rsidR="006C005E">
        <w:t xml:space="preserve">use on </w:t>
      </w:r>
      <w:r w:rsidR="00170837" w:rsidRPr="00170837">
        <w:t xml:space="preserve">farms in Moldova and/or in other countries in the region. A very important characteristic of this Project is that it will </w:t>
      </w:r>
      <w:r w:rsidR="00170837" w:rsidRPr="0087283B">
        <w:t>create a new market</w:t>
      </w:r>
      <w:r w:rsidR="00170837" w:rsidRPr="00170837">
        <w:rPr>
          <w:b/>
        </w:rPr>
        <w:t xml:space="preserve"> </w:t>
      </w:r>
      <w:r w:rsidR="00170837" w:rsidRPr="00170837">
        <w:t xml:space="preserve">in Moldova, as it makes the technology more accessible by identifying local </w:t>
      </w:r>
      <w:r w:rsidR="00376EA9">
        <w:t>biodigester</w:t>
      </w:r>
      <w:r w:rsidR="00170837" w:rsidRPr="00170837">
        <w:t xml:space="preserve"> manufacturers and building capacity of local engineers, experts and farmers. </w:t>
      </w:r>
      <w:r w:rsidR="004A613B">
        <w:t>Biodigester</w:t>
      </w:r>
      <w:r w:rsidR="004A613B" w:rsidRPr="00170837">
        <w:t xml:space="preserve"> technolog</w:t>
      </w:r>
      <w:r w:rsidR="004A613B">
        <w:t>y</w:t>
      </w:r>
      <w:r w:rsidR="004A613B" w:rsidRPr="00170837">
        <w:t xml:space="preserve"> </w:t>
      </w:r>
      <w:r w:rsidR="00170837" w:rsidRPr="00170837">
        <w:t>awareness-raising activities and training of broader farmer communities will help further promote the new environmentally</w:t>
      </w:r>
      <w:r w:rsidR="006C005E">
        <w:t xml:space="preserve"> </w:t>
      </w:r>
      <w:r w:rsidR="00170837" w:rsidRPr="00170837">
        <w:t xml:space="preserve">friendly technologies and reduce air and water pollution in the country. </w:t>
      </w:r>
    </w:p>
    <w:p w:rsidR="00DA5D6B" w:rsidRDefault="00DA5D6B" w:rsidP="00170837">
      <w:pPr>
        <w:pStyle w:val="Footer"/>
        <w:tabs>
          <w:tab w:val="clear" w:pos="4320"/>
          <w:tab w:val="clear" w:pos="8640"/>
        </w:tabs>
        <w:ind w:left="360"/>
        <w:jc w:val="both"/>
      </w:pPr>
    </w:p>
    <w:p w:rsidR="0086295D" w:rsidRDefault="00B90C83" w:rsidP="00170837">
      <w:pPr>
        <w:pStyle w:val="Footer"/>
        <w:tabs>
          <w:tab w:val="clear" w:pos="4320"/>
          <w:tab w:val="clear" w:pos="8640"/>
        </w:tabs>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170837" w:rsidRPr="00170837">
        <w:t xml:space="preserve">The project is expected to not only create a market for a new </w:t>
      </w:r>
      <w:r w:rsidR="00376EA9">
        <w:t>biodigester</w:t>
      </w:r>
      <w:r w:rsidR="00170837" w:rsidRPr="00170837">
        <w:t xml:space="preserve"> technology, but also establish conditions for t</w:t>
      </w:r>
      <w:r w:rsidR="00D80942">
        <w:t>his market to be further scaled-</w:t>
      </w:r>
      <w:r w:rsidR="00170837" w:rsidRPr="00170837">
        <w:t>up</w:t>
      </w:r>
      <w:r w:rsidR="00BA2C96">
        <w:t>, locally and in the ECA region</w:t>
      </w:r>
      <w:r w:rsidR="00170837" w:rsidRPr="00170837">
        <w:t>.  The GEF su</w:t>
      </w:r>
      <w:r w:rsidR="00455D1D">
        <w:t xml:space="preserve">pport will ensure that the </w:t>
      </w:r>
      <w:r w:rsidR="00170837" w:rsidRPr="00170837">
        <w:t>product</w:t>
      </w:r>
      <w:r w:rsidR="00455D1D">
        <w:t>ion</w:t>
      </w:r>
      <w:r w:rsidR="00170837" w:rsidRPr="00170837">
        <w:t xml:space="preserve"> of the biogas plants is used to generate GHG reductions, both through processing methane and through utilizing the energy produced, </w:t>
      </w:r>
      <w:r w:rsidR="007259C5">
        <w:t>providing</w:t>
      </w:r>
      <w:r w:rsidR="007259C5" w:rsidRPr="00170837">
        <w:t xml:space="preserve"> </w:t>
      </w:r>
      <w:r w:rsidR="00170837" w:rsidRPr="00170837">
        <w:t>the double-dividend associated with biomass-methane projects.</w:t>
      </w:r>
      <w:r w:rsidR="00A9094D">
        <w:t xml:space="preserve">  Furthermore</w:t>
      </w:r>
      <w:r w:rsidR="006C005E">
        <w:t>,</w:t>
      </w:r>
      <w:r w:rsidR="00A9094D">
        <w:t xml:space="preserve"> </w:t>
      </w:r>
      <w:r w:rsidR="007259C5">
        <w:t>this GEF support</w:t>
      </w:r>
      <w:r w:rsidR="00A9094D">
        <w:t xml:space="preserve"> w</w:t>
      </w:r>
      <w:r w:rsidR="007259C5">
        <w:t>ill</w:t>
      </w:r>
      <w:r w:rsidR="00A9094D">
        <w:t xml:space="preserve"> prepare the ground</w:t>
      </w:r>
      <w:r w:rsidR="007259C5">
        <w:t>work</w:t>
      </w:r>
      <w:r w:rsidR="00A9094D">
        <w:t xml:space="preserve"> for the introduction of a much more complete range of </w:t>
      </w:r>
      <w:r w:rsidR="00F335B2">
        <w:t>biodigesters</w:t>
      </w:r>
      <w:r w:rsidR="00A9094D">
        <w:t xml:space="preserve"> for various types of livestock.</w:t>
      </w:r>
    </w:p>
    <w:p w:rsidR="00022CD3" w:rsidRDefault="00022CD3">
      <w:pPr>
        <w:ind w:left="360"/>
      </w:pPr>
    </w:p>
    <w:p w:rsidR="00022CD3" w:rsidRPr="003751F6" w:rsidRDefault="00022CD3" w:rsidP="00022CD3">
      <w:pPr>
        <w:numPr>
          <w:ilvl w:val="0"/>
          <w:numId w:val="2"/>
        </w:numPr>
        <w:rPr>
          <w:smallCaps/>
        </w:rPr>
      </w:pPr>
      <w:r w:rsidRPr="003751F6">
        <w:rPr>
          <w:smallCaps/>
        </w:rPr>
        <w:t>Project Design</w:t>
      </w:r>
    </w:p>
    <w:p w:rsidR="004C1201" w:rsidRPr="003751F6" w:rsidRDefault="004C1201" w:rsidP="00DA5D6B">
      <w:pPr>
        <w:ind w:left="360"/>
        <w:jc w:val="both"/>
        <w:rPr>
          <w:smallCaps/>
        </w:rPr>
      </w:pPr>
    </w:p>
    <w:p w:rsidR="00455D1D" w:rsidRDefault="00B90C83" w:rsidP="00DA5D6B">
      <w:pPr>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11743A" w:rsidRPr="003751F6">
        <w:rPr>
          <w:b/>
          <w:i/>
        </w:rPr>
        <w:t>Sector Issues</w:t>
      </w:r>
      <w:r w:rsidR="0011743A" w:rsidRPr="003751F6">
        <w:t xml:space="preserve">: </w:t>
      </w:r>
      <w:r w:rsidR="003751F6" w:rsidRPr="003751F6">
        <w:t xml:space="preserve">The Biogas Generation </w:t>
      </w:r>
      <w:r w:rsidR="002026AE">
        <w:t>from Animal Manure</w:t>
      </w:r>
      <w:r w:rsidR="00EB4C38">
        <w:t xml:space="preserve"> </w:t>
      </w:r>
      <w:r w:rsidR="003751F6" w:rsidRPr="003751F6">
        <w:t>Pilot P</w:t>
      </w:r>
      <w:r w:rsidR="00FB15A8" w:rsidRPr="003751F6">
        <w:t xml:space="preserve">roject </w:t>
      </w:r>
      <w:r w:rsidR="0087283B" w:rsidRPr="003751F6">
        <w:t xml:space="preserve">has been designed to tackle </w:t>
      </w:r>
      <w:r w:rsidR="003751F6">
        <w:t xml:space="preserve">several </w:t>
      </w:r>
      <w:r w:rsidR="00FB15A8" w:rsidRPr="003751F6">
        <w:t>issues affecting t</w:t>
      </w:r>
      <w:r w:rsidR="003751F6">
        <w:t>he global environment</w:t>
      </w:r>
      <w:r w:rsidR="00FB15A8" w:rsidRPr="003751F6">
        <w:t>:</w:t>
      </w:r>
    </w:p>
    <w:p w:rsidR="00D0765F" w:rsidRDefault="00D0765F" w:rsidP="00DA5D6B">
      <w:pPr>
        <w:spacing w:before="240" w:after="120"/>
        <w:ind w:left="360"/>
        <w:jc w:val="both"/>
      </w:pPr>
      <w:r>
        <w:rPr>
          <w:i/>
        </w:rPr>
        <w:t xml:space="preserve">(i) </w:t>
      </w:r>
      <w:r w:rsidRPr="003751F6">
        <w:rPr>
          <w:i/>
        </w:rPr>
        <w:t>The livestock sector, which is economically and politically important in Moldova, is also a source of air and water pollution</w:t>
      </w:r>
      <w:r w:rsidRPr="003751F6">
        <w:t>:</w:t>
      </w:r>
      <w:r>
        <w:t xml:space="preserve">  In the case of </w:t>
      </w:r>
      <w:r w:rsidRPr="0005002B">
        <w:rPr>
          <w:b/>
        </w:rPr>
        <w:t>a</w:t>
      </w:r>
      <w:r w:rsidRPr="0005002B">
        <w:rPr>
          <w:b/>
          <w:i/>
        </w:rPr>
        <w:t>ir pollution</w:t>
      </w:r>
      <w:r>
        <w:t>, t</w:t>
      </w:r>
      <w:r w:rsidRPr="003751F6">
        <w:t>he livestock sector in Moldova is one of the most significant contributors to global warming, contributing about 18% of GHG emissions, measured in carbon dioxide equivalent (CO</w:t>
      </w:r>
      <w:r w:rsidRPr="003751F6">
        <w:rPr>
          <w:vertAlign w:val="subscript"/>
        </w:rPr>
        <w:t>2</w:t>
      </w:r>
      <w:r w:rsidRPr="003751F6">
        <w:t>e); the total is divided between 9% of anthropogenic CO</w:t>
      </w:r>
      <w:r w:rsidRPr="003751F6">
        <w:rPr>
          <w:vertAlign w:val="subscript"/>
        </w:rPr>
        <w:t>2</w:t>
      </w:r>
      <w:r w:rsidRPr="003751F6">
        <w:t xml:space="preserve"> and 37% of methane (CH</w:t>
      </w:r>
      <w:r w:rsidRPr="003751F6">
        <w:rPr>
          <w:vertAlign w:val="subscript"/>
        </w:rPr>
        <w:t>4</w:t>
      </w:r>
      <w:r w:rsidRPr="003751F6">
        <w:t>). Existing manure management systems – such as open high pi</w:t>
      </w:r>
      <w:r w:rsidR="005E523B">
        <w:t xml:space="preserve">les or storage in unlined lagoons </w:t>
      </w:r>
      <w:r w:rsidR="007259C5" w:rsidRPr="003751F6">
        <w:t>–</w:t>
      </w:r>
      <w:r w:rsidR="005E523B">
        <w:t xml:space="preserve"> </w:t>
      </w:r>
      <w:r w:rsidRPr="003751F6">
        <w:t>are considered unsound and environmentally polluting.</w:t>
      </w:r>
      <w:r>
        <w:t xml:space="preserve">  The problem of </w:t>
      </w:r>
      <w:r w:rsidRPr="0005002B">
        <w:rPr>
          <w:b/>
        </w:rPr>
        <w:t>w</w:t>
      </w:r>
      <w:r w:rsidRPr="0005002B">
        <w:rPr>
          <w:b/>
          <w:i/>
        </w:rPr>
        <w:t>ater pollution</w:t>
      </w:r>
      <w:r>
        <w:t xml:space="preserve"> stems </w:t>
      </w:r>
      <w:r w:rsidRPr="00FB15A8">
        <w:t>from a lack of sustainable</w:t>
      </w:r>
      <w:r>
        <w:t xml:space="preserve"> manure management practices, contributing</w:t>
      </w:r>
      <w:r w:rsidRPr="00FB15A8">
        <w:t xml:space="preserve"> to the eutrophication of loc</w:t>
      </w:r>
      <w:r>
        <w:t>al water reservoirs and beyond</w:t>
      </w:r>
      <w:r w:rsidRPr="00FB15A8">
        <w:t>, through the Nistru (Dnies</w:t>
      </w:r>
      <w:r>
        <w:t>tr) and Prut Rivers, to the eut</w:t>
      </w:r>
      <w:r w:rsidRPr="00FB15A8">
        <w:t>rop</w:t>
      </w:r>
      <w:r>
        <w:t>h</w:t>
      </w:r>
      <w:r w:rsidRPr="00FB15A8">
        <w:t>ication of the Black Se</w:t>
      </w:r>
      <w:r>
        <w:t>a</w:t>
      </w:r>
      <w:r w:rsidRPr="00FB15A8">
        <w:t>. Following the farm privatizations that took place during the 1990s, approximately 2,000 state-owned livestock farms were closed, while the number of animals bred by individuals increased. Absence of appropriate waste and manure disposal facilities in the villages has lead to significant contamination of well and groundwater, which are sources of drinking water for half of Moldova’s population. Approximately 76% of wells monitored by the Ministry of Health and Social Protection do not meet hygiene standards. Nitrate concentrations in groundwater are gradually reaching deeper layers.</w:t>
      </w:r>
      <w:r>
        <w:t xml:space="preserve">  </w:t>
      </w:r>
      <w:r w:rsidR="00420502">
        <w:t xml:space="preserve">The </w:t>
      </w:r>
      <w:r>
        <w:t>GEF Agricultural Pollution Control Project piloted actions at the farm level to reduce this pollution.</w:t>
      </w:r>
    </w:p>
    <w:p w:rsidR="00D0765F" w:rsidRDefault="00D0765F" w:rsidP="00D0765F">
      <w:pPr>
        <w:spacing w:before="240" w:after="120"/>
        <w:ind w:left="360"/>
        <w:jc w:val="both"/>
      </w:pPr>
      <w:r>
        <w:rPr>
          <w:i/>
        </w:rPr>
        <w:t>(ii)</w:t>
      </w:r>
      <w:r w:rsidR="000776A1">
        <w:rPr>
          <w:i/>
        </w:rPr>
        <w:t xml:space="preserve"> </w:t>
      </w:r>
      <w:r w:rsidRPr="00746452">
        <w:rPr>
          <w:i/>
        </w:rPr>
        <w:t>Lack of new environmentally-friendly technologies</w:t>
      </w:r>
      <w:r w:rsidRPr="00FB15A8">
        <w:t>. There is very little experience in Moldova (and even in the ECA Region</w:t>
      </w:r>
      <w:r w:rsidR="00853394">
        <w:t xml:space="preserve">) in the use of environmentally </w:t>
      </w:r>
      <w:r w:rsidRPr="00FB15A8">
        <w:t>friend</w:t>
      </w:r>
      <w:r>
        <w:t xml:space="preserve">ly technologies, such as </w:t>
      </w:r>
      <w:r w:rsidR="00F335B2">
        <w:t>biodigesters</w:t>
      </w:r>
      <w:r w:rsidRPr="00FB15A8">
        <w:t xml:space="preserve">. Given the transition of most of the economies in the region, general business development and profitability have prevailed over concerns for environment and sustainable business practices, especially due to the higher initial investment costs. However, increasingly, private businesses are becoming interested in environmentally sound technologies, realizing the expected increased profitability and sustainability in the long-term. Moldova’s animal producers are particularly keen to deploy new technologies, which would contribute to reducing pollution and improving the </w:t>
      </w:r>
      <w:r>
        <w:t>efficiency of their operations.</w:t>
      </w:r>
    </w:p>
    <w:p w:rsidR="00C66896" w:rsidRDefault="00A96B68" w:rsidP="00A96B68">
      <w:pPr>
        <w:spacing w:before="240" w:after="120"/>
        <w:ind w:left="360"/>
        <w:jc w:val="both"/>
      </w:pPr>
      <w:r>
        <w:rPr>
          <w:i/>
        </w:rPr>
        <w:t xml:space="preserve"> </w:t>
      </w:r>
      <w:r w:rsidR="00C66896">
        <w:rPr>
          <w:i/>
        </w:rPr>
        <w:t xml:space="preserve">(iii) </w:t>
      </w:r>
      <w:r w:rsidR="00C66896" w:rsidRPr="00746452">
        <w:rPr>
          <w:i/>
        </w:rPr>
        <w:t>Dependence on imported fossil fuels</w:t>
      </w:r>
      <w:r w:rsidR="00C66896" w:rsidRPr="00FB15A8">
        <w:t>. Moldova has few natural resources and energy security has become an issue as the country is entirely dependent upon fossil fuel imports for its primary energy requirements and manufacturing inputs, making it vulnerable to international price fluctuations. The Republic of Moldova is paying the highest prices for natural gas compared to other post-USSR countries. The price of gas imported from Russia rose from $191 per 1,000 cubic meters to $211 as of April</w:t>
      </w:r>
      <w:r w:rsidR="00C66896">
        <w:t xml:space="preserve"> 1,</w:t>
      </w:r>
      <w:r w:rsidR="00C66896" w:rsidRPr="00FB15A8">
        <w:t xml:space="preserve"> 2008 (Moldovagaz). The increase is in line with the five-year agreement signed by the Moldovan government and "Gazprom" in January 2007, which provides for gas price revisions every three months and a gradual increase in the gas price to $350 per 1,000 cubic meters in the years to come.</w:t>
      </w:r>
    </w:p>
    <w:p w:rsidR="00A96B68" w:rsidRDefault="00B90C83" w:rsidP="00A96B68">
      <w:pPr>
        <w:spacing w:before="240" w:after="12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C66896" w:rsidRPr="00D0765F">
        <w:rPr>
          <w:b/>
          <w:i/>
        </w:rPr>
        <w:t>Project Description (see Results Framework, Annex 1</w:t>
      </w:r>
      <w:r w:rsidR="00C66896">
        <w:rPr>
          <w:b/>
          <w:i/>
        </w:rPr>
        <w:t xml:space="preserve">, and </w:t>
      </w:r>
      <w:r w:rsidR="00C66896" w:rsidRPr="00D0765F">
        <w:rPr>
          <w:b/>
          <w:i/>
        </w:rPr>
        <w:t>Project Description, Annex 2</w:t>
      </w:r>
      <w:r w:rsidR="00C66896">
        <w:rPr>
          <w:b/>
          <w:i/>
        </w:rPr>
        <w:t>)</w:t>
      </w:r>
      <w:r w:rsidR="00C66896">
        <w:t xml:space="preserve">:  The </w:t>
      </w:r>
      <w:r w:rsidR="00C66896" w:rsidRPr="000300B3">
        <w:rPr>
          <w:i/>
        </w:rPr>
        <w:t>project development objective</w:t>
      </w:r>
      <w:r w:rsidR="00C66896">
        <w:t xml:space="preserve"> is to promote the transfer of a new environmentally sustainable renewable energy technology through piloting the use of animal manure for biogas-based heating and electricity production at the farm level.  The Development Objective will be achieved by: (i) </w:t>
      </w:r>
      <w:r w:rsidR="00A96B68">
        <w:t>removing barriers to enable the use of biogas renewable energy technology in the country; (ii) building farmer capacity in environmentally sound manure management systems to reduce environmental pollution; and (iii) reducing greenhouse gas (GHG) emissions to help address climate change effects by using a viable alternative to fossil fuels.</w:t>
      </w:r>
    </w:p>
    <w:p w:rsidR="001D7C20" w:rsidRDefault="00B90C83" w:rsidP="001D7C20">
      <w:pPr>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A96B68">
        <w:t xml:space="preserve">The </w:t>
      </w:r>
      <w:r w:rsidR="00A96B68" w:rsidRPr="008C18D3">
        <w:rPr>
          <w:b/>
          <w:i/>
        </w:rPr>
        <w:t>global environment objective</w:t>
      </w:r>
      <w:r w:rsidR="00A96B68">
        <w:t xml:space="preserve"> </w:t>
      </w:r>
      <w:r w:rsidR="001D7C20" w:rsidRPr="001D7C20">
        <w:t xml:space="preserve">is to contribute to the reduction of GHG emissions through the adoption of on-grid renewable energy supplies. </w:t>
      </w:r>
    </w:p>
    <w:p w:rsidR="001D7C20" w:rsidRDefault="001D7C20" w:rsidP="001D7C20">
      <w:pPr>
        <w:ind w:left="360"/>
        <w:jc w:val="both"/>
      </w:pPr>
    </w:p>
    <w:p w:rsidR="000300B3" w:rsidRDefault="00B90C83" w:rsidP="001D7C20">
      <w:pPr>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11743A" w:rsidRPr="00FB15A8">
        <w:t xml:space="preserve">The project will provide an integrated approach to piloting the use of renewable energy sources, in particular, biogas. </w:t>
      </w:r>
      <w:r w:rsidR="00346C17">
        <w:t xml:space="preserve">Specifically it will: </w:t>
      </w:r>
      <w:r w:rsidR="0011743A" w:rsidRPr="00FB15A8">
        <w:t xml:space="preserve">contribute to the </w:t>
      </w:r>
      <w:r w:rsidR="00346C17">
        <w:t xml:space="preserve">creation of a legal framework for the use of </w:t>
      </w:r>
      <w:r w:rsidR="00F335B2">
        <w:t>biodigesters</w:t>
      </w:r>
      <w:r w:rsidR="00346C17">
        <w:t xml:space="preserve"> in Moldova; build farmer capacity on environmentally sound manure management systems to reduce climate change effects; </w:t>
      </w:r>
      <w:r w:rsidR="00372B00">
        <w:t>build capacity to further scale-up the use of new technologies, particularly bio</w:t>
      </w:r>
      <w:r w:rsidR="005F102F">
        <w:t>di</w:t>
      </w:r>
      <w:r w:rsidR="00372B00">
        <w:t>gesters; implement a comprehensive pilot program by installing a range of digesters; and improve operational efficiency in the animal farming sub-sector.</w:t>
      </w:r>
      <w:r w:rsidR="006552DF">
        <w:t xml:space="preserve">  Project investments will be targeted on livestock cattle farms</w:t>
      </w:r>
      <w:r w:rsidR="00E927C5">
        <w:t>,</w:t>
      </w:r>
      <w:r w:rsidR="006552DF">
        <w:t xml:space="preserve"> </w:t>
      </w:r>
      <w:r w:rsidR="00E927C5">
        <w:rPr>
          <w:color w:val="000000"/>
        </w:rPr>
        <w:t xml:space="preserve">which </w:t>
      </w:r>
      <w:r w:rsidR="00E927C5" w:rsidRPr="00072985">
        <w:t xml:space="preserve">form a large share of Moldova’s animal </w:t>
      </w:r>
      <w:r w:rsidR="00E927C5">
        <w:t>farms contributing</w:t>
      </w:r>
      <w:r w:rsidR="00E927C5" w:rsidRPr="00072985">
        <w:t xml:space="preserve"> to a number of environmental issues</w:t>
      </w:r>
      <w:r w:rsidR="00E927C5">
        <w:t xml:space="preserve">, but </w:t>
      </w:r>
      <w:r w:rsidR="006552DF" w:rsidRPr="00072985">
        <w:rPr>
          <w:color w:val="000000"/>
        </w:rPr>
        <w:t xml:space="preserve">where the </w:t>
      </w:r>
      <w:r w:rsidR="00E927C5">
        <w:rPr>
          <w:color w:val="000000"/>
        </w:rPr>
        <w:t xml:space="preserve">possible </w:t>
      </w:r>
      <w:r w:rsidR="006552DF" w:rsidRPr="00072985">
        <w:rPr>
          <w:color w:val="000000"/>
        </w:rPr>
        <w:t xml:space="preserve">carbon emission reductions </w:t>
      </w:r>
      <w:r w:rsidR="00E927C5">
        <w:rPr>
          <w:color w:val="000000"/>
        </w:rPr>
        <w:t>are relatively</w:t>
      </w:r>
      <w:r w:rsidR="00E927C5" w:rsidRPr="00072985">
        <w:rPr>
          <w:color w:val="000000"/>
        </w:rPr>
        <w:t xml:space="preserve"> </w:t>
      </w:r>
      <w:r w:rsidR="00E927C5">
        <w:rPr>
          <w:color w:val="000000"/>
        </w:rPr>
        <w:t xml:space="preserve">small </w:t>
      </w:r>
      <w:r w:rsidR="006552DF" w:rsidRPr="00072985">
        <w:rPr>
          <w:color w:val="000000"/>
        </w:rPr>
        <w:t>prevent</w:t>
      </w:r>
      <w:r w:rsidR="00E927C5">
        <w:rPr>
          <w:color w:val="000000"/>
        </w:rPr>
        <w:t>ing</w:t>
      </w:r>
      <w:r w:rsidR="006552DF" w:rsidRPr="00072985">
        <w:rPr>
          <w:color w:val="000000"/>
        </w:rPr>
        <w:t xml:space="preserve"> them from obtaining co-financing investments from carbon </w:t>
      </w:r>
      <w:r w:rsidR="00E927C5">
        <w:rPr>
          <w:color w:val="000000"/>
        </w:rPr>
        <w:t>funds</w:t>
      </w:r>
      <w:r w:rsidR="004E0AA4">
        <w:rPr>
          <w:color w:val="000000"/>
        </w:rPr>
        <w:t>.</w:t>
      </w:r>
      <w:r w:rsidR="006552DF">
        <w:rPr>
          <w:rStyle w:val="FootnoteReference"/>
          <w:color w:val="000000"/>
        </w:rPr>
        <w:footnoteReference w:id="2"/>
      </w:r>
      <w:r w:rsidR="00E927C5">
        <w:rPr>
          <w:color w:val="000000"/>
        </w:rPr>
        <w:t xml:space="preserve"> </w:t>
      </w:r>
      <w:r w:rsidR="0051449C">
        <w:t xml:space="preserve"> </w:t>
      </w:r>
      <w:r w:rsidR="00372B00">
        <w:t xml:space="preserve">In pursuit of these objectives, the project would comprise </w:t>
      </w:r>
      <w:r w:rsidR="00EE7390">
        <w:t>four</w:t>
      </w:r>
      <w:r w:rsidR="000300B3">
        <w:t xml:space="preserve"> components:</w:t>
      </w:r>
    </w:p>
    <w:p w:rsidR="000300B3" w:rsidRPr="00072985" w:rsidRDefault="00B90C83" w:rsidP="000300B3">
      <w:pPr>
        <w:spacing w:before="240" w:after="120"/>
        <w:ind w:left="360"/>
        <w:jc w:val="both"/>
        <w:rPr>
          <w:color w:val="000000"/>
        </w:rPr>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0300B3" w:rsidRPr="00072985">
        <w:rPr>
          <w:color w:val="000000"/>
          <w:u w:val="single"/>
        </w:rPr>
        <w:t>Component 1: Enabling legislative and policy environment</w:t>
      </w:r>
      <w:r w:rsidR="00281B10">
        <w:rPr>
          <w:color w:val="000000"/>
          <w:u w:val="single"/>
        </w:rPr>
        <w:t xml:space="preserve"> (Total </w:t>
      </w:r>
      <w:r w:rsidR="00372B00">
        <w:rPr>
          <w:color w:val="000000"/>
          <w:u w:val="single"/>
        </w:rPr>
        <w:t xml:space="preserve">cost </w:t>
      </w:r>
      <w:r w:rsidR="00C90F8D">
        <w:rPr>
          <w:color w:val="000000"/>
          <w:u w:val="single"/>
        </w:rPr>
        <w:t>- $88,900 of which GEF $80,000</w:t>
      </w:r>
      <w:r w:rsidR="00281B10">
        <w:rPr>
          <w:color w:val="000000"/>
          <w:u w:val="single"/>
        </w:rPr>
        <w:t>)</w:t>
      </w:r>
      <w:r w:rsidR="0005002B">
        <w:rPr>
          <w:color w:val="000000"/>
        </w:rPr>
        <w:t>, including</w:t>
      </w:r>
      <w:r w:rsidR="000300B3" w:rsidRPr="00072985">
        <w:rPr>
          <w:color w:val="000000"/>
        </w:rPr>
        <w:t xml:space="preserve">: </w:t>
      </w:r>
      <w:r w:rsidR="005E523B">
        <w:rPr>
          <w:color w:val="000000"/>
        </w:rPr>
        <w:t xml:space="preserve">(i) </w:t>
      </w:r>
      <w:r w:rsidR="000300B3" w:rsidRPr="00072985">
        <w:rPr>
          <w:color w:val="000000"/>
        </w:rPr>
        <w:t>certification and licensing of biodigester</w:t>
      </w:r>
      <w:r w:rsidR="0005002B">
        <w:rPr>
          <w:color w:val="000000"/>
        </w:rPr>
        <w:t>s for use in Moldova</w:t>
      </w:r>
      <w:r w:rsidR="00152DD3">
        <w:rPr>
          <w:color w:val="000000"/>
        </w:rPr>
        <w:t xml:space="preserve"> and with provision </w:t>
      </w:r>
      <w:r w:rsidR="00152DD3" w:rsidRPr="00072985">
        <w:rPr>
          <w:color w:val="000000"/>
        </w:rPr>
        <w:t>of the necessary supporting legal framework</w:t>
      </w:r>
      <w:r w:rsidR="000300B3" w:rsidRPr="00072985">
        <w:rPr>
          <w:color w:val="000000"/>
        </w:rPr>
        <w:t xml:space="preserve">; and (ii) </w:t>
      </w:r>
      <w:r w:rsidR="007F5AE4" w:rsidRPr="00072985">
        <w:rPr>
          <w:color w:val="000000"/>
        </w:rPr>
        <w:t xml:space="preserve">cooperation with the country’s energy regulator to </w:t>
      </w:r>
      <w:r w:rsidR="007F5AE4">
        <w:rPr>
          <w:color w:val="000000"/>
        </w:rPr>
        <w:t xml:space="preserve">review options </w:t>
      </w:r>
      <w:r w:rsidR="00EE5DEE" w:rsidRPr="00EE5DEE">
        <w:rPr>
          <w:color w:val="000000"/>
        </w:rPr>
        <w:t xml:space="preserve">and develop the relevant legislation provisions </w:t>
      </w:r>
      <w:r w:rsidR="007F5AE4">
        <w:rPr>
          <w:color w:val="000000"/>
        </w:rPr>
        <w:t xml:space="preserve">for </w:t>
      </w:r>
      <w:r w:rsidR="007F5AE4" w:rsidRPr="00072985">
        <w:rPr>
          <w:color w:val="000000"/>
        </w:rPr>
        <w:t>allow</w:t>
      </w:r>
      <w:r w:rsidR="007F5AE4">
        <w:rPr>
          <w:color w:val="000000"/>
        </w:rPr>
        <w:t>ing</w:t>
      </w:r>
      <w:r w:rsidR="007F5AE4" w:rsidRPr="00072985">
        <w:rPr>
          <w:color w:val="000000"/>
        </w:rPr>
        <w:t xml:space="preserve"> smaller electricity producers </w:t>
      </w:r>
      <w:r w:rsidR="00405C37">
        <w:rPr>
          <w:color w:val="000000"/>
        </w:rPr>
        <w:t xml:space="preserve">to </w:t>
      </w:r>
      <w:r w:rsidR="007F5AE4" w:rsidRPr="00072985">
        <w:rPr>
          <w:color w:val="000000"/>
        </w:rPr>
        <w:t>sell surplus ele</w:t>
      </w:r>
      <w:r w:rsidR="007F5AE4">
        <w:rPr>
          <w:color w:val="000000"/>
        </w:rPr>
        <w:t>ctricity into the national grid</w:t>
      </w:r>
      <w:r w:rsidR="000300B3" w:rsidRPr="00072985">
        <w:rPr>
          <w:color w:val="000000"/>
        </w:rPr>
        <w:t xml:space="preserve">. </w:t>
      </w:r>
    </w:p>
    <w:p w:rsidR="000300B3" w:rsidRPr="00072985" w:rsidRDefault="00B90C83" w:rsidP="000300B3">
      <w:pPr>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0300B3" w:rsidRPr="00072985">
        <w:rPr>
          <w:color w:val="000000"/>
          <w:u w:val="single"/>
        </w:rPr>
        <w:t xml:space="preserve">Component 2: </w:t>
      </w:r>
      <w:r w:rsidR="000300B3" w:rsidRPr="00072985">
        <w:rPr>
          <w:noProof/>
          <w:u w:val="single"/>
        </w:rPr>
        <w:t xml:space="preserve">Technical assistance, capacity building and awareness raising on sound animal waste management, and animal manure-based </w:t>
      </w:r>
      <w:r w:rsidR="00376EA9">
        <w:rPr>
          <w:noProof/>
          <w:u w:val="single"/>
        </w:rPr>
        <w:t>biodigester</w:t>
      </w:r>
      <w:r w:rsidR="000300B3" w:rsidRPr="00072985">
        <w:rPr>
          <w:noProof/>
          <w:u w:val="single"/>
        </w:rPr>
        <w:t xml:space="preserve"> and electricity generation technologies</w:t>
      </w:r>
      <w:r w:rsidR="00281B10">
        <w:rPr>
          <w:noProof/>
          <w:u w:val="single"/>
        </w:rPr>
        <w:t xml:space="preserve"> (Total - $</w:t>
      </w:r>
      <w:r w:rsidR="000E3E60">
        <w:rPr>
          <w:noProof/>
          <w:u w:val="single"/>
        </w:rPr>
        <w:t>691,600 of which GEF $6</w:t>
      </w:r>
      <w:r w:rsidR="00281B10">
        <w:rPr>
          <w:noProof/>
          <w:u w:val="single"/>
        </w:rPr>
        <w:t>10,000)</w:t>
      </w:r>
      <w:r w:rsidR="000300B3" w:rsidRPr="00072985">
        <w:rPr>
          <w:color w:val="000000"/>
        </w:rPr>
        <w:t xml:space="preserve">. In order to promote sound animal manure management practices and mainstreaming of the use of </w:t>
      </w:r>
      <w:r w:rsidR="00376EA9">
        <w:rPr>
          <w:color w:val="000000"/>
        </w:rPr>
        <w:t>biodigester</w:t>
      </w:r>
      <w:r w:rsidR="000300B3" w:rsidRPr="00072985">
        <w:rPr>
          <w:color w:val="000000"/>
        </w:rPr>
        <w:t xml:space="preserve"> technologies, the </w:t>
      </w:r>
      <w:r w:rsidR="00A46C13">
        <w:rPr>
          <w:color w:val="000000"/>
        </w:rPr>
        <w:t xml:space="preserve">project </w:t>
      </w:r>
      <w:r w:rsidR="000300B3" w:rsidRPr="00072985">
        <w:rPr>
          <w:color w:val="000000"/>
        </w:rPr>
        <w:t xml:space="preserve">activities will include </w:t>
      </w:r>
      <w:r w:rsidR="00A46C13">
        <w:t>capacity-building</w:t>
      </w:r>
      <w:r w:rsidR="000300B3" w:rsidRPr="00072985">
        <w:t>, by mobilizing international expertise and best</w:t>
      </w:r>
      <w:r w:rsidR="00A46C13">
        <w:t>-practice transfer, to provide</w:t>
      </w:r>
      <w:r w:rsidR="000300B3" w:rsidRPr="00072985">
        <w:t>: (i) training of farmers in sound manure management practices; (ii) training of a number of local engineers in the installation and operation</w:t>
      </w:r>
      <w:r w:rsidR="00A46C13">
        <w:t xml:space="preserve"> of </w:t>
      </w:r>
      <w:r w:rsidR="00F335B2">
        <w:t>biodigesters</w:t>
      </w:r>
      <w:r w:rsidR="00A46C13">
        <w:t xml:space="preserve"> </w:t>
      </w:r>
      <w:r w:rsidR="00405C37">
        <w:t>in order</w:t>
      </w:r>
      <w:r w:rsidR="00A46C13">
        <w:t xml:space="preserve"> to be able </w:t>
      </w:r>
      <w:r w:rsidR="000300B3" w:rsidRPr="00072985">
        <w:t>to work independently in scaling up the generation of biogas and electricity after the projec</w:t>
      </w:r>
      <w:r w:rsidR="00A46C13">
        <w:t xml:space="preserve">t closes; (iii) training of </w:t>
      </w:r>
      <w:r w:rsidR="000300B3" w:rsidRPr="00072985">
        <w:t xml:space="preserve">participating farmers in the proper operation of </w:t>
      </w:r>
      <w:r w:rsidR="00F335B2">
        <w:t>biodigesters</w:t>
      </w:r>
      <w:r w:rsidR="00A46C13">
        <w:t>; and (iv) broader awareness-</w:t>
      </w:r>
      <w:r w:rsidR="00152DD3">
        <w:t>raising in the livestock production</w:t>
      </w:r>
      <w:r w:rsidR="000300B3" w:rsidRPr="00072985">
        <w:t xml:space="preserve"> community through a series of seminars and demonstration activities, to disseminate information on the benefits of biogas and electricity generation from animal manure. </w:t>
      </w:r>
      <w:r w:rsidR="004D539E" w:rsidRPr="004D539E">
        <w:t xml:space="preserve">The component will also support a feasibility </w:t>
      </w:r>
      <w:r w:rsidR="004E1B80" w:rsidRPr="00735E76">
        <w:t>to replicate and expand the use</w:t>
      </w:r>
      <w:r w:rsidR="004D539E" w:rsidRPr="004D539E">
        <w:t xml:space="preserve"> of biodigester technology in the country’s animal farms (livestock, pigs and poultry). </w:t>
      </w:r>
      <w:r w:rsidR="000E3E60">
        <w:t xml:space="preserve">In addition, in </w:t>
      </w:r>
      <w:r w:rsidR="000E3E60" w:rsidRPr="00072985">
        <w:rPr>
          <w:color w:val="000000"/>
        </w:rPr>
        <w:t xml:space="preserve">order to reduce the investment cost, </w:t>
      </w:r>
      <w:r w:rsidR="000E3E60">
        <w:rPr>
          <w:color w:val="000000"/>
        </w:rPr>
        <w:t>biodigesters</w:t>
      </w:r>
      <w:r w:rsidR="000E3E60" w:rsidRPr="00072985">
        <w:rPr>
          <w:color w:val="000000"/>
        </w:rPr>
        <w:t xml:space="preserve"> will be manufactured locally to </w:t>
      </w:r>
      <w:r w:rsidR="000E3E60" w:rsidRPr="00072985">
        <w:t xml:space="preserve">ensure affordability and accessibility of </w:t>
      </w:r>
      <w:r w:rsidR="000E3E60">
        <w:t>biodigesters</w:t>
      </w:r>
      <w:r w:rsidR="000E3E60" w:rsidRPr="00072985">
        <w:t xml:space="preserve"> for a wider farmer population</w:t>
      </w:r>
      <w:r w:rsidR="000E3E60" w:rsidRPr="00072985">
        <w:rPr>
          <w:color w:val="000000"/>
        </w:rPr>
        <w:t xml:space="preserve">. The project will assist local producers with knowledge transfer and capacity building in various </w:t>
      </w:r>
      <w:r w:rsidR="000E3E60">
        <w:rPr>
          <w:color w:val="000000"/>
        </w:rPr>
        <w:t>biodigester</w:t>
      </w:r>
      <w:r w:rsidR="000E3E60" w:rsidRPr="00072985">
        <w:rPr>
          <w:color w:val="000000"/>
        </w:rPr>
        <w:t xml:space="preserve"> and co-generation equipment technologies.</w:t>
      </w:r>
    </w:p>
    <w:p w:rsidR="00EB4C38" w:rsidRDefault="00B90C83" w:rsidP="000E3E60">
      <w:pPr>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0E3E60">
        <w:rPr>
          <w:color w:val="000000"/>
          <w:u w:val="single"/>
        </w:rPr>
        <w:t>Component 3</w:t>
      </w:r>
      <w:r w:rsidR="000300B3" w:rsidRPr="00072985">
        <w:rPr>
          <w:color w:val="000000"/>
          <w:u w:val="single"/>
        </w:rPr>
        <w:t>: Biodigester Investment Grants</w:t>
      </w:r>
      <w:r w:rsidR="00281B10">
        <w:rPr>
          <w:color w:val="000000"/>
          <w:u w:val="single"/>
        </w:rPr>
        <w:t xml:space="preserve"> (Total - $</w:t>
      </w:r>
      <w:r w:rsidR="00AE5DD1">
        <w:rPr>
          <w:color w:val="000000"/>
          <w:u w:val="single"/>
        </w:rPr>
        <w:t>667,000</w:t>
      </w:r>
      <w:r w:rsidR="00281B10">
        <w:rPr>
          <w:color w:val="000000"/>
          <w:u w:val="single"/>
        </w:rPr>
        <w:t xml:space="preserve"> of which GEF $200,000)</w:t>
      </w:r>
      <w:r w:rsidR="000300B3" w:rsidRPr="00072985">
        <w:rPr>
          <w:color w:val="000000"/>
          <w:u w:val="single"/>
        </w:rPr>
        <w:t>.</w:t>
      </w:r>
      <w:r w:rsidR="000300B3" w:rsidRPr="00072985">
        <w:rPr>
          <w:color w:val="000000"/>
        </w:rPr>
        <w:t xml:space="preserve"> </w:t>
      </w:r>
      <w:r w:rsidR="00EB4C38">
        <w:rPr>
          <w:color w:val="000000"/>
        </w:rPr>
        <w:t xml:space="preserve">The project will fund </w:t>
      </w:r>
      <w:r w:rsidR="00025717" w:rsidRPr="00FB15A8">
        <w:t xml:space="preserve">pilot </w:t>
      </w:r>
      <w:r w:rsidR="00F335B2">
        <w:t>biodigesters</w:t>
      </w:r>
      <w:r w:rsidR="00A46C13">
        <w:t xml:space="preserve">/co-generation systems on </w:t>
      </w:r>
      <w:r w:rsidR="00025717" w:rsidRPr="00FB15A8">
        <w:t xml:space="preserve">two livestock </w:t>
      </w:r>
      <w:r w:rsidR="00A46C13">
        <w:t xml:space="preserve">cattle </w:t>
      </w:r>
      <w:r w:rsidR="00C90F8D">
        <w:t xml:space="preserve">farms where the small carbon emissions reductions prevent them from obtaining co-financing </w:t>
      </w:r>
      <w:r w:rsidR="008C18D3">
        <w:t xml:space="preserve">investments from carbon funds. </w:t>
      </w:r>
      <w:r w:rsidR="00152DD3">
        <w:t>This will complement</w:t>
      </w:r>
      <w:r w:rsidR="006552DF">
        <w:t xml:space="preserve"> parallel</w:t>
      </w:r>
      <w:r w:rsidR="00EB4C38">
        <w:t xml:space="preserve"> developments on poultry and swine</w:t>
      </w:r>
      <w:r w:rsidR="006552DF">
        <w:t xml:space="preserve"> farms under the Moldova Bio</w:t>
      </w:r>
      <w:r w:rsidR="005F102F">
        <w:t>-</w:t>
      </w:r>
      <w:r w:rsidR="006552DF">
        <w:t>energy Project.</w:t>
      </w:r>
      <w:r w:rsidR="00EB4C38">
        <w:t xml:space="preserve"> Investment grants will be provided to leverage commercial loans under the </w:t>
      </w:r>
      <w:r w:rsidR="008C18D3">
        <w:t>IDA-supported RISP II project.</w:t>
      </w:r>
      <w:r w:rsidR="00F31476">
        <w:t xml:space="preserve"> </w:t>
      </w:r>
      <w:r w:rsidR="00376EA9">
        <w:t>Biodigester</w:t>
      </w:r>
      <w:r w:rsidR="00F31476">
        <w:t xml:space="preserve"> investments will </w:t>
      </w:r>
      <w:r w:rsidR="00EB4C38" w:rsidRPr="00FB15A8">
        <w:t xml:space="preserve">include the equipment to utilize the gas produced, either for heat or electricity generation or both.  </w:t>
      </w:r>
    </w:p>
    <w:p w:rsidR="001D43EB" w:rsidRPr="001D43EB" w:rsidRDefault="00B90C83" w:rsidP="001D43EB">
      <w:pPr>
        <w:spacing w:before="240" w:after="12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0E3E60">
        <w:rPr>
          <w:u w:val="single"/>
        </w:rPr>
        <w:t>Component 4</w:t>
      </w:r>
      <w:r w:rsidR="000300B3" w:rsidRPr="00072985">
        <w:rPr>
          <w:u w:val="single"/>
        </w:rPr>
        <w:t>: Project Management</w:t>
      </w:r>
      <w:r w:rsidR="00281B10">
        <w:rPr>
          <w:u w:val="single"/>
        </w:rPr>
        <w:t xml:space="preserve"> (Total - $112,500 of which GEF $90,000)</w:t>
      </w:r>
      <w:r w:rsidR="0011743A">
        <w:rPr>
          <w:u w:val="single"/>
        </w:rPr>
        <w:t>.</w:t>
      </w:r>
      <w:r w:rsidR="00B6673C">
        <w:t xml:space="preserve"> </w:t>
      </w:r>
      <w:r w:rsidR="006942E0">
        <w:t>The</w:t>
      </w:r>
      <w:r w:rsidR="00DA5D6B">
        <w:t xml:space="preserve"> Carbon Finance Unit </w:t>
      </w:r>
      <w:r w:rsidR="00C12001">
        <w:t xml:space="preserve">(CFU) </w:t>
      </w:r>
      <w:r w:rsidR="00DA5D6B">
        <w:t xml:space="preserve">under the Ministry of Environment </w:t>
      </w:r>
      <w:r w:rsidR="00C12001">
        <w:t xml:space="preserve">(MOE) </w:t>
      </w:r>
      <w:r w:rsidR="00DA5D6B">
        <w:t xml:space="preserve">will be responsible for technical implementation of the project. </w:t>
      </w:r>
      <w:r w:rsidR="000F63FE">
        <w:t xml:space="preserve">The CFU has been selected as the implementing agency based on the complementarity of this GEF project and the follow-up carbon finance project. Technical administration of the GEF project will allow the CFU to obtain knowledge on the new biodigester technologies and become the contact point for farmers </w:t>
      </w:r>
      <w:r w:rsidR="007A2E5C">
        <w:t>interested in</w:t>
      </w:r>
      <w:r w:rsidR="000F63FE">
        <w:t xml:space="preserve"> adopt</w:t>
      </w:r>
      <w:r w:rsidR="007A2E5C">
        <w:t>ing</w:t>
      </w:r>
      <w:r w:rsidR="000F63FE">
        <w:t xml:space="preserve"> the new technology. </w:t>
      </w:r>
      <w:r w:rsidR="001D43EB" w:rsidRPr="001D43EB">
        <w:t xml:space="preserve">Procurement and Financial Management functions will be carried out by the Water Supply and Sanitation Project Implementation Unit (WSSPIU), which has a prior experience and solid track record in carrying out these functions for the project. Environmental safeguard activities will be carried out by a part-time environmental specialist. </w:t>
      </w:r>
    </w:p>
    <w:p w:rsidR="00746452" w:rsidRDefault="00B90C83" w:rsidP="001D43EB">
      <w:pPr>
        <w:spacing w:before="240" w:after="12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0D4B7D" w:rsidRPr="008D19C3">
        <w:rPr>
          <w:b/>
          <w:i/>
        </w:rPr>
        <w:t xml:space="preserve">The </w:t>
      </w:r>
      <w:r w:rsidR="008D19C3" w:rsidRPr="008D19C3">
        <w:rPr>
          <w:b/>
          <w:i/>
        </w:rPr>
        <w:t>global environment benefits</w:t>
      </w:r>
      <w:r w:rsidR="008D19C3">
        <w:t xml:space="preserve"> of the </w:t>
      </w:r>
      <w:r w:rsidR="000D4B7D" w:rsidRPr="00072985">
        <w:t>project will assist in developing one type of renewable ene</w:t>
      </w:r>
      <w:r w:rsidR="00A75874">
        <w:t>rgy source, biogas, as well as r</w:t>
      </w:r>
      <w:r w:rsidR="000D4B7D" w:rsidRPr="00072985">
        <w:t>egulations to allow smaller private electricity producers to sell excess energy produced from renewable resources into the grid. The Anaerobic Digestion (AD) technology offers excellent potential to provide manure management systems as well as renewable energy generation, thereby reducing the country’s dependence on energy imports. In addition, properly managed manure through appropriate livestock housing, methods of manure collection and storage, will help reduce water pollution as well as help reduce the emission of harmful gases. In addition to farm use, the power produced from biogas can help the local electric utility increase generation capacity (especially valuable during periods of peak electricity demand), ensure voltage support, defer transmission and distribution line construction, and reduce transmission power loss.</w:t>
      </w:r>
      <w:r w:rsidR="00746452">
        <w:t xml:space="preserve"> </w:t>
      </w:r>
    </w:p>
    <w:p w:rsidR="00730FDB" w:rsidRDefault="00B90C83" w:rsidP="00730FDB">
      <w:pPr>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29636E" w:rsidRPr="008260B1">
        <w:t xml:space="preserve">Key Indicators for </w:t>
      </w:r>
      <w:r w:rsidR="00730FDB" w:rsidRPr="008260B1">
        <w:t>successful implementation include: (i) legal and regulat</w:t>
      </w:r>
      <w:r w:rsidR="00132425" w:rsidRPr="008260B1">
        <w:t>ory framework established</w:t>
      </w:r>
      <w:r w:rsidR="002D4885">
        <w:t xml:space="preserve"> for biodigester use in the country</w:t>
      </w:r>
      <w:r w:rsidR="007A2E5C">
        <w:t>;</w:t>
      </w:r>
      <w:r w:rsidR="00132425" w:rsidRPr="008260B1">
        <w:t xml:space="preserve"> (ii) market for </w:t>
      </w:r>
      <w:r w:rsidR="00376EA9">
        <w:t>biodigester</w:t>
      </w:r>
      <w:r w:rsidR="00132425" w:rsidRPr="008260B1">
        <w:t xml:space="preserve"> technologies on </w:t>
      </w:r>
      <w:r w:rsidR="00BA2C96" w:rsidRPr="008260B1">
        <w:t xml:space="preserve">livestock </w:t>
      </w:r>
      <w:r w:rsidR="00132425" w:rsidRPr="008260B1">
        <w:t xml:space="preserve">cattle farms developed; </w:t>
      </w:r>
      <w:r w:rsidR="00632BEC">
        <w:t>(iii) energy produc</w:t>
      </w:r>
      <w:r w:rsidR="00BC37D1">
        <w:t>ed</w:t>
      </w:r>
      <w:r w:rsidR="00632BEC">
        <w:t xml:space="preserve"> from biogas; (iv</w:t>
      </w:r>
      <w:r w:rsidR="005B6A72" w:rsidRPr="008260B1">
        <w:t xml:space="preserve">) </w:t>
      </w:r>
      <w:r w:rsidR="00A75874" w:rsidRPr="008260B1">
        <w:t>s</w:t>
      </w:r>
      <w:r w:rsidR="002D4885">
        <w:t>ome 1,500</w:t>
      </w:r>
      <w:r w:rsidR="00132425" w:rsidRPr="008260B1">
        <w:t xml:space="preserve"> farmers trained in sustainable manure management </w:t>
      </w:r>
      <w:r w:rsidR="00632BEC">
        <w:t>practices; (</w:t>
      </w:r>
      <w:r w:rsidR="00A75874" w:rsidRPr="008260B1">
        <w:t xml:space="preserve">v) </w:t>
      </w:r>
      <w:r w:rsidR="00132425" w:rsidRPr="008260B1">
        <w:t xml:space="preserve">operating efficiency </w:t>
      </w:r>
      <w:r w:rsidR="00A75874" w:rsidRPr="008260B1">
        <w:t xml:space="preserve">improved </w:t>
      </w:r>
      <w:r w:rsidR="00132425" w:rsidRPr="008260B1">
        <w:t>on participating farms; and (v</w:t>
      </w:r>
      <w:r w:rsidR="00632BEC">
        <w:t>i</w:t>
      </w:r>
      <w:r w:rsidR="00132425" w:rsidRPr="008260B1">
        <w:t xml:space="preserve">) local production of </w:t>
      </w:r>
      <w:r w:rsidR="00F335B2">
        <w:t>biodigesters</w:t>
      </w:r>
      <w:r w:rsidR="00132425" w:rsidRPr="008260B1">
        <w:t xml:space="preserve"> initiated.</w:t>
      </w:r>
    </w:p>
    <w:p w:rsidR="006B1C19" w:rsidRPr="008129D2" w:rsidRDefault="00B90C83" w:rsidP="006B1C19">
      <w:pPr>
        <w:spacing w:before="240"/>
        <w:ind w:left="360"/>
        <w:jc w:val="both"/>
        <w:rPr>
          <w:lang w:val="en-GB"/>
        </w:rPr>
      </w:pPr>
      <w:r w:rsidRPr="00B90C83">
        <w:rPr>
          <w:u w:val="single"/>
        </w:rPr>
        <w:fldChar w:fldCharType="begin"/>
      </w:r>
      <w:r w:rsidR="006F6995" w:rsidRPr="006F6995">
        <w:rPr>
          <w:u w:val="single"/>
        </w:rPr>
        <w:instrText xml:space="preserve"> AUTONUM  </w:instrText>
      </w:r>
      <w:r w:rsidRPr="006F6995">
        <w:rPr>
          <w:u w:val="single"/>
          <w:lang w:val="en-GB"/>
        </w:rPr>
        <w:fldChar w:fldCharType="end"/>
      </w:r>
      <w:r w:rsidR="006F6995" w:rsidRPr="006F6995">
        <w:rPr>
          <w:u w:val="single"/>
        </w:rPr>
        <w:tab/>
      </w:r>
      <w:r w:rsidR="006B1C19" w:rsidRPr="006B1C19">
        <w:rPr>
          <w:b/>
          <w:u w:val="single"/>
          <w:lang w:val="en-GB"/>
        </w:rPr>
        <w:t xml:space="preserve">Replication potential over the </w:t>
      </w:r>
      <w:r w:rsidR="006B1C19" w:rsidRPr="008129D2">
        <w:rPr>
          <w:b/>
          <w:u w:val="single"/>
          <w:lang w:val="en-GB"/>
        </w:rPr>
        <w:t>next 5</w:t>
      </w:r>
      <w:r w:rsidR="00AB5AD4" w:rsidRPr="008129D2">
        <w:rPr>
          <w:b/>
          <w:u w:val="single"/>
          <w:lang w:val="en-GB"/>
        </w:rPr>
        <w:t xml:space="preserve"> to </w:t>
      </w:r>
      <w:r w:rsidR="006B1C19" w:rsidRPr="008129D2">
        <w:rPr>
          <w:b/>
          <w:u w:val="single"/>
          <w:lang w:val="en-GB"/>
        </w:rPr>
        <w:t>7 years is estimated at 40</w:t>
      </w:r>
      <w:r w:rsidR="00AB5AD4" w:rsidRPr="008129D2">
        <w:rPr>
          <w:b/>
          <w:u w:val="single"/>
          <w:lang w:val="en-GB"/>
        </w:rPr>
        <w:t xml:space="preserve"> to </w:t>
      </w:r>
      <w:r w:rsidR="006B1C19" w:rsidRPr="008129D2">
        <w:rPr>
          <w:b/>
          <w:u w:val="single"/>
          <w:lang w:val="en-GB"/>
        </w:rPr>
        <w:t>50 farms</w:t>
      </w:r>
      <w:r w:rsidR="006B1C19" w:rsidRPr="008129D2">
        <w:rPr>
          <w:lang w:val="en-GB"/>
        </w:rPr>
        <w:t>. Based on statistical data for 2008, Moldova has approx. 440 registered animal</w:t>
      </w:r>
      <w:r w:rsidR="006B1C19" w:rsidRPr="006B1C19">
        <w:rPr>
          <w:lang w:val="en-GB"/>
        </w:rPr>
        <w:t xml:space="preserve"> farms, including 130 specializing on cattle production. Of those, approx</w:t>
      </w:r>
      <w:r w:rsidR="00680FE1">
        <w:rPr>
          <w:lang w:val="en-GB"/>
        </w:rPr>
        <w:t>imately</w:t>
      </w:r>
      <w:r w:rsidR="006B1C19" w:rsidRPr="006B1C19">
        <w:rPr>
          <w:lang w:val="en-GB"/>
        </w:rPr>
        <w:t xml:space="preserve"> 20 farms have 400 cattle or more, which, according to the project team’s calculation, is the minimum farm size necessary for exploiting the full economic and technical potential of a biodigester. The interest of these larger producers in biodig</w:t>
      </w:r>
      <w:r w:rsidR="00680FE1">
        <w:rPr>
          <w:lang w:val="en-GB"/>
        </w:rPr>
        <w:t>esters</w:t>
      </w:r>
      <w:r w:rsidR="006B1C19" w:rsidRPr="006B1C19">
        <w:rPr>
          <w:lang w:val="en-GB"/>
        </w:rPr>
        <w:t xml:space="preserve">, although cautioned by the novelty of the technology, is significant. At the same time, it is expected that the biodigesters installed on the pilot cattle farms, in combination with the information campaign carried out by the project, will </w:t>
      </w:r>
      <w:r w:rsidR="00680FE1">
        <w:rPr>
          <w:lang w:val="en-GB"/>
        </w:rPr>
        <w:t xml:space="preserve">also </w:t>
      </w:r>
      <w:r w:rsidR="006B1C19" w:rsidRPr="006B1C19">
        <w:rPr>
          <w:lang w:val="en-GB"/>
        </w:rPr>
        <w:t>generate interest among swine and poultry producers, which account for another approximately 330 farms (some farms are mixed cattle and swine farms). With the local engineers and biodigester manufacturers trained, it is expected to be relatively easy to introduce biodigester technologies suitable for these types of farms. Estimating conservatively, it is expected that at least 20% of the swine and poultry farms will be interested and financially capable</w:t>
      </w:r>
      <w:r w:rsidR="006B1C19" w:rsidRPr="006B1C19">
        <w:rPr>
          <w:vertAlign w:val="superscript"/>
          <w:lang w:val="en-GB"/>
        </w:rPr>
        <w:footnoteReference w:id="3"/>
      </w:r>
      <w:r w:rsidR="006B1C19" w:rsidRPr="006B1C19">
        <w:rPr>
          <w:lang w:val="en-GB"/>
        </w:rPr>
        <w:t xml:space="preserve"> to install biodigesters. In addition, Moldova will serve as a demonstration for other countries in the region. While most of the study tours and information exchange trips are currently undertaken </w:t>
      </w:r>
      <w:r w:rsidR="00680FE1">
        <w:rPr>
          <w:lang w:val="en-GB"/>
        </w:rPr>
        <w:t xml:space="preserve">in </w:t>
      </w:r>
      <w:r w:rsidR="006B1C19" w:rsidRPr="006B1C19">
        <w:rPr>
          <w:lang w:val="en-GB"/>
        </w:rPr>
        <w:t>Western Europe, Moldova could serve as an alternative example for farmers and animal producers in other countries interested in biodigester technologies.</w:t>
      </w:r>
    </w:p>
    <w:p w:rsidR="006B1C19" w:rsidRPr="008129D2" w:rsidRDefault="00B90C83" w:rsidP="006B1C19">
      <w:pPr>
        <w:spacing w:before="240"/>
        <w:ind w:left="360"/>
        <w:jc w:val="both"/>
        <w:rPr>
          <w:lang w:val="en-GB"/>
        </w:rPr>
      </w:pPr>
      <w:r w:rsidRPr="008129D2">
        <w:fldChar w:fldCharType="begin"/>
      </w:r>
      <w:r w:rsidR="00451008" w:rsidRPr="008129D2">
        <w:instrText xml:space="preserve"> AUTONUM  </w:instrText>
      </w:r>
      <w:r w:rsidRPr="008129D2">
        <w:rPr>
          <w:lang w:val="en-GB"/>
        </w:rPr>
        <w:fldChar w:fldCharType="end"/>
      </w:r>
      <w:r w:rsidR="00451008" w:rsidRPr="008129D2">
        <w:rPr>
          <w:lang w:val="en-GB"/>
        </w:rPr>
        <w:t xml:space="preserve"> </w:t>
      </w:r>
      <w:r w:rsidR="006B1C19" w:rsidRPr="008129D2">
        <w:rPr>
          <w:lang w:val="en-GB"/>
        </w:rPr>
        <w:t>One of the ways of encouraging replication of the demonstration results under the GEF grant is expected to be carbon finance. The payments from the sale of emission</w:t>
      </w:r>
      <w:r w:rsidR="00680FE1" w:rsidRPr="008129D2">
        <w:rPr>
          <w:lang w:val="en-GB"/>
        </w:rPr>
        <w:t xml:space="preserve"> reduction</w:t>
      </w:r>
      <w:r w:rsidR="006B1C19" w:rsidRPr="008129D2">
        <w:rPr>
          <w:lang w:val="en-GB"/>
        </w:rPr>
        <w:t xml:space="preserve">s will serve as a grant component in the future investments in the technology. Based on the team’s analysis, carbon payments: (i) improve the financial feasibility of the investments by increasing the IRR two-fold or three-fold, compared to the project without the carbon payments; (ii) reduce the repayment period, thus allowing the farmers to achieve financial sustainability; and (iii) serve as a security for the lending institutions in cases where the animal producers will have to borrow. While a parallel carbon finance project was planned in parallel to this GEF grant for the purposes of scaling up the technology, the carbon finance project is expected to be prepared once the technology has been made available in the country. At least 40 farms (all types of animals) have contacted the CFU seeking participation in the carbon finance project. However, caution due to novelty of the technology and effects of the economic crisis have not permitted the carbon finance project to be launched.  </w:t>
      </w:r>
    </w:p>
    <w:p w:rsidR="00AF1AA9" w:rsidRPr="00AF1AA9" w:rsidRDefault="00B90C83" w:rsidP="00AF1AA9">
      <w:pPr>
        <w:spacing w:before="240"/>
        <w:ind w:left="360"/>
        <w:jc w:val="both"/>
      </w:pPr>
      <w:r w:rsidRPr="00B90C83">
        <w:fldChar w:fldCharType="begin"/>
      </w:r>
      <w:r w:rsidR="00AF1AA9" w:rsidRPr="00AF1AA9">
        <w:instrText xml:space="preserve"> AUTONUM  </w:instrText>
      </w:r>
      <w:r w:rsidRPr="00AF1AA9">
        <w:rPr>
          <w:lang w:val="en-GB"/>
        </w:rPr>
        <w:fldChar w:fldCharType="end"/>
      </w:r>
      <w:r w:rsidR="00AF1AA9" w:rsidRPr="00AF1AA9">
        <w:tab/>
      </w:r>
      <w:r w:rsidR="00AF1AA9" w:rsidRPr="00AF1AA9">
        <w:rPr>
          <w:b/>
          <w:i/>
        </w:rPr>
        <w:t>Estimation of the likely energy production</w:t>
      </w:r>
      <w:r w:rsidR="00AF1AA9" w:rsidRPr="00AF1AA9">
        <w:rPr>
          <w:b/>
        </w:rPr>
        <w:t xml:space="preserve">. </w:t>
      </w:r>
      <w:r w:rsidR="00AF1AA9" w:rsidRPr="00AF1AA9">
        <w:t>The exact volume of energy produced as a result of project activities will be known after the appropriate biodigester technology has been selected. At this time, the project team can provide an estimate of the possible energy production based on the expected size of the cattle farm. As the Financial Sustainability</w:t>
      </w:r>
      <w:r w:rsidR="00F9629C">
        <w:t xml:space="preserve"> calculation (please see page 15</w:t>
      </w:r>
      <w:r w:rsidR="00AF1AA9" w:rsidRPr="00AF1AA9">
        <w:t>) shows, to ensure viability of the biodigester investment, the minimum size of the cattle farm should be 400 animals. It is estimated that the methane production on such a farm amounts to 116,000 m</w:t>
      </w:r>
      <w:r w:rsidR="00311584">
        <w:rPr>
          <w:rStyle w:val="FootnoteReference"/>
        </w:rPr>
        <w:footnoteReference w:id="4"/>
      </w:r>
      <w:r w:rsidR="00AF1AA9" w:rsidRPr="00AF1AA9">
        <w:t xml:space="preserve"> a year, allowing for generation of about </w:t>
      </w:r>
      <w:r w:rsidR="00AF1AA9" w:rsidRPr="00AF1AA9">
        <w:rPr>
          <w:b/>
        </w:rPr>
        <w:t xml:space="preserve">230,000 kW/h </w:t>
      </w:r>
      <w:r w:rsidR="00AF1AA9" w:rsidRPr="00AF1AA9">
        <w:t xml:space="preserve">a year. </w:t>
      </w:r>
    </w:p>
    <w:p w:rsidR="007F781A" w:rsidRDefault="00B90C83" w:rsidP="00730FDB">
      <w:pPr>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1D5299" w:rsidRPr="001D5299">
        <w:rPr>
          <w:b/>
          <w:i/>
        </w:rPr>
        <w:t>Estimated Emission Reductions</w:t>
      </w:r>
      <w:r w:rsidR="00AD3F2F">
        <w:rPr>
          <w:b/>
          <w:i/>
        </w:rPr>
        <w:t xml:space="preserve"> from the Project’s Pilot Biodigester Investment</w:t>
      </w:r>
      <w:r w:rsidR="001D5299" w:rsidRPr="001D5299">
        <w:rPr>
          <w:b/>
        </w:rPr>
        <w:t xml:space="preserve">. </w:t>
      </w:r>
      <w:r w:rsidR="006F6995" w:rsidRPr="006F6995">
        <w:t xml:space="preserve">It is estimated that </w:t>
      </w:r>
      <w:r w:rsidR="007F781A">
        <w:t xml:space="preserve">the total emission reductions facilitated by the project </w:t>
      </w:r>
      <w:r w:rsidR="00A30405">
        <w:t>will amount to approx</w:t>
      </w:r>
      <w:r w:rsidR="00680FE1">
        <w:t xml:space="preserve">imately </w:t>
      </w:r>
      <w:r w:rsidR="00414B56">
        <w:t>2,257,730</w:t>
      </w:r>
      <w:r w:rsidR="007F781A">
        <w:t xml:space="preserve"> t/CO2 during the useful life of investments (estimated at 20 years) directly made under the GEF project as well as replicated thereafter by the private sector. </w:t>
      </w:r>
    </w:p>
    <w:p w:rsidR="00451008" w:rsidRDefault="00B90C83" w:rsidP="00730FDB">
      <w:pPr>
        <w:spacing w:before="240"/>
        <w:ind w:left="360"/>
        <w:jc w:val="both"/>
      </w:pPr>
      <w:r w:rsidRPr="00451008">
        <w:fldChar w:fldCharType="begin"/>
      </w:r>
      <w:r w:rsidR="00451008" w:rsidRPr="00451008">
        <w:instrText xml:space="preserve"> AUTONUM  </w:instrText>
      </w:r>
      <w:r w:rsidRPr="00451008">
        <w:fldChar w:fldCharType="end"/>
      </w:r>
      <w:r w:rsidR="00451008" w:rsidRPr="00451008">
        <w:tab/>
      </w:r>
      <w:r w:rsidR="006F6995" w:rsidRPr="006F6995">
        <w:rPr>
          <w:b/>
          <w:i/>
        </w:rPr>
        <w:t>Calculation of Benefits</w:t>
      </w:r>
      <w:r w:rsidR="00451008">
        <w:t xml:space="preserve">: </w:t>
      </w:r>
    </w:p>
    <w:p w:rsidR="00B90C83" w:rsidRDefault="006F6995">
      <w:pPr>
        <w:spacing w:before="240"/>
        <w:ind w:left="360"/>
        <w:jc w:val="both"/>
        <w:rPr>
          <w:u w:val="single"/>
        </w:rPr>
      </w:pPr>
      <w:r w:rsidRPr="006F6995">
        <w:t>(i)</w:t>
      </w:r>
      <w:r w:rsidR="005A6EAB" w:rsidRPr="007F781A">
        <w:rPr>
          <w:b/>
        </w:rPr>
        <w:t xml:space="preserve"> </w:t>
      </w:r>
      <w:r w:rsidRPr="006F6995">
        <w:rPr>
          <w:b/>
        </w:rPr>
        <w:t>Direct Benefits</w:t>
      </w:r>
      <w:r w:rsidR="007F781A">
        <w:t xml:space="preserve">: </w:t>
      </w:r>
      <w:r w:rsidR="001D5299" w:rsidRPr="001D5299">
        <w:t xml:space="preserve">It is </w:t>
      </w:r>
      <w:r w:rsidR="001D5299">
        <w:t xml:space="preserve">estimated that both cattle farms participating in the </w:t>
      </w:r>
      <w:r w:rsidR="001C3463">
        <w:t>biodigester pilot will reduce CO</w:t>
      </w:r>
      <w:r w:rsidR="001C3463" w:rsidRPr="003B2DB7">
        <w:rPr>
          <w:vertAlign w:val="subscript"/>
        </w:rPr>
        <w:t>2</w:t>
      </w:r>
      <w:r w:rsidR="001C3463">
        <w:t xml:space="preserve"> emission by </w:t>
      </w:r>
      <w:r w:rsidR="00AF1AA9">
        <w:t>approx</w:t>
      </w:r>
      <w:r w:rsidR="00680FE1">
        <w:t xml:space="preserve">imately </w:t>
      </w:r>
      <w:r w:rsidR="00C70D2C">
        <w:t>103,130</w:t>
      </w:r>
      <w:r w:rsidR="005A6EAB">
        <w:t xml:space="preserve"> </w:t>
      </w:r>
      <w:r w:rsidR="001C3463">
        <w:t xml:space="preserve">tons </w:t>
      </w:r>
      <w:r w:rsidR="005A6EAB">
        <w:t xml:space="preserve">during the </w:t>
      </w:r>
      <w:r w:rsidR="00C70D2C">
        <w:t xml:space="preserve">20 year </w:t>
      </w:r>
      <w:r w:rsidR="005A6EAB">
        <w:t xml:space="preserve">life of the investment </w:t>
      </w:r>
      <w:r w:rsidR="001C3463">
        <w:t>(</w:t>
      </w:r>
      <w:r w:rsidR="00C70D2C">
        <w:t>51,565</w:t>
      </w:r>
      <w:r w:rsidR="005A6EAB">
        <w:t xml:space="preserve"> </w:t>
      </w:r>
      <w:r w:rsidR="001C3463">
        <w:t>t/</w:t>
      </w:r>
      <w:r w:rsidR="001C3463" w:rsidRPr="001C3463">
        <w:t xml:space="preserve"> </w:t>
      </w:r>
      <w:r w:rsidR="001C3463">
        <w:t>CO</w:t>
      </w:r>
      <w:r w:rsidR="001C3463" w:rsidRPr="003B2DB7">
        <w:rPr>
          <w:vertAlign w:val="subscript"/>
        </w:rPr>
        <w:t>2</w:t>
      </w:r>
      <w:r w:rsidR="001C3463">
        <w:t xml:space="preserve"> </w:t>
      </w:r>
      <w:r w:rsidR="00BC37D1">
        <w:t xml:space="preserve">from </w:t>
      </w:r>
      <w:r w:rsidR="001C3463">
        <w:t>each farm)</w:t>
      </w:r>
      <w:r w:rsidR="0093208C">
        <w:t xml:space="preserve">, of which </w:t>
      </w:r>
      <w:r w:rsidR="009D194F">
        <w:t xml:space="preserve">49,2652 </w:t>
      </w:r>
      <w:r w:rsidR="0093208C">
        <w:t>t/</w:t>
      </w:r>
      <w:r w:rsidR="0093208C" w:rsidRPr="0093208C">
        <w:t xml:space="preserve"> </w:t>
      </w:r>
      <w:r w:rsidR="0093208C">
        <w:t>CO</w:t>
      </w:r>
      <w:r w:rsidR="0093208C" w:rsidRPr="003B2DB7">
        <w:rPr>
          <w:vertAlign w:val="subscript"/>
        </w:rPr>
        <w:t>2</w:t>
      </w:r>
      <w:r w:rsidR="0093208C">
        <w:t xml:space="preserve"> </w:t>
      </w:r>
      <w:r w:rsidR="009D194F">
        <w:t>will be</w:t>
      </w:r>
      <w:r w:rsidR="00BC37D1">
        <w:t xml:space="preserve"> </w:t>
      </w:r>
      <w:r w:rsidR="0093208C">
        <w:t xml:space="preserve">from use of biodigesters and </w:t>
      </w:r>
      <w:r w:rsidR="009D194F">
        <w:t xml:space="preserve">2,300 </w:t>
      </w:r>
      <w:r w:rsidR="0093208C">
        <w:t>t/</w:t>
      </w:r>
      <w:r w:rsidR="0093208C" w:rsidRPr="0093208C">
        <w:t xml:space="preserve"> </w:t>
      </w:r>
      <w:r w:rsidR="0093208C">
        <w:t>CO</w:t>
      </w:r>
      <w:r w:rsidR="0093208C" w:rsidRPr="003B2DB7">
        <w:rPr>
          <w:vertAlign w:val="subscript"/>
        </w:rPr>
        <w:t>2</w:t>
      </w:r>
      <w:r w:rsidR="0093208C">
        <w:t xml:space="preserve"> from </w:t>
      </w:r>
      <w:r w:rsidR="00BC37D1">
        <w:t xml:space="preserve">the </w:t>
      </w:r>
      <w:r w:rsidR="0093208C">
        <w:t>sale of electricity into the grid.</w:t>
      </w:r>
      <w:r w:rsidR="001C3463">
        <w:t xml:space="preserve"> </w:t>
      </w:r>
      <w:r w:rsidR="001D5299" w:rsidRPr="001D5299">
        <w:t xml:space="preserve">The </w:t>
      </w:r>
      <w:r w:rsidR="001D5299">
        <w:t xml:space="preserve">calculation below follows </w:t>
      </w:r>
      <w:r w:rsidR="005A6EAB">
        <w:t xml:space="preserve">GEF </w:t>
      </w:r>
      <w:r w:rsidR="001D5299">
        <w:t>methodology</w:t>
      </w:r>
      <w:r w:rsidR="005A6EAB">
        <w:t xml:space="preserve"> for calculating GHG benefits for energy efficiency and renewable energy projects</w:t>
      </w:r>
      <w:r w:rsidR="001D5299">
        <w:t>. The CO</w:t>
      </w:r>
      <w:r w:rsidR="001D5299" w:rsidRPr="003B2DB7">
        <w:rPr>
          <w:vertAlign w:val="subscript"/>
        </w:rPr>
        <w:t>2</w:t>
      </w:r>
      <w:r w:rsidR="001D5299">
        <w:t xml:space="preserve"> emission reductions will be obtained from two sources: from the use of biodigesters and from the sale of electricity into the grid. </w:t>
      </w:r>
      <w:r w:rsidR="005A6EAB" w:rsidRPr="005A6EAB">
        <w:t>It is assumed that</w:t>
      </w:r>
      <w:r w:rsidR="005A6EAB">
        <w:t>: (i)</w:t>
      </w:r>
      <w:r w:rsidR="005A6EAB" w:rsidRPr="005A6EAB">
        <w:t xml:space="preserve"> the participating f</w:t>
      </w:r>
      <w:r w:rsidR="005A6EAB">
        <w:t>arms will have about 400 cattle each; (i</w:t>
      </w:r>
      <w:r w:rsidR="007F781A">
        <w:t>i) the annual electricity saved/re</w:t>
      </w:r>
      <w:r w:rsidR="00A30405">
        <w:t>placed amounts to about 23</w:t>
      </w:r>
      <w:r w:rsidR="007F781A">
        <w:t xml:space="preserve">0MWh per farm annually; (iii) emission factor for Moldova is 0.5; and (iv) the useful lifetime of the investment is 20 years. </w:t>
      </w:r>
      <w:r w:rsidR="004F1C34" w:rsidRPr="00541C93">
        <w:t xml:space="preserve">The </w:t>
      </w:r>
      <w:r w:rsidR="004F1C34">
        <w:t xml:space="preserve">Pilot Farm 2 in Table 3 (page 16 of the Project Brief) is used as an example for this calculation. It is estimated that the animals on </w:t>
      </w:r>
      <w:r w:rsidR="0099735D">
        <w:t>one</w:t>
      </w:r>
      <w:r w:rsidR="004F1C34">
        <w:t xml:space="preserve"> farm </w:t>
      </w:r>
      <w:r w:rsidR="009D194F">
        <w:t xml:space="preserve">will </w:t>
      </w:r>
      <w:r w:rsidR="004F1C34">
        <w:t xml:space="preserve">produce </w:t>
      </w:r>
      <w:r w:rsidR="0099735D">
        <w:t xml:space="preserve">about </w:t>
      </w:r>
      <w:r w:rsidR="004F1C34">
        <w:t>115,</w:t>
      </w:r>
      <w:r w:rsidR="0099735D">
        <w:t>000</w:t>
      </w:r>
      <w:r w:rsidR="004F1C34">
        <w:t xml:space="preserve"> cubic meters of methane per year</w:t>
      </w:r>
      <w:r w:rsidR="009D194F">
        <w:t>, for a total of 230,000 for both farms</w:t>
      </w:r>
      <w:r w:rsidR="004F1C34">
        <w:t xml:space="preserve">.  </w:t>
      </w:r>
    </w:p>
    <w:p w:rsidR="00B90C83" w:rsidRDefault="00B32C9E">
      <w:pPr>
        <w:spacing w:before="240"/>
        <w:ind w:left="360"/>
        <w:jc w:val="both"/>
      </w:pPr>
      <w:r w:rsidRPr="00B32C9E">
        <w:t xml:space="preserve">(a) </w:t>
      </w:r>
      <w:r w:rsidR="00541C93">
        <w:t>Methane e</w:t>
      </w:r>
      <w:r w:rsidR="006F6995" w:rsidRPr="006F6995">
        <w:t>mission reductions from the use of biodigester</w:t>
      </w:r>
      <w:r w:rsidR="0099735D">
        <w:t>s on the two pilot farms</w:t>
      </w:r>
      <w:r w:rsidR="00541C93" w:rsidRPr="00541C93">
        <w:rPr>
          <w:b/>
        </w:rPr>
        <w:t>:</w:t>
      </w:r>
    </w:p>
    <w:p w:rsidR="00B90C83" w:rsidRDefault="0099735D">
      <w:pPr>
        <w:pStyle w:val="ListParagraph"/>
        <w:numPr>
          <w:ilvl w:val="0"/>
          <w:numId w:val="20"/>
        </w:numPr>
        <w:spacing w:before="240"/>
        <w:jc w:val="both"/>
      </w:pPr>
      <w:r>
        <w:t>230,000</w:t>
      </w:r>
      <w:r w:rsidR="00541C93">
        <w:t xml:space="preserve"> cubic meters</w:t>
      </w:r>
      <w:r w:rsidR="004F1C34">
        <w:t xml:space="preserve"> </w:t>
      </w:r>
      <w:r>
        <w:t xml:space="preserve">of annual emissions </w:t>
      </w:r>
      <w:r w:rsidR="004F1C34">
        <w:t xml:space="preserve">of CH4 is equivalent to </w:t>
      </w:r>
      <w:r>
        <w:t>234.6</w:t>
      </w:r>
      <w:r w:rsidR="00541C93">
        <w:t xml:space="preserve"> tons of CH4 (</w:t>
      </w:r>
      <w:r w:rsidR="004F1C34">
        <w:t xml:space="preserve">calculation: </w:t>
      </w:r>
      <w:r w:rsidR="00541C93">
        <w:t>(</w:t>
      </w:r>
      <w:r>
        <w:t>230,000</w:t>
      </w:r>
      <w:r w:rsidR="00541C93">
        <w:t xml:space="preserve"> * 1.02 )/ 1,000)</w:t>
      </w:r>
    </w:p>
    <w:p w:rsidR="00B90C83" w:rsidRDefault="00F4373D">
      <w:pPr>
        <w:pStyle w:val="ListParagraph"/>
        <w:numPr>
          <w:ilvl w:val="0"/>
          <w:numId w:val="20"/>
        </w:numPr>
        <w:spacing w:before="240"/>
        <w:jc w:val="both"/>
      </w:pPr>
      <w:r w:rsidRPr="00F4373D">
        <w:t xml:space="preserve">Given the GWP of methane (21), this </w:t>
      </w:r>
      <w:r w:rsidR="004F1C34">
        <w:t>in turn</w:t>
      </w:r>
      <w:r w:rsidR="0099735D">
        <w:t>,</w:t>
      </w:r>
      <w:r w:rsidR="004F1C34">
        <w:t xml:space="preserve"> is equivalent to approximately </w:t>
      </w:r>
      <w:r w:rsidR="0099735D">
        <w:t>4,927</w:t>
      </w:r>
      <w:r w:rsidR="004F1C34">
        <w:t xml:space="preserve"> tons of CO</w:t>
      </w:r>
      <w:r w:rsidR="006F6995" w:rsidRPr="006F6995">
        <w:rPr>
          <w:vertAlign w:val="subscript"/>
        </w:rPr>
        <w:t>2</w:t>
      </w:r>
      <w:r w:rsidR="004F1C34">
        <w:t xml:space="preserve"> emissions annually. </w:t>
      </w:r>
    </w:p>
    <w:p w:rsidR="00B90C83" w:rsidRDefault="004F1C34">
      <w:pPr>
        <w:pStyle w:val="ListParagraph"/>
        <w:numPr>
          <w:ilvl w:val="0"/>
          <w:numId w:val="20"/>
        </w:numPr>
        <w:spacing w:before="240"/>
        <w:jc w:val="both"/>
      </w:pPr>
      <w:r>
        <w:t>Over the useful lifetime of the biodigester, the CO</w:t>
      </w:r>
      <w:r w:rsidR="006F6995" w:rsidRPr="006F6995">
        <w:rPr>
          <w:vertAlign w:val="subscript"/>
        </w:rPr>
        <w:t>2</w:t>
      </w:r>
      <w:r>
        <w:t xml:space="preserve"> equivalent of emission reductions resulting from methane capture will amount to </w:t>
      </w:r>
      <w:r w:rsidR="0099735D">
        <w:t>98,530</w:t>
      </w:r>
      <w:r>
        <w:t xml:space="preserve"> tons of CO</w:t>
      </w:r>
      <w:r w:rsidR="006F6995" w:rsidRPr="006F6995">
        <w:rPr>
          <w:vertAlign w:val="subscript"/>
        </w:rPr>
        <w:t>2</w:t>
      </w:r>
      <w:r>
        <w:t xml:space="preserve">. </w:t>
      </w:r>
    </w:p>
    <w:p w:rsidR="00B90C83" w:rsidRDefault="00B90C83">
      <w:pPr>
        <w:pStyle w:val="ListParagraph"/>
        <w:spacing w:before="240"/>
        <w:ind w:left="0" w:firstLine="720"/>
        <w:jc w:val="both"/>
      </w:pPr>
    </w:p>
    <w:p w:rsidR="00F12EBA" w:rsidRDefault="00F4373D">
      <w:pPr>
        <w:pStyle w:val="ListParagraph"/>
        <w:numPr>
          <w:ilvl w:val="0"/>
          <w:numId w:val="21"/>
        </w:numPr>
        <w:spacing w:after="200" w:line="276" w:lineRule="auto"/>
        <w:ind w:left="360" w:firstLine="360"/>
        <w:jc w:val="both"/>
      </w:pPr>
      <w:r>
        <w:t xml:space="preserve"> </w:t>
      </w:r>
      <w:r w:rsidR="004F1C34">
        <w:t xml:space="preserve">Emission reductions from the replacement  of electricity into the grid is calculated using the following </w:t>
      </w:r>
      <w:r>
        <w:t>approach</w:t>
      </w:r>
      <w:r w:rsidR="004F1C34">
        <w:t>:</w:t>
      </w:r>
    </w:p>
    <w:p w:rsidR="00B90C83" w:rsidRDefault="00971311">
      <w:pPr>
        <w:spacing w:before="240"/>
        <w:jc w:val="center"/>
      </w:pPr>
      <w:r>
        <w:rPr>
          <w:noProof/>
        </w:rPr>
        <w:drawing>
          <wp:inline distT="0" distB="0" distL="0" distR="0">
            <wp:extent cx="3905250" cy="329565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905250" cy="3295650"/>
                    </a:xfrm>
                    <a:prstGeom prst="rect">
                      <a:avLst/>
                    </a:prstGeom>
                    <a:noFill/>
                    <a:ln w="9525">
                      <a:noFill/>
                      <a:miter lim="800000"/>
                      <a:headEnd/>
                      <a:tailEnd/>
                    </a:ln>
                  </pic:spPr>
                </pic:pic>
              </a:graphicData>
            </a:graphic>
          </wp:inline>
        </w:drawing>
      </w:r>
    </w:p>
    <w:p w:rsidR="00B90C83" w:rsidRDefault="00541C93">
      <w:pPr>
        <w:ind w:left="360"/>
        <w:jc w:val="both"/>
      </w:pPr>
      <w:r w:rsidRPr="00541C93">
        <w:t xml:space="preserve">(ii) </w:t>
      </w:r>
      <w:r w:rsidRPr="00541C93">
        <w:rPr>
          <w:b/>
        </w:rPr>
        <w:t>Indirect Benefits</w:t>
      </w:r>
      <w:r w:rsidRPr="00541C93">
        <w:t xml:space="preserve">. It is estimated that the indirect benefits will amount to </w:t>
      </w:r>
      <w:r w:rsidR="009D194F">
        <w:t>2,154,600</w:t>
      </w:r>
      <w:r w:rsidRPr="00541C93">
        <w:t xml:space="preserve"> t/CO</w:t>
      </w:r>
      <w:r w:rsidRPr="00541C93">
        <w:rPr>
          <w:vertAlign w:val="subscript"/>
        </w:rPr>
        <w:t xml:space="preserve">2, </w:t>
      </w:r>
      <w:r w:rsidRPr="00541C93">
        <w:t xml:space="preserve">given the expectation above that at least 40 farms will replicate the technology during the next 5 </w:t>
      </w:r>
      <w:r w:rsidR="00AB5AD4">
        <w:t>to</w:t>
      </w:r>
      <w:r w:rsidRPr="00541C93">
        <w:t xml:space="preserve"> 7 years. </w:t>
      </w:r>
    </w:p>
    <w:p w:rsidR="009D194F" w:rsidRDefault="009D194F" w:rsidP="00541C93">
      <w:pPr>
        <w:jc w:val="both"/>
      </w:pPr>
    </w:p>
    <w:p w:rsidR="00B90C83" w:rsidRDefault="009D194F">
      <w:pPr>
        <w:ind w:left="360"/>
        <w:jc w:val="both"/>
      </w:pPr>
      <w:r w:rsidRPr="009D194F">
        <w:t xml:space="preserve">(a) Methane emission reductions from the use of biodigesters on the </w:t>
      </w:r>
      <w:r>
        <w:t>replicating</w:t>
      </w:r>
      <w:r w:rsidRPr="009D194F">
        <w:t xml:space="preserve"> farms</w:t>
      </w:r>
      <w:r>
        <w:rPr>
          <w:b/>
        </w:rPr>
        <w:t xml:space="preserve">. </w:t>
      </w:r>
      <w:r w:rsidRPr="009D194F">
        <w:t>Over the useful lifetime of the biodigester, the CO</w:t>
      </w:r>
      <w:r w:rsidRPr="009D194F">
        <w:rPr>
          <w:vertAlign w:val="subscript"/>
        </w:rPr>
        <w:t>2</w:t>
      </w:r>
      <w:r w:rsidRPr="009D194F">
        <w:t xml:space="preserve"> equivalent of emission reductions resulting from methane capture </w:t>
      </w:r>
      <w:r>
        <w:t xml:space="preserve">in the 40 farms </w:t>
      </w:r>
      <w:r w:rsidRPr="009D194F">
        <w:t xml:space="preserve">will amount to </w:t>
      </w:r>
      <w:r>
        <w:t>1,970,600</w:t>
      </w:r>
      <w:r w:rsidRPr="009D194F">
        <w:t xml:space="preserve"> tons of CO</w:t>
      </w:r>
      <w:r w:rsidRPr="009D194F">
        <w:rPr>
          <w:vertAlign w:val="subscript"/>
        </w:rPr>
        <w:t>2</w:t>
      </w:r>
      <w:r w:rsidRPr="009D194F">
        <w:t xml:space="preserve">. </w:t>
      </w:r>
    </w:p>
    <w:p w:rsidR="009D194F" w:rsidRPr="009D194F" w:rsidRDefault="009D194F" w:rsidP="00F4373D">
      <w:pPr>
        <w:ind w:left="360"/>
        <w:jc w:val="both"/>
      </w:pPr>
    </w:p>
    <w:p w:rsidR="00B90C83" w:rsidRDefault="009D194F">
      <w:pPr>
        <w:ind w:left="360"/>
        <w:jc w:val="both"/>
      </w:pPr>
      <w:r>
        <w:t xml:space="preserve">(b) </w:t>
      </w:r>
      <w:r w:rsidRPr="009D194F">
        <w:t xml:space="preserve">Emission reductions from the replacement of electricity into the grid </w:t>
      </w:r>
      <w:r>
        <w:t>on the 40 farms will amount to additional 184,000 t/CO</w:t>
      </w:r>
      <w:r w:rsidR="006F6995" w:rsidRPr="006F6995">
        <w:rPr>
          <w:vertAlign w:val="subscript"/>
        </w:rPr>
        <w:t>2</w:t>
      </w:r>
      <w:r>
        <w:t xml:space="preserve">. </w:t>
      </w:r>
    </w:p>
    <w:p w:rsidR="00B90C83" w:rsidRDefault="00B90C83">
      <w:pPr>
        <w:jc w:val="both"/>
      </w:pPr>
    </w:p>
    <w:p w:rsidR="004D750B" w:rsidRDefault="00B90C83" w:rsidP="008B0DBA">
      <w:pPr>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FA399D" w:rsidRPr="00025717">
        <w:rPr>
          <w:b/>
          <w:i/>
        </w:rPr>
        <w:t>Project cost financed by GEF</w:t>
      </w:r>
      <w:r w:rsidR="00FA399D">
        <w:t xml:space="preserve">: </w:t>
      </w:r>
      <w:r w:rsidR="003575DF">
        <w:t xml:space="preserve"> </w:t>
      </w:r>
      <w:r w:rsidR="004D750B" w:rsidRPr="00FB15A8">
        <w:t>The project will be finan</w:t>
      </w:r>
      <w:r w:rsidR="004D750B">
        <w:t xml:space="preserve">ced </w:t>
      </w:r>
      <w:r w:rsidR="0051026B">
        <w:t xml:space="preserve">with resources </w:t>
      </w:r>
      <w:r w:rsidR="004D750B">
        <w:t xml:space="preserve">from </w:t>
      </w:r>
      <w:r w:rsidR="0051026B">
        <w:t xml:space="preserve">the </w:t>
      </w:r>
      <w:r w:rsidR="00027756">
        <w:t xml:space="preserve">GEF, GOM, </w:t>
      </w:r>
      <w:r w:rsidR="000902C9">
        <w:t>the World Bank</w:t>
      </w:r>
      <w:r w:rsidR="00027756">
        <w:t xml:space="preserve"> and the private sector. The GEF funding is expected to provide 63%</w:t>
      </w:r>
      <w:r w:rsidR="00027756">
        <w:rPr>
          <w:rStyle w:val="FootnoteReference"/>
        </w:rPr>
        <w:footnoteReference w:id="5"/>
      </w:r>
      <w:r w:rsidR="007543DA">
        <w:t xml:space="preserve"> of the total project cost</w:t>
      </w:r>
      <w:r w:rsidR="003575DF">
        <w:t xml:space="preserve">. GOM will </w:t>
      </w:r>
      <w:r w:rsidR="003575DF" w:rsidRPr="003575DF">
        <w:t>provide in kind and ca</w:t>
      </w:r>
      <w:r w:rsidR="003575DF">
        <w:t xml:space="preserve">sh co-financing for the project, </w:t>
      </w:r>
      <w:r w:rsidR="004D750B">
        <w:t xml:space="preserve">while </w:t>
      </w:r>
      <w:r w:rsidR="003575DF">
        <w:t xml:space="preserve">investments in </w:t>
      </w:r>
      <w:r w:rsidR="004D750B">
        <w:t xml:space="preserve">the pilot </w:t>
      </w:r>
      <w:r w:rsidR="00F335B2">
        <w:t>biodigesters</w:t>
      </w:r>
      <w:r w:rsidR="004D750B">
        <w:t xml:space="preserve"> on two livestock cattle </w:t>
      </w:r>
      <w:r w:rsidR="004D750B" w:rsidRPr="00FB15A8">
        <w:t>farm</w:t>
      </w:r>
      <w:r w:rsidR="004D750B">
        <w:t xml:space="preserve">s will be co-financed </w:t>
      </w:r>
      <w:r w:rsidR="007543DA">
        <w:t>by the World Bank</w:t>
      </w:r>
      <w:r w:rsidR="003575DF">
        <w:t xml:space="preserve">-supported </w:t>
      </w:r>
      <w:r w:rsidR="004D750B">
        <w:t xml:space="preserve">RISP II project </w:t>
      </w:r>
      <w:r w:rsidR="004D750B" w:rsidRPr="00FB15A8">
        <w:t>(through a borrowing arrangement supported by participating commercial banks)</w:t>
      </w:r>
      <w:r w:rsidR="00027756">
        <w:t xml:space="preserve"> and contributions of beneficiaries</w:t>
      </w:r>
      <w:r w:rsidR="004D750B" w:rsidRPr="00FB15A8">
        <w:t>.</w:t>
      </w:r>
      <w:r w:rsidR="004D750B">
        <w:t xml:space="preserve"> </w:t>
      </w:r>
      <w:r w:rsidR="005F102F">
        <w:t xml:space="preserve">GEF funding will be </w:t>
      </w:r>
      <w:r w:rsidR="004D750B" w:rsidRPr="00FB15A8">
        <w:t>provided to finance matching gran</w:t>
      </w:r>
      <w:r w:rsidR="004D750B">
        <w:t>ts for these investments</w:t>
      </w:r>
      <w:r w:rsidR="007543DA">
        <w:t>, as well as to finance an extensive program of technical assistance</w:t>
      </w:r>
      <w:r w:rsidR="004D750B" w:rsidRPr="00FB15A8">
        <w:t xml:space="preserve">.  </w:t>
      </w:r>
    </w:p>
    <w:p w:rsidR="0051449C" w:rsidRDefault="00B90C83" w:rsidP="00EC7455">
      <w:pPr>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4D750B" w:rsidRPr="00FB15A8">
        <w:t xml:space="preserve">The </w:t>
      </w:r>
      <w:r w:rsidR="009E0393">
        <w:t xml:space="preserve">proposed </w:t>
      </w:r>
      <w:r w:rsidR="004D750B" w:rsidRPr="00FB15A8">
        <w:t xml:space="preserve">Moldova Biogas </w:t>
      </w:r>
      <w:r w:rsidR="009E0393">
        <w:t xml:space="preserve">Generation from Animal Manure </w:t>
      </w:r>
      <w:r w:rsidR="004D750B" w:rsidRPr="00FB15A8">
        <w:t xml:space="preserve">Pilot Project is expected to serve as a demonstration project for future scaling-up of activities in Moldova and the wider region. In order to ensure that a full spectrum of </w:t>
      </w:r>
      <w:r w:rsidR="00376EA9">
        <w:t>biodigester</w:t>
      </w:r>
      <w:r w:rsidR="004D750B" w:rsidRPr="00FB15A8">
        <w:t xml:space="preserve"> technologies is piloted, the participants in the GEF-financed activities will also have the possibility to learn from the Moldova Bio</w:t>
      </w:r>
      <w:r w:rsidR="00376EA9">
        <w:t>-</w:t>
      </w:r>
      <w:r w:rsidR="004D750B" w:rsidRPr="00FB15A8">
        <w:t xml:space="preserve">energy Project, which will be implemented together with the World Bank’s Carbon Funds and will focus on piloting biogas installations in farms that are not supported by GEF funding (i.e., poultry and swine farms). The project design will ensure that GEF resources and carbon credits are adequately separated, to avoid </w:t>
      </w:r>
      <w:r w:rsidR="006C4047">
        <w:t xml:space="preserve">financing overlaps. </w:t>
      </w:r>
    </w:p>
    <w:p w:rsidR="003575DF" w:rsidRPr="00EC7455" w:rsidRDefault="00B90C83" w:rsidP="00EC7455">
      <w:pPr>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3575DF" w:rsidRPr="003575DF">
        <w:t>The financing support provided will be in the form of a grant. This is justified by the lack of government budgetary resources to promote renewable energy use and pilot new low-GHG emitting energy technologies at a scale that the project would make possibl</w:t>
      </w:r>
      <w:r w:rsidR="003575DF">
        <w:t xml:space="preserve">e. </w:t>
      </w:r>
      <w:r w:rsidR="003575DF" w:rsidRPr="003575DF">
        <w:rPr>
          <w:bCs/>
        </w:rPr>
        <w:t xml:space="preserve">The project will support the development of an enabling legal framework, </w:t>
      </w:r>
      <w:r w:rsidR="003575DF">
        <w:rPr>
          <w:bCs/>
        </w:rPr>
        <w:t>capacity building and raising awareness</w:t>
      </w:r>
      <w:r w:rsidR="003575DF" w:rsidRPr="003575DF">
        <w:rPr>
          <w:bCs/>
        </w:rPr>
        <w:t>, and technology testing. The project objective will be attained through technical assistance and investments in pilot activities. No loan or revolving fund mechanisms are considered appropriate for the technical assistance and the limited investment grant activities, and therefore, grant type funding is considered most adequate to enable successful delivery of the project. The project, through its grant funding, will demonstrat</w:t>
      </w:r>
      <w:r w:rsidR="00E6532A">
        <w:rPr>
          <w:bCs/>
        </w:rPr>
        <w:t xml:space="preserve">e a new type of environmentally </w:t>
      </w:r>
      <w:r w:rsidR="003575DF" w:rsidRPr="003575DF">
        <w:rPr>
          <w:bCs/>
        </w:rPr>
        <w:t>friendly technology, which is expected to kick-start the market for biogas technologies in Moldova and the wider ECA region, which then will be implemented on the basis of commercial funding (such as loans from the bankin</w:t>
      </w:r>
      <w:r w:rsidR="003575DF">
        <w:rPr>
          <w:bCs/>
        </w:rPr>
        <w:t>g sector).</w:t>
      </w:r>
    </w:p>
    <w:p w:rsidR="003575DF" w:rsidRDefault="00B90C83" w:rsidP="003575DF">
      <w:pPr>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FA399D" w:rsidRPr="00FA399D">
        <w:t xml:space="preserve">GEF support through this proposed demonstration biodigester project is critical. Without the GEF project, achieving positive pilot results will be very difficult, if not impossible. At the same time, it is very important to achieve positive results under this biogas pilot, which is the </w:t>
      </w:r>
      <w:r w:rsidR="00FA399D" w:rsidRPr="00025717">
        <w:t>first farm-lev</w:t>
      </w:r>
      <w:r w:rsidR="00A75874">
        <w:t>el biogas project in the region, so as to remove the barriers to market transformation and replication.</w:t>
      </w:r>
      <w:r w:rsidR="00FA399D" w:rsidRPr="00025717">
        <w:t xml:space="preserve"> There is significant interest in Moldo</w:t>
      </w:r>
      <w:r w:rsidR="00FA399D" w:rsidRPr="00FA399D">
        <w:t xml:space="preserve">va and the ECA Region in the generation of heat and electricity using </w:t>
      </w:r>
      <w:r w:rsidR="00F335B2">
        <w:t>biodigesters</w:t>
      </w:r>
      <w:r w:rsidR="00FA399D" w:rsidRPr="00FA399D">
        <w:t xml:space="preserve">, however, scaling up efforts would be fruitless without positive results achieved under this biogas pilot. </w:t>
      </w:r>
    </w:p>
    <w:p w:rsidR="00022CD3" w:rsidRDefault="00022CD3">
      <w:pPr>
        <w:ind w:left="360"/>
      </w:pPr>
    </w:p>
    <w:p w:rsidR="0047542E" w:rsidRDefault="0047542E">
      <w:pPr>
        <w:ind w:left="360"/>
      </w:pPr>
    </w:p>
    <w:p w:rsidR="00025717" w:rsidRDefault="00022CD3" w:rsidP="00025717">
      <w:pPr>
        <w:numPr>
          <w:ilvl w:val="0"/>
          <w:numId w:val="2"/>
        </w:numPr>
        <w:rPr>
          <w:smallCaps/>
        </w:rPr>
      </w:pPr>
      <w:r>
        <w:rPr>
          <w:smallCaps/>
        </w:rPr>
        <w:t>Sustainability (including financial sustainability)</w:t>
      </w:r>
      <w:r w:rsidR="00025717">
        <w:rPr>
          <w:smallCaps/>
        </w:rPr>
        <w:t xml:space="preserve"> and Risk Assessment</w:t>
      </w:r>
    </w:p>
    <w:p w:rsidR="00691F65" w:rsidRDefault="00B90C83" w:rsidP="00746452">
      <w:pPr>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5B6956">
        <w:rPr>
          <w:b/>
          <w:i/>
        </w:rPr>
        <w:t xml:space="preserve">Institutional </w:t>
      </w:r>
      <w:r w:rsidR="00C163B5" w:rsidRPr="00C163B5">
        <w:rPr>
          <w:b/>
          <w:i/>
        </w:rPr>
        <w:t>Sustainability</w:t>
      </w:r>
      <w:r w:rsidR="00C163B5">
        <w:t xml:space="preserve">: </w:t>
      </w:r>
      <w:r w:rsidR="00D33DA5">
        <w:t xml:space="preserve"> </w:t>
      </w:r>
      <w:r w:rsidR="00746452" w:rsidRPr="00FA399D">
        <w:t>GEF support will help develop appropriate macro</w:t>
      </w:r>
      <w:r w:rsidR="00F8234F">
        <w:t>-</w:t>
      </w:r>
      <w:r w:rsidR="00746452" w:rsidRPr="00FA399D">
        <w:t xml:space="preserve"> level legislation and policies, raise farm-level and country-wide awareness and technical capacity, as well as demonstrate and test new technologies for farms in Moldova and/or in other countries in the region. A very important characteristic of this Project is that it </w:t>
      </w:r>
      <w:r w:rsidR="00746452" w:rsidRPr="00746452">
        <w:t>will create a new market i</w:t>
      </w:r>
      <w:r w:rsidR="00746452" w:rsidRPr="00FA399D">
        <w:t xml:space="preserve">n Moldova, as it makes the technology more accessible by identifying local biodigester manufacturers and building capacity of local engineers, experts and farmers. The awareness-raising activities of </w:t>
      </w:r>
      <w:r w:rsidR="00376EA9">
        <w:t>biodigester</w:t>
      </w:r>
      <w:r w:rsidR="00746452" w:rsidRPr="00FA399D">
        <w:t xml:space="preserve"> technologies and training of broader farmer communities will help further promote the new environmentally friendly technologies and reduce air and water pollution in the country. </w:t>
      </w:r>
    </w:p>
    <w:p w:rsidR="00C3203F" w:rsidRDefault="00B90C83" w:rsidP="00746452">
      <w:pPr>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746452" w:rsidRPr="00FA399D">
        <w:t xml:space="preserve">The project is expected to not only create a market for a new </w:t>
      </w:r>
      <w:r w:rsidR="00376EA9">
        <w:t>biodigester</w:t>
      </w:r>
      <w:r w:rsidR="00746452" w:rsidRPr="00FA399D">
        <w:t xml:space="preserve"> technology, but also establish conditions for t</w:t>
      </w:r>
      <w:r w:rsidR="00F8234F">
        <w:t>his market to be further scaled-</w:t>
      </w:r>
      <w:r w:rsidR="00746452" w:rsidRPr="00FA399D">
        <w:t xml:space="preserve">up.  The GEF support will ensure that the full product of the biogas plants is used to generate GHG reductions, both through processing methane and through utilizing the energy produced, giving the double-dividend associated with biomass-methane projects.  </w:t>
      </w:r>
    </w:p>
    <w:p w:rsidR="005B6956" w:rsidRDefault="00B90C83" w:rsidP="005B6956">
      <w:pPr>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5B6956" w:rsidRPr="00413F6E">
        <w:rPr>
          <w:b/>
          <w:i/>
        </w:rPr>
        <w:t>Financial Sustainability</w:t>
      </w:r>
      <w:r w:rsidR="005B6956" w:rsidRPr="00413F6E">
        <w:t xml:space="preserve">: </w:t>
      </w:r>
      <w:r w:rsidR="00413F6E">
        <w:t>The financial sustainability of the entire project is low, since, being a market-creation project with substantial capacity building and technical assistance activities, the project’s IRR will be negative. However, b</w:t>
      </w:r>
      <w:r w:rsidR="00F8234F" w:rsidRPr="00413F6E">
        <w:t xml:space="preserve">y providing technical assistance to local manufacturers the project will help to identify designs that will be attractive </w:t>
      </w:r>
      <w:r w:rsidR="002D4885" w:rsidRPr="00413F6E">
        <w:t xml:space="preserve">and more affordable </w:t>
      </w:r>
      <w:r w:rsidR="00F8234F" w:rsidRPr="00413F6E">
        <w:t>to farmers and provide a basis for building a financially sustainable</w:t>
      </w:r>
      <w:r w:rsidR="002D4885" w:rsidRPr="00413F6E">
        <w:t xml:space="preserve"> biodigester manufacturing</w:t>
      </w:r>
      <w:r w:rsidR="00F8234F" w:rsidRPr="00413F6E">
        <w:t xml:space="preserve"> business</w:t>
      </w:r>
      <w:r w:rsidR="002D4885" w:rsidRPr="00413F6E">
        <w:t xml:space="preserve"> in the country for wider market outreach. </w:t>
      </w:r>
      <w:r w:rsidR="00F8234F" w:rsidRPr="00413F6E">
        <w:t xml:space="preserve">While the objective of the work on legislation of the renewable market is to </w:t>
      </w:r>
      <w:r w:rsidR="00E6532A" w:rsidRPr="00413F6E">
        <w:t>develop an attractive outlet for</w:t>
      </w:r>
      <w:r w:rsidR="00334992" w:rsidRPr="00413F6E">
        <w:t xml:space="preserve"> the biogas generated thereby providing an incentive to farmers to invest in biogas generation as part of developing a more efficient and financially sustainable agriculture.</w:t>
      </w:r>
    </w:p>
    <w:p w:rsidR="000607A2" w:rsidRDefault="00B90C83" w:rsidP="00323537">
      <w:pPr>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413F6E">
        <w:t xml:space="preserve">However, financial sustainability at the participating farm level has been analyzed. Table </w:t>
      </w:r>
      <w:r w:rsidR="00D33DA5">
        <w:t xml:space="preserve">3 </w:t>
      </w:r>
      <w:r w:rsidR="00413F6E">
        <w:t>below highlights that the minimum size of the participating farms should be at least 400 cattle in order to ensure financial viability of the biodiges</w:t>
      </w:r>
      <w:r w:rsidR="00CE6514">
        <w:t>ter investment without any financial support</w:t>
      </w:r>
      <w:r w:rsidR="007B141D">
        <w:t xml:space="preserve">. </w:t>
      </w:r>
      <w:r w:rsidR="00CE6514">
        <w:t xml:space="preserve">The project will work </w:t>
      </w:r>
      <w:r w:rsidR="005D7CB8">
        <w:t xml:space="preserve">with </w:t>
      </w:r>
      <w:r w:rsidR="00CE6514">
        <w:t xml:space="preserve">financially sustainable animal producers </w:t>
      </w:r>
      <w:r w:rsidR="005D7CB8">
        <w:t xml:space="preserve">who will have </w:t>
      </w:r>
      <w:r w:rsidR="00CE6514">
        <w:t>a capacity to borrow</w:t>
      </w:r>
      <w:r w:rsidR="005D7CB8">
        <w:t xml:space="preserve"> for investment in the new biodigester technology</w:t>
      </w:r>
      <w:r w:rsidR="00CE6514">
        <w:t xml:space="preserve">. However, the farmers are cautious </w:t>
      </w:r>
      <w:r w:rsidR="00D33DA5">
        <w:t>to</w:t>
      </w:r>
      <w:r w:rsidR="00CE6514">
        <w:t xml:space="preserve"> mak</w:t>
      </w:r>
      <w:r w:rsidR="00D33DA5">
        <w:t>e</w:t>
      </w:r>
      <w:r w:rsidR="00CE6514">
        <w:t xml:space="preserve"> investments in new technologies. </w:t>
      </w:r>
      <w:r w:rsidR="007B141D">
        <w:t xml:space="preserve">The GEF grant will allow for </w:t>
      </w:r>
      <w:r w:rsidR="00D33DA5">
        <w:t xml:space="preserve">the </w:t>
      </w:r>
      <w:r w:rsidR="007B141D">
        <w:t>testing of this new technology by improving the financial attractiveness of the investment. The “without project” IRR for the investment in biod</w:t>
      </w:r>
      <w:r w:rsidR="00D33DA5">
        <w:t>i</w:t>
      </w:r>
      <w:r w:rsidR="007B141D">
        <w:t xml:space="preserve">gesters for such 400 </w:t>
      </w:r>
      <w:r w:rsidR="00C73EFE">
        <w:t xml:space="preserve">cattle </w:t>
      </w:r>
      <w:r w:rsidR="007B141D">
        <w:t>farm</w:t>
      </w:r>
      <w:r w:rsidR="00C73EFE">
        <w:t>s</w:t>
      </w:r>
      <w:r w:rsidR="007B141D">
        <w:t xml:space="preserve"> is 0%, and increases to 13% with the project activities (GEF grant). Similarly, the pay-back period is 28 years without the project and is reduced to 16 years with the project (the useful life of the biodigester is assumed </w:t>
      </w:r>
      <w:r w:rsidR="005E6BFB">
        <w:t xml:space="preserve">to be </w:t>
      </w:r>
      <w:r w:rsidR="007B141D">
        <w:t>20 years).</w:t>
      </w:r>
      <w:r w:rsidR="00E9785E">
        <w:t xml:space="preserve"> The cost of the investment has been assumed, taking into account the following cost-reduction measures: some of the </w:t>
      </w:r>
      <w:r w:rsidR="00680FE1">
        <w:t>construction</w:t>
      </w:r>
      <w:r w:rsidR="00E9785E">
        <w:t xml:space="preserve"> work will be performed by the participating farmers/producers, biodigesters (or their parts) will be locally produced, and simple but sound </w:t>
      </w:r>
      <w:r w:rsidR="00680FE1">
        <w:t xml:space="preserve">construction </w:t>
      </w:r>
      <w:r w:rsidR="00E9785E">
        <w:t>materials and processes will be used.</w:t>
      </w:r>
    </w:p>
    <w:p w:rsidR="00735E76" w:rsidRDefault="00735E76" w:rsidP="00323537">
      <w:pPr>
        <w:spacing w:before="240"/>
        <w:ind w:left="360"/>
        <w:jc w:val="both"/>
      </w:pPr>
    </w:p>
    <w:p w:rsidR="00735E76" w:rsidRDefault="00735E76" w:rsidP="00323537">
      <w:pPr>
        <w:spacing w:before="240"/>
        <w:ind w:left="360"/>
        <w:jc w:val="both"/>
      </w:pPr>
    </w:p>
    <w:p w:rsidR="00735E76" w:rsidRDefault="00735E76" w:rsidP="00323537">
      <w:pPr>
        <w:spacing w:before="240"/>
        <w:ind w:left="360"/>
        <w:jc w:val="both"/>
      </w:pPr>
    </w:p>
    <w:p w:rsidR="00B90C83" w:rsidRDefault="000607A2">
      <w:pPr>
        <w:spacing w:before="240"/>
        <w:rPr>
          <w:b/>
        </w:rPr>
      </w:pPr>
      <w:r w:rsidRPr="000607A2">
        <w:rPr>
          <w:b/>
        </w:rPr>
        <w:t>Table</w:t>
      </w:r>
      <w:r w:rsidR="00D33DA5">
        <w:rPr>
          <w:b/>
        </w:rPr>
        <w:t xml:space="preserve"> 3</w:t>
      </w:r>
      <w:r w:rsidRPr="000607A2">
        <w:rPr>
          <w:b/>
        </w:rPr>
        <w:t>: Financial Viability of Biogas Investment</w:t>
      </w:r>
    </w:p>
    <w:p w:rsidR="00B90C83" w:rsidRDefault="00971311">
      <w:pPr>
        <w:spacing w:before="240"/>
        <w:rPr>
          <w:b/>
        </w:rPr>
      </w:pPr>
      <w:r>
        <w:rPr>
          <w:noProof/>
        </w:rPr>
        <w:drawing>
          <wp:inline distT="0" distB="0" distL="0" distR="0">
            <wp:extent cx="5486400" cy="6546273"/>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486400" cy="6546273"/>
                    </a:xfrm>
                    <a:prstGeom prst="rect">
                      <a:avLst/>
                    </a:prstGeom>
                    <a:noFill/>
                    <a:ln w="9525">
                      <a:noFill/>
                      <a:miter lim="800000"/>
                      <a:headEnd/>
                      <a:tailEnd/>
                    </a:ln>
                  </pic:spPr>
                </pic:pic>
              </a:graphicData>
            </a:graphic>
          </wp:inline>
        </w:drawing>
      </w:r>
    </w:p>
    <w:p w:rsidR="005B6956" w:rsidRDefault="00B90C83" w:rsidP="005B6956">
      <w:pPr>
        <w:spacing w:before="240"/>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C163B5" w:rsidRPr="00C163B5">
        <w:rPr>
          <w:b/>
          <w:i/>
        </w:rPr>
        <w:t>Risk Assessment</w:t>
      </w:r>
      <w:r w:rsidR="00C163B5">
        <w:t>:</w:t>
      </w:r>
      <w:r w:rsidR="005B6956">
        <w:t xml:space="preserve">  The overall level of risk associated with the</w:t>
      </w:r>
      <w:r w:rsidR="008C18D3">
        <w:t xml:space="preserve"> project is assessed to be low. </w:t>
      </w:r>
      <w:r w:rsidR="005B6956">
        <w:t xml:space="preserve"> </w:t>
      </w:r>
      <w:r w:rsidR="00572C19">
        <w:t>Project design has be</w:t>
      </w:r>
      <w:r w:rsidR="00632BEC">
        <w:t xml:space="preserve">nefited from the experience of </w:t>
      </w:r>
      <w:r w:rsidR="00572C19">
        <w:t xml:space="preserve">a </w:t>
      </w:r>
      <w:r w:rsidR="005B6956">
        <w:t xml:space="preserve">biogas project funded by Dutch aid </w:t>
      </w:r>
      <w:r w:rsidR="00572C19">
        <w:t xml:space="preserve">that has </w:t>
      </w:r>
      <w:r w:rsidR="005B6956">
        <w:t>demonstrated the opportunities as well as some of the pitfalls to be avoided.</w:t>
      </w:r>
    </w:p>
    <w:p w:rsidR="00735E76" w:rsidRDefault="00735E76" w:rsidP="005B6956">
      <w:pPr>
        <w:spacing w:before="240"/>
        <w:ind w:left="360"/>
        <w:jc w:val="both"/>
      </w:pPr>
    </w:p>
    <w:p w:rsidR="00746452" w:rsidRDefault="00746452" w:rsidP="00025717">
      <w:pPr>
        <w:ind w:left="360"/>
        <w:rPr>
          <w:smallCap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1"/>
        <w:gridCol w:w="962"/>
        <w:gridCol w:w="4845"/>
      </w:tblGrid>
      <w:tr w:rsidR="00025717" w:rsidRPr="00CF6120">
        <w:tc>
          <w:tcPr>
            <w:tcW w:w="2581" w:type="dxa"/>
            <w:vAlign w:val="center"/>
          </w:tcPr>
          <w:p w:rsidR="00025717" w:rsidRPr="00E6532A" w:rsidRDefault="00F8234F" w:rsidP="00E70C85">
            <w:pPr>
              <w:jc w:val="center"/>
              <w:rPr>
                <w:b/>
                <w:bCs/>
                <w:sz w:val="20"/>
                <w:szCs w:val="20"/>
              </w:rPr>
            </w:pPr>
            <w:r w:rsidRPr="00E6532A">
              <w:rPr>
                <w:b/>
                <w:bCs/>
                <w:sz w:val="20"/>
                <w:szCs w:val="20"/>
              </w:rPr>
              <w:t xml:space="preserve">I. </w:t>
            </w:r>
            <w:r w:rsidR="00025717" w:rsidRPr="00E6532A">
              <w:rPr>
                <w:b/>
                <w:bCs/>
                <w:sz w:val="20"/>
                <w:szCs w:val="20"/>
              </w:rPr>
              <w:t>Risk</w:t>
            </w:r>
            <w:r w:rsidRPr="00E6532A">
              <w:rPr>
                <w:b/>
                <w:bCs/>
                <w:sz w:val="20"/>
                <w:szCs w:val="20"/>
              </w:rPr>
              <w:t>s</w:t>
            </w:r>
            <w:r w:rsidR="00572C19" w:rsidRPr="00E6532A">
              <w:rPr>
                <w:b/>
                <w:bCs/>
                <w:sz w:val="20"/>
                <w:szCs w:val="20"/>
              </w:rPr>
              <w:t>:</w:t>
            </w:r>
          </w:p>
        </w:tc>
        <w:tc>
          <w:tcPr>
            <w:tcW w:w="962" w:type="dxa"/>
            <w:vAlign w:val="center"/>
          </w:tcPr>
          <w:p w:rsidR="00025717" w:rsidRPr="00E6532A" w:rsidRDefault="00025717" w:rsidP="00E70C85">
            <w:pPr>
              <w:jc w:val="center"/>
              <w:rPr>
                <w:b/>
                <w:bCs/>
                <w:sz w:val="20"/>
                <w:szCs w:val="20"/>
              </w:rPr>
            </w:pPr>
            <w:r w:rsidRPr="00E6532A">
              <w:rPr>
                <w:b/>
                <w:bCs/>
                <w:sz w:val="20"/>
                <w:szCs w:val="20"/>
              </w:rPr>
              <w:t>Level</w:t>
            </w:r>
          </w:p>
        </w:tc>
        <w:tc>
          <w:tcPr>
            <w:tcW w:w="4845" w:type="dxa"/>
            <w:vAlign w:val="center"/>
          </w:tcPr>
          <w:p w:rsidR="00025717" w:rsidRPr="00E6532A" w:rsidRDefault="00025717" w:rsidP="00E70C85">
            <w:pPr>
              <w:jc w:val="center"/>
              <w:rPr>
                <w:b/>
                <w:bCs/>
                <w:sz w:val="20"/>
                <w:szCs w:val="20"/>
              </w:rPr>
            </w:pPr>
            <w:r w:rsidRPr="00E6532A">
              <w:rPr>
                <w:b/>
                <w:bCs/>
                <w:sz w:val="20"/>
                <w:szCs w:val="20"/>
              </w:rPr>
              <w:t>Mitigation</w:t>
            </w:r>
          </w:p>
        </w:tc>
      </w:tr>
      <w:tr w:rsidR="00025717" w:rsidRPr="00CF6120">
        <w:tc>
          <w:tcPr>
            <w:tcW w:w="2581" w:type="dxa"/>
          </w:tcPr>
          <w:p w:rsidR="00025717" w:rsidRPr="00E6532A" w:rsidRDefault="00025717" w:rsidP="00E70C85">
            <w:pPr>
              <w:spacing w:after="120"/>
              <w:rPr>
                <w:bCs/>
                <w:sz w:val="20"/>
                <w:szCs w:val="20"/>
              </w:rPr>
            </w:pPr>
            <w:r w:rsidRPr="00E6532A">
              <w:rPr>
                <w:bCs/>
                <w:sz w:val="20"/>
                <w:szCs w:val="20"/>
              </w:rPr>
              <w:t xml:space="preserve">Lack of interest and ownership in the project from the Government. </w:t>
            </w:r>
          </w:p>
        </w:tc>
        <w:tc>
          <w:tcPr>
            <w:tcW w:w="962" w:type="dxa"/>
          </w:tcPr>
          <w:p w:rsidR="00025717" w:rsidRPr="00E6532A" w:rsidRDefault="00025717" w:rsidP="00E70C85">
            <w:pPr>
              <w:spacing w:after="120"/>
              <w:rPr>
                <w:bCs/>
                <w:sz w:val="20"/>
                <w:szCs w:val="20"/>
              </w:rPr>
            </w:pPr>
            <w:r w:rsidRPr="00E6532A">
              <w:rPr>
                <w:bCs/>
                <w:sz w:val="20"/>
                <w:szCs w:val="20"/>
              </w:rPr>
              <w:t>Low</w:t>
            </w:r>
          </w:p>
        </w:tc>
        <w:tc>
          <w:tcPr>
            <w:tcW w:w="4845" w:type="dxa"/>
          </w:tcPr>
          <w:p w:rsidR="00025717" w:rsidRPr="00E6532A" w:rsidRDefault="00025717" w:rsidP="005E6BFB">
            <w:pPr>
              <w:spacing w:after="120"/>
              <w:rPr>
                <w:bCs/>
                <w:sz w:val="20"/>
                <w:szCs w:val="20"/>
              </w:rPr>
            </w:pPr>
            <w:r w:rsidRPr="00E6532A">
              <w:rPr>
                <w:bCs/>
                <w:sz w:val="20"/>
                <w:szCs w:val="20"/>
              </w:rPr>
              <w:t xml:space="preserve">In previous discussions, a number of government ministries and agencies have shown strong support </w:t>
            </w:r>
            <w:r w:rsidR="005E6BFB">
              <w:rPr>
                <w:bCs/>
                <w:sz w:val="20"/>
                <w:szCs w:val="20"/>
              </w:rPr>
              <w:t>for</w:t>
            </w:r>
            <w:r w:rsidRPr="00E6532A">
              <w:rPr>
                <w:bCs/>
                <w:sz w:val="20"/>
                <w:szCs w:val="20"/>
              </w:rPr>
              <w:t xml:space="preserve"> the project. The project is in line with the country’s objectives for increased energy self-sufficiency and introducing new, environmentally-friendly technologies. The dialogue with the government will be maintained throughout the project. </w:t>
            </w:r>
          </w:p>
        </w:tc>
      </w:tr>
      <w:tr w:rsidR="00025717" w:rsidRPr="00CF6120">
        <w:tc>
          <w:tcPr>
            <w:tcW w:w="2581" w:type="dxa"/>
          </w:tcPr>
          <w:p w:rsidR="00025717" w:rsidRPr="00E6532A" w:rsidRDefault="00025717" w:rsidP="00E70C85">
            <w:pPr>
              <w:spacing w:after="120"/>
              <w:rPr>
                <w:bCs/>
                <w:sz w:val="20"/>
                <w:szCs w:val="20"/>
              </w:rPr>
            </w:pPr>
            <w:r w:rsidRPr="00E6532A">
              <w:rPr>
                <w:bCs/>
                <w:sz w:val="20"/>
                <w:szCs w:val="20"/>
              </w:rPr>
              <w:t>Lack of commitment and co-financing from farmers for the pilot project</w:t>
            </w:r>
          </w:p>
        </w:tc>
        <w:tc>
          <w:tcPr>
            <w:tcW w:w="962" w:type="dxa"/>
          </w:tcPr>
          <w:p w:rsidR="00025717" w:rsidRPr="00E6532A" w:rsidRDefault="00025717" w:rsidP="00E70C85">
            <w:pPr>
              <w:spacing w:after="120"/>
              <w:rPr>
                <w:bCs/>
                <w:sz w:val="20"/>
                <w:szCs w:val="20"/>
              </w:rPr>
            </w:pPr>
            <w:r w:rsidRPr="00E6532A">
              <w:rPr>
                <w:bCs/>
                <w:sz w:val="20"/>
                <w:szCs w:val="20"/>
              </w:rPr>
              <w:t>Low</w:t>
            </w:r>
          </w:p>
        </w:tc>
        <w:tc>
          <w:tcPr>
            <w:tcW w:w="4845" w:type="dxa"/>
          </w:tcPr>
          <w:p w:rsidR="00025717" w:rsidRPr="00E6532A" w:rsidRDefault="00025717" w:rsidP="00E70C85">
            <w:pPr>
              <w:spacing w:after="120"/>
              <w:rPr>
                <w:bCs/>
                <w:sz w:val="20"/>
                <w:szCs w:val="20"/>
              </w:rPr>
            </w:pPr>
            <w:r w:rsidRPr="00E6532A">
              <w:rPr>
                <w:bCs/>
                <w:sz w:val="20"/>
                <w:szCs w:val="20"/>
              </w:rPr>
              <w:t xml:space="preserve">There are more than 400 animal production farms in Moldova. Many of them are interested in environmentally sound manure management and use of manure for generation of electricity. IDA financing will be used to support the investment needs of farmers. </w:t>
            </w:r>
          </w:p>
        </w:tc>
      </w:tr>
      <w:tr w:rsidR="00025717" w:rsidRPr="00CF6120">
        <w:tc>
          <w:tcPr>
            <w:tcW w:w="2581" w:type="dxa"/>
          </w:tcPr>
          <w:p w:rsidR="00025717" w:rsidRPr="00E6532A" w:rsidRDefault="00025717" w:rsidP="00E70C85">
            <w:pPr>
              <w:spacing w:after="120"/>
              <w:rPr>
                <w:bCs/>
                <w:sz w:val="20"/>
                <w:szCs w:val="20"/>
              </w:rPr>
            </w:pPr>
            <w:r w:rsidRPr="00E6532A">
              <w:rPr>
                <w:bCs/>
                <w:sz w:val="20"/>
                <w:szCs w:val="20"/>
              </w:rPr>
              <w:t>Insufficient level of knowledge and skills of farmers in operation of new technologies</w:t>
            </w:r>
          </w:p>
        </w:tc>
        <w:tc>
          <w:tcPr>
            <w:tcW w:w="962" w:type="dxa"/>
          </w:tcPr>
          <w:p w:rsidR="00025717" w:rsidRPr="00E6532A" w:rsidRDefault="00025717" w:rsidP="00E70C85">
            <w:pPr>
              <w:spacing w:after="120"/>
              <w:rPr>
                <w:bCs/>
                <w:sz w:val="20"/>
                <w:szCs w:val="20"/>
              </w:rPr>
            </w:pPr>
            <w:r w:rsidRPr="00E6532A">
              <w:rPr>
                <w:bCs/>
                <w:sz w:val="20"/>
                <w:szCs w:val="20"/>
              </w:rPr>
              <w:t xml:space="preserve">Low </w:t>
            </w:r>
          </w:p>
        </w:tc>
        <w:tc>
          <w:tcPr>
            <w:tcW w:w="4845" w:type="dxa"/>
          </w:tcPr>
          <w:p w:rsidR="00025717" w:rsidRPr="00E6532A" w:rsidRDefault="00025717" w:rsidP="00E70C85">
            <w:pPr>
              <w:spacing w:after="120"/>
              <w:rPr>
                <w:bCs/>
                <w:sz w:val="20"/>
                <w:szCs w:val="20"/>
              </w:rPr>
            </w:pPr>
            <w:r w:rsidRPr="00E6532A">
              <w:rPr>
                <w:bCs/>
                <w:sz w:val="20"/>
                <w:szCs w:val="20"/>
              </w:rPr>
              <w:t xml:space="preserve">Provision of technical assistance to build the capacities of farmers will constitute a good part of the project activities.  This technical assistance will be complemented by a “learning-by-doing” approach whereby local specialists/engineers will work together with international consultants to obtain knowledge through all stages, starting with the choice of the appropriate technology, operation and maintenance. </w:t>
            </w:r>
          </w:p>
        </w:tc>
      </w:tr>
      <w:tr w:rsidR="00025717" w:rsidRPr="00CF6120">
        <w:tc>
          <w:tcPr>
            <w:tcW w:w="2581" w:type="dxa"/>
          </w:tcPr>
          <w:p w:rsidR="00025717" w:rsidRPr="00E6532A" w:rsidRDefault="00025717" w:rsidP="005E6BFB">
            <w:pPr>
              <w:spacing w:after="120"/>
              <w:rPr>
                <w:bCs/>
                <w:sz w:val="20"/>
                <w:szCs w:val="20"/>
              </w:rPr>
            </w:pPr>
            <w:r w:rsidRPr="00E6532A">
              <w:rPr>
                <w:bCs/>
                <w:sz w:val="20"/>
                <w:szCs w:val="20"/>
              </w:rPr>
              <w:t>Low capacity of the local boiler producers</w:t>
            </w:r>
            <w:r w:rsidR="00E6532A" w:rsidRPr="00E6532A">
              <w:rPr>
                <w:bCs/>
                <w:sz w:val="20"/>
                <w:szCs w:val="20"/>
              </w:rPr>
              <w:t xml:space="preserve"> to construct </w:t>
            </w:r>
            <w:r w:rsidR="00F335B2">
              <w:rPr>
                <w:bCs/>
                <w:sz w:val="20"/>
                <w:szCs w:val="20"/>
              </w:rPr>
              <w:t>biodigesters</w:t>
            </w:r>
          </w:p>
        </w:tc>
        <w:tc>
          <w:tcPr>
            <w:tcW w:w="962" w:type="dxa"/>
          </w:tcPr>
          <w:p w:rsidR="00025717" w:rsidRPr="00E6532A" w:rsidRDefault="00025717" w:rsidP="00E70C85">
            <w:pPr>
              <w:spacing w:after="120"/>
              <w:rPr>
                <w:bCs/>
                <w:sz w:val="20"/>
                <w:szCs w:val="20"/>
              </w:rPr>
            </w:pPr>
            <w:r w:rsidRPr="00E6532A">
              <w:rPr>
                <w:bCs/>
                <w:sz w:val="20"/>
                <w:szCs w:val="20"/>
              </w:rPr>
              <w:t>Medium</w:t>
            </w:r>
          </w:p>
        </w:tc>
        <w:tc>
          <w:tcPr>
            <w:tcW w:w="4845" w:type="dxa"/>
          </w:tcPr>
          <w:p w:rsidR="00025717" w:rsidRPr="00E6532A" w:rsidRDefault="00025717" w:rsidP="005F0D31">
            <w:pPr>
              <w:spacing w:after="120"/>
              <w:rPr>
                <w:bCs/>
                <w:sz w:val="20"/>
                <w:szCs w:val="20"/>
              </w:rPr>
            </w:pPr>
            <w:r w:rsidRPr="00E6532A">
              <w:rPr>
                <w:bCs/>
                <w:sz w:val="20"/>
                <w:szCs w:val="20"/>
              </w:rPr>
              <w:t>The potential local producers</w:t>
            </w:r>
            <w:r w:rsidR="00E6532A" w:rsidRPr="00E6532A">
              <w:rPr>
                <w:bCs/>
                <w:sz w:val="20"/>
                <w:szCs w:val="20"/>
              </w:rPr>
              <w:t xml:space="preserve"> of </w:t>
            </w:r>
            <w:r w:rsidR="00F335B2">
              <w:rPr>
                <w:bCs/>
                <w:sz w:val="20"/>
                <w:szCs w:val="20"/>
              </w:rPr>
              <w:t>biodigesters</w:t>
            </w:r>
            <w:r w:rsidRPr="00E6532A">
              <w:rPr>
                <w:bCs/>
                <w:sz w:val="20"/>
                <w:szCs w:val="20"/>
              </w:rPr>
              <w:t xml:space="preserve"> have started the process of obtaining information and knowledge on this new technology through linkages with similar companies in Western and Central Europe. The project will further build the capacity of the local boiler producers by bringing in international expertise and (if justified) organizing a study tour to a country with a well developed </w:t>
            </w:r>
            <w:r w:rsidR="00376EA9">
              <w:rPr>
                <w:bCs/>
                <w:sz w:val="20"/>
                <w:szCs w:val="20"/>
              </w:rPr>
              <w:t>biodigester</w:t>
            </w:r>
            <w:r w:rsidRPr="00E6532A">
              <w:rPr>
                <w:bCs/>
                <w:sz w:val="20"/>
                <w:szCs w:val="20"/>
              </w:rPr>
              <w:t xml:space="preserve"> industry.</w:t>
            </w:r>
          </w:p>
        </w:tc>
      </w:tr>
      <w:tr w:rsidR="003D2083" w:rsidRPr="00CF6120">
        <w:tc>
          <w:tcPr>
            <w:tcW w:w="2581" w:type="dxa"/>
          </w:tcPr>
          <w:p w:rsidR="003D2083" w:rsidRPr="00E6532A" w:rsidRDefault="003D2083" w:rsidP="00E24DB3">
            <w:pPr>
              <w:spacing w:after="120"/>
              <w:rPr>
                <w:bCs/>
                <w:sz w:val="20"/>
                <w:szCs w:val="20"/>
              </w:rPr>
            </w:pPr>
            <w:r>
              <w:rPr>
                <w:bCs/>
                <w:sz w:val="20"/>
                <w:szCs w:val="20"/>
              </w:rPr>
              <w:t xml:space="preserve">The biodiogester installations supported by the project </w:t>
            </w:r>
            <w:r w:rsidR="00E24DB3">
              <w:rPr>
                <w:bCs/>
                <w:sz w:val="20"/>
                <w:szCs w:val="20"/>
              </w:rPr>
              <w:t>are</w:t>
            </w:r>
            <w:r>
              <w:rPr>
                <w:bCs/>
                <w:sz w:val="20"/>
                <w:szCs w:val="20"/>
              </w:rPr>
              <w:t xml:space="preserve"> not financially viable.</w:t>
            </w:r>
          </w:p>
        </w:tc>
        <w:tc>
          <w:tcPr>
            <w:tcW w:w="962" w:type="dxa"/>
          </w:tcPr>
          <w:p w:rsidR="00B90C83" w:rsidRDefault="003D2083">
            <w:pPr>
              <w:spacing w:after="120"/>
              <w:jc w:val="center"/>
              <w:rPr>
                <w:bCs/>
                <w:sz w:val="20"/>
                <w:szCs w:val="20"/>
              </w:rPr>
            </w:pPr>
            <w:r>
              <w:rPr>
                <w:bCs/>
                <w:sz w:val="20"/>
                <w:szCs w:val="20"/>
              </w:rPr>
              <w:t>Low</w:t>
            </w:r>
          </w:p>
        </w:tc>
        <w:tc>
          <w:tcPr>
            <w:tcW w:w="4845" w:type="dxa"/>
          </w:tcPr>
          <w:p w:rsidR="003D2083" w:rsidRPr="00E6532A" w:rsidRDefault="003D2083" w:rsidP="00AB5AD4">
            <w:pPr>
              <w:spacing w:after="120"/>
              <w:rPr>
                <w:bCs/>
                <w:sz w:val="20"/>
                <w:szCs w:val="20"/>
              </w:rPr>
            </w:pPr>
            <w:r>
              <w:rPr>
                <w:bCs/>
                <w:sz w:val="20"/>
                <w:szCs w:val="20"/>
              </w:rPr>
              <w:t xml:space="preserve">The project </w:t>
            </w:r>
            <w:r w:rsidR="004E1B80" w:rsidRPr="00735E76">
              <w:rPr>
                <w:bCs/>
                <w:sz w:val="20"/>
                <w:szCs w:val="20"/>
              </w:rPr>
              <w:t xml:space="preserve">will have </w:t>
            </w:r>
            <w:r w:rsidR="004E1B80" w:rsidRPr="00735E76">
              <w:rPr>
                <w:bCs/>
                <w:color w:val="FF0000"/>
                <w:sz w:val="20"/>
                <w:szCs w:val="20"/>
              </w:rPr>
              <w:t>an established process of selecting</w:t>
            </w:r>
            <w:r>
              <w:rPr>
                <w:bCs/>
                <w:sz w:val="20"/>
                <w:szCs w:val="20"/>
              </w:rPr>
              <w:t xml:space="preserve"> of participating farms for the two biodigester demonstration sites. The required minimum number of animals, ability to raise own capital or to borrow, as well as capacity to ensure proper operation of the biodigester for the duration of its useful life will be among the selection criteria for the participating farms.</w:t>
            </w:r>
          </w:p>
        </w:tc>
      </w:tr>
      <w:tr w:rsidR="00572C19" w:rsidRPr="00CF6120">
        <w:tc>
          <w:tcPr>
            <w:tcW w:w="2581" w:type="dxa"/>
          </w:tcPr>
          <w:p w:rsidR="00572C19" w:rsidRPr="00E6532A" w:rsidRDefault="00572C19" w:rsidP="00E70C85">
            <w:pPr>
              <w:spacing w:after="120"/>
              <w:rPr>
                <w:b/>
                <w:bCs/>
                <w:sz w:val="20"/>
                <w:szCs w:val="20"/>
              </w:rPr>
            </w:pPr>
            <w:r w:rsidRPr="00E6532A">
              <w:rPr>
                <w:b/>
                <w:bCs/>
                <w:sz w:val="20"/>
                <w:szCs w:val="20"/>
              </w:rPr>
              <w:t>II. Overall Risk Level:</w:t>
            </w:r>
          </w:p>
        </w:tc>
        <w:tc>
          <w:tcPr>
            <w:tcW w:w="5807" w:type="dxa"/>
            <w:gridSpan w:val="2"/>
          </w:tcPr>
          <w:p w:rsidR="00572C19" w:rsidRPr="00E6532A" w:rsidRDefault="00572C19" w:rsidP="00572C19">
            <w:pPr>
              <w:spacing w:after="120"/>
              <w:jc w:val="center"/>
              <w:rPr>
                <w:b/>
                <w:bCs/>
                <w:sz w:val="20"/>
                <w:szCs w:val="20"/>
              </w:rPr>
            </w:pPr>
            <w:r w:rsidRPr="00E6532A">
              <w:rPr>
                <w:b/>
                <w:bCs/>
                <w:sz w:val="20"/>
                <w:szCs w:val="20"/>
              </w:rPr>
              <w:t>Low</w:t>
            </w:r>
          </w:p>
        </w:tc>
      </w:tr>
    </w:tbl>
    <w:p w:rsidR="00022CD3" w:rsidRDefault="00022CD3">
      <w:pPr>
        <w:ind w:left="360"/>
      </w:pPr>
    </w:p>
    <w:p w:rsidR="00022CD3" w:rsidRDefault="00022CD3" w:rsidP="00022CD3">
      <w:pPr>
        <w:numPr>
          <w:ilvl w:val="0"/>
          <w:numId w:val="2"/>
        </w:numPr>
        <w:rPr>
          <w:smallCaps/>
        </w:rPr>
      </w:pPr>
      <w:r>
        <w:rPr>
          <w:smallCaps/>
        </w:rPr>
        <w:t>Replicability</w:t>
      </w:r>
    </w:p>
    <w:p w:rsidR="00572C19" w:rsidRDefault="00572C19" w:rsidP="00572C19">
      <w:pPr>
        <w:ind w:left="360"/>
        <w:rPr>
          <w:smallCaps/>
        </w:rPr>
      </w:pPr>
    </w:p>
    <w:p w:rsidR="00022CD3" w:rsidRDefault="00B90C83" w:rsidP="005B6956">
      <w:pPr>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730FDB" w:rsidRPr="00FB15A8">
        <w:t xml:space="preserve">The Moldova Biogas Pilot Project is expected to serve as a demonstration project for future scaling-up of activities in Moldova and the wider region. In order to ensure that a full spectrum of </w:t>
      </w:r>
      <w:r w:rsidR="00376EA9">
        <w:t>biodigester</w:t>
      </w:r>
      <w:r w:rsidR="00730FDB" w:rsidRPr="00FB15A8">
        <w:t xml:space="preserve"> technologies is piloted, the participants in the GEF-financed activities will also have the possibility to learn from the Moldova Bio</w:t>
      </w:r>
      <w:r w:rsidR="00376EA9">
        <w:t>-</w:t>
      </w:r>
      <w:r w:rsidR="00730FDB" w:rsidRPr="00FB15A8">
        <w:t>energy Project, whi</w:t>
      </w:r>
      <w:r w:rsidR="00BA1335">
        <w:t xml:space="preserve">ch will be implemented </w:t>
      </w:r>
      <w:r w:rsidR="00730FDB" w:rsidRPr="00FB15A8">
        <w:t>with the World Bank’s Carbon Funds and will focus on piloting biogas installations in farms that are not supported by GEF funding (</w:t>
      </w:r>
      <w:r w:rsidR="005B6956">
        <w:t>i.e.</w:t>
      </w:r>
      <w:r w:rsidR="005E6BFB">
        <w:t>,</w:t>
      </w:r>
      <w:r w:rsidR="005B6956">
        <w:t xml:space="preserve"> </w:t>
      </w:r>
      <w:r w:rsidR="00730FDB">
        <w:t>poultry and swine farms).</w:t>
      </w:r>
      <w:r w:rsidR="00476EE5">
        <w:t xml:space="preserve"> </w:t>
      </w:r>
      <w:r w:rsidR="005B6956">
        <w:t>There is a strong incentive to develop al</w:t>
      </w:r>
      <w:r w:rsidR="00572C19">
        <w:t xml:space="preserve">ternative sources of energy in the Region and it is expected that experience under the proposed project will </w:t>
      </w:r>
      <w:r w:rsidR="005E6BFB">
        <w:t xml:space="preserve">be </w:t>
      </w:r>
      <w:r w:rsidR="00572C19">
        <w:t>taken-up and adapted widely.</w:t>
      </w:r>
    </w:p>
    <w:p w:rsidR="00FD1666" w:rsidRDefault="00FD1666" w:rsidP="005B6956">
      <w:pPr>
        <w:ind w:left="360"/>
        <w:jc w:val="both"/>
      </w:pPr>
    </w:p>
    <w:p w:rsidR="00FD1666" w:rsidRDefault="00B90C83" w:rsidP="005B6956">
      <w:pPr>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123A92">
        <w:t>Experience under the Dutch-aided biogas project as well as the conclusions of a feasibility study carried out for the proposed project</w:t>
      </w:r>
      <w:r w:rsidR="00A5632A">
        <w:t>,</w:t>
      </w:r>
      <w:r w:rsidR="00123A92">
        <w:t xml:space="preserve"> confirm the importance of proper pricing to encourage producers to supply to the grid.</w:t>
      </w:r>
      <w:r w:rsidR="00123A92" w:rsidRPr="00123A92">
        <w:t xml:space="preserve"> </w:t>
      </w:r>
      <w:r w:rsidR="00123A92">
        <w:t xml:space="preserve"> An important component of the proposed project is the development of enabling legislation for encouraging the supply of renewable energy to the gri</w:t>
      </w:r>
      <w:r w:rsidR="00A5632A">
        <w:t>d, including an appropriate tariff structure</w:t>
      </w:r>
      <w:r w:rsidR="00123A92">
        <w:t>, with the objective of ensuring the replicability of the investments.</w:t>
      </w:r>
    </w:p>
    <w:p w:rsidR="0029636E" w:rsidRDefault="0029636E">
      <w:pPr>
        <w:ind w:left="360"/>
      </w:pPr>
    </w:p>
    <w:p w:rsidR="00022CD3" w:rsidRDefault="00022CD3" w:rsidP="00022CD3">
      <w:pPr>
        <w:numPr>
          <w:ilvl w:val="0"/>
          <w:numId w:val="2"/>
        </w:numPr>
        <w:rPr>
          <w:smallCaps/>
        </w:rPr>
      </w:pPr>
      <w:r>
        <w:rPr>
          <w:smallCaps/>
        </w:rPr>
        <w:t>Stakeholder Involvement</w:t>
      </w:r>
    </w:p>
    <w:p w:rsidR="00572C19" w:rsidRDefault="00572C19" w:rsidP="005B6956">
      <w:pPr>
        <w:ind w:left="360"/>
        <w:jc w:val="both"/>
      </w:pPr>
    </w:p>
    <w:p w:rsidR="00022CD3" w:rsidRDefault="00B90C83" w:rsidP="005B6956">
      <w:pPr>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730FDB">
        <w:t>Stakeholder interest has been demonstrated during the APCP</w:t>
      </w:r>
      <w:r w:rsidR="005E6BFB">
        <w:t>,</w:t>
      </w:r>
      <w:r w:rsidR="00730FDB">
        <w:t xml:space="preserve"> which worked with private farmers on manure management and investment in improved storage procedures.  </w:t>
      </w:r>
      <w:r w:rsidR="00BA1335">
        <w:t xml:space="preserve">There was strong demand from a wide range of private livestock producers to invest in the cleaner and more efficient livestock waste handling methods promoted by the </w:t>
      </w:r>
      <w:r w:rsidR="00BD103E">
        <w:t>APCP, and this is expected to translate into firm interest in taking the next step to biogas generation.  This was confirmed d</w:t>
      </w:r>
      <w:r w:rsidR="00BA1335">
        <w:t xml:space="preserve">uring </w:t>
      </w:r>
      <w:r w:rsidR="00572C19">
        <w:t xml:space="preserve">preparation </w:t>
      </w:r>
      <w:r w:rsidR="00BA1335">
        <w:t xml:space="preserve">of the proposed Biogas Generation Pilot Project, </w:t>
      </w:r>
      <w:r w:rsidR="00BD103E">
        <w:t xml:space="preserve">when </w:t>
      </w:r>
      <w:r w:rsidR="00572C19">
        <w:t>some 12 l</w:t>
      </w:r>
      <w:r w:rsidR="00BD103E">
        <w:t xml:space="preserve">arger livestock farms were </w:t>
      </w:r>
      <w:r w:rsidR="00572C19">
        <w:t xml:space="preserve">visited and </w:t>
      </w:r>
      <w:r w:rsidR="00BD103E">
        <w:t xml:space="preserve">an </w:t>
      </w:r>
      <w:r w:rsidR="00572C19">
        <w:t xml:space="preserve">assessment </w:t>
      </w:r>
      <w:r w:rsidR="00792582">
        <w:t xml:space="preserve">was </w:t>
      </w:r>
      <w:r w:rsidR="00572C19">
        <w:t>made of the opportunities for reducing GHG.</w:t>
      </w:r>
      <w:r w:rsidR="0051449C">
        <w:t xml:space="preserve">  Th</w:t>
      </w:r>
      <w:r w:rsidR="00376EA9">
        <w:t xml:space="preserve">is interaction demonstrated </w:t>
      </w:r>
      <w:r w:rsidR="00334992">
        <w:t xml:space="preserve">the </w:t>
      </w:r>
      <w:r w:rsidR="0051449C">
        <w:t xml:space="preserve">potential of, and </w:t>
      </w:r>
      <w:r w:rsidR="00376EA9">
        <w:t>livestock farmers</w:t>
      </w:r>
      <w:r w:rsidR="00334992">
        <w:t>’</w:t>
      </w:r>
      <w:r w:rsidR="00376EA9">
        <w:t xml:space="preserve"> </w:t>
      </w:r>
      <w:r w:rsidR="0051449C">
        <w:t>interest in developing biogas generation.</w:t>
      </w:r>
    </w:p>
    <w:p w:rsidR="00730FDB" w:rsidRDefault="00730FDB">
      <w:pPr>
        <w:ind w:left="360"/>
      </w:pPr>
    </w:p>
    <w:p w:rsidR="00022CD3" w:rsidRDefault="00022CD3" w:rsidP="00022CD3">
      <w:pPr>
        <w:numPr>
          <w:ilvl w:val="0"/>
          <w:numId w:val="2"/>
        </w:numPr>
        <w:rPr>
          <w:smallCaps/>
        </w:rPr>
      </w:pPr>
      <w:r>
        <w:rPr>
          <w:smallCaps/>
        </w:rPr>
        <w:t>Monitoring and Evaluation</w:t>
      </w:r>
    </w:p>
    <w:p w:rsidR="00572C19" w:rsidRDefault="00572C19" w:rsidP="00572C19">
      <w:pPr>
        <w:ind w:left="360"/>
        <w:rPr>
          <w:smallCaps/>
        </w:rPr>
      </w:pPr>
    </w:p>
    <w:p w:rsidR="00022CD3" w:rsidRDefault="00B90C83" w:rsidP="00DB2B4A">
      <w:pPr>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8100A9">
        <w:t xml:space="preserve">Monitoring and evaluation </w:t>
      </w:r>
      <w:r w:rsidR="002C06C6">
        <w:t xml:space="preserve">arrangements </w:t>
      </w:r>
      <w:r w:rsidR="008100A9">
        <w:t xml:space="preserve">have been built into the design of the project at all levels to track and make adjustments </w:t>
      </w:r>
      <w:r w:rsidR="0010439B">
        <w:t>durin</w:t>
      </w:r>
      <w:r w:rsidR="00792582">
        <w:t>g</w:t>
      </w:r>
      <w:r w:rsidR="008100A9">
        <w:t xml:space="preserve"> the course of implementation.  </w:t>
      </w:r>
      <w:r w:rsidR="002C06C6">
        <w:t>The</w:t>
      </w:r>
      <w:r w:rsidR="00376EA9" w:rsidRPr="00376EA9">
        <w:t xml:space="preserve"> </w:t>
      </w:r>
      <w:r w:rsidR="00FA5E38">
        <w:t>CFU</w:t>
      </w:r>
      <w:r w:rsidR="00626E37">
        <w:t>, the implementing agency,</w:t>
      </w:r>
      <w:r w:rsidR="00376EA9">
        <w:t xml:space="preserve"> </w:t>
      </w:r>
      <w:r w:rsidR="00626E37">
        <w:t>will</w:t>
      </w:r>
      <w:r w:rsidR="00376EA9">
        <w:t xml:space="preserve"> be responsible </w:t>
      </w:r>
      <w:r w:rsidR="00792582">
        <w:t xml:space="preserve">for </w:t>
      </w:r>
      <w:r w:rsidR="00376EA9">
        <w:t xml:space="preserve">and </w:t>
      </w:r>
      <w:r w:rsidR="00626E37">
        <w:t>will</w:t>
      </w:r>
      <w:r w:rsidR="00376EA9">
        <w:t xml:space="preserve"> coordinate all data collection and contract ad hoc surveys as necessary.  Monitoring and Evaluation w</w:t>
      </w:r>
      <w:r w:rsidR="00792582">
        <w:t>ill</w:t>
      </w:r>
      <w:r w:rsidR="00376EA9">
        <w:t xml:space="preserve"> be conducted at three levels: (i) start-up and implementation of the project activities; (ii) impact of the project activities and technologies developed on production and use of renewable energy; and (iii) contractual arrangements for pilot farms.  </w:t>
      </w:r>
      <w:r w:rsidR="00DB2B4A">
        <w:t xml:space="preserve">The arrangements take account of the climate tracking tools developed for GEF-4. </w:t>
      </w:r>
      <w:r w:rsidR="005F069C">
        <w:t xml:space="preserve">The results framework </w:t>
      </w:r>
      <w:r w:rsidR="00C2086F">
        <w:t xml:space="preserve">showing indicators and outcomes, as well as monitoring arrangements </w:t>
      </w:r>
      <w:r w:rsidR="005F069C">
        <w:t>are set out</w:t>
      </w:r>
      <w:r w:rsidR="008100A9">
        <w:t xml:space="preserve"> in Annex 1.</w:t>
      </w:r>
      <w:r w:rsidR="007E1F3B">
        <w:t xml:space="preserve"> </w:t>
      </w:r>
    </w:p>
    <w:p w:rsidR="007E1F3B" w:rsidRDefault="007E1F3B" w:rsidP="00DB2B4A">
      <w:pPr>
        <w:ind w:left="360"/>
        <w:jc w:val="both"/>
      </w:pPr>
    </w:p>
    <w:p w:rsidR="007E1F3B" w:rsidRPr="00C2086F" w:rsidRDefault="00B90C83" w:rsidP="00DB2B4A">
      <w:pPr>
        <w:ind w:left="360"/>
        <w:jc w:val="both"/>
        <w:rPr>
          <w:b/>
        </w:rPr>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7E1F3B">
        <w:t xml:space="preserve">The project administrator (CFU </w:t>
      </w:r>
      <w:r w:rsidR="00F431A5">
        <w:t xml:space="preserve">through its </w:t>
      </w:r>
      <w:r w:rsidR="007E1F3B">
        <w:t xml:space="preserve">Manager) will have overall responsibility for Monitoring and Evaluation and reporting to the Ministry of Environment and </w:t>
      </w:r>
      <w:r w:rsidR="0010439B">
        <w:t xml:space="preserve">the World Bank </w:t>
      </w:r>
      <w:r w:rsidR="007E1F3B">
        <w:t xml:space="preserve">based on the agreed results framework indicators. In addition, project funds have been allocated for the purposes of an independent assessment of project results and impact. The independent evaluation will be carried out shortly before the project closing </w:t>
      </w:r>
      <w:r w:rsidR="00792582">
        <w:t xml:space="preserve">date </w:t>
      </w:r>
      <w:r w:rsidR="007E1F3B">
        <w:t>and the evaluation</w:t>
      </w:r>
      <w:r w:rsidR="00792582">
        <w:t>’s</w:t>
      </w:r>
      <w:r w:rsidR="007E1F3B">
        <w:t xml:space="preserve"> conclusions will feed into the Implementation Completion Memorandum. </w:t>
      </w:r>
    </w:p>
    <w:p w:rsidR="00C2086F" w:rsidRPr="00C2086F" w:rsidRDefault="00C2086F" w:rsidP="00DB2B4A">
      <w:pPr>
        <w:ind w:left="360"/>
        <w:jc w:val="both"/>
        <w:rPr>
          <w:b/>
        </w:rPr>
      </w:pPr>
    </w:p>
    <w:p w:rsidR="00C2086F" w:rsidRDefault="00376EA9" w:rsidP="00C2086F">
      <w:pPr>
        <w:pStyle w:val="Heading3"/>
        <w:rPr>
          <w:smallCaps/>
        </w:rPr>
      </w:pPr>
      <w:r>
        <w:t xml:space="preserve">  </w:t>
      </w:r>
      <w:r w:rsidR="00C2086F">
        <w:rPr>
          <w:smallCaps/>
        </w:rPr>
        <w:t xml:space="preserve"> D – financial modality and cost effectiveness</w:t>
      </w:r>
    </w:p>
    <w:p w:rsidR="00022CD3" w:rsidRDefault="00022CD3" w:rsidP="00C2086F">
      <w:pPr>
        <w:pStyle w:val="Heading6"/>
      </w:pPr>
    </w:p>
    <w:p w:rsidR="008100A9" w:rsidRPr="008100A9" w:rsidRDefault="00326399" w:rsidP="00EE1115">
      <w:pPr>
        <w:numPr>
          <w:ilvl w:val="0"/>
          <w:numId w:val="4"/>
        </w:numPr>
      </w:pPr>
      <w:r>
        <w:rPr>
          <w:smallCaps/>
        </w:rPr>
        <w:t xml:space="preserve">Project costs and </w:t>
      </w:r>
      <w:r w:rsidR="008100A9">
        <w:rPr>
          <w:smallCaps/>
        </w:rPr>
        <w:t>financing plan</w:t>
      </w:r>
    </w:p>
    <w:p w:rsidR="00A16C51" w:rsidRDefault="00A16C51" w:rsidP="008100A9">
      <w:pPr>
        <w:ind w:left="360"/>
      </w:pPr>
    </w:p>
    <w:p w:rsidR="008100A9" w:rsidRDefault="00B90C83" w:rsidP="00EB234C">
      <w:pPr>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B33FEA" w:rsidRPr="00C2086F">
        <w:rPr>
          <w:i/>
        </w:rPr>
        <w:t>Project costs</w:t>
      </w:r>
      <w:r w:rsidR="00B33FEA">
        <w:t xml:space="preserve"> by component are summarized below</w:t>
      </w:r>
      <w:r w:rsidR="00FF5689">
        <w:t>,</w:t>
      </w:r>
      <w:r w:rsidR="009049E9">
        <w:t xml:space="preserve"> </w:t>
      </w:r>
      <w:r w:rsidR="00C60F97">
        <w:t>inclusive of the carbon finance operation, which is expected to follow up and scale up the GEF results:</w:t>
      </w:r>
    </w:p>
    <w:p w:rsidR="00326399" w:rsidRDefault="00326399" w:rsidP="00326399">
      <w:pPr>
        <w:ind w:right="-547"/>
        <w:rPr>
          <w:sz w:val="18"/>
          <w:szCs w:val="18"/>
        </w:rPr>
      </w:pPr>
      <w:r>
        <w:rPr>
          <w:smallCaps/>
          <w:sz w:val="18"/>
          <w:szCs w:val="18"/>
        </w:rPr>
        <w:t xml:space="preserve">           </w:t>
      </w:r>
    </w:p>
    <w:tbl>
      <w:tblPr>
        <w:tblW w:w="84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2"/>
        <w:gridCol w:w="1176"/>
        <w:gridCol w:w="910"/>
        <w:gridCol w:w="540"/>
        <w:gridCol w:w="1260"/>
        <w:gridCol w:w="540"/>
        <w:gridCol w:w="1080"/>
        <w:gridCol w:w="720"/>
      </w:tblGrid>
      <w:tr w:rsidR="00DF3A34" w:rsidRPr="00C82BEE" w:rsidTr="00FA5E38">
        <w:tc>
          <w:tcPr>
            <w:tcW w:w="2262" w:type="dxa"/>
            <w:vMerge w:val="restart"/>
          </w:tcPr>
          <w:p w:rsidR="00326399" w:rsidRPr="00C82BEE" w:rsidRDefault="00326399" w:rsidP="008100A9">
            <w:pPr>
              <w:rPr>
                <w:b/>
                <w:sz w:val="20"/>
                <w:szCs w:val="20"/>
              </w:rPr>
            </w:pPr>
            <w:r w:rsidRPr="00C82BEE">
              <w:rPr>
                <w:b/>
                <w:sz w:val="20"/>
                <w:szCs w:val="20"/>
              </w:rPr>
              <w:t>Project Components</w:t>
            </w:r>
          </w:p>
        </w:tc>
        <w:tc>
          <w:tcPr>
            <w:tcW w:w="1176" w:type="dxa"/>
            <w:vMerge w:val="restart"/>
          </w:tcPr>
          <w:p w:rsidR="00640BBF" w:rsidRPr="00C82BEE" w:rsidRDefault="00326399" w:rsidP="008100A9">
            <w:pPr>
              <w:rPr>
                <w:b/>
                <w:sz w:val="20"/>
                <w:szCs w:val="20"/>
              </w:rPr>
            </w:pPr>
            <w:r w:rsidRPr="00C82BEE">
              <w:rPr>
                <w:b/>
                <w:sz w:val="20"/>
                <w:szCs w:val="20"/>
              </w:rPr>
              <w:t>Technical Assistance/</w:t>
            </w:r>
          </w:p>
          <w:p w:rsidR="00326399" w:rsidRPr="00C82BEE" w:rsidRDefault="00326399" w:rsidP="008100A9">
            <w:pPr>
              <w:rPr>
                <w:b/>
                <w:sz w:val="20"/>
                <w:szCs w:val="20"/>
              </w:rPr>
            </w:pPr>
            <w:r w:rsidRPr="00C82BEE">
              <w:rPr>
                <w:b/>
                <w:sz w:val="20"/>
                <w:szCs w:val="20"/>
              </w:rPr>
              <w:t>Investment</w:t>
            </w:r>
          </w:p>
        </w:tc>
        <w:tc>
          <w:tcPr>
            <w:tcW w:w="1450" w:type="dxa"/>
            <w:gridSpan w:val="2"/>
          </w:tcPr>
          <w:p w:rsidR="00326399" w:rsidRPr="00C82BEE" w:rsidRDefault="00326399" w:rsidP="008100A9">
            <w:pPr>
              <w:rPr>
                <w:b/>
                <w:sz w:val="20"/>
                <w:szCs w:val="20"/>
              </w:rPr>
            </w:pPr>
            <w:r w:rsidRPr="00C82BEE">
              <w:rPr>
                <w:b/>
                <w:sz w:val="20"/>
                <w:szCs w:val="20"/>
              </w:rPr>
              <w:t>GEF Financing</w:t>
            </w:r>
          </w:p>
        </w:tc>
        <w:tc>
          <w:tcPr>
            <w:tcW w:w="1800" w:type="dxa"/>
            <w:gridSpan w:val="2"/>
          </w:tcPr>
          <w:p w:rsidR="00326399" w:rsidRPr="00C82BEE" w:rsidRDefault="00326399" w:rsidP="008100A9">
            <w:pPr>
              <w:rPr>
                <w:b/>
                <w:sz w:val="20"/>
                <w:szCs w:val="20"/>
              </w:rPr>
            </w:pPr>
            <w:r w:rsidRPr="00C82BEE">
              <w:rPr>
                <w:b/>
                <w:sz w:val="20"/>
                <w:szCs w:val="20"/>
              </w:rPr>
              <w:t>Co-Financing</w:t>
            </w:r>
          </w:p>
        </w:tc>
        <w:tc>
          <w:tcPr>
            <w:tcW w:w="1800" w:type="dxa"/>
            <w:gridSpan w:val="2"/>
          </w:tcPr>
          <w:p w:rsidR="00326399" w:rsidRPr="00C82BEE" w:rsidRDefault="00326399" w:rsidP="008100A9">
            <w:pPr>
              <w:rPr>
                <w:b/>
                <w:sz w:val="20"/>
                <w:szCs w:val="20"/>
              </w:rPr>
            </w:pPr>
            <w:r w:rsidRPr="00C82BEE">
              <w:rPr>
                <w:b/>
                <w:sz w:val="20"/>
                <w:szCs w:val="20"/>
              </w:rPr>
              <w:t>Grand Total</w:t>
            </w:r>
          </w:p>
        </w:tc>
      </w:tr>
      <w:tr w:rsidR="0026241A" w:rsidRPr="00C82BEE" w:rsidTr="00FA5E38">
        <w:tc>
          <w:tcPr>
            <w:tcW w:w="2262" w:type="dxa"/>
            <w:vMerge/>
          </w:tcPr>
          <w:p w:rsidR="00640BBF" w:rsidRPr="00C82BEE" w:rsidRDefault="00640BBF" w:rsidP="008100A9">
            <w:pPr>
              <w:rPr>
                <w:sz w:val="20"/>
                <w:szCs w:val="20"/>
              </w:rPr>
            </w:pPr>
          </w:p>
        </w:tc>
        <w:tc>
          <w:tcPr>
            <w:tcW w:w="1176" w:type="dxa"/>
            <w:vMerge/>
          </w:tcPr>
          <w:p w:rsidR="00640BBF" w:rsidRPr="00C82BEE" w:rsidRDefault="00640BBF" w:rsidP="008100A9">
            <w:pPr>
              <w:rPr>
                <w:sz w:val="20"/>
                <w:szCs w:val="20"/>
              </w:rPr>
            </w:pPr>
          </w:p>
        </w:tc>
        <w:tc>
          <w:tcPr>
            <w:tcW w:w="910" w:type="dxa"/>
          </w:tcPr>
          <w:p w:rsidR="00640BBF" w:rsidRPr="00C82BEE" w:rsidRDefault="00640BBF" w:rsidP="00EB234C">
            <w:pPr>
              <w:pStyle w:val="Heading3"/>
              <w:jc w:val="center"/>
              <w:rPr>
                <w:b w:val="0"/>
                <w:bCs w:val="0"/>
                <w:iCs/>
                <w:color w:val="000000"/>
                <w:sz w:val="20"/>
                <w:szCs w:val="20"/>
              </w:rPr>
            </w:pPr>
            <w:r w:rsidRPr="00C82BEE">
              <w:rPr>
                <w:b w:val="0"/>
                <w:bCs w:val="0"/>
                <w:iCs/>
                <w:color w:val="000000"/>
                <w:sz w:val="20"/>
                <w:szCs w:val="20"/>
              </w:rPr>
              <w:t>($)</w:t>
            </w:r>
          </w:p>
        </w:tc>
        <w:tc>
          <w:tcPr>
            <w:tcW w:w="540" w:type="dxa"/>
          </w:tcPr>
          <w:p w:rsidR="00640BBF" w:rsidRPr="00C82BEE" w:rsidRDefault="00640BBF" w:rsidP="00EB234C">
            <w:pPr>
              <w:pStyle w:val="Heading3"/>
              <w:jc w:val="center"/>
              <w:rPr>
                <w:b w:val="0"/>
                <w:bCs w:val="0"/>
                <w:iCs/>
                <w:color w:val="000000"/>
                <w:sz w:val="20"/>
                <w:szCs w:val="20"/>
              </w:rPr>
            </w:pPr>
            <w:r w:rsidRPr="00C82BEE">
              <w:rPr>
                <w:b w:val="0"/>
                <w:bCs w:val="0"/>
                <w:iCs/>
                <w:color w:val="000000"/>
                <w:sz w:val="20"/>
                <w:szCs w:val="20"/>
              </w:rPr>
              <w:t>%</w:t>
            </w:r>
          </w:p>
        </w:tc>
        <w:tc>
          <w:tcPr>
            <w:tcW w:w="1260" w:type="dxa"/>
          </w:tcPr>
          <w:p w:rsidR="00640BBF" w:rsidRPr="00C82BEE" w:rsidRDefault="00640BBF" w:rsidP="00EB234C">
            <w:pPr>
              <w:pStyle w:val="Heading3"/>
              <w:jc w:val="center"/>
              <w:rPr>
                <w:b w:val="0"/>
                <w:bCs w:val="0"/>
                <w:iCs/>
                <w:color w:val="000000"/>
                <w:sz w:val="20"/>
                <w:szCs w:val="20"/>
              </w:rPr>
            </w:pPr>
            <w:r w:rsidRPr="00C82BEE">
              <w:rPr>
                <w:b w:val="0"/>
                <w:bCs w:val="0"/>
                <w:iCs/>
                <w:color w:val="000000"/>
                <w:sz w:val="20"/>
                <w:szCs w:val="20"/>
              </w:rPr>
              <w:t>($)</w:t>
            </w:r>
          </w:p>
        </w:tc>
        <w:tc>
          <w:tcPr>
            <w:tcW w:w="540" w:type="dxa"/>
          </w:tcPr>
          <w:p w:rsidR="00640BBF" w:rsidRPr="00C82BEE" w:rsidRDefault="00640BBF" w:rsidP="00EB234C">
            <w:pPr>
              <w:pStyle w:val="Heading3"/>
              <w:jc w:val="center"/>
              <w:rPr>
                <w:b w:val="0"/>
                <w:bCs w:val="0"/>
                <w:iCs/>
                <w:color w:val="000000"/>
                <w:sz w:val="20"/>
                <w:szCs w:val="20"/>
              </w:rPr>
            </w:pPr>
            <w:r w:rsidRPr="00C82BEE">
              <w:rPr>
                <w:b w:val="0"/>
                <w:bCs w:val="0"/>
                <w:iCs/>
                <w:color w:val="000000"/>
                <w:sz w:val="20"/>
                <w:szCs w:val="20"/>
              </w:rPr>
              <w:t>%</w:t>
            </w:r>
          </w:p>
        </w:tc>
        <w:tc>
          <w:tcPr>
            <w:tcW w:w="1080" w:type="dxa"/>
          </w:tcPr>
          <w:p w:rsidR="00640BBF" w:rsidRPr="00C82BEE" w:rsidRDefault="00640BBF" w:rsidP="00EB234C">
            <w:pPr>
              <w:jc w:val="center"/>
              <w:rPr>
                <w:sz w:val="20"/>
                <w:szCs w:val="20"/>
              </w:rPr>
            </w:pPr>
            <w:r w:rsidRPr="00C82BEE">
              <w:rPr>
                <w:sz w:val="20"/>
                <w:szCs w:val="20"/>
              </w:rPr>
              <w:t>($)</w:t>
            </w:r>
          </w:p>
        </w:tc>
        <w:tc>
          <w:tcPr>
            <w:tcW w:w="720" w:type="dxa"/>
          </w:tcPr>
          <w:p w:rsidR="00640BBF" w:rsidRPr="00C82BEE" w:rsidRDefault="00640BBF" w:rsidP="00EB234C">
            <w:pPr>
              <w:jc w:val="center"/>
              <w:rPr>
                <w:sz w:val="20"/>
                <w:szCs w:val="20"/>
              </w:rPr>
            </w:pPr>
            <w:r w:rsidRPr="00C82BEE">
              <w:rPr>
                <w:sz w:val="20"/>
                <w:szCs w:val="20"/>
              </w:rPr>
              <w:t>%</w:t>
            </w:r>
          </w:p>
        </w:tc>
      </w:tr>
      <w:tr w:rsidR="0026241A" w:rsidRPr="00C82BEE" w:rsidTr="00FA5E38">
        <w:tc>
          <w:tcPr>
            <w:tcW w:w="2262" w:type="dxa"/>
          </w:tcPr>
          <w:p w:rsidR="00640BBF" w:rsidRPr="00C82BEE" w:rsidRDefault="00640BBF" w:rsidP="00122A56">
            <w:pPr>
              <w:rPr>
                <w:sz w:val="20"/>
                <w:szCs w:val="20"/>
              </w:rPr>
            </w:pPr>
            <w:r w:rsidRPr="00C82BEE">
              <w:rPr>
                <w:sz w:val="20"/>
                <w:szCs w:val="20"/>
              </w:rPr>
              <w:t>1. Enabling legislative and policy environment</w:t>
            </w:r>
          </w:p>
        </w:tc>
        <w:tc>
          <w:tcPr>
            <w:tcW w:w="1176" w:type="dxa"/>
          </w:tcPr>
          <w:p w:rsidR="00640BBF" w:rsidRPr="00C82BEE" w:rsidRDefault="00640BBF" w:rsidP="00C82BEE">
            <w:pPr>
              <w:jc w:val="center"/>
              <w:rPr>
                <w:sz w:val="20"/>
                <w:szCs w:val="20"/>
              </w:rPr>
            </w:pPr>
            <w:r w:rsidRPr="00C82BEE">
              <w:rPr>
                <w:sz w:val="20"/>
                <w:szCs w:val="20"/>
              </w:rPr>
              <w:t>TA</w:t>
            </w:r>
          </w:p>
        </w:tc>
        <w:tc>
          <w:tcPr>
            <w:tcW w:w="910" w:type="dxa"/>
          </w:tcPr>
          <w:p w:rsidR="00640BBF" w:rsidRPr="00C82BEE" w:rsidRDefault="00640BBF" w:rsidP="006361F2">
            <w:pPr>
              <w:jc w:val="center"/>
              <w:rPr>
                <w:sz w:val="20"/>
                <w:szCs w:val="20"/>
              </w:rPr>
            </w:pPr>
            <w:r w:rsidRPr="00C82BEE">
              <w:rPr>
                <w:sz w:val="20"/>
                <w:szCs w:val="20"/>
              </w:rPr>
              <w:t>80,000</w:t>
            </w:r>
          </w:p>
        </w:tc>
        <w:tc>
          <w:tcPr>
            <w:tcW w:w="540" w:type="dxa"/>
          </w:tcPr>
          <w:p w:rsidR="00640BBF" w:rsidRPr="00C82BEE" w:rsidRDefault="00640BBF" w:rsidP="006361F2">
            <w:pPr>
              <w:jc w:val="center"/>
              <w:rPr>
                <w:sz w:val="20"/>
                <w:szCs w:val="20"/>
              </w:rPr>
            </w:pPr>
            <w:r w:rsidRPr="00C82BEE">
              <w:rPr>
                <w:sz w:val="20"/>
                <w:szCs w:val="20"/>
              </w:rPr>
              <w:t>90</w:t>
            </w:r>
          </w:p>
        </w:tc>
        <w:tc>
          <w:tcPr>
            <w:tcW w:w="1260" w:type="dxa"/>
          </w:tcPr>
          <w:p w:rsidR="00640BBF" w:rsidRPr="00C82BEE" w:rsidRDefault="00640BBF" w:rsidP="006361F2">
            <w:pPr>
              <w:jc w:val="center"/>
              <w:rPr>
                <w:sz w:val="20"/>
                <w:szCs w:val="20"/>
              </w:rPr>
            </w:pPr>
            <w:r w:rsidRPr="00C82BEE">
              <w:rPr>
                <w:sz w:val="20"/>
                <w:szCs w:val="20"/>
              </w:rPr>
              <w:t>8,900</w:t>
            </w:r>
          </w:p>
        </w:tc>
        <w:tc>
          <w:tcPr>
            <w:tcW w:w="540" w:type="dxa"/>
          </w:tcPr>
          <w:p w:rsidR="00640BBF" w:rsidRPr="00C82BEE" w:rsidRDefault="00640BBF" w:rsidP="006361F2">
            <w:pPr>
              <w:jc w:val="center"/>
              <w:rPr>
                <w:sz w:val="20"/>
                <w:szCs w:val="20"/>
              </w:rPr>
            </w:pPr>
            <w:r w:rsidRPr="00C82BEE">
              <w:rPr>
                <w:sz w:val="20"/>
                <w:szCs w:val="20"/>
              </w:rPr>
              <w:t>10</w:t>
            </w:r>
          </w:p>
        </w:tc>
        <w:tc>
          <w:tcPr>
            <w:tcW w:w="1080" w:type="dxa"/>
          </w:tcPr>
          <w:p w:rsidR="00640BBF" w:rsidRPr="00C82BEE" w:rsidRDefault="00640BBF" w:rsidP="006361F2">
            <w:pPr>
              <w:jc w:val="center"/>
              <w:rPr>
                <w:sz w:val="20"/>
                <w:szCs w:val="20"/>
              </w:rPr>
            </w:pPr>
            <w:r w:rsidRPr="00C82BEE">
              <w:rPr>
                <w:sz w:val="20"/>
                <w:szCs w:val="20"/>
              </w:rPr>
              <w:t>88,900</w:t>
            </w:r>
          </w:p>
        </w:tc>
        <w:tc>
          <w:tcPr>
            <w:tcW w:w="720" w:type="dxa"/>
          </w:tcPr>
          <w:p w:rsidR="00640BBF" w:rsidRPr="00C82BEE" w:rsidRDefault="006361F2" w:rsidP="006361F2">
            <w:pPr>
              <w:jc w:val="center"/>
              <w:rPr>
                <w:sz w:val="20"/>
                <w:szCs w:val="20"/>
              </w:rPr>
            </w:pPr>
            <w:r>
              <w:rPr>
                <w:sz w:val="20"/>
                <w:szCs w:val="20"/>
              </w:rPr>
              <w:t>3</w:t>
            </w:r>
          </w:p>
        </w:tc>
      </w:tr>
      <w:tr w:rsidR="0026241A" w:rsidRPr="00C82BEE" w:rsidTr="00FA5E38">
        <w:tc>
          <w:tcPr>
            <w:tcW w:w="2262" w:type="dxa"/>
          </w:tcPr>
          <w:p w:rsidR="00640BBF" w:rsidRPr="00C82BEE" w:rsidRDefault="00640BBF" w:rsidP="005F0D31">
            <w:pPr>
              <w:rPr>
                <w:sz w:val="20"/>
                <w:szCs w:val="20"/>
              </w:rPr>
            </w:pPr>
            <w:r w:rsidRPr="00C82BEE">
              <w:rPr>
                <w:sz w:val="20"/>
                <w:szCs w:val="20"/>
              </w:rPr>
              <w:t xml:space="preserve">2. </w:t>
            </w:r>
            <w:r w:rsidRPr="00C82BEE">
              <w:rPr>
                <w:noProof/>
                <w:sz w:val="20"/>
                <w:szCs w:val="20"/>
              </w:rPr>
              <w:t xml:space="preserve">Technical assistance, capacity building and awareness raising on animal manure-based </w:t>
            </w:r>
            <w:r w:rsidR="00F335B2" w:rsidRPr="00C82BEE">
              <w:rPr>
                <w:noProof/>
                <w:sz w:val="20"/>
                <w:szCs w:val="20"/>
              </w:rPr>
              <w:t>biodigesters</w:t>
            </w:r>
            <w:r w:rsidRPr="00C82BEE">
              <w:rPr>
                <w:noProof/>
                <w:sz w:val="20"/>
                <w:szCs w:val="20"/>
              </w:rPr>
              <w:t xml:space="preserve"> and electricity generation technologies</w:t>
            </w:r>
            <w:r w:rsidR="00EB234C">
              <w:rPr>
                <w:noProof/>
                <w:sz w:val="20"/>
                <w:szCs w:val="20"/>
              </w:rPr>
              <w:t xml:space="preserve"> (including to local producers)</w:t>
            </w:r>
          </w:p>
        </w:tc>
        <w:tc>
          <w:tcPr>
            <w:tcW w:w="1176" w:type="dxa"/>
          </w:tcPr>
          <w:p w:rsidR="00640BBF" w:rsidRPr="00C82BEE" w:rsidRDefault="00640BBF" w:rsidP="00C82BEE">
            <w:pPr>
              <w:jc w:val="center"/>
              <w:rPr>
                <w:sz w:val="20"/>
                <w:szCs w:val="20"/>
              </w:rPr>
            </w:pPr>
            <w:r w:rsidRPr="00C82BEE">
              <w:rPr>
                <w:sz w:val="20"/>
                <w:szCs w:val="20"/>
              </w:rPr>
              <w:t>TA</w:t>
            </w:r>
          </w:p>
        </w:tc>
        <w:tc>
          <w:tcPr>
            <w:tcW w:w="910" w:type="dxa"/>
          </w:tcPr>
          <w:p w:rsidR="00640BBF" w:rsidRPr="00C82BEE" w:rsidRDefault="00EB234C" w:rsidP="006361F2">
            <w:pPr>
              <w:jc w:val="center"/>
              <w:rPr>
                <w:sz w:val="20"/>
                <w:szCs w:val="20"/>
              </w:rPr>
            </w:pPr>
            <w:r>
              <w:rPr>
                <w:sz w:val="20"/>
                <w:szCs w:val="20"/>
              </w:rPr>
              <w:t>6</w:t>
            </w:r>
            <w:r w:rsidR="00640BBF" w:rsidRPr="00C82BEE">
              <w:rPr>
                <w:sz w:val="20"/>
                <w:szCs w:val="20"/>
              </w:rPr>
              <w:t>10,000</w:t>
            </w:r>
          </w:p>
        </w:tc>
        <w:tc>
          <w:tcPr>
            <w:tcW w:w="540" w:type="dxa"/>
          </w:tcPr>
          <w:p w:rsidR="00640BBF" w:rsidRPr="00C82BEE" w:rsidRDefault="00EB234C" w:rsidP="006361F2">
            <w:pPr>
              <w:jc w:val="center"/>
              <w:rPr>
                <w:sz w:val="20"/>
                <w:szCs w:val="20"/>
              </w:rPr>
            </w:pPr>
            <w:r>
              <w:rPr>
                <w:sz w:val="20"/>
                <w:szCs w:val="20"/>
              </w:rPr>
              <w:t>88</w:t>
            </w:r>
          </w:p>
        </w:tc>
        <w:tc>
          <w:tcPr>
            <w:tcW w:w="1260" w:type="dxa"/>
          </w:tcPr>
          <w:p w:rsidR="00640BBF" w:rsidRPr="00C82BEE" w:rsidRDefault="00EB234C" w:rsidP="006361F2">
            <w:pPr>
              <w:jc w:val="center"/>
              <w:rPr>
                <w:sz w:val="20"/>
                <w:szCs w:val="20"/>
              </w:rPr>
            </w:pPr>
            <w:r>
              <w:rPr>
                <w:sz w:val="20"/>
                <w:szCs w:val="20"/>
              </w:rPr>
              <w:t>81</w:t>
            </w:r>
            <w:r w:rsidR="00640BBF" w:rsidRPr="00C82BEE">
              <w:rPr>
                <w:sz w:val="20"/>
                <w:szCs w:val="20"/>
              </w:rPr>
              <w:t>,600</w:t>
            </w:r>
          </w:p>
        </w:tc>
        <w:tc>
          <w:tcPr>
            <w:tcW w:w="540" w:type="dxa"/>
          </w:tcPr>
          <w:p w:rsidR="00640BBF" w:rsidRPr="00C82BEE" w:rsidRDefault="00EB234C" w:rsidP="006361F2">
            <w:pPr>
              <w:jc w:val="center"/>
              <w:rPr>
                <w:sz w:val="20"/>
                <w:szCs w:val="20"/>
              </w:rPr>
            </w:pPr>
            <w:r>
              <w:rPr>
                <w:sz w:val="20"/>
                <w:szCs w:val="20"/>
              </w:rPr>
              <w:t>12</w:t>
            </w:r>
          </w:p>
        </w:tc>
        <w:tc>
          <w:tcPr>
            <w:tcW w:w="1080" w:type="dxa"/>
          </w:tcPr>
          <w:p w:rsidR="00640BBF" w:rsidRPr="00C82BEE" w:rsidRDefault="00EB234C" w:rsidP="006361F2">
            <w:pPr>
              <w:jc w:val="center"/>
              <w:rPr>
                <w:sz w:val="20"/>
                <w:szCs w:val="20"/>
              </w:rPr>
            </w:pPr>
            <w:r>
              <w:rPr>
                <w:sz w:val="20"/>
                <w:szCs w:val="20"/>
              </w:rPr>
              <w:t>691</w:t>
            </w:r>
            <w:r w:rsidR="00640BBF" w:rsidRPr="00C82BEE">
              <w:rPr>
                <w:sz w:val="20"/>
                <w:szCs w:val="20"/>
              </w:rPr>
              <w:t>,600</w:t>
            </w:r>
          </w:p>
        </w:tc>
        <w:tc>
          <w:tcPr>
            <w:tcW w:w="720" w:type="dxa"/>
          </w:tcPr>
          <w:p w:rsidR="00640BBF" w:rsidRPr="00C82BEE" w:rsidRDefault="006361F2" w:rsidP="006361F2">
            <w:pPr>
              <w:jc w:val="center"/>
              <w:rPr>
                <w:sz w:val="20"/>
                <w:szCs w:val="20"/>
              </w:rPr>
            </w:pPr>
            <w:r>
              <w:rPr>
                <w:sz w:val="20"/>
                <w:szCs w:val="20"/>
              </w:rPr>
              <w:t>20</w:t>
            </w:r>
          </w:p>
        </w:tc>
      </w:tr>
      <w:tr w:rsidR="0026241A" w:rsidRPr="00C82BEE" w:rsidTr="00FA5E38">
        <w:tc>
          <w:tcPr>
            <w:tcW w:w="2262" w:type="dxa"/>
          </w:tcPr>
          <w:p w:rsidR="00640BBF" w:rsidRPr="00C82BEE" w:rsidRDefault="00EB234C" w:rsidP="0015634D">
            <w:pPr>
              <w:rPr>
                <w:sz w:val="20"/>
                <w:szCs w:val="20"/>
              </w:rPr>
            </w:pPr>
            <w:r>
              <w:rPr>
                <w:sz w:val="20"/>
                <w:szCs w:val="20"/>
              </w:rPr>
              <w:t>3</w:t>
            </w:r>
            <w:r w:rsidR="00640BBF" w:rsidRPr="00C82BEE">
              <w:rPr>
                <w:sz w:val="20"/>
                <w:szCs w:val="20"/>
              </w:rPr>
              <w:t>. Investment grant</w:t>
            </w:r>
            <w:r w:rsidR="0015634D">
              <w:rPr>
                <w:sz w:val="20"/>
                <w:szCs w:val="20"/>
              </w:rPr>
              <w:t>s</w:t>
            </w:r>
            <w:r w:rsidR="00640BBF" w:rsidRPr="00C82BEE">
              <w:rPr>
                <w:sz w:val="20"/>
                <w:szCs w:val="20"/>
              </w:rPr>
              <w:t xml:space="preserve"> for pilot </w:t>
            </w:r>
            <w:r w:rsidR="00F335B2" w:rsidRPr="00C82BEE">
              <w:rPr>
                <w:sz w:val="20"/>
                <w:szCs w:val="20"/>
              </w:rPr>
              <w:t>biodigesters</w:t>
            </w:r>
          </w:p>
        </w:tc>
        <w:tc>
          <w:tcPr>
            <w:tcW w:w="1176" w:type="dxa"/>
          </w:tcPr>
          <w:p w:rsidR="00640BBF" w:rsidRPr="00C82BEE" w:rsidRDefault="00640BBF" w:rsidP="00C82BEE">
            <w:pPr>
              <w:jc w:val="center"/>
              <w:rPr>
                <w:sz w:val="20"/>
                <w:szCs w:val="20"/>
              </w:rPr>
            </w:pPr>
            <w:r w:rsidRPr="00C82BEE">
              <w:rPr>
                <w:sz w:val="20"/>
                <w:szCs w:val="20"/>
              </w:rPr>
              <w:t>INV</w:t>
            </w:r>
          </w:p>
        </w:tc>
        <w:tc>
          <w:tcPr>
            <w:tcW w:w="910" w:type="dxa"/>
          </w:tcPr>
          <w:p w:rsidR="00640BBF" w:rsidRPr="00C82BEE" w:rsidRDefault="00640BBF" w:rsidP="006361F2">
            <w:pPr>
              <w:jc w:val="center"/>
              <w:rPr>
                <w:sz w:val="20"/>
                <w:szCs w:val="20"/>
              </w:rPr>
            </w:pPr>
            <w:r w:rsidRPr="00C82BEE">
              <w:rPr>
                <w:sz w:val="20"/>
                <w:szCs w:val="20"/>
              </w:rPr>
              <w:t>200,000</w:t>
            </w:r>
          </w:p>
        </w:tc>
        <w:tc>
          <w:tcPr>
            <w:tcW w:w="540" w:type="dxa"/>
          </w:tcPr>
          <w:p w:rsidR="00640BBF" w:rsidRPr="00C82BEE" w:rsidRDefault="00640BBF" w:rsidP="006361F2">
            <w:pPr>
              <w:jc w:val="center"/>
              <w:rPr>
                <w:sz w:val="20"/>
                <w:szCs w:val="20"/>
              </w:rPr>
            </w:pPr>
            <w:r w:rsidRPr="00C82BEE">
              <w:rPr>
                <w:sz w:val="20"/>
                <w:szCs w:val="20"/>
              </w:rPr>
              <w:t>8</w:t>
            </w:r>
          </w:p>
        </w:tc>
        <w:tc>
          <w:tcPr>
            <w:tcW w:w="1260" w:type="dxa"/>
          </w:tcPr>
          <w:p w:rsidR="00640BBF" w:rsidRPr="00C82BEE" w:rsidRDefault="00640BBF" w:rsidP="006361F2">
            <w:pPr>
              <w:jc w:val="center"/>
              <w:rPr>
                <w:sz w:val="20"/>
                <w:szCs w:val="20"/>
              </w:rPr>
            </w:pPr>
            <w:r w:rsidRPr="00C82BEE">
              <w:rPr>
                <w:sz w:val="20"/>
                <w:szCs w:val="20"/>
              </w:rPr>
              <w:t>2,400,000</w:t>
            </w:r>
          </w:p>
        </w:tc>
        <w:tc>
          <w:tcPr>
            <w:tcW w:w="540" w:type="dxa"/>
          </w:tcPr>
          <w:p w:rsidR="00640BBF" w:rsidRPr="00C82BEE" w:rsidRDefault="00640BBF" w:rsidP="006361F2">
            <w:pPr>
              <w:jc w:val="center"/>
              <w:rPr>
                <w:sz w:val="20"/>
                <w:szCs w:val="20"/>
              </w:rPr>
            </w:pPr>
            <w:r w:rsidRPr="00C82BEE">
              <w:rPr>
                <w:sz w:val="20"/>
                <w:szCs w:val="20"/>
              </w:rPr>
              <w:t>92</w:t>
            </w:r>
          </w:p>
        </w:tc>
        <w:tc>
          <w:tcPr>
            <w:tcW w:w="1080" w:type="dxa"/>
          </w:tcPr>
          <w:p w:rsidR="00640BBF" w:rsidRPr="00C82BEE" w:rsidRDefault="00640BBF" w:rsidP="006361F2">
            <w:pPr>
              <w:jc w:val="center"/>
              <w:rPr>
                <w:sz w:val="20"/>
                <w:szCs w:val="20"/>
              </w:rPr>
            </w:pPr>
            <w:r w:rsidRPr="00C82BEE">
              <w:rPr>
                <w:sz w:val="20"/>
                <w:szCs w:val="20"/>
              </w:rPr>
              <w:t>2,600,000</w:t>
            </w:r>
          </w:p>
        </w:tc>
        <w:tc>
          <w:tcPr>
            <w:tcW w:w="720" w:type="dxa"/>
          </w:tcPr>
          <w:p w:rsidR="00640BBF" w:rsidRPr="00C82BEE" w:rsidRDefault="006361F2" w:rsidP="006361F2">
            <w:pPr>
              <w:jc w:val="center"/>
              <w:rPr>
                <w:sz w:val="20"/>
                <w:szCs w:val="20"/>
              </w:rPr>
            </w:pPr>
            <w:r>
              <w:rPr>
                <w:sz w:val="20"/>
                <w:szCs w:val="20"/>
              </w:rPr>
              <w:t>74</w:t>
            </w:r>
          </w:p>
        </w:tc>
      </w:tr>
      <w:tr w:rsidR="0026241A" w:rsidRPr="00C82BEE" w:rsidTr="00FA5E38">
        <w:tc>
          <w:tcPr>
            <w:tcW w:w="2262" w:type="dxa"/>
          </w:tcPr>
          <w:p w:rsidR="00640BBF" w:rsidRPr="00C82BEE" w:rsidRDefault="00EB234C" w:rsidP="00122A56">
            <w:pPr>
              <w:rPr>
                <w:sz w:val="20"/>
                <w:szCs w:val="20"/>
              </w:rPr>
            </w:pPr>
            <w:r>
              <w:rPr>
                <w:sz w:val="20"/>
                <w:szCs w:val="20"/>
              </w:rPr>
              <w:t>4</w:t>
            </w:r>
            <w:r w:rsidR="00640BBF" w:rsidRPr="00C82BEE">
              <w:rPr>
                <w:sz w:val="20"/>
                <w:szCs w:val="20"/>
              </w:rPr>
              <w:t>. Project management</w:t>
            </w:r>
          </w:p>
        </w:tc>
        <w:tc>
          <w:tcPr>
            <w:tcW w:w="1176" w:type="dxa"/>
          </w:tcPr>
          <w:p w:rsidR="00640BBF" w:rsidRPr="00C82BEE" w:rsidRDefault="00640BBF" w:rsidP="00C82BEE">
            <w:pPr>
              <w:jc w:val="center"/>
              <w:rPr>
                <w:sz w:val="20"/>
                <w:szCs w:val="20"/>
              </w:rPr>
            </w:pPr>
          </w:p>
        </w:tc>
        <w:tc>
          <w:tcPr>
            <w:tcW w:w="910" w:type="dxa"/>
          </w:tcPr>
          <w:p w:rsidR="00640BBF" w:rsidRPr="00C82BEE" w:rsidRDefault="00640BBF" w:rsidP="006361F2">
            <w:pPr>
              <w:jc w:val="center"/>
              <w:rPr>
                <w:sz w:val="20"/>
                <w:szCs w:val="20"/>
              </w:rPr>
            </w:pPr>
            <w:r w:rsidRPr="00C82BEE">
              <w:rPr>
                <w:sz w:val="20"/>
                <w:szCs w:val="20"/>
              </w:rPr>
              <w:t>90,000</w:t>
            </w:r>
          </w:p>
        </w:tc>
        <w:tc>
          <w:tcPr>
            <w:tcW w:w="540" w:type="dxa"/>
          </w:tcPr>
          <w:p w:rsidR="00640BBF" w:rsidRPr="00C82BEE" w:rsidRDefault="00640BBF" w:rsidP="006361F2">
            <w:pPr>
              <w:jc w:val="center"/>
              <w:rPr>
                <w:sz w:val="20"/>
                <w:szCs w:val="20"/>
              </w:rPr>
            </w:pPr>
            <w:r w:rsidRPr="00C82BEE">
              <w:rPr>
                <w:sz w:val="20"/>
                <w:szCs w:val="20"/>
              </w:rPr>
              <w:t>80</w:t>
            </w:r>
          </w:p>
        </w:tc>
        <w:tc>
          <w:tcPr>
            <w:tcW w:w="1260" w:type="dxa"/>
          </w:tcPr>
          <w:p w:rsidR="00640BBF" w:rsidRPr="00C82BEE" w:rsidRDefault="00640BBF" w:rsidP="006361F2">
            <w:pPr>
              <w:jc w:val="center"/>
              <w:rPr>
                <w:sz w:val="20"/>
                <w:szCs w:val="20"/>
              </w:rPr>
            </w:pPr>
            <w:r w:rsidRPr="00C82BEE">
              <w:rPr>
                <w:sz w:val="20"/>
                <w:szCs w:val="20"/>
              </w:rPr>
              <w:t>22,500</w:t>
            </w:r>
          </w:p>
        </w:tc>
        <w:tc>
          <w:tcPr>
            <w:tcW w:w="540" w:type="dxa"/>
          </w:tcPr>
          <w:p w:rsidR="00640BBF" w:rsidRPr="00C82BEE" w:rsidRDefault="00640BBF" w:rsidP="006361F2">
            <w:pPr>
              <w:jc w:val="center"/>
              <w:rPr>
                <w:sz w:val="20"/>
                <w:szCs w:val="20"/>
              </w:rPr>
            </w:pPr>
            <w:r w:rsidRPr="00C82BEE">
              <w:rPr>
                <w:sz w:val="20"/>
                <w:szCs w:val="20"/>
              </w:rPr>
              <w:t>20</w:t>
            </w:r>
          </w:p>
        </w:tc>
        <w:tc>
          <w:tcPr>
            <w:tcW w:w="1080" w:type="dxa"/>
          </w:tcPr>
          <w:p w:rsidR="00640BBF" w:rsidRPr="00C82BEE" w:rsidRDefault="00640BBF" w:rsidP="006361F2">
            <w:pPr>
              <w:jc w:val="center"/>
              <w:rPr>
                <w:sz w:val="20"/>
                <w:szCs w:val="20"/>
              </w:rPr>
            </w:pPr>
            <w:r w:rsidRPr="00C82BEE">
              <w:rPr>
                <w:sz w:val="20"/>
                <w:szCs w:val="20"/>
              </w:rPr>
              <w:t>112,500</w:t>
            </w:r>
          </w:p>
        </w:tc>
        <w:tc>
          <w:tcPr>
            <w:tcW w:w="720" w:type="dxa"/>
          </w:tcPr>
          <w:p w:rsidR="00640BBF" w:rsidRPr="00C82BEE" w:rsidRDefault="006361F2" w:rsidP="006361F2">
            <w:pPr>
              <w:jc w:val="center"/>
              <w:rPr>
                <w:sz w:val="20"/>
                <w:szCs w:val="20"/>
              </w:rPr>
            </w:pPr>
            <w:r>
              <w:rPr>
                <w:sz w:val="20"/>
                <w:szCs w:val="20"/>
              </w:rPr>
              <w:t>3</w:t>
            </w:r>
          </w:p>
        </w:tc>
      </w:tr>
      <w:tr w:rsidR="0026241A" w:rsidRPr="00C82BEE" w:rsidTr="00FA5E38">
        <w:tc>
          <w:tcPr>
            <w:tcW w:w="2262" w:type="dxa"/>
          </w:tcPr>
          <w:p w:rsidR="00640BBF" w:rsidRPr="00C82BEE" w:rsidRDefault="00640BBF" w:rsidP="00122A56">
            <w:pPr>
              <w:rPr>
                <w:b/>
                <w:sz w:val="20"/>
                <w:szCs w:val="20"/>
              </w:rPr>
            </w:pPr>
            <w:r w:rsidRPr="00C82BEE">
              <w:rPr>
                <w:b/>
                <w:sz w:val="20"/>
                <w:szCs w:val="20"/>
              </w:rPr>
              <w:t>Total project costs</w:t>
            </w:r>
          </w:p>
        </w:tc>
        <w:tc>
          <w:tcPr>
            <w:tcW w:w="1176" w:type="dxa"/>
          </w:tcPr>
          <w:p w:rsidR="00640BBF" w:rsidRPr="00C82BEE" w:rsidRDefault="00640BBF" w:rsidP="00122A56">
            <w:pPr>
              <w:rPr>
                <w:b/>
                <w:sz w:val="20"/>
                <w:szCs w:val="20"/>
              </w:rPr>
            </w:pPr>
          </w:p>
        </w:tc>
        <w:tc>
          <w:tcPr>
            <w:tcW w:w="910" w:type="dxa"/>
          </w:tcPr>
          <w:p w:rsidR="00640BBF" w:rsidRPr="00C82BEE" w:rsidRDefault="00640BBF" w:rsidP="006361F2">
            <w:pPr>
              <w:jc w:val="center"/>
              <w:rPr>
                <w:sz w:val="20"/>
                <w:szCs w:val="20"/>
              </w:rPr>
            </w:pPr>
            <w:r w:rsidRPr="00C82BEE">
              <w:rPr>
                <w:sz w:val="20"/>
                <w:szCs w:val="20"/>
              </w:rPr>
              <w:t>980,000</w:t>
            </w:r>
          </w:p>
        </w:tc>
        <w:tc>
          <w:tcPr>
            <w:tcW w:w="540" w:type="dxa"/>
          </w:tcPr>
          <w:p w:rsidR="00640BBF" w:rsidRPr="00C82BEE" w:rsidRDefault="00640BBF" w:rsidP="006361F2">
            <w:pPr>
              <w:jc w:val="center"/>
              <w:rPr>
                <w:sz w:val="20"/>
                <w:szCs w:val="20"/>
              </w:rPr>
            </w:pPr>
            <w:r w:rsidRPr="00C82BEE">
              <w:rPr>
                <w:sz w:val="20"/>
                <w:szCs w:val="20"/>
              </w:rPr>
              <w:t>28</w:t>
            </w:r>
          </w:p>
        </w:tc>
        <w:tc>
          <w:tcPr>
            <w:tcW w:w="1260" w:type="dxa"/>
          </w:tcPr>
          <w:p w:rsidR="00640BBF" w:rsidRPr="00C82BEE" w:rsidRDefault="00640BBF" w:rsidP="006361F2">
            <w:pPr>
              <w:jc w:val="center"/>
              <w:rPr>
                <w:sz w:val="20"/>
                <w:szCs w:val="20"/>
              </w:rPr>
            </w:pPr>
            <w:r w:rsidRPr="00C82BEE">
              <w:rPr>
                <w:sz w:val="20"/>
                <w:szCs w:val="20"/>
              </w:rPr>
              <w:t>2,513,000</w:t>
            </w:r>
          </w:p>
        </w:tc>
        <w:tc>
          <w:tcPr>
            <w:tcW w:w="540" w:type="dxa"/>
          </w:tcPr>
          <w:p w:rsidR="00640BBF" w:rsidRPr="00C82BEE" w:rsidRDefault="00640BBF" w:rsidP="006361F2">
            <w:pPr>
              <w:jc w:val="center"/>
              <w:rPr>
                <w:sz w:val="20"/>
                <w:szCs w:val="20"/>
              </w:rPr>
            </w:pPr>
            <w:r w:rsidRPr="00C82BEE">
              <w:rPr>
                <w:sz w:val="20"/>
                <w:szCs w:val="20"/>
              </w:rPr>
              <w:t>72</w:t>
            </w:r>
          </w:p>
        </w:tc>
        <w:tc>
          <w:tcPr>
            <w:tcW w:w="1080" w:type="dxa"/>
          </w:tcPr>
          <w:p w:rsidR="00640BBF" w:rsidRPr="00C82BEE" w:rsidRDefault="00640BBF" w:rsidP="006361F2">
            <w:pPr>
              <w:jc w:val="center"/>
              <w:rPr>
                <w:sz w:val="20"/>
                <w:szCs w:val="20"/>
              </w:rPr>
            </w:pPr>
            <w:r w:rsidRPr="00C82BEE">
              <w:rPr>
                <w:sz w:val="20"/>
                <w:szCs w:val="20"/>
              </w:rPr>
              <w:t>3,493,000</w:t>
            </w:r>
          </w:p>
        </w:tc>
        <w:tc>
          <w:tcPr>
            <w:tcW w:w="720" w:type="dxa"/>
          </w:tcPr>
          <w:p w:rsidR="00640BBF" w:rsidRPr="00C82BEE" w:rsidRDefault="006361F2" w:rsidP="006361F2">
            <w:pPr>
              <w:jc w:val="center"/>
              <w:rPr>
                <w:sz w:val="20"/>
                <w:szCs w:val="20"/>
              </w:rPr>
            </w:pPr>
            <w:r>
              <w:rPr>
                <w:sz w:val="20"/>
                <w:szCs w:val="20"/>
              </w:rPr>
              <w:t>100</w:t>
            </w:r>
          </w:p>
        </w:tc>
      </w:tr>
    </w:tbl>
    <w:p w:rsidR="00326399" w:rsidRPr="00A16C51" w:rsidRDefault="00326399" w:rsidP="008100A9">
      <w:pPr>
        <w:ind w:left="360"/>
        <w:rPr>
          <w:sz w:val="20"/>
          <w:szCs w:val="20"/>
        </w:rPr>
      </w:pPr>
    </w:p>
    <w:p w:rsidR="00C2086F" w:rsidRDefault="00B90C83" w:rsidP="00C60F97">
      <w:pPr>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C60F97" w:rsidRPr="00C60F97">
        <w:rPr>
          <w:i/>
        </w:rPr>
        <w:t>Project costs</w:t>
      </w:r>
      <w:r w:rsidR="00C60F97">
        <w:t xml:space="preserve"> by component for the GEF Biogas Generation from Animal Manure Pilot Project only: (see Annex 3 for project cost tables by component and a breakdown of costs by financiers):</w:t>
      </w:r>
    </w:p>
    <w:p w:rsidR="00C60F97" w:rsidRDefault="00C60F97" w:rsidP="00C60F97">
      <w:pPr>
        <w:ind w:left="360"/>
        <w:jc w:val="both"/>
      </w:pPr>
    </w:p>
    <w:tbl>
      <w:tblPr>
        <w:tblW w:w="84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2"/>
        <w:gridCol w:w="1176"/>
        <w:gridCol w:w="910"/>
        <w:gridCol w:w="540"/>
        <w:gridCol w:w="1260"/>
        <w:gridCol w:w="540"/>
        <w:gridCol w:w="1080"/>
        <w:gridCol w:w="720"/>
      </w:tblGrid>
      <w:tr w:rsidR="00C60F97" w:rsidRPr="00C82BEE" w:rsidTr="003B3E53">
        <w:tc>
          <w:tcPr>
            <w:tcW w:w="2262" w:type="dxa"/>
            <w:vMerge w:val="restart"/>
          </w:tcPr>
          <w:p w:rsidR="00C60F97" w:rsidRPr="00C82BEE" w:rsidRDefault="00C60F97" w:rsidP="003B3E53">
            <w:pPr>
              <w:rPr>
                <w:b/>
                <w:sz w:val="20"/>
                <w:szCs w:val="20"/>
              </w:rPr>
            </w:pPr>
            <w:r w:rsidRPr="00C82BEE">
              <w:rPr>
                <w:b/>
                <w:sz w:val="20"/>
                <w:szCs w:val="20"/>
              </w:rPr>
              <w:t>Project Components</w:t>
            </w:r>
          </w:p>
        </w:tc>
        <w:tc>
          <w:tcPr>
            <w:tcW w:w="1176" w:type="dxa"/>
            <w:vMerge w:val="restart"/>
          </w:tcPr>
          <w:p w:rsidR="00C60F97" w:rsidRPr="00C82BEE" w:rsidRDefault="00C60F97" w:rsidP="003B3E53">
            <w:pPr>
              <w:rPr>
                <w:b/>
                <w:sz w:val="20"/>
                <w:szCs w:val="20"/>
              </w:rPr>
            </w:pPr>
            <w:r w:rsidRPr="00C82BEE">
              <w:rPr>
                <w:b/>
                <w:sz w:val="20"/>
                <w:szCs w:val="20"/>
              </w:rPr>
              <w:t>Technical Assistance/</w:t>
            </w:r>
          </w:p>
          <w:p w:rsidR="00C60F97" w:rsidRPr="00C82BEE" w:rsidRDefault="00C60F97" w:rsidP="003B3E53">
            <w:pPr>
              <w:rPr>
                <w:b/>
                <w:sz w:val="20"/>
                <w:szCs w:val="20"/>
              </w:rPr>
            </w:pPr>
            <w:r w:rsidRPr="00C82BEE">
              <w:rPr>
                <w:b/>
                <w:sz w:val="20"/>
                <w:szCs w:val="20"/>
              </w:rPr>
              <w:t>Investment</w:t>
            </w:r>
          </w:p>
        </w:tc>
        <w:tc>
          <w:tcPr>
            <w:tcW w:w="1450" w:type="dxa"/>
            <w:gridSpan w:val="2"/>
          </w:tcPr>
          <w:p w:rsidR="00C60F97" w:rsidRPr="00C82BEE" w:rsidRDefault="00C60F97" w:rsidP="003B3E53">
            <w:pPr>
              <w:rPr>
                <w:b/>
                <w:sz w:val="20"/>
                <w:szCs w:val="20"/>
              </w:rPr>
            </w:pPr>
            <w:r w:rsidRPr="00C82BEE">
              <w:rPr>
                <w:b/>
                <w:sz w:val="20"/>
                <w:szCs w:val="20"/>
              </w:rPr>
              <w:t>GEF Financing</w:t>
            </w:r>
          </w:p>
        </w:tc>
        <w:tc>
          <w:tcPr>
            <w:tcW w:w="1800" w:type="dxa"/>
            <w:gridSpan w:val="2"/>
          </w:tcPr>
          <w:p w:rsidR="00C60F97" w:rsidRPr="00C82BEE" w:rsidRDefault="00C60F97" w:rsidP="003B3E53">
            <w:pPr>
              <w:rPr>
                <w:b/>
                <w:sz w:val="20"/>
                <w:szCs w:val="20"/>
              </w:rPr>
            </w:pPr>
            <w:r w:rsidRPr="00C82BEE">
              <w:rPr>
                <w:b/>
                <w:sz w:val="20"/>
                <w:szCs w:val="20"/>
              </w:rPr>
              <w:t>Co-Financing</w:t>
            </w:r>
          </w:p>
        </w:tc>
        <w:tc>
          <w:tcPr>
            <w:tcW w:w="1800" w:type="dxa"/>
            <w:gridSpan w:val="2"/>
          </w:tcPr>
          <w:p w:rsidR="00C60F97" w:rsidRPr="00C82BEE" w:rsidRDefault="00C60F97" w:rsidP="003B3E53">
            <w:pPr>
              <w:rPr>
                <w:b/>
                <w:sz w:val="20"/>
                <w:szCs w:val="20"/>
              </w:rPr>
            </w:pPr>
            <w:r w:rsidRPr="00C82BEE">
              <w:rPr>
                <w:b/>
                <w:sz w:val="20"/>
                <w:szCs w:val="20"/>
              </w:rPr>
              <w:t>Grand Total</w:t>
            </w:r>
          </w:p>
        </w:tc>
      </w:tr>
      <w:tr w:rsidR="00C60F97" w:rsidRPr="00C82BEE" w:rsidTr="003B3E53">
        <w:tc>
          <w:tcPr>
            <w:tcW w:w="2262" w:type="dxa"/>
            <w:vMerge/>
          </w:tcPr>
          <w:p w:rsidR="00C60F97" w:rsidRPr="00C82BEE" w:rsidRDefault="00C60F97" w:rsidP="003B3E53">
            <w:pPr>
              <w:rPr>
                <w:sz w:val="20"/>
                <w:szCs w:val="20"/>
              </w:rPr>
            </w:pPr>
          </w:p>
        </w:tc>
        <w:tc>
          <w:tcPr>
            <w:tcW w:w="1176" w:type="dxa"/>
            <w:vMerge/>
          </w:tcPr>
          <w:p w:rsidR="00C60F97" w:rsidRPr="00C82BEE" w:rsidRDefault="00C60F97" w:rsidP="003B3E53">
            <w:pPr>
              <w:rPr>
                <w:sz w:val="20"/>
                <w:szCs w:val="20"/>
              </w:rPr>
            </w:pPr>
          </w:p>
        </w:tc>
        <w:tc>
          <w:tcPr>
            <w:tcW w:w="910" w:type="dxa"/>
          </w:tcPr>
          <w:p w:rsidR="00C60F97" w:rsidRPr="00C82BEE" w:rsidRDefault="00C60F97" w:rsidP="003B3E53">
            <w:pPr>
              <w:pStyle w:val="Heading3"/>
              <w:jc w:val="center"/>
              <w:rPr>
                <w:b w:val="0"/>
                <w:bCs w:val="0"/>
                <w:iCs/>
                <w:color w:val="000000"/>
                <w:sz w:val="20"/>
                <w:szCs w:val="20"/>
              </w:rPr>
            </w:pPr>
            <w:r w:rsidRPr="00C82BEE">
              <w:rPr>
                <w:b w:val="0"/>
                <w:bCs w:val="0"/>
                <w:iCs/>
                <w:color w:val="000000"/>
                <w:sz w:val="20"/>
                <w:szCs w:val="20"/>
              </w:rPr>
              <w:t>($)</w:t>
            </w:r>
          </w:p>
        </w:tc>
        <w:tc>
          <w:tcPr>
            <w:tcW w:w="540" w:type="dxa"/>
          </w:tcPr>
          <w:p w:rsidR="00C60F97" w:rsidRPr="00C82BEE" w:rsidRDefault="00C60F97" w:rsidP="003B3E53">
            <w:pPr>
              <w:pStyle w:val="Heading3"/>
              <w:jc w:val="center"/>
              <w:rPr>
                <w:b w:val="0"/>
                <w:bCs w:val="0"/>
                <w:iCs/>
                <w:color w:val="000000"/>
                <w:sz w:val="20"/>
                <w:szCs w:val="20"/>
              </w:rPr>
            </w:pPr>
            <w:r w:rsidRPr="00C82BEE">
              <w:rPr>
                <w:b w:val="0"/>
                <w:bCs w:val="0"/>
                <w:iCs/>
                <w:color w:val="000000"/>
                <w:sz w:val="20"/>
                <w:szCs w:val="20"/>
              </w:rPr>
              <w:t>%</w:t>
            </w:r>
          </w:p>
        </w:tc>
        <w:tc>
          <w:tcPr>
            <w:tcW w:w="1260" w:type="dxa"/>
          </w:tcPr>
          <w:p w:rsidR="00C60F97" w:rsidRPr="00C82BEE" w:rsidRDefault="00C60F97" w:rsidP="003B3E53">
            <w:pPr>
              <w:pStyle w:val="Heading3"/>
              <w:jc w:val="center"/>
              <w:rPr>
                <w:b w:val="0"/>
                <w:bCs w:val="0"/>
                <w:iCs/>
                <w:color w:val="000000"/>
                <w:sz w:val="20"/>
                <w:szCs w:val="20"/>
              </w:rPr>
            </w:pPr>
            <w:r w:rsidRPr="00C82BEE">
              <w:rPr>
                <w:b w:val="0"/>
                <w:bCs w:val="0"/>
                <w:iCs/>
                <w:color w:val="000000"/>
                <w:sz w:val="20"/>
                <w:szCs w:val="20"/>
              </w:rPr>
              <w:t>($)</w:t>
            </w:r>
          </w:p>
        </w:tc>
        <w:tc>
          <w:tcPr>
            <w:tcW w:w="540" w:type="dxa"/>
          </w:tcPr>
          <w:p w:rsidR="00C60F97" w:rsidRPr="00C82BEE" w:rsidRDefault="00C60F97" w:rsidP="003B3E53">
            <w:pPr>
              <w:pStyle w:val="Heading3"/>
              <w:jc w:val="center"/>
              <w:rPr>
                <w:b w:val="0"/>
                <w:bCs w:val="0"/>
                <w:iCs/>
                <w:color w:val="000000"/>
                <w:sz w:val="20"/>
                <w:szCs w:val="20"/>
              </w:rPr>
            </w:pPr>
            <w:r w:rsidRPr="00C82BEE">
              <w:rPr>
                <w:b w:val="0"/>
                <w:bCs w:val="0"/>
                <w:iCs/>
                <w:color w:val="000000"/>
                <w:sz w:val="20"/>
                <w:szCs w:val="20"/>
              </w:rPr>
              <w:t>%</w:t>
            </w:r>
          </w:p>
        </w:tc>
        <w:tc>
          <w:tcPr>
            <w:tcW w:w="1080" w:type="dxa"/>
          </w:tcPr>
          <w:p w:rsidR="00C60F97" w:rsidRPr="00C82BEE" w:rsidRDefault="00C60F97" w:rsidP="003B3E53">
            <w:pPr>
              <w:jc w:val="center"/>
              <w:rPr>
                <w:sz w:val="20"/>
                <w:szCs w:val="20"/>
              </w:rPr>
            </w:pPr>
            <w:r w:rsidRPr="00C82BEE">
              <w:rPr>
                <w:sz w:val="20"/>
                <w:szCs w:val="20"/>
              </w:rPr>
              <w:t>($)</w:t>
            </w:r>
          </w:p>
        </w:tc>
        <w:tc>
          <w:tcPr>
            <w:tcW w:w="720" w:type="dxa"/>
          </w:tcPr>
          <w:p w:rsidR="00C60F97" w:rsidRPr="00C82BEE" w:rsidRDefault="00C60F97" w:rsidP="003B3E53">
            <w:pPr>
              <w:jc w:val="center"/>
              <w:rPr>
                <w:sz w:val="20"/>
                <w:szCs w:val="20"/>
              </w:rPr>
            </w:pPr>
            <w:r w:rsidRPr="00C82BEE">
              <w:rPr>
                <w:sz w:val="20"/>
                <w:szCs w:val="20"/>
              </w:rPr>
              <w:t>%</w:t>
            </w:r>
          </w:p>
        </w:tc>
      </w:tr>
      <w:tr w:rsidR="00C60F97" w:rsidRPr="00C82BEE" w:rsidTr="003B3E53">
        <w:tc>
          <w:tcPr>
            <w:tcW w:w="2262" w:type="dxa"/>
          </w:tcPr>
          <w:p w:rsidR="00C60F97" w:rsidRPr="00C82BEE" w:rsidRDefault="00C60F97" w:rsidP="003B3E53">
            <w:pPr>
              <w:rPr>
                <w:sz w:val="20"/>
                <w:szCs w:val="20"/>
              </w:rPr>
            </w:pPr>
            <w:r w:rsidRPr="00C82BEE">
              <w:rPr>
                <w:sz w:val="20"/>
                <w:szCs w:val="20"/>
              </w:rPr>
              <w:t>1. Enabling legislative and policy environment</w:t>
            </w:r>
          </w:p>
        </w:tc>
        <w:tc>
          <w:tcPr>
            <w:tcW w:w="1176" w:type="dxa"/>
          </w:tcPr>
          <w:p w:rsidR="00C60F97" w:rsidRPr="00C82BEE" w:rsidRDefault="00C60F97" w:rsidP="003B3E53">
            <w:pPr>
              <w:jc w:val="center"/>
              <w:rPr>
                <w:sz w:val="20"/>
                <w:szCs w:val="20"/>
              </w:rPr>
            </w:pPr>
            <w:r w:rsidRPr="00C82BEE">
              <w:rPr>
                <w:sz w:val="20"/>
                <w:szCs w:val="20"/>
              </w:rPr>
              <w:t>TA</w:t>
            </w:r>
          </w:p>
        </w:tc>
        <w:tc>
          <w:tcPr>
            <w:tcW w:w="910" w:type="dxa"/>
          </w:tcPr>
          <w:p w:rsidR="00C60F97" w:rsidRPr="00C82BEE" w:rsidRDefault="00C60F97" w:rsidP="003B3E53">
            <w:pPr>
              <w:jc w:val="center"/>
              <w:rPr>
                <w:sz w:val="20"/>
                <w:szCs w:val="20"/>
              </w:rPr>
            </w:pPr>
            <w:r w:rsidRPr="00C82BEE">
              <w:rPr>
                <w:sz w:val="20"/>
                <w:szCs w:val="20"/>
              </w:rPr>
              <w:t>80,000</w:t>
            </w:r>
          </w:p>
        </w:tc>
        <w:tc>
          <w:tcPr>
            <w:tcW w:w="540" w:type="dxa"/>
          </w:tcPr>
          <w:p w:rsidR="00C60F97" w:rsidRPr="00C82BEE" w:rsidRDefault="00C60F97" w:rsidP="003B3E53">
            <w:pPr>
              <w:jc w:val="center"/>
              <w:rPr>
                <w:sz w:val="20"/>
                <w:szCs w:val="20"/>
              </w:rPr>
            </w:pPr>
            <w:r w:rsidRPr="00C82BEE">
              <w:rPr>
                <w:sz w:val="20"/>
                <w:szCs w:val="20"/>
              </w:rPr>
              <w:t>90</w:t>
            </w:r>
          </w:p>
        </w:tc>
        <w:tc>
          <w:tcPr>
            <w:tcW w:w="1260" w:type="dxa"/>
          </w:tcPr>
          <w:p w:rsidR="00C60F97" w:rsidRPr="00C82BEE" w:rsidRDefault="00C60F97" w:rsidP="003B3E53">
            <w:pPr>
              <w:jc w:val="center"/>
              <w:rPr>
                <w:sz w:val="20"/>
                <w:szCs w:val="20"/>
              </w:rPr>
            </w:pPr>
            <w:r w:rsidRPr="00C82BEE">
              <w:rPr>
                <w:sz w:val="20"/>
                <w:szCs w:val="20"/>
              </w:rPr>
              <w:t>8,900</w:t>
            </w:r>
          </w:p>
        </w:tc>
        <w:tc>
          <w:tcPr>
            <w:tcW w:w="540" w:type="dxa"/>
          </w:tcPr>
          <w:p w:rsidR="00C60F97" w:rsidRPr="00C82BEE" w:rsidRDefault="00C60F97" w:rsidP="003B3E53">
            <w:pPr>
              <w:jc w:val="center"/>
              <w:rPr>
                <w:sz w:val="20"/>
                <w:szCs w:val="20"/>
              </w:rPr>
            </w:pPr>
            <w:r w:rsidRPr="00C82BEE">
              <w:rPr>
                <w:sz w:val="20"/>
                <w:szCs w:val="20"/>
              </w:rPr>
              <w:t>10</w:t>
            </w:r>
          </w:p>
        </w:tc>
        <w:tc>
          <w:tcPr>
            <w:tcW w:w="1080" w:type="dxa"/>
          </w:tcPr>
          <w:p w:rsidR="00C60F97" w:rsidRPr="00C82BEE" w:rsidRDefault="00C60F97" w:rsidP="003B3E53">
            <w:pPr>
              <w:jc w:val="center"/>
              <w:rPr>
                <w:sz w:val="20"/>
                <w:szCs w:val="20"/>
              </w:rPr>
            </w:pPr>
            <w:r w:rsidRPr="00C82BEE">
              <w:rPr>
                <w:sz w:val="20"/>
                <w:szCs w:val="20"/>
              </w:rPr>
              <w:t>88,900</w:t>
            </w:r>
          </w:p>
        </w:tc>
        <w:tc>
          <w:tcPr>
            <w:tcW w:w="720" w:type="dxa"/>
          </w:tcPr>
          <w:p w:rsidR="00C60F97" w:rsidRPr="00C82BEE" w:rsidRDefault="00E2221C" w:rsidP="003B3E53">
            <w:pPr>
              <w:jc w:val="center"/>
              <w:rPr>
                <w:sz w:val="20"/>
                <w:szCs w:val="20"/>
              </w:rPr>
            </w:pPr>
            <w:r>
              <w:rPr>
                <w:sz w:val="20"/>
                <w:szCs w:val="20"/>
              </w:rPr>
              <w:t>6</w:t>
            </w:r>
          </w:p>
        </w:tc>
      </w:tr>
      <w:tr w:rsidR="00C60F97" w:rsidRPr="00C82BEE" w:rsidTr="003B3E53">
        <w:tc>
          <w:tcPr>
            <w:tcW w:w="2262" w:type="dxa"/>
          </w:tcPr>
          <w:p w:rsidR="00C60F97" w:rsidRPr="00C82BEE" w:rsidRDefault="00C60F97" w:rsidP="003B3E53">
            <w:pPr>
              <w:rPr>
                <w:sz w:val="20"/>
                <w:szCs w:val="20"/>
              </w:rPr>
            </w:pPr>
            <w:r w:rsidRPr="00C82BEE">
              <w:rPr>
                <w:sz w:val="20"/>
                <w:szCs w:val="20"/>
              </w:rPr>
              <w:t xml:space="preserve">2. </w:t>
            </w:r>
            <w:r w:rsidRPr="00C82BEE">
              <w:rPr>
                <w:noProof/>
                <w:sz w:val="20"/>
                <w:szCs w:val="20"/>
              </w:rPr>
              <w:t>Technical assistance, capacity building and awareness raising on animal manure-based biodigesters and electricity generation technologies</w:t>
            </w:r>
            <w:r>
              <w:rPr>
                <w:noProof/>
                <w:sz w:val="20"/>
                <w:szCs w:val="20"/>
              </w:rPr>
              <w:t xml:space="preserve"> (including to local producers)</w:t>
            </w:r>
          </w:p>
        </w:tc>
        <w:tc>
          <w:tcPr>
            <w:tcW w:w="1176" w:type="dxa"/>
          </w:tcPr>
          <w:p w:rsidR="00C60F97" w:rsidRPr="00C82BEE" w:rsidRDefault="00C60F97" w:rsidP="003B3E53">
            <w:pPr>
              <w:jc w:val="center"/>
              <w:rPr>
                <w:sz w:val="20"/>
                <w:szCs w:val="20"/>
              </w:rPr>
            </w:pPr>
            <w:r w:rsidRPr="00C82BEE">
              <w:rPr>
                <w:sz w:val="20"/>
                <w:szCs w:val="20"/>
              </w:rPr>
              <w:t>TA</w:t>
            </w:r>
          </w:p>
        </w:tc>
        <w:tc>
          <w:tcPr>
            <w:tcW w:w="910" w:type="dxa"/>
          </w:tcPr>
          <w:p w:rsidR="00C60F97" w:rsidRPr="00C82BEE" w:rsidRDefault="00C60F97" w:rsidP="003B3E53">
            <w:pPr>
              <w:jc w:val="center"/>
              <w:rPr>
                <w:sz w:val="20"/>
                <w:szCs w:val="20"/>
              </w:rPr>
            </w:pPr>
            <w:r>
              <w:rPr>
                <w:sz w:val="20"/>
                <w:szCs w:val="20"/>
              </w:rPr>
              <w:t>6</w:t>
            </w:r>
            <w:r w:rsidRPr="00C82BEE">
              <w:rPr>
                <w:sz w:val="20"/>
                <w:szCs w:val="20"/>
              </w:rPr>
              <w:t>10,000</w:t>
            </w:r>
          </w:p>
        </w:tc>
        <w:tc>
          <w:tcPr>
            <w:tcW w:w="540" w:type="dxa"/>
          </w:tcPr>
          <w:p w:rsidR="00C60F97" w:rsidRPr="00C82BEE" w:rsidRDefault="00C60F97" w:rsidP="003B3E53">
            <w:pPr>
              <w:jc w:val="center"/>
              <w:rPr>
                <w:sz w:val="20"/>
                <w:szCs w:val="20"/>
              </w:rPr>
            </w:pPr>
            <w:r>
              <w:rPr>
                <w:sz w:val="20"/>
                <w:szCs w:val="20"/>
              </w:rPr>
              <w:t>88</w:t>
            </w:r>
          </w:p>
        </w:tc>
        <w:tc>
          <w:tcPr>
            <w:tcW w:w="1260" w:type="dxa"/>
          </w:tcPr>
          <w:p w:rsidR="00C60F97" w:rsidRPr="00C82BEE" w:rsidRDefault="00C60F97" w:rsidP="003B3E53">
            <w:pPr>
              <w:jc w:val="center"/>
              <w:rPr>
                <w:sz w:val="20"/>
                <w:szCs w:val="20"/>
              </w:rPr>
            </w:pPr>
            <w:r>
              <w:rPr>
                <w:sz w:val="20"/>
                <w:szCs w:val="20"/>
              </w:rPr>
              <w:t>81</w:t>
            </w:r>
            <w:r w:rsidRPr="00C82BEE">
              <w:rPr>
                <w:sz w:val="20"/>
                <w:szCs w:val="20"/>
              </w:rPr>
              <w:t>,600</w:t>
            </w:r>
          </w:p>
        </w:tc>
        <w:tc>
          <w:tcPr>
            <w:tcW w:w="540" w:type="dxa"/>
          </w:tcPr>
          <w:p w:rsidR="00C60F97" w:rsidRPr="00C82BEE" w:rsidRDefault="00C60F97" w:rsidP="003B3E53">
            <w:pPr>
              <w:jc w:val="center"/>
              <w:rPr>
                <w:sz w:val="20"/>
                <w:szCs w:val="20"/>
              </w:rPr>
            </w:pPr>
            <w:r>
              <w:rPr>
                <w:sz w:val="20"/>
                <w:szCs w:val="20"/>
              </w:rPr>
              <w:t>12</w:t>
            </w:r>
          </w:p>
        </w:tc>
        <w:tc>
          <w:tcPr>
            <w:tcW w:w="1080" w:type="dxa"/>
          </w:tcPr>
          <w:p w:rsidR="00C60F97" w:rsidRPr="00C82BEE" w:rsidRDefault="00C60F97" w:rsidP="003B3E53">
            <w:pPr>
              <w:jc w:val="center"/>
              <w:rPr>
                <w:sz w:val="20"/>
                <w:szCs w:val="20"/>
              </w:rPr>
            </w:pPr>
            <w:r>
              <w:rPr>
                <w:sz w:val="20"/>
                <w:szCs w:val="20"/>
              </w:rPr>
              <w:t>691</w:t>
            </w:r>
            <w:r w:rsidRPr="00C82BEE">
              <w:rPr>
                <w:sz w:val="20"/>
                <w:szCs w:val="20"/>
              </w:rPr>
              <w:t>,600</w:t>
            </w:r>
          </w:p>
        </w:tc>
        <w:tc>
          <w:tcPr>
            <w:tcW w:w="720" w:type="dxa"/>
          </w:tcPr>
          <w:p w:rsidR="00C60F97" w:rsidRPr="00C82BEE" w:rsidRDefault="00E2221C" w:rsidP="00E2221C">
            <w:pPr>
              <w:jc w:val="center"/>
              <w:rPr>
                <w:sz w:val="20"/>
                <w:szCs w:val="20"/>
              </w:rPr>
            </w:pPr>
            <w:r>
              <w:rPr>
                <w:sz w:val="20"/>
                <w:szCs w:val="20"/>
              </w:rPr>
              <w:t>44</w:t>
            </w:r>
          </w:p>
        </w:tc>
      </w:tr>
      <w:tr w:rsidR="00C60F97" w:rsidRPr="00C82BEE" w:rsidTr="003B3E53">
        <w:tc>
          <w:tcPr>
            <w:tcW w:w="2262" w:type="dxa"/>
          </w:tcPr>
          <w:p w:rsidR="00C60F97" w:rsidRPr="00C82BEE" w:rsidRDefault="00C60F97" w:rsidP="003B3E53">
            <w:pPr>
              <w:rPr>
                <w:sz w:val="20"/>
                <w:szCs w:val="20"/>
              </w:rPr>
            </w:pPr>
            <w:r>
              <w:rPr>
                <w:sz w:val="20"/>
                <w:szCs w:val="20"/>
              </w:rPr>
              <w:t>3</w:t>
            </w:r>
            <w:r w:rsidRPr="00C82BEE">
              <w:rPr>
                <w:sz w:val="20"/>
                <w:szCs w:val="20"/>
              </w:rPr>
              <w:t>. Investment grant</w:t>
            </w:r>
            <w:r>
              <w:rPr>
                <w:sz w:val="20"/>
                <w:szCs w:val="20"/>
              </w:rPr>
              <w:t>s</w:t>
            </w:r>
            <w:r w:rsidRPr="00C82BEE">
              <w:rPr>
                <w:sz w:val="20"/>
                <w:szCs w:val="20"/>
              </w:rPr>
              <w:t xml:space="preserve"> for pilot biodigesters</w:t>
            </w:r>
          </w:p>
        </w:tc>
        <w:tc>
          <w:tcPr>
            <w:tcW w:w="1176" w:type="dxa"/>
          </w:tcPr>
          <w:p w:rsidR="00C60F97" w:rsidRPr="00C82BEE" w:rsidRDefault="00C60F97" w:rsidP="003B3E53">
            <w:pPr>
              <w:jc w:val="center"/>
              <w:rPr>
                <w:sz w:val="20"/>
                <w:szCs w:val="20"/>
              </w:rPr>
            </w:pPr>
            <w:r w:rsidRPr="00C82BEE">
              <w:rPr>
                <w:sz w:val="20"/>
                <w:szCs w:val="20"/>
              </w:rPr>
              <w:t>INV</w:t>
            </w:r>
          </w:p>
        </w:tc>
        <w:tc>
          <w:tcPr>
            <w:tcW w:w="910" w:type="dxa"/>
          </w:tcPr>
          <w:p w:rsidR="00C60F97" w:rsidRPr="00C82BEE" w:rsidRDefault="00C60F97" w:rsidP="003B3E53">
            <w:pPr>
              <w:jc w:val="center"/>
              <w:rPr>
                <w:sz w:val="20"/>
                <w:szCs w:val="20"/>
              </w:rPr>
            </w:pPr>
            <w:r w:rsidRPr="00C82BEE">
              <w:rPr>
                <w:sz w:val="20"/>
                <w:szCs w:val="20"/>
              </w:rPr>
              <w:t>200,000</w:t>
            </w:r>
          </w:p>
        </w:tc>
        <w:tc>
          <w:tcPr>
            <w:tcW w:w="540" w:type="dxa"/>
          </w:tcPr>
          <w:p w:rsidR="00C60F97" w:rsidRPr="00C82BEE" w:rsidRDefault="000D5442" w:rsidP="003B3E53">
            <w:pPr>
              <w:jc w:val="center"/>
              <w:rPr>
                <w:sz w:val="20"/>
                <w:szCs w:val="20"/>
              </w:rPr>
            </w:pPr>
            <w:r>
              <w:rPr>
                <w:sz w:val="20"/>
                <w:szCs w:val="20"/>
              </w:rPr>
              <w:t>30</w:t>
            </w:r>
          </w:p>
        </w:tc>
        <w:tc>
          <w:tcPr>
            <w:tcW w:w="1260" w:type="dxa"/>
          </w:tcPr>
          <w:p w:rsidR="00C60F97" w:rsidRPr="00C82BEE" w:rsidRDefault="00C60F97" w:rsidP="003B3E53">
            <w:pPr>
              <w:jc w:val="center"/>
              <w:rPr>
                <w:sz w:val="20"/>
                <w:szCs w:val="20"/>
              </w:rPr>
            </w:pPr>
            <w:r>
              <w:rPr>
                <w:sz w:val="20"/>
                <w:szCs w:val="20"/>
              </w:rPr>
              <w:t>467,000</w:t>
            </w:r>
          </w:p>
        </w:tc>
        <w:tc>
          <w:tcPr>
            <w:tcW w:w="540" w:type="dxa"/>
          </w:tcPr>
          <w:p w:rsidR="00C60F97" w:rsidRPr="00C82BEE" w:rsidRDefault="000D5442" w:rsidP="003B3E53">
            <w:pPr>
              <w:jc w:val="center"/>
              <w:rPr>
                <w:sz w:val="20"/>
                <w:szCs w:val="20"/>
              </w:rPr>
            </w:pPr>
            <w:r>
              <w:rPr>
                <w:sz w:val="20"/>
                <w:szCs w:val="20"/>
              </w:rPr>
              <w:t>70</w:t>
            </w:r>
          </w:p>
        </w:tc>
        <w:tc>
          <w:tcPr>
            <w:tcW w:w="1080" w:type="dxa"/>
          </w:tcPr>
          <w:p w:rsidR="00C60F97" w:rsidRPr="00C82BEE" w:rsidRDefault="00C60F97" w:rsidP="003B3E53">
            <w:pPr>
              <w:jc w:val="center"/>
              <w:rPr>
                <w:sz w:val="20"/>
                <w:szCs w:val="20"/>
              </w:rPr>
            </w:pPr>
            <w:r>
              <w:rPr>
                <w:sz w:val="20"/>
                <w:szCs w:val="20"/>
              </w:rPr>
              <w:t>667,000</w:t>
            </w:r>
          </w:p>
        </w:tc>
        <w:tc>
          <w:tcPr>
            <w:tcW w:w="720" w:type="dxa"/>
          </w:tcPr>
          <w:p w:rsidR="00C60F97" w:rsidRPr="00C82BEE" w:rsidRDefault="00E2221C" w:rsidP="00E2221C">
            <w:pPr>
              <w:jc w:val="center"/>
              <w:rPr>
                <w:sz w:val="20"/>
                <w:szCs w:val="20"/>
              </w:rPr>
            </w:pPr>
            <w:r>
              <w:rPr>
                <w:sz w:val="20"/>
                <w:szCs w:val="20"/>
              </w:rPr>
              <w:t>43</w:t>
            </w:r>
          </w:p>
        </w:tc>
      </w:tr>
      <w:tr w:rsidR="00C60F97" w:rsidRPr="00C82BEE" w:rsidTr="003B3E53">
        <w:tc>
          <w:tcPr>
            <w:tcW w:w="2262" w:type="dxa"/>
          </w:tcPr>
          <w:p w:rsidR="00C60F97" w:rsidRPr="00C82BEE" w:rsidRDefault="00C60F97" w:rsidP="003B3E53">
            <w:pPr>
              <w:rPr>
                <w:sz w:val="20"/>
                <w:szCs w:val="20"/>
              </w:rPr>
            </w:pPr>
            <w:r>
              <w:rPr>
                <w:sz w:val="20"/>
                <w:szCs w:val="20"/>
              </w:rPr>
              <w:t>4</w:t>
            </w:r>
            <w:r w:rsidRPr="00C82BEE">
              <w:rPr>
                <w:sz w:val="20"/>
                <w:szCs w:val="20"/>
              </w:rPr>
              <w:t>. Project management</w:t>
            </w:r>
          </w:p>
        </w:tc>
        <w:tc>
          <w:tcPr>
            <w:tcW w:w="1176" w:type="dxa"/>
          </w:tcPr>
          <w:p w:rsidR="00C60F97" w:rsidRPr="00C82BEE" w:rsidRDefault="00C60F97" w:rsidP="003B3E53">
            <w:pPr>
              <w:jc w:val="center"/>
              <w:rPr>
                <w:sz w:val="20"/>
                <w:szCs w:val="20"/>
              </w:rPr>
            </w:pPr>
          </w:p>
        </w:tc>
        <w:tc>
          <w:tcPr>
            <w:tcW w:w="910" w:type="dxa"/>
          </w:tcPr>
          <w:p w:rsidR="00C60F97" w:rsidRPr="00C82BEE" w:rsidRDefault="00C60F97" w:rsidP="003B3E53">
            <w:pPr>
              <w:jc w:val="center"/>
              <w:rPr>
                <w:sz w:val="20"/>
                <w:szCs w:val="20"/>
              </w:rPr>
            </w:pPr>
            <w:r w:rsidRPr="00C82BEE">
              <w:rPr>
                <w:sz w:val="20"/>
                <w:szCs w:val="20"/>
              </w:rPr>
              <w:t>90,000</w:t>
            </w:r>
          </w:p>
        </w:tc>
        <w:tc>
          <w:tcPr>
            <w:tcW w:w="540" w:type="dxa"/>
          </w:tcPr>
          <w:p w:rsidR="00C60F97" w:rsidRPr="00C82BEE" w:rsidRDefault="00C60F97" w:rsidP="003B3E53">
            <w:pPr>
              <w:jc w:val="center"/>
              <w:rPr>
                <w:sz w:val="20"/>
                <w:szCs w:val="20"/>
              </w:rPr>
            </w:pPr>
            <w:r w:rsidRPr="00C82BEE">
              <w:rPr>
                <w:sz w:val="20"/>
                <w:szCs w:val="20"/>
              </w:rPr>
              <w:t>80</w:t>
            </w:r>
          </w:p>
        </w:tc>
        <w:tc>
          <w:tcPr>
            <w:tcW w:w="1260" w:type="dxa"/>
          </w:tcPr>
          <w:p w:rsidR="00C60F97" w:rsidRPr="00C82BEE" w:rsidRDefault="00C60F97" w:rsidP="003B3E53">
            <w:pPr>
              <w:jc w:val="center"/>
              <w:rPr>
                <w:sz w:val="20"/>
                <w:szCs w:val="20"/>
              </w:rPr>
            </w:pPr>
            <w:r w:rsidRPr="00C82BEE">
              <w:rPr>
                <w:sz w:val="20"/>
                <w:szCs w:val="20"/>
              </w:rPr>
              <w:t>22,500</w:t>
            </w:r>
          </w:p>
        </w:tc>
        <w:tc>
          <w:tcPr>
            <w:tcW w:w="540" w:type="dxa"/>
          </w:tcPr>
          <w:p w:rsidR="00C60F97" w:rsidRPr="00C82BEE" w:rsidRDefault="00C60F97" w:rsidP="003B3E53">
            <w:pPr>
              <w:jc w:val="center"/>
              <w:rPr>
                <w:sz w:val="20"/>
                <w:szCs w:val="20"/>
              </w:rPr>
            </w:pPr>
            <w:r w:rsidRPr="00C82BEE">
              <w:rPr>
                <w:sz w:val="20"/>
                <w:szCs w:val="20"/>
              </w:rPr>
              <w:t>20</w:t>
            </w:r>
          </w:p>
        </w:tc>
        <w:tc>
          <w:tcPr>
            <w:tcW w:w="1080" w:type="dxa"/>
          </w:tcPr>
          <w:p w:rsidR="00C60F97" w:rsidRPr="00C82BEE" w:rsidRDefault="00C60F97" w:rsidP="003B3E53">
            <w:pPr>
              <w:jc w:val="center"/>
              <w:rPr>
                <w:sz w:val="20"/>
                <w:szCs w:val="20"/>
              </w:rPr>
            </w:pPr>
            <w:r w:rsidRPr="00C82BEE">
              <w:rPr>
                <w:sz w:val="20"/>
                <w:szCs w:val="20"/>
              </w:rPr>
              <w:t>112,500</w:t>
            </w:r>
          </w:p>
        </w:tc>
        <w:tc>
          <w:tcPr>
            <w:tcW w:w="720" w:type="dxa"/>
          </w:tcPr>
          <w:p w:rsidR="00C60F97" w:rsidRPr="00C82BEE" w:rsidRDefault="00E2221C" w:rsidP="00E2221C">
            <w:pPr>
              <w:jc w:val="center"/>
              <w:rPr>
                <w:sz w:val="20"/>
                <w:szCs w:val="20"/>
              </w:rPr>
            </w:pPr>
            <w:r>
              <w:rPr>
                <w:sz w:val="20"/>
                <w:szCs w:val="20"/>
              </w:rPr>
              <w:t>7</w:t>
            </w:r>
          </w:p>
        </w:tc>
      </w:tr>
      <w:tr w:rsidR="00C60F97" w:rsidRPr="00C82BEE" w:rsidTr="003B3E53">
        <w:tc>
          <w:tcPr>
            <w:tcW w:w="2262" w:type="dxa"/>
          </w:tcPr>
          <w:p w:rsidR="00C60F97" w:rsidRPr="00C82BEE" w:rsidRDefault="00C60F97" w:rsidP="003B3E53">
            <w:pPr>
              <w:rPr>
                <w:b/>
                <w:sz w:val="20"/>
                <w:szCs w:val="20"/>
              </w:rPr>
            </w:pPr>
            <w:r w:rsidRPr="00C82BEE">
              <w:rPr>
                <w:b/>
                <w:sz w:val="20"/>
                <w:szCs w:val="20"/>
              </w:rPr>
              <w:t>Total project costs</w:t>
            </w:r>
          </w:p>
        </w:tc>
        <w:tc>
          <w:tcPr>
            <w:tcW w:w="1176" w:type="dxa"/>
          </w:tcPr>
          <w:p w:rsidR="00C60F97" w:rsidRPr="00C82BEE" w:rsidRDefault="00C60F97" w:rsidP="003B3E53">
            <w:pPr>
              <w:rPr>
                <w:b/>
                <w:sz w:val="20"/>
                <w:szCs w:val="20"/>
              </w:rPr>
            </w:pPr>
          </w:p>
        </w:tc>
        <w:tc>
          <w:tcPr>
            <w:tcW w:w="910" w:type="dxa"/>
          </w:tcPr>
          <w:p w:rsidR="00C60F97" w:rsidRPr="00C82BEE" w:rsidRDefault="00C60F97" w:rsidP="003B3E53">
            <w:pPr>
              <w:jc w:val="center"/>
              <w:rPr>
                <w:sz w:val="20"/>
                <w:szCs w:val="20"/>
              </w:rPr>
            </w:pPr>
            <w:r w:rsidRPr="00C82BEE">
              <w:rPr>
                <w:sz w:val="20"/>
                <w:szCs w:val="20"/>
              </w:rPr>
              <w:t>980,000</w:t>
            </w:r>
          </w:p>
        </w:tc>
        <w:tc>
          <w:tcPr>
            <w:tcW w:w="540" w:type="dxa"/>
          </w:tcPr>
          <w:p w:rsidR="00C60F97" w:rsidRPr="00C82BEE" w:rsidRDefault="000D5442" w:rsidP="003B3E53">
            <w:pPr>
              <w:jc w:val="center"/>
              <w:rPr>
                <w:sz w:val="20"/>
                <w:szCs w:val="20"/>
              </w:rPr>
            </w:pPr>
            <w:r>
              <w:rPr>
                <w:sz w:val="20"/>
                <w:szCs w:val="20"/>
              </w:rPr>
              <w:t>63</w:t>
            </w:r>
          </w:p>
        </w:tc>
        <w:tc>
          <w:tcPr>
            <w:tcW w:w="1260" w:type="dxa"/>
          </w:tcPr>
          <w:p w:rsidR="00C60F97" w:rsidRPr="00C82BEE" w:rsidRDefault="000D5442" w:rsidP="003B3E53">
            <w:pPr>
              <w:jc w:val="center"/>
              <w:rPr>
                <w:sz w:val="20"/>
                <w:szCs w:val="20"/>
              </w:rPr>
            </w:pPr>
            <w:r>
              <w:rPr>
                <w:sz w:val="20"/>
                <w:szCs w:val="20"/>
              </w:rPr>
              <w:t>580,000</w:t>
            </w:r>
          </w:p>
        </w:tc>
        <w:tc>
          <w:tcPr>
            <w:tcW w:w="540" w:type="dxa"/>
          </w:tcPr>
          <w:p w:rsidR="00C60F97" w:rsidRPr="00C82BEE" w:rsidRDefault="000D5442" w:rsidP="003B3E53">
            <w:pPr>
              <w:jc w:val="center"/>
              <w:rPr>
                <w:sz w:val="20"/>
                <w:szCs w:val="20"/>
              </w:rPr>
            </w:pPr>
            <w:r>
              <w:rPr>
                <w:sz w:val="20"/>
                <w:szCs w:val="20"/>
              </w:rPr>
              <w:t>37</w:t>
            </w:r>
          </w:p>
        </w:tc>
        <w:tc>
          <w:tcPr>
            <w:tcW w:w="1080" w:type="dxa"/>
          </w:tcPr>
          <w:p w:rsidR="00C60F97" w:rsidRPr="00C82BEE" w:rsidRDefault="000D5442" w:rsidP="003B3E53">
            <w:pPr>
              <w:jc w:val="center"/>
              <w:rPr>
                <w:sz w:val="20"/>
                <w:szCs w:val="20"/>
              </w:rPr>
            </w:pPr>
            <w:r>
              <w:rPr>
                <w:sz w:val="20"/>
                <w:szCs w:val="20"/>
              </w:rPr>
              <w:t>1,560,000</w:t>
            </w:r>
          </w:p>
        </w:tc>
        <w:tc>
          <w:tcPr>
            <w:tcW w:w="720" w:type="dxa"/>
          </w:tcPr>
          <w:p w:rsidR="00C60F97" w:rsidRPr="00C82BEE" w:rsidRDefault="00C60F97" w:rsidP="003B3E53">
            <w:pPr>
              <w:jc w:val="center"/>
              <w:rPr>
                <w:sz w:val="20"/>
                <w:szCs w:val="20"/>
              </w:rPr>
            </w:pPr>
            <w:r>
              <w:rPr>
                <w:sz w:val="20"/>
                <w:szCs w:val="20"/>
              </w:rPr>
              <w:t>100</w:t>
            </w:r>
          </w:p>
        </w:tc>
      </w:tr>
    </w:tbl>
    <w:p w:rsidR="00C60F97" w:rsidRDefault="00C60F97" w:rsidP="00C2086F">
      <w:pPr>
        <w:ind w:left="360"/>
      </w:pPr>
    </w:p>
    <w:p w:rsidR="00C60F97" w:rsidRPr="00C2086F" w:rsidRDefault="00C60F97" w:rsidP="00C2086F">
      <w:pPr>
        <w:ind w:left="360"/>
      </w:pPr>
    </w:p>
    <w:p w:rsidR="00C2086F" w:rsidRPr="00572C19" w:rsidRDefault="008100A9" w:rsidP="00EE1115">
      <w:pPr>
        <w:numPr>
          <w:ilvl w:val="0"/>
          <w:numId w:val="4"/>
        </w:numPr>
      </w:pPr>
      <w:r>
        <w:rPr>
          <w:smallCaps/>
        </w:rPr>
        <w:t>cost effectiveness</w:t>
      </w:r>
    </w:p>
    <w:p w:rsidR="00572C19" w:rsidRDefault="00572C19" w:rsidP="00572C19">
      <w:pPr>
        <w:ind w:left="360"/>
      </w:pPr>
    </w:p>
    <w:p w:rsidR="008100A9" w:rsidRDefault="00B90C83" w:rsidP="005B6956">
      <w:pPr>
        <w:ind w:left="360"/>
        <w:jc w:val="both"/>
        <w:rPr>
          <w:bCs/>
        </w:rPr>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223F5D" w:rsidRPr="006329F2">
        <w:rPr>
          <w:bCs/>
        </w:rPr>
        <w:t>Th</w:t>
      </w:r>
      <w:r w:rsidR="008100A9" w:rsidRPr="006329F2">
        <w:rPr>
          <w:bCs/>
        </w:rPr>
        <w:t xml:space="preserve">e proposed project is a pilot, providing financing for capacity building and the establishment of an enabling environment and systems. Therefore, in isolation, the project’s cost effectiveness is relatively low. However, given the (i) multiple benefits to the environment from farmer training and awareness-raising activities (an unquantifiable benefit), and (ii) the potential for a larger operation using the new demonstrated technologies, which will require much less technical assistance (a quantifiable benefit), the cost effectiveness of the project is potentially high. </w:t>
      </w:r>
    </w:p>
    <w:p w:rsidR="00476EE5" w:rsidRDefault="00476EE5" w:rsidP="005B6956">
      <w:pPr>
        <w:ind w:left="360"/>
        <w:jc w:val="both"/>
        <w:rPr>
          <w:bCs/>
        </w:rPr>
      </w:pPr>
    </w:p>
    <w:p w:rsidR="00476EE5" w:rsidRPr="006329F2" w:rsidRDefault="00B90C83" w:rsidP="005B6956">
      <w:pPr>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476EE5">
        <w:rPr>
          <w:bCs/>
        </w:rPr>
        <w:t xml:space="preserve">The cost effectiveness has been analyzed at the individual pilot project level. The preliminary analysis shows that the proposed biodigester investments </w:t>
      </w:r>
      <w:r w:rsidR="00C97598">
        <w:rPr>
          <w:bCs/>
        </w:rPr>
        <w:t>improve</w:t>
      </w:r>
      <w:r w:rsidR="00476EE5">
        <w:rPr>
          <w:bCs/>
        </w:rPr>
        <w:t xml:space="preserve"> the cost effectiveness </w:t>
      </w:r>
      <w:r w:rsidR="00C97598">
        <w:rPr>
          <w:bCs/>
        </w:rPr>
        <w:t xml:space="preserve">(operational effectiveness) </w:t>
      </w:r>
      <w:r w:rsidR="00476EE5">
        <w:rPr>
          <w:bCs/>
        </w:rPr>
        <w:t xml:space="preserve">of the participating farms through: (i) providing cost savings by allowing farmers not to buy energy from the grid; and (ii) providing additional income to the farmers from sale of electricity into the grid. It also should be noted that one of the objectives of the project is to identify interested local biodigester manufacturers and build their capacity in manufacturing this new technology to ensure better affordability and outreach of this new, environmentally-friendly technology. </w:t>
      </w:r>
    </w:p>
    <w:p w:rsidR="005B6956" w:rsidRPr="006329F2" w:rsidRDefault="005B6956" w:rsidP="008100A9">
      <w:pPr>
        <w:pStyle w:val="Footer"/>
        <w:ind w:left="360"/>
      </w:pPr>
    </w:p>
    <w:p w:rsidR="008100A9" w:rsidRPr="006329F2" w:rsidRDefault="00B90C83" w:rsidP="005B6956">
      <w:pPr>
        <w:pStyle w:val="Footer"/>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8100A9" w:rsidRPr="006329F2">
        <w:t xml:space="preserve">The proposed project is an investment operation and is consistent with the comparative advantage of the World Bank, as stipulated in the Comparative Advantage matrix. The World Bank’s comparative advantage is as a leading international financial institution at the global scale, with strong experience in investment lending focusing on institution building, infrastructure development and policy reform, across all the focal areas of the GEF. In line with the World Bank’s comparative advantage, the project will focus on supporting the development of </w:t>
      </w:r>
      <w:r w:rsidR="00D12E64">
        <w:t xml:space="preserve">an </w:t>
      </w:r>
      <w:r w:rsidR="008100A9" w:rsidRPr="006329F2">
        <w:t>enabling regulatory environment, provision of technical assistance and capacity building, and investing in the piloting of new technologies.</w:t>
      </w:r>
    </w:p>
    <w:p w:rsidR="006B45DD" w:rsidRPr="006329F2" w:rsidRDefault="006B45DD" w:rsidP="005B6956">
      <w:pPr>
        <w:pStyle w:val="Footer"/>
        <w:ind w:left="360"/>
        <w:jc w:val="both"/>
      </w:pPr>
    </w:p>
    <w:p w:rsidR="008100A9" w:rsidRDefault="008100A9" w:rsidP="00EE1115">
      <w:pPr>
        <w:numPr>
          <w:ilvl w:val="0"/>
          <w:numId w:val="4"/>
        </w:numPr>
      </w:pPr>
      <w:r>
        <w:rPr>
          <w:smallCaps/>
        </w:rPr>
        <w:t>co-financing</w:t>
      </w:r>
    </w:p>
    <w:p w:rsidR="008100A9" w:rsidRDefault="008100A9" w:rsidP="006B45DD">
      <w:pPr>
        <w:ind w:left="360"/>
      </w:pPr>
    </w:p>
    <w:p w:rsidR="006B45DD" w:rsidRDefault="00B90C83" w:rsidP="00D612EA">
      <w:pPr>
        <w:ind w:left="360"/>
        <w:jc w:val="both"/>
      </w:pPr>
      <w:r w:rsidRPr="00443763">
        <w:rPr>
          <w:sz w:val="22"/>
          <w:szCs w:val="22"/>
        </w:rPr>
        <w:fldChar w:fldCharType="begin"/>
      </w:r>
      <w:r w:rsidR="00F431A5" w:rsidRPr="00443763">
        <w:rPr>
          <w:sz w:val="22"/>
          <w:szCs w:val="22"/>
        </w:rPr>
        <w:instrText xml:space="preserve"> AUTONUM  </w:instrText>
      </w:r>
      <w:r w:rsidRPr="00443763">
        <w:rPr>
          <w:sz w:val="22"/>
          <w:szCs w:val="22"/>
        </w:rPr>
        <w:fldChar w:fldCharType="end"/>
      </w:r>
      <w:r w:rsidR="00F431A5" w:rsidRPr="00443763">
        <w:rPr>
          <w:sz w:val="22"/>
          <w:szCs w:val="22"/>
        </w:rPr>
        <w:tab/>
      </w:r>
      <w:r w:rsidR="00804CB8">
        <w:t>The co-financing should be reviewed at two levels: co-financing for the GEF grant</w:t>
      </w:r>
      <w:r w:rsidR="00CE217D">
        <w:t xml:space="preserve"> only</w:t>
      </w:r>
      <w:r w:rsidR="00804CB8">
        <w:t>, and co-financing for the GEF grant, followed and scaled up though a carbon finance operation. In the former case, the co-financing amounts to US$580,000, while in the latter case the co-financing will amount to US$2,513,000 thro</w:t>
      </w:r>
      <w:r w:rsidR="00CE217D">
        <w:t>ugh cash and in-kind investment</w:t>
      </w:r>
      <w:r w:rsidR="00804CB8">
        <w:t xml:space="preserve"> in a larger number of biodigesters</w:t>
      </w:r>
      <w:r w:rsidR="00CE217D">
        <w:t>, which will be</w:t>
      </w:r>
      <w:r w:rsidR="00804CB8">
        <w:t xml:space="preserve"> piloted under the GEF grant. While for the entire program the c</w:t>
      </w:r>
      <w:r w:rsidR="006B45DD">
        <w:t>o-financing will contribute 72% of total project costs</w:t>
      </w:r>
      <w:r w:rsidR="00804CB8">
        <w:t xml:space="preserve"> (US$2,513,000 of US$3,493,000), for the particular GEF Biogas Generation from Animal Manure Pilot Project the co-financing will amount to 37% of the total project costs</w:t>
      </w:r>
      <w:r w:rsidR="00A5632A">
        <w:t>,</w:t>
      </w:r>
      <w:r w:rsidR="006B45DD">
        <w:t xml:space="preserve"> </w:t>
      </w:r>
      <w:r w:rsidR="00D12E64">
        <w:t>comprised</w:t>
      </w:r>
      <w:r w:rsidR="0051449C">
        <w:t xml:space="preserve"> </w:t>
      </w:r>
      <w:r w:rsidR="00A5632A">
        <w:t xml:space="preserve">of </w:t>
      </w:r>
      <w:r w:rsidR="00D12E64">
        <w:t xml:space="preserve">the </w:t>
      </w:r>
      <w:r w:rsidR="006B45DD">
        <w:t xml:space="preserve">Government’s contribution in cash and kind </w:t>
      </w:r>
      <w:r w:rsidR="00D12E64">
        <w:t>(</w:t>
      </w:r>
      <w:r w:rsidR="00804CB8">
        <w:t>2</w:t>
      </w:r>
      <w:r w:rsidR="006B45DD">
        <w:t>.0% of total costs</w:t>
      </w:r>
      <w:r w:rsidR="00D12E64">
        <w:t>)</w:t>
      </w:r>
      <w:r w:rsidR="006B45DD">
        <w:t xml:space="preserve">, the private sector </w:t>
      </w:r>
      <w:r w:rsidR="00D12E64">
        <w:t>(</w:t>
      </w:r>
      <w:r w:rsidR="00804CB8">
        <w:t>8</w:t>
      </w:r>
      <w:r w:rsidR="006B45DD">
        <w:t>%</w:t>
      </w:r>
      <w:r w:rsidR="00D12E64">
        <w:t xml:space="preserve"> of total costs)</w:t>
      </w:r>
      <w:r w:rsidR="00804CB8">
        <w:t xml:space="preserve"> and the World Bank’s</w:t>
      </w:r>
      <w:r w:rsidR="006B45DD">
        <w:t xml:space="preserve"> RISPII project </w:t>
      </w:r>
      <w:r w:rsidR="00D12E64">
        <w:t>(</w:t>
      </w:r>
      <w:r w:rsidR="00804CB8">
        <w:t>27</w:t>
      </w:r>
      <w:r w:rsidR="006B45DD">
        <w:t>%</w:t>
      </w:r>
      <w:r w:rsidR="00D12E64">
        <w:t xml:space="preserve"> of total costs)</w:t>
      </w:r>
      <w:r w:rsidR="006B45DD">
        <w:t>.</w:t>
      </w:r>
    </w:p>
    <w:p w:rsidR="00022CD3" w:rsidRDefault="00022CD3" w:rsidP="00D612EA">
      <w:pPr>
        <w:ind w:left="-720"/>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2"/>
        <w:gridCol w:w="1765"/>
        <w:gridCol w:w="1669"/>
        <w:gridCol w:w="1896"/>
        <w:gridCol w:w="1496"/>
      </w:tblGrid>
      <w:tr w:rsidR="00022CD3">
        <w:trPr>
          <w:cantSplit/>
        </w:trPr>
        <w:tc>
          <w:tcPr>
            <w:tcW w:w="8388" w:type="dxa"/>
            <w:gridSpan w:val="5"/>
            <w:shd w:val="clear" w:color="auto" w:fill="595959"/>
          </w:tcPr>
          <w:p w:rsidR="00022CD3" w:rsidRDefault="00022CD3">
            <w:pPr>
              <w:pStyle w:val="Heading4"/>
            </w:pPr>
            <w:r>
              <w:t>Co-financing Sources</w:t>
            </w:r>
          </w:p>
        </w:tc>
      </w:tr>
      <w:tr w:rsidR="00022CD3">
        <w:trPr>
          <w:cantSplit/>
        </w:trPr>
        <w:tc>
          <w:tcPr>
            <w:tcW w:w="1562" w:type="dxa"/>
          </w:tcPr>
          <w:p w:rsidR="00022CD3" w:rsidRDefault="00022CD3">
            <w:pPr>
              <w:jc w:val="center"/>
            </w:pPr>
            <w:r>
              <w:t>Name of Co-financier (source)</w:t>
            </w:r>
          </w:p>
        </w:tc>
        <w:tc>
          <w:tcPr>
            <w:tcW w:w="1765" w:type="dxa"/>
          </w:tcPr>
          <w:p w:rsidR="00022CD3" w:rsidRDefault="00022CD3">
            <w:pPr>
              <w:jc w:val="center"/>
            </w:pPr>
            <w:r>
              <w:t>Classification</w:t>
            </w:r>
          </w:p>
        </w:tc>
        <w:tc>
          <w:tcPr>
            <w:tcW w:w="1669" w:type="dxa"/>
          </w:tcPr>
          <w:p w:rsidR="00022CD3" w:rsidRDefault="00022CD3">
            <w:pPr>
              <w:jc w:val="center"/>
            </w:pPr>
            <w:r>
              <w:t>Type</w:t>
            </w:r>
          </w:p>
        </w:tc>
        <w:tc>
          <w:tcPr>
            <w:tcW w:w="1896" w:type="dxa"/>
          </w:tcPr>
          <w:p w:rsidR="00022CD3" w:rsidRDefault="00022CD3">
            <w:pPr>
              <w:jc w:val="center"/>
            </w:pPr>
            <w:r>
              <w:t>Amount (US$)</w:t>
            </w:r>
          </w:p>
        </w:tc>
        <w:tc>
          <w:tcPr>
            <w:tcW w:w="1496" w:type="dxa"/>
          </w:tcPr>
          <w:p w:rsidR="00022CD3" w:rsidRDefault="00022CD3">
            <w:pPr>
              <w:jc w:val="right"/>
            </w:pPr>
          </w:p>
          <w:p w:rsidR="00022CD3" w:rsidRDefault="00022CD3">
            <w:pPr>
              <w:jc w:val="center"/>
            </w:pPr>
            <w:r>
              <w:t>Status*</w:t>
            </w:r>
          </w:p>
        </w:tc>
      </w:tr>
      <w:tr w:rsidR="0072430A">
        <w:trPr>
          <w:cantSplit/>
        </w:trPr>
        <w:tc>
          <w:tcPr>
            <w:tcW w:w="1562" w:type="dxa"/>
          </w:tcPr>
          <w:p w:rsidR="0072430A" w:rsidRDefault="0072430A">
            <w:r w:rsidRPr="00B20579">
              <w:rPr>
                <w:sz w:val="18"/>
                <w:szCs w:val="18"/>
              </w:rPr>
              <w:t>Project Government Contribution</w:t>
            </w:r>
          </w:p>
        </w:tc>
        <w:tc>
          <w:tcPr>
            <w:tcW w:w="1765" w:type="dxa"/>
          </w:tcPr>
          <w:p w:rsidR="0072430A" w:rsidRDefault="009B1304">
            <w:r>
              <w:t>Government</w:t>
            </w:r>
          </w:p>
        </w:tc>
        <w:tc>
          <w:tcPr>
            <w:tcW w:w="1669" w:type="dxa"/>
          </w:tcPr>
          <w:p w:rsidR="0072430A" w:rsidRDefault="0072430A" w:rsidP="00467E54">
            <w:r>
              <w:t>Cash</w:t>
            </w:r>
          </w:p>
        </w:tc>
        <w:tc>
          <w:tcPr>
            <w:tcW w:w="1896" w:type="dxa"/>
          </w:tcPr>
          <w:p w:rsidR="0072430A" w:rsidRDefault="0072430A" w:rsidP="00223F5D">
            <w:pPr>
              <w:ind w:left="720"/>
              <w:jc w:val="right"/>
            </w:pPr>
            <w:r>
              <w:t>10,000</w:t>
            </w:r>
          </w:p>
        </w:tc>
        <w:tc>
          <w:tcPr>
            <w:tcW w:w="1496" w:type="dxa"/>
          </w:tcPr>
          <w:p w:rsidR="0072430A" w:rsidRDefault="00864101">
            <w:r>
              <w:t>Confirmed</w:t>
            </w:r>
          </w:p>
        </w:tc>
      </w:tr>
      <w:tr w:rsidR="0072430A">
        <w:trPr>
          <w:cantSplit/>
        </w:trPr>
        <w:tc>
          <w:tcPr>
            <w:tcW w:w="1562" w:type="dxa"/>
          </w:tcPr>
          <w:p w:rsidR="0072430A" w:rsidRDefault="0072430A">
            <w:r>
              <w:rPr>
                <w:sz w:val="18"/>
                <w:szCs w:val="18"/>
              </w:rPr>
              <w:t>Government Contribution</w:t>
            </w:r>
          </w:p>
        </w:tc>
        <w:tc>
          <w:tcPr>
            <w:tcW w:w="1765" w:type="dxa"/>
          </w:tcPr>
          <w:p w:rsidR="0072430A" w:rsidRDefault="009B1304">
            <w:r>
              <w:t>Government</w:t>
            </w:r>
          </w:p>
        </w:tc>
        <w:tc>
          <w:tcPr>
            <w:tcW w:w="1669" w:type="dxa"/>
          </w:tcPr>
          <w:p w:rsidR="0072430A" w:rsidRDefault="0072430A" w:rsidP="00467E54">
            <w:r>
              <w:t>In-kind</w:t>
            </w:r>
          </w:p>
        </w:tc>
        <w:tc>
          <w:tcPr>
            <w:tcW w:w="1896" w:type="dxa"/>
          </w:tcPr>
          <w:p w:rsidR="0072430A" w:rsidRDefault="0072430A" w:rsidP="00223F5D">
            <w:pPr>
              <w:ind w:left="720"/>
              <w:jc w:val="right"/>
            </w:pPr>
            <w:r>
              <w:t>21,400</w:t>
            </w:r>
          </w:p>
        </w:tc>
        <w:tc>
          <w:tcPr>
            <w:tcW w:w="1496" w:type="dxa"/>
          </w:tcPr>
          <w:p w:rsidR="0072430A" w:rsidRDefault="00864101">
            <w:r>
              <w:t>Confirmed</w:t>
            </w:r>
          </w:p>
        </w:tc>
      </w:tr>
      <w:tr w:rsidR="0072430A">
        <w:trPr>
          <w:cantSplit/>
        </w:trPr>
        <w:tc>
          <w:tcPr>
            <w:tcW w:w="1562" w:type="dxa"/>
          </w:tcPr>
          <w:p w:rsidR="0072430A" w:rsidRDefault="0072430A">
            <w:r w:rsidRPr="00B35801">
              <w:rPr>
                <w:sz w:val="20"/>
                <w:szCs w:val="20"/>
              </w:rPr>
              <w:t>GEF A</w:t>
            </w:r>
            <w:r>
              <w:rPr>
                <w:sz w:val="20"/>
                <w:szCs w:val="20"/>
              </w:rPr>
              <w:t>gency (IDA)</w:t>
            </w:r>
          </w:p>
        </w:tc>
        <w:tc>
          <w:tcPr>
            <w:tcW w:w="1765" w:type="dxa"/>
          </w:tcPr>
          <w:p w:rsidR="0072430A" w:rsidRDefault="009B1304">
            <w:r>
              <w:t>Multilateral</w:t>
            </w:r>
          </w:p>
        </w:tc>
        <w:tc>
          <w:tcPr>
            <w:tcW w:w="1669" w:type="dxa"/>
          </w:tcPr>
          <w:p w:rsidR="0072430A" w:rsidRDefault="0072430A" w:rsidP="00467E54">
            <w:r>
              <w:t>Credit</w:t>
            </w:r>
          </w:p>
        </w:tc>
        <w:tc>
          <w:tcPr>
            <w:tcW w:w="1896" w:type="dxa"/>
          </w:tcPr>
          <w:p w:rsidR="0072430A" w:rsidRDefault="00F431A5" w:rsidP="00223F5D">
            <w:pPr>
              <w:ind w:left="720"/>
              <w:jc w:val="right"/>
            </w:pPr>
            <w:r>
              <w:t>300,000</w:t>
            </w:r>
          </w:p>
        </w:tc>
        <w:tc>
          <w:tcPr>
            <w:tcW w:w="1496" w:type="dxa"/>
          </w:tcPr>
          <w:p w:rsidR="0072430A" w:rsidRDefault="00864101" w:rsidP="00864101">
            <w:r>
              <w:t>Confirmed; o</w:t>
            </w:r>
            <w:r w:rsidR="009B1304">
              <w:t>n-going project</w:t>
            </w:r>
          </w:p>
        </w:tc>
      </w:tr>
      <w:tr w:rsidR="0072430A">
        <w:trPr>
          <w:cantSplit/>
        </w:trPr>
        <w:tc>
          <w:tcPr>
            <w:tcW w:w="1562" w:type="dxa"/>
          </w:tcPr>
          <w:p w:rsidR="0072430A" w:rsidRDefault="0072430A">
            <w:r w:rsidRPr="00B35801">
              <w:rPr>
                <w:sz w:val="20"/>
                <w:szCs w:val="20"/>
              </w:rPr>
              <w:t>Private Sector</w:t>
            </w:r>
          </w:p>
        </w:tc>
        <w:tc>
          <w:tcPr>
            <w:tcW w:w="1765" w:type="dxa"/>
          </w:tcPr>
          <w:p w:rsidR="0072430A" w:rsidRDefault="009B1304">
            <w:r>
              <w:t>Private</w:t>
            </w:r>
          </w:p>
        </w:tc>
        <w:tc>
          <w:tcPr>
            <w:tcW w:w="1669" w:type="dxa"/>
          </w:tcPr>
          <w:p w:rsidR="0072430A" w:rsidRDefault="0072430A" w:rsidP="00467E54">
            <w:r>
              <w:t>Cash</w:t>
            </w:r>
          </w:p>
        </w:tc>
        <w:tc>
          <w:tcPr>
            <w:tcW w:w="1896" w:type="dxa"/>
          </w:tcPr>
          <w:p w:rsidR="0072430A" w:rsidRDefault="002A0DD0" w:rsidP="003E682B">
            <w:pPr>
              <w:ind w:left="720"/>
              <w:jc w:val="right"/>
            </w:pPr>
            <w:r>
              <w:t>176,600</w:t>
            </w:r>
          </w:p>
        </w:tc>
        <w:tc>
          <w:tcPr>
            <w:tcW w:w="1496" w:type="dxa"/>
          </w:tcPr>
          <w:p w:rsidR="0072430A" w:rsidRDefault="00864101">
            <w:r>
              <w:t>Confirmed</w:t>
            </w:r>
          </w:p>
        </w:tc>
      </w:tr>
      <w:tr w:rsidR="0072430A">
        <w:trPr>
          <w:cantSplit/>
        </w:trPr>
        <w:tc>
          <w:tcPr>
            <w:tcW w:w="1562" w:type="dxa"/>
          </w:tcPr>
          <w:p w:rsidR="0072430A" w:rsidRDefault="0072430A">
            <w:r>
              <w:rPr>
                <w:sz w:val="20"/>
                <w:szCs w:val="20"/>
              </w:rPr>
              <w:t>Private Sector</w:t>
            </w:r>
          </w:p>
        </w:tc>
        <w:tc>
          <w:tcPr>
            <w:tcW w:w="1765" w:type="dxa"/>
          </w:tcPr>
          <w:p w:rsidR="0072430A" w:rsidRDefault="009B1304">
            <w:r>
              <w:t>Private</w:t>
            </w:r>
          </w:p>
        </w:tc>
        <w:tc>
          <w:tcPr>
            <w:tcW w:w="1669" w:type="dxa"/>
          </w:tcPr>
          <w:p w:rsidR="0072430A" w:rsidRDefault="0072430A" w:rsidP="00467E54">
            <w:r>
              <w:t>In-kind</w:t>
            </w:r>
          </w:p>
        </w:tc>
        <w:tc>
          <w:tcPr>
            <w:tcW w:w="1896" w:type="dxa"/>
          </w:tcPr>
          <w:p w:rsidR="0072430A" w:rsidRDefault="0072430A" w:rsidP="00223F5D">
            <w:pPr>
              <w:ind w:left="720"/>
              <w:jc w:val="right"/>
            </w:pPr>
            <w:r>
              <w:t>72,000</w:t>
            </w:r>
          </w:p>
        </w:tc>
        <w:tc>
          <w:tcPr>
            <w:tcW w:w="1496" w:type="dxa"/>
          </w:tcPr>
          <w:p w:rsidR="0072430A" w:rsidRDefault="00864101">
            <w:r>
              <w:t>Confirmed</w:t>
            </w:r>
          </w:p>
        </w:tc>
      </w:tr>
      <w:tr w:rsidR="00022CD3">
        <w:trPr>
          <w:cantSplit/>
        </w:trPr>
        <w:tc>
          <w:tcPr>
            <w:tcW w:w="4996" w:type="dxa"/>
            <w:gridSpan w:val="3"/>
          </w:tcPr>
          <w:p w:rsidR="00022CD3" w:rsidRDefault="00022CD3">
            <w:r>
              <w:t>Sub-Total Co-financing</w:t>
            </w:r>
          </w:p>
        </w:tc>
        <w:tc>
          <w:tcPr>
            <w:tcW w:w="1896" w:type="dxa"/>
          </w:tcPr>
          <w:p w:rsidR="00022CD3" w:rsidRDefault="003E682B" w:rsidP="00223F5D">
            <w:pPr>
              <w:jc w:val="right"/>
            </w:pPr>
            <w:r>
              <w:t>580,000</w:t>
            </w:r>
          </w:p>
        </w:tc>
        <w:tc>
          <w:tcPr>
            <w:tcW w:w="1496" w:type="dxa"/>
          </w:tcPr>
          <w:p w:rsidR="00022CD3" w:rsidRDefault="00022CD3">
            <w:pPr>
              <w:jc w:val="right"/>
            </w:pPr>
          </w:p>
        </w:tc>
      </w:tr>
    </w:tbl>
    <w:p w:rsidR="00022CD3" w:rsidRDefault="00022CD3">
      <w:pPr>
        <w:ind w:left="360"/>
      </w:pPr>
    </w:p>
    <w:p w:rsidR="008B645E" w:rsidRDefault="008B645E">
      <w:pPr>
        <w:ind w:left="360"/>
      </w:pPr>
    </w:p>
    <w:p w:rsidR="00022CD3" w:rsidRDefault="00A16C51">
      <w:pPr>
        <w:pStyle w:val="Heading3"/>
        <w:rPr>
          <w:smallCaps/>
        </w:rPr>
      </w:pPr>
      <w:r>
        <w:rPr>
          <w:smallCaps/>
        </w:rPr>
        <w:t xml:space="preserve">       E - </w:t>
      </w:r>
      <w:r w:rsidR="00022CD3">
        <w:rPr>
          <w:smallCaps/>
        </w:rPr>
        <w:t>Institutional Coordination and Support</w:t>
      </w:r>
    </w:p>
    <w:p w:rsidR="005B6956" w:rsidRDefault="005B6956" w:rsidP="005B6956">
      <w:pPr>
        <w:ind w:left="360"/>
        <w:rPr>
          <w:smallCaps/>
        </w:rPr>
      </w:pPr>
    </w:p>
    <w:p w:rsidR="00022CD3" w:rsidRDefault="00022CD3" w:rsidP="00EE1115">
      <w:pPr>
        <w:numPr>
          <w:ilvl w:val="0"/>
          <w:numId w:val="6"/>
        </w:numPr>
        <w:rPr>
          <w:smallCaps/>
        </w:rPr>
      </w:pPr>
      <w:r>
        <w:rPr>
          <w:smallCaps/>
        </w:rPr>
        <w:t>Core Commitments and Linkages</w:t>
      </w:r>
    </w:p>
    <w:p w:rsidR="005B6956" w:rsidRPr="00170837" w:rsidRDefault="00B90C83" w:rsidP="005B6956">
      <w:pPr>
        <w:spacing w:before="240"/>
        <w:ind w:left="360"/>
        <w:jc w:val="both"/>
      </w:pPr>
      <w:r w:rsidRPr="00443763">
        <w:rPr>
          <w:sz w:val="22"/>
          <w:szCs w:val="22"/>
        </w:rPr>
        <w:fldChar w:fldCharType="begin"/>
      </w:r>
      <w:r w:rsidR="00BD1D9E" w:rsidRPr="00443763">
        <w:rPr>
          <w:sz w:val="22"/>
          <w:szCs w:val="22"/>
        </w:rPr>
        <w:instrText xml:space="preserve"> AUTONUM  </w:instrText>
      </w:r>
      <w:r w:rsidRPr="00443763">
        <w:rPr>
          <w:sz w:val="22"/>
          <w:szCs w:val="22"/>
        </w:rPr>
        <w:fldChar w:fldCharType="end"/>
      </w:r>
      <w:r w:rsidR="00BD1D9E" w:rsidRPr="00443763">
        <w:rPr>
          <w:sz w:val="22"/>
          <w:szCs w:val="22"/>
        </w:rPr>
        <w:tab/>
      </w:r>
      <w:r w:rsidR="005B6956" w:rsidRPr="00170837">
        <w:rPr>
          <w:bCs/>
        </w:rPr>
        <w:t xml:space="preserve">The GEF project will complement a number of initiatives. Firstly, it will be a follow-up to the GEF Agricultural Pollution Control Project (APCP), which piloted installation of platforms for animal manure collection to improve manure handling practices and avoid run-offs in rivers. </w:t>
      </w:r>
      <w:r w:rsidR="005B6956" w:rsidRPr="00170837">
        <w:t xml:space="preserve">Secondly, investment co-financing for the installation of biodigesters will be provided by the on-going World Bank Second Rural Investment and Services Project (RISP II), which has a Credit Line to finance a wide range of business activities in rural areas. Thirdly, </w:t>
      </w:r>
      <w:r w:rsidR="00780712">
        <w:t>the GEF project results are expected to be scaled up through a carbon finance (</w:t>
      </w:r>
      <w:r w:rsidR="005B6956" w:rsidRPr="00170837">
        <w:t>Kyoto Protocol’s Clean Development Mechanism (CDM)</w:t>
      </w:r>
      <w:r w:rsidR="00780712">
        <w:t>), which would broaden access to the technology piloted under the GEF project and w</w:t>
      </w:r>
      <w:r w:rsidR="005B6956" w:rsidRPr="00170837">
        <w:t xml:space="preserve">ould provide carbon credits for certified reduced emissions from biogas production. </w:t>
      </w:r>
    </w:p>
    <w:p w:rsidR="005B6956" w:rsidRPr="00170837" w:rsidRDefault="00B90C83" w:rsidP="005B6956">
      <w:pPr>
        <w:spacing w:before="240"/>
        <w:ind w:left="360"/>
        <w:jc w:val="both"/>
      </w:pPr>
      <w:r w:rsidRPr="00443763">
        <w:rPr>
          <w:sz w:val="22"/>
          <w:szCs w:val="22"/>
        </w:rPr>
        <w:fldChar w:fldCharType="begin"/>
      </w:r>
      <w:r w:rsidR="00BD1D9E" w:rsidRPr="00443763">
        <w:rPr>
          <w:sz w:val="22"/>
          <w:szCs w:val="22"/>
        </w:rPr>
        <w:instrText xml:space="preserve"> AUTONUM  </w:instrText>
      </w:r>
      <w:r w:rsidRPr="00443763">
        <w:rPr>
          <w:sz w:val="22"/>
          <w:szCs w:val="22"/>
        </w:rPr>
        <w:fldChar w:fldCharType="end"/>
      </w:r>
      <w:r w:rsidR="00BD1D9E" w:rsidRPr="00443763">
        <w:rPr>
          <w:sz w:val="22"/>
          <w:szCs w:val="22"/>
        </w:rPr>
        <w:tab/>
      </w:r>
      <w:r w:rsidR="005B6956" w:rsidRPr="00170837">
        <w:t xml:space="preserve">Lessons from the GEF/World Bank Renewable Energy from Agricultural Waste Project (PMIS 2490) have been taken into account while </w:t>
      </w:r>
      <w:r w:rsidR="005B6956">
        <w:t xml:space="preserve">developing this new initiative, </w:t>
      </w:r>
      <w:r w:rsidR="0051449C">
        <w:t xml:space="preserve">in particular </w:t>
      </w:r>
      <w:r w:rsidR="005B6956" w:rsidRPr="00170837">
        <w:t xml:space="preserve">that new initiatives will benefit from private sector involvement. The Renewable Energy from Agricultural Waste Project piloted use of biomass boilers in public buildings (schools, kindergartens, rural medical offices). While the pilot fully achieved its objectives in terms of demonstrating the technology and its benefits, replication of the pilot’s successes was fully dependent upon </w:t>
      </w:r>
      <w:r w:rsidR="0051449C">
        <w:t xml:space="preserve">the </w:t>
      </w:r>
      <w:r w:rsidR="005B6956" w:rsidRPr="00170837">
        <w:t xml:space="preserve">raising </w:t>
      </w:r>
      <w:r w:rsidR="0051449C">
        <w:t xml:space="preserve">of </w:t>
      </w:r>
      <w:r w:rsidR="005B6956" w:rsidRPr="00170837">
        <w:t>donor grant funding.</w:t>
      </w:r>
      <w:r w:rsidR="005B6956" w:rsidRPr="00170837">
        <w:rPr>
          <w:rStyle w:val="FootnoteReference"/>
        </w:rPr>
        <w:footnoteReference w:id="6"/>
      </w:r>
      <w:r w:rsidR="005B6956" w:rsidRPr="00170837">
        <w:t xml:space="preserve"> In the meantime, the private sector has been adopting the biomass boiler technology and using the boilers for heating of residences and businesses. Thus, in order for the Biogas project to create a new market for biodigester technologies in Moldova, the decision was made to start with private commercial farms. </w:t>
      </w:r>
    </w:p>
    <w:p w:rsidR="005B6956" w:rsidRDefault="005B6956" w:rsidP="005B6956">
      <w:pPr>
        <w:ind w:left="360"/>
        <w:rPr>
          <w:smallCaps/>
        </w:rPr>
      </w:pPr>
    </w:p>
    <w:p w:rsidR="00022CD3" w:rsidRDefault="00022CD3" w:rsidP="00EE1115">
      <w:pPr>
        <w:numPr>
          <w:ilvl w:val="0"/>
          <w:numId w:val="6"/>
        </w:numPr>
        <w:rPr>
          <w:smallCaps/>
        </w:rPr>
      </w:pPr>
      <w:r>
        <w:rPr>
          <w:smallCaps/>
        </w:rPr>
        <w:t>Consultation, Coordination and Collaboration between and among Implementing Age</w:t>
      </w:r>
      <w:r w:rsidR="00FD1666">
        <w:rPr>
          <w:smallCaps/>
        </w:rPr>
        <w:t xml:space="preserve">ncies, Executing Agencies, and </w:t>
      </w:r>
      <w:r>
        <w:rPr>
          <w:smallCaps/>
        </w:rPr>
        <w:t>the GEF Secretariat, if appropriate.</w:t>
      </w:r>
    </w:p>
    <w:p w:rsidR="00FD1666" w:rsidRDefault="00FD1666" w:rsidP="00FD1666">
      <w:pPr>
        <w:ind w:left="360"/>
        <w:rPr>
          <w:smallCaps/>
        </w:rPr>
      </w:pPr>
    </w:p>
    <w:p w:rsidR="00FD1666" w:rsidRDefault="00B90C83" w:rsidP="00844689">
      <w:pPr>
        <w:ind w:left="360"/>
        <w:jc w:val="both"/>
      </w:pPr>
      <w:r w:rsidRPr="00443763">
        <w:rPr>
          <w:sz w:val="22"/>
          <w:szCs w:val="22"/>
        </w:rPr>
        <w:fldChar w:fldCharType="begin"/>
      </w:r>
      <w:r w:rsidR="00BD1D9E" w:rsidRPr="00443763">
        <w:rPr>
          <w:sz w:val="22"/>
          <w:szCs w:val="22"/>
        </w:rPr>
        <w:instrText xml:space="preserve"> AUTONUM  </w:instrText>
      </w:r>
      <w:r w:rsidRPr="00443763">
        <w:rPr>
          <w:sz w:val="22"/>
          <w:szCs w:val="22"/>
        </w:rPr>
        <w:fldChar w:fldCharType="end"/>
      </w:r>
      <w:r w:rsidR="00BD1D9E" w:rsidRPr="00443763">
        <w:rPr>
          <w:sz w:val="22"/>
          <w:szCs w:val="22"/>
        </w:rPr>
        <w:tab/>
      </w:r>
      <w:r w:rsidR="00320FDB" w:rsidRPr="00320FDB">
        <w:t>The project’s Executing Agency will be Ministry of Environment of the Republic of Moldova.</w:t>
      </w:r>
      <w:r w:rsidR="00320FDB">
        <w:t xml:space="preserve"> Given the </w:t>
      </w:r>
      <w:r w:rsidR="00844689">
        <w:t xml:space="preserve">interest </w:t>
      </w:r>
      <w:r w:rsidR="00320FDB">
        <w:t xml:space="preserve">of </w:t>
      </w:r>
      <w:r w:rsidR="00844689">
        <w:t xml:space="preserve">the Ministry of Agriculture (MOA) </w:t>
      </w:r>
      <w:r w:rsidR="00320FDB">
        <w:t xml:space="preserve">in the project </w:t>
      </w:r>
      <w:r w:rsidR="00844689">
        <w:t>outcomes</w:t>
      </w:r>
      <w:r w:rsidR="00320FDB">
        <w:t xml:space="preserve">, </w:t>
      </w:r>
      <w:r w:rsidR="00844689">
        <w:t xml:space="preserve">regular briefings on the project progress and results will be provided to the MOA. Two units reporting to the Ministry of Environment will be implementing the project: the technical implementation, financial management, and monitoring and evaluation will be handled by the Carbon Finance Unit. Environmental aspects of the project and procurement will be handled by the PIU of the GEF’s Persistent Organic Pollutants Project unit, given their good track record in handling these matters. The two Units will be collaborating on the project implementation on regular basis. </w:t>
      </w:r>
    </w:p>
    <w:p w:rsidR="00844689" w:rsidRDefault="00844689" w:rsidP="00844689">
      <w:pPr>
        <w:ind w:left="360"/>
        <w:jc w:val="both"/>
        <w:rPr>
          <w:smallCaps/>
        </w:rPr>
      </w:pPr>
    </w:p>
    <w:p w:rsidR="00FD1666" w:rsidRDefault="000B4135" w:rsidP="00EE1115">
      <w:pPr>
        <w:numPr>
          <w:ilvl w:val="0"/>
          <w:numId w:val="6"/>
        </w:numPr>
        <w:rPr>
          <w:smallCaps/>
        </w:rPr>
      </w:pPr>
      <w:r>
        <w:rPr>
          <w:smallCaps/>
        </w:rPr>
        <w:t xml:space="preserve">Implementation </w:t>
      </w:r>
      <w:r w:rsidR="00FD1666">
        <w:rPr>
          <w:smallCaps/>
        </w:rPr>
        <w:t>Arrangements</w:t>
      </w:r>
    </w:p>
    <w:p w:rsidR="000F4548" w:rsidRDefault="000F4548" w:rsidP="000F4548">
      <w:pPr>
        <w:ind w:left="360"/>
        <w:rPr>
          <w:smallCaps/>
        </w:rPr>
      </w:pPr>
    </w:p>
    <w:p w:rsidR="00147B9A" w:rsidRPr="008A27D7" w:rsidRDefault="00B90C83" w:rsidP="00F5635A">
      <w:pPr>
        <w:ind w:left="360"/>
        <w:jc w:val="both"/>
      </w:pPr>
      <w:r w:rsidRPr="00443763">
        <w:rPr>
          <w:sz w:val="22"/>
          <w:szCs w:val="22"/>
        </w:rPr>
        <w:fldChar w:fldCharType="begin"/>
      </w:r>
      <w:r w:rsidR="00BD1D9E" w:rsidRPr="00443763">
        <w:rPr>
          <w:sz w:val="22"/>
          <w:szCs w:val="22"/>
        </w:rPr>
        <w:instrText xml:space="preserve"> AUTONUM  </w:instrText>
      </w:r>
      <w:r w:rsidRPr="00443763">
        <w:rPr>
          <w:sz w:val="22"/>
          <w:szCs w:val="22"/>
        </w:rPr>
        <w:fldChar w:fldCharType="end"/>
      </w:r>
      <w:r w:rsidR="00BD1D9E" w:rsidRPr="00443763">
        <w:rPr>
          <w:sz w:val="22"/>
          <w:szCs w:val="22"/>
        </w:rPr>
        <w:tab/>
      </w:r>
      <w:r w:rsidR="00147B9A" w:rsidRPr="004B102B">
        <w:rPr>
          <w:i/>
        </w:rPr>
        <w:t>Project Coordination</w:t>
      </w:r>
      <w:r w:rsidR="00147B9A" w:rsidRPr="004B102B">
        <w:t xml:space="preserve">: Project implementation would be overseen by </w:t>
      </w:r>
      <w:r w:rsidR="004B102B" w:rsidRPr="004B102B">
        <w:t xml:space="preserve">the Minster of Environment to whom the Project Administrator (the Carbon Finance Unit) reports directly. </w:t>
      </w:r>
      <w:r w:rsidR="004B102B">
        <w:t xml:space="preserve">The CFU would also coordinate the project implementation with the Ministry of Agriculture, which is supportive of the project, the </w:t>
      </w:r>
      <w:r w:rsidR="00147B9A" w:rsidRPr="004B102B">
        <w:t>National Agency for Energy Regulation</w:t>
      </w:r>
      <w:r w:rsidR="004B102B">
        <w:t xml:space="preserve"> (ANRE</w:t>
      </w:r>
      <w:r w:rsidR="00833B2A" w:rsidRPr="004B102B">
        <w:t>)</w:t>
      </w:r>
      <w:r w:rsidR="004B102B">
        <w:t xml:space="preserve"> and other interested agencies. </w:t>
      </w:r>
    </w:p>
    <w:p w:rsidR="00147B9A" w:rsidRPr="008A27D7" w:rsidRDefault="00147B9A" w:rsidP="00F5635A">
      <w:pPr>
        <w:ind w:left="360"/>
        <w:jc w:val="both"/>
      </w:pPr>
    </w:p>
    <w:p w:rsidR="00D41214" w:rsidRDefault="00B90C83" w:rsidP="00F5635A">
      <w:pPr>
        <w:ind w:left="360"/>
        <w:jc w:val="both"/>
      </w:pPr>
      <w:r w:rsidRPr="00443763">
        <w:rPr>
          <w:sz w:val="22"/>
          <w:szCs w:val="22"/>
        </w:rPr>
        <w:fldChar w:fldCharType="begin"/>
      </w:r>
      <w:r w:rsidR="00BD1D9E" w:rsidRPr="00443763">
        <w:rPr>
          <w:sz w:val="22"/>
          <w:szCs w:val="22"/>
        </w:rPr>
        <w:instrText xml:space="preserve"> AUTONUM  </w:instrText>
      </w:r>
      <w:r w:rsidRPr="00443763">
        <w:rPr>
          <w:sz w:val="22"/>
          <w:szCs w:val="22"/>
        </w:rPr>
        <w:fldChar w:fldCharType="end"/>
      </w:r>
      <w:r w:rsidR="00BD1D9E" w:rsidRPr="00443763">
        <w:rPr>
          <w:sz w:val="22"/>
          <w:szCs w:val="22"/>
        </w:rPr>
        <w:tab/>
      </w:r>
      <w:r w:rsidR="00147B9A" w:rsidRPr="008A27D7">
        <w:rPr>
          <w:i/>
        </w:rPr>
        <w:t>Project Administration</w:t>
      </w:r>
      <w:r w:rsidR="00147B9A" w:rsidRPr="008A27D7">
        <w:t xml:space="preserve">: </w:t>
      </w:r>
      <w:r w:rsidR="00A7301B">
        <w:t xml:space="preserve">The technical implementation of the project will be carried out by the Carbon Finance Unit (CFU) under the Ministry of Environment. The CFU will be responsible for </w:t>
      </w:r>
      <w:r w:rsidR="00AF4E3F" w:rsidRPr="008A27D7">
        <w:t>day-to-day implementation of the project</w:t>
      </w:r>
      <w:r w:rsidR="008C18D3">
        <w:t xml:space="preserve"> </w:t>
      </w:r>
      <w:r w:rsidR="003E0511">
        <w:t xml:space="preserve">and monitoring and evaluation </w:t>
      </w:r>
      <w:r w:rsidR="00A7301B">
        <w:t xml:space="preserve">activities. The CFU staff working on this project will consist of the </w:t>
      </w:r>
      <w:r w:rsidR="00D41214">
        <w:t xml:space="preserve">CFU </w:t>
      </w:r>
      <w:r w:rsidR="00A7301B">
        <w:t xml:space="preserve">Manager </w:t>
      </w:r>
      <w:r w:rsidR="008C18D3">
        <w:t xml:space="preserve">who has </w:t>
      </w:r>
      <w:r w:rsidR="00D41214">
        <w:t xml:space="preserve">had </w:t>
      </w:r>
      <w:r w:rsidR="008C18D3">
        <w:t xml:space="preserve">some </w:t>
      </w:r>
      <w:r w:rsidR="00D41214">
        <w:t>exposure to</w:t>
      </w:r>
      <w:r w:rsidR="008C18D3">
        <w:t xml:space="preserve"> biodigester technologies, </w:t>
      </w:r>
      <w:r w:rsidR="00D41214">
        <w:t xml:space="preserve">thus he will be the Project Manager with an </w:t>
      </w:r>
      <w:r w:rsidR="00A7301B">
        <w:t xml:space="preserve">overall responsibility for the project administration and </w:t>
      </w:r>
      <w:r w:rsidR="003E0511">
        <w:t>a</w:t>
      </w:r>
      <w:r w:rsidR="003537F0">
        <w:t xml:space="preserve"> technical specialist</w:t>
      </w:r>
      <w:r w:rsidR="003E0511">
        <w:t xml:space="preserve"> reporting to the CFU Manager. </w:t>
      </w:r>
      <w:r w:rsidR="00766CF9" w:rsidRPr="008A27D7">
        <w:t xml:space="preserve">The Project Manager </w:t>
      </w:r>
      <w:r w:rsidR="003E0511">
        <w:t xml:space="preserve">will provide regular reports to the Minister of Environment and to </w:t>
      </w:r>
      <w:r w:rsidR="003537F0">
        <w:t>the World Bank.</w:t>
      </w:r>
      <w:r w:rsidR="003E0511">
        <w:t xml:space="preserve"> </w:t>
      </w:r>
      <w:r w:rsidR="00D41214">
        <w:t>A part-time environmental specialist will be contracted to ensure compliance with the environmental requirements for the project. The</w:t>
      </w:r>
      <w:r w:rsidR="00D41214" w:rsidRPr="00376EA9">
        <w:t xml:space="preserve"> </w:t>
      </w:r>
      <w:r w:rsidR="00D41214">
        <w:t>CFU would also be responsible for the Monitoring and Evaluation arrangements.</w:t>
      </w:r>
    </w:p>
    <w:p w:rsidR="00766CF9" w:rsidRDefault="003A47B8" w:rsidP="00F5635A">
      <w:pPr>
        <w:ind w:left="360"/>
        <w:jc w:val="both"/>
      </w:pPr>
      <w:r>
        <w:br/>
      </w:r>
      <w:r w:rsidR="00B90C83" w:rsidRPr="00443763">
        <w:rPr>
          <w:sz w:val="22"/>
          <w:szCs w:val="22"/>
        </w:rPr>
        <w:fldChar w:fldCharType="begin"/>
      </w:r>
      <w:r w:rsidR="00BD1D9E" w:rsidRPr="00443763">
        <w:rPr>
          <w:sz w:val="22"/>
          <w:szCs w:val="22"/>
        </w:rPr>
        <w:instrText xml:space="preserve"> AUTONUM  </w:instrText>
      </w:r>
      <w:r w:rsidR="00B90C83" w:rsidRPr="00443763">
        <w:rPr>
          <w:sz w:val="22"/>
          <w:szCs w:val="22"/>
        </w:rPr>
        <w:fldChar w:fldCharType="end"/>
      </w:r>
      <w:r w:rsidR="00BD1D9E" w:rsidRPr="00443763">
        <w:rPr>
          <w:sz w:val="22"/>
          <w:szCs w:val="22"/>
        </w:rPr>
        <w:tab/>
      </w:r>
      <w:r>
        <w:t>The CFU was set up in 2005 as an agency with its own Charter, seal and accounts under the auspices of the Ministry of Environment under a PHRD grant, which the Unit fully implemented during 2005 - 2009. The Unit’s main mandate is development and implementation of CDM projects. The CFU has been selected as the implementing agency d</w:t>
      </w:r>
      <w:r w:rsidR="004F0C5C">
        <w:t xml:space="preserve">ue to the complementarity of the Unit’s activities with the GEF project’s objectives. The CFU has been involved in reviewing the suitability of the biodigester technologies for the past year, and being the implementing agency for this project will allow them to strengthen their knowledge base and become the focal point for promoting environmentally friendly technologies in Moldova. As </w:t>
      </w:r>
      <w:r w:rsidR="003537F0">
        <w:t xml:space="preserve">a scale-up to this GEF grant, a carbon finance project is planned. </w:t>
      </w:r>
    </w:p>
    <w:p w:rsidR="003537F0" w:rsidRPr="008A27D7" w:rsidRDefault="003537F0" w:rsidP="00F5635A">
      <w:pPr>
        <w:ind w:left="360"/>
        <w:jc w:val="both"/>
      </w:pPr>
    </w:p>
    <w:p w:rsidR="00D41214" w:rsidRDefault="00B90C83" w:rsidP="00B76593">
      <w:pPr>
        <w:ind w:left="360"/>
        <w:jc w:val="both"/>
      </w:pPr>
      <w:r w:rsidRPr="00443763">
        <w:rPr>
          <w:sz w:val="22"/>
          <w:szCs w:val="22"/>
        </w:rPr>
        <w:fldChar w:fldCharType="begin"/>
      </w:r>
      <w:r w:rsidR="00BD1D9E" w:rsidRPr="00443763">
        <w:rPr>
          <w:sz w:val="22"/>
          <w:szCs w:val="22"/>
        </w:rPr>
        <w:instrText xml:space="preserve"> AUTONUM  </w:instrText>
      </w:r>
      <w:r w:rsidRPr="00443763">
        <w:rPr>
          <w:sz w:val="22"/>
          <w:szCs w:val="22"/>
        </w:rPr>
        <w:fldChar w:fldCharType="end"/>
      </w:r>
      <w:r w:rsidR="00BD1D9E" w:rsidRPr="00443763">
        <w:rPr>
          <w:sz w:val="22"/>
          <w:szCs w:val="22"/>
        </w:rPr>
        <w:tab/>
      </w:r>
      <w:r w:rsidR="004F0C5C">
        <w:t>In order to successfully implement the project, the CFU</w:t>
      </w:r>
      <w:r w:rsidR="00692A2A">
        <w:t xml:space="preserve"> would contract as necessary competent Moldovan institutions (both publi</w:t>
      </w:r>
      <w:r w:rsidR="00AA5703">
        <w:t xml:space="preserve">c and private) to participate in formulating designs, capacity building/training </w:t>
      </w:r>
      <w:r w:rsidR="004F0C5C">
        <w:t>and awareness activities.</w:t>
      </w:r>
      <w:r w:rsidR="00692A2A">
        <w:t xml:space="preserve"> </w:t>
      </w:r>
      <w:r w:rsidR="0066621E">
        <w:t xml:space="preserve">The </w:t>
      </w:r>
      <w:r w:rsidR="004F0C5C">
        <w:t xml:space="preserve">CFU </w:t>
      </w:r>
      <w:r w:rsidR="0066621E">
        <w:t>will identify</w:t>
      </w:r>
      <w:r w:rsidR="008C5530">
        <w:t xml:space="preserve"> </w:t>
      </w:r>
      <w:r w:rsidR="00AA5703">
        <w:t xml:space="preserve">and contract </w:t>
      </w:r>
      <w:r w:rsidR="003A18AF">
        <w:t xml:space="preserve">consultants to provide </w:t>
      </w:r>
      <w:r w:rsidR="00692A2A">
        <w:t xml:space="preserve">technical assistance </w:t>
      </w:r>
      <w:r w:rsidR="00AA5703">
        <w:t xml:space="preserve">(both </w:t>
      </w:r>
      <w:r w:rsidR="0066621E">
        <w:t xml:space="preserve">local and international) </w:t>
      </w:r>
      <w:r w:rsidR="008C5530">
        <w:t xml:space="preserve">to work with the Regulator on pricing and enabling legislation for renewable energy, to </w:t>
      </w:r>
      <w:r w:rsidR="00AA5703">
        <w:t xml:space="preserve">design </w:t>
      </w:r>
      <w:r w:rsidR="008C5530">
        <w:t>biodigesters</w:t>
      </w:r>
      <w:r w:rsidR="00692A2A">
        <w:t xml:space="preserve"> </w:t>
      </w:r>
      <w:r w:rsidR="00AA5703">
        <w:t xml:space="preserve">relevant to Moldovan cattle farms, </w:t>
      </w:r>
      <w:r w:rsidR="008C5530">
        <w:t>and build local capacity to manufacture</w:t>
      </w:r>
      <w:r w:rsidR="00692A2A">
        <w:t xml:space="preserve"> </w:t>
      </w:r>
      <w:r w:rsidR="008C5530">
        <w:t xml:space="preserve">and service biodigesters. </w:t>
      </w:r>
      <w:r w:rsidR="00692A2A">
        <w:t xml:space="preserve"> </w:t>
      </w:r>
    </w:p>
    <w:p w:rsidR="00D41214" w:rsidRDefault="00D41214" w:rsidP="00B76593">
      <w:pPr>
        <w:ind w:left="360"/>
        <w:jc w:val="both"/>
      </w:pPr>
    </w:p>
    <w:p w:rsidR="00A656BD" w:rsidRDefault="00B90C83" w:rsidP="00B76593">
      <w:pPr>
        <w:ind w:left="360"/>
        <w:jc w:val="both"/>
      </w:pPr>
      <w:r w:rsidRPr="00D41214">
        <w:fldChar w:fldCharType="begin"/>
      </w:r>
      <w:r w:rsidR="00D41214" w:rsidRPr="00D41214">
        <w:instrText xml:space="preserve"> AUTONUM  </w:instrText>
      </w:r>
      <w:r w:rsidRPr="00D41214">
        <w:fldChar w:fldCharType="end"/>
      </w:r>
      <w:r w:rsidR="00D41214" w:rsidRPr="00D41214">
        <w:tab/>
      </w:r>
      <w:r w:rsidR="00D41214" w:rsidRPr="00D41214">
        <w:rPr>
          <w:i/>
        </w:rPr>
        <w:t>Fiduciary Functions</w:t>
      </w:r>
      <w:r w:rsidR="00D41214">
        <w:t xml:space="preserve">. Procurement and Financial Management under the project will be implemented by the respective staff of the Water Supply and Sanitation Project Implementation Unit (WSSPIU) under the Ministry of Environment. The </w:t>
      </w:r>
      <w:r w:rsidR="005B49DD">
        <w:t xml:space="preserve">WSSPIU has implemented several World Bank-financed projects and have the necessary experience to carry out their tasks. World Bank Procurement and Financial Management Specialists carried out the assessment of the WSSPIU capacity and it was deemed acceptable for both functions. Annex 6 provides more information on the Procurement and Financial management under the project. </w:t>
      </w:r>
    </w:p>
    <w:p w:rsidR="009049E9" w:rsidRDefault="009049E9" w:rsidP="00F5635A">
      <w:pPr>
        <w:ind w:left="360"/>
        <w:jc w:val="both"/>
      </w:pPr>
    </w:p>
    <w:p w:rsidR="009049E9" w:rsidRDefault="00B90C83" w:rsidP="00F5635A">
      <w:pPr>
        <w:ind w:left="360"/>
        <w:jc w:val="both"/>
      </w:pPr>
      <w:r w:rsidRPr="00443763">
        <w:rPr>
          <w:sz w:val="22"/>
          <w:szCs w:val="22"/>
        </w:rPr>
        <w:fldChar w:fldCharType="begin"/>
      </w:r>
      <w:r w:rsidR="00BD1D9E" w:rsidRPr="00443763">
        <w:rPr>
          <w:sz w:val="22"/>
          <w:szCs w:val="22"/>
        </w:rPr>
        <w:instrText xml:space="preserve"> AUTONUM  </w:instrText>
      </w:r>
      <w:r w:rsidRPr="00443763">
        <w:rPr>
          <w:sz w:val="22"/>
          <w:szCs w:val="22"/>
        </w:rPr>
        <w:fldChar w:fldCharType="end"/>
      </w:r>
      <w:r w:rsidR="00BD1D9E" w:rsidRPr="00443763">
        <w:rPr>
          <w:sz w:val="22"/>
          <w:szCs w:val="22"/>
        </w:rPr>
        <w:tab/>
      </w:r>
      <w:r w:rsidR="009049E9">
        <w:t>A</w:t>
      </w:r>
      <w:r w:rsidR="004F0C5C">
        <w:t xml:space="preserve"> project implementation plan is attached as </w:t>
      </w:r>
      <w:r w:rsidR="009049E9">
        <w:t>Annex 4.</w:t>
      </w:r>
    </w:p>
    <w:p w:rsidR="000B4135" w:rsidRDefault="000B4135" w:rsidP="000B4135">
      <w:pPr>
        <w:jc w:val="both"/>
      </w:pPr>
    </w:p>
    <w:p w:rsidR="00F335B2" w:rsidRDefault="00F335B2" w:rsidP="000F4548">
      <w:pPr>
        <w:ind w:left="360"/>
      </w:pPr>
    </w:p>
    <w:p w:rsidR="00BD1D9E" w:rsidRDefault="00BD1D9E" w:rsidP="000F4548">
      <w:pPr>
        <w:ind w:left="360"/>
      </w:pPr>
    </w:p>
    <w:p w:rsidR="00BD1D9E" w:rsidRDefault="00BD1D9E" w:rsidP="000F4548">
      <w:pPr>
        <w:ind w:left="360"/>
      </w:pPr>
    </w:p>
    <w:p w:rsidR="00BD1D9E" w:rsidRDefault="00BD1D9E" w:rsidP="000F4548">
      <w:pPr>
        <w:ind w:left="360"/>
      </w:pPr>
    </w:p>
    <w:p w:rsidR="00BD1D9E" w:rsidRDefault="00BD1D9E" w:rsidP="000F4548">
      <w:pPr>
        <w:ind w:left="360"/>
      </w:pPr>
    </w:p>
    <w:p w:rsidR="00BD1D9E" w:rsidRDefault="00BD1D9E" w:rsidP="000F4548">
      <w:pPr>
        <w:ind w:left="360"/>
      </w:pPr>
    </w:p>
    <w:p w:rsidR="00BD1D9E" w:rsidRDefault="00BD1D9E" w:rsidP="000F4548">
      <w:pPr>
        <w:ind w:left="360"/>
      </w:pPr>
    </w:p>
    <w:p w:rsidR="00BD1D9E" w:rsidRDefault="00BD1D9E" w:rsidP="000F4548">
      <w:pPr>
        <w:ind w:left="360"/>
      </w:pPr>
    </w:p>
    <w:p w:rsidR="00BD1D9E" w:rsidRDefault="00BD1D9E" w:rsidP="000F4548">
      <w:pPr>
        <w:ind w:left="360"/>
      </w:pPr>
    </w:p>
    <w:p w:rsidR="00022CD3" w:rsidRDefault="00022CD3">
      <w:pPr>
        <w:pStyle w:val="Heading4"/>
        <w:rPr>
          <w:bCs/>
          <w:caps/>
          <w:smallCaps w:val="0"/>
          <w:color w:val="999999"/>
        </w:rPr>
      </w:pPr>
      <w:r>
        <w:rPr>
          <w:bCs/>
          <w:caps/>
          <w:smallCaps w:val="0"/>
          <w:color w:val="999999"/>
        </w:rPr>
        <w:t>PART II – Supplement</w:t>
      </w:r>
      <w:r w:rsidR="00904E16">
        <w:rPr>
          <w:bCs/>
          <w:caps/>
          <w:smallCaps w:val="0"/>
          <w:color w:val="999999"/>
        </w:rPr>
        <w:t>al annexes</w:t>
      </w:r>
    </w:p>
    <w:p w:rsidR="005121A0" w:rsidRDefault="005121A0" w:rsidP="00904E16">
      <w:pPr>
        <w:ind w:left="360"/>
        <w:jc w:val="center"/>
      </w:pPr>
    </w:p>
    <w:p w:rsidR="00904E16" w:rsidRPr="00545F97" w:rsidRDefault="005121A0" w:rsidP="00904E16">
      <w:pPr>
        <w:ind w:left="360"/>
        <w:jc w:val="center"/>
        <w:rPr>
          <w:b/>
        </w:rPr>
      </w:pPr>
      <w:r w:rsidRPr="00545F97">
        <w:rPr>
          <w:b/>
        </w:rPr>
        <w:t xml:space="preserve">BIOGAS GENERATION </w:t>
      </w:r>
      <w:r w:rsidR="00716AB0" w:rsidRPr="00545F97">
        <w:rPr>
          <w:b/>
        </w:rPr>
        <w:t xml:space="preserve">from ANIMAL MANURE </w:t>
      </w:r>
      <w:r w:rsidRPr="00545F97">
        <w:rPr>
          <w:b/>
        </w:rPr>
        <w:t>PILOT PROJECT</w:t>
      </w:r>
    </w:p>
    <w:p w:rsidR="005121A0" w:rsidRDefault="005121A0" w:rsidP="005121A0">
      <w:pPr>
        <w:ind w:left="360"/>
      </w:pPr>
    </w:p>
    <w:p w:rsidR="005121A0" w:rsidRDefault="005121A0" w:rsidP="005121A0">
      <w:pPr>
        <w:ind w:left="360"/>
      </w:pPr>
      <w:r>
        <w:t>Annex 1 – Results Framework and Mo</w:t>
      </w:r>
      <w:r w:rsidR="004D125A">
        <w:t>n</w:t>
      </w:r>
      <w:r>
        <w:t>itoring</w:t>
      </w:r>
    </w:p>
    <w:p w:rsidR="005121A0" w:rsidRDefault="005121A0" w:rsidP="005121A0">
      <w:pPr>
        <w:ind w:left="360"/>
      </w:pPr>
    </w:p>
    <w:p w:rsidR="005121A0" w:rsidRDefault="005121A0" w:rsidP="005121A0">
      <w:pPr>
        <w:ind w:left="360"/>
      </w:pPr>
      <w:r>
        <w:t>Annex 2 – Detailed Project Description</w:t>
      </w:r>
    </w:p>
    <w:p w:rsidR="005121A0" w:rsidRDefault="005121A0" w:rsidP="005121A0">
      <w:pPr>
        <w:ind w:left="360"/>
      </w:pPr>
    </w:p>
    <w:p w:rsidR="005121A0" w:rsidRDefault="005121A0" w:rsidP="005121A0">
      <w:pPr>
        <w:ind w:left="360"/>
      </w:pPr>
      <w:r>
        <w:t>Annex 3 – Project Costs</w:t>
      </w:r>
    </w:p>
    <w:p w:rsidR="005121A0" w:rsidRDefault="005121A0" w:rsidP="005121A0">
      <w:pPr>
        <w:ind w:left="360"/>
      </w:pPr>
    </w:p>
    <w:p w:rsidR="005121A0" w:rsidRDefault="005121A0" w:rsidP="005121A0">
      <w:pPr>
        <w:ind w:left="360"/>
      </w:pPr>
      <w:r>
        <w:t>Annex</w:t>
      </w:r>
      <w:r w:rsidR="00534204">
        <w:t xml:space="preserve"> 4 – </w:t>
      </w:r>
      <w:r w:rsidR="00545F97">
        <w:t xml:space="preserve">Project </w:t>
      </w:r>
      <w:r w:rsidR="00534204">
        <w:t>Implementation Plan</w:t>
      </w:r>
    </w:p>
    <w:p w:rsidR="005121A0" w:rsidRDefault="005121A0" w:rsidP="005121A0">
      <w:pPr>
        <w:ind w:left="360"/>
      </w:pPr>
    </w:p>
    <w:p w:rsidR="006A7D83" w:rsidRDefault="005121A0" w:rsidP="005121A0">
      <w:pPr>
        <w:ind w:left="360"/>
      </w:pPr>
      <w:r>
        <w:t>Ann</w:t>
      </w:r>
      <w:r w:rsidR="006735D4">
        <w:t xml:space="preserve">ex 5 – </w:t>
      </w:r>
      <w:r w:rsidR="006A7D83">
        <w:t>Technology Options</w:t>
      </w:r>
    </w:p>
    <w:p w:rsidR="006A7D83" w:rsidRDefault="006A7D83" w:rsidP="005121A0">
      <w:pPr>
        <w:ind w:left="360"/>
      </w:pPr>
    </w:p>
    <w:p w:rsidR="005121A0" w:rsidRDefault="006A7D83" w:rsidP="005121A0">
      <w:pPr>
        <w:ind w:left="360"/>
      </w:pPr>
      <w:r>
        <w:t xml:space="preserve">Annex 6 - </w:t>
      </w:r>
      <w:r w:rsidR="006735D4">
        <w:t xml:space="preserve">Financial Management and Procurement </w:t>
      </w:r>
      <w:r w:rsidR="00534204">
        <w:t>Arr</w:t>
      </w:r>
      <w:r w:rsidR="004D125A">
        <w:t>angements</w:t>
      </w:r>
    </w:p>
    <w:p w:rsidR="005121A0" w:rsidRDefault="005121A0" w:rsidP="005121A0">
      <w:pPr>
        <w:ind w:left="360"/>
      </w:pPr>
    </w:p>
    <w:p w:rsidR="005121A0" w:rsidRDefault="006A7D83" w:rsidP="005121A0">
      <w:pPr>
        <w:ind w:left="360"/>
      </w:pPr>
      <w:r>
        <w:t>Annex 7</w:t>
      </w:r>
      <w:r w:rsidR="005121A0">
        <w:t xml:space="preserve"> – </w:t>
      </w:r>
      <w:r w:rsidR="006735D4">
        <w:t>Environmental Safeguards Assessment of the Project Activities</w:t>
      </w:r>
    </w:p>
    <w:p w:rsidR="006329F2" w:rsidRDefault="006329F2" w:rsidP="005121A0">
      <w:pPr>
        <w:ind w:left="360"/>
      </w:pPr>
    </w:p>
    <w:p w:rsidR="005121A0" w:rsidRDefault="006735D4" w:rsidP="005121A0">
      <w:pPr>
        <w:ind w:left="360"/>
      </w:pPr>
      <w:r>
        <w:t xml:space="preserve">Annex </w:t>
      </w:r>
      <w:r w:rsidR="006A7D83">
        <w:t>8</w:t>
      </w:r>
      <w:r w:rsidR="005121A0">
        <w:t xml:space="preserve"> –</w:t>
      </w:r>
      <w:r w:rsidR="00A625AA">
        <w:t xml:space="preserve"> </w:t>
      </w:r>
      <w:r w:rsidR="006C7F6D">
        <w:t>Response to Comments</w:t>
      </w:r>
      <w:r w:rsidR="00A625AA">
        <w:t xml:space="preserve"> from GEF Secretariat</w:t>
      </w:r>
      <w:r w:rsidR="005121A0">
        <w:br w:type="page"/>
      </w:r>
    </w:p>
    <w:p w:rsidR="00D61CBE" w:rsidRPr="00FD15F9" w:rsidRDefault="0099569D" w:rsidP="0099569D">
      <w:pPr>
        <w:ind w:left="360"/>
        <w:jc w:val="right"/>
        <w:rPr>
          <w:b/>
          <w:sz w:val="22"/>
          <w:szCs w:val="22"/>
        </w:rPr>
      </w:pPr>
      <w:r w:rsidRPr="00FD15F9">
        <w:rPr>
          <w:b/>
          <w:sz w:val="22"/>
          <w:szCs w:val="22"/>
        </w:rPr>
        <w:t>Annex 1</w:t>
      </w:r>
    </w:p>
    <w:p w:rsidR="00173902" w:rsidRPr="00FD15F9" w:rsidRDefault="00173902" w:rsidP="00904E16">
      <w:pPr>
        <w:ind w:left="360"/>
        <w:jc w:val="center"/>
        <w:rPr>
          <w:b/>
          <w:smallCaps/>
        </w:rPr>
      </w:pPr>
      <w:r w:rsidRPr="00FD15F9">
        <w:rPr>
          <w:b/>
          <w:smallCaps/>
        </w:rPr>
        <w:t xml:space="preserve">biogas generation </w:t>
      </w:r>
      <w:r w:rsidR="00716AB0" w:rsidRPr="00FD15F9">
        <w:rPr>
          <w:b/>
          <w:smallCaps/>
        </w:rPr>
        <w:t xml:space="preserve">from animal manure </w:t>
      </w:r>
      <w:r w:rsidRPr="00FD15F9">
        <w:rPr>
          <w:b/>
          <w:smallCaps/>
        </w:rPr>
        <w:t>pilot project</w:t>
      </w:r>
    </w:p>
    <w:p w:rsidR="00904E16" w:rsidRPr="00FD15F9" w:rsidRDefault="002C3BFA" w:rsidP="00904E16">
      <w:pPr>
        <w:ind w:left="360"/>
        <w:jc w:val="center"/>
        <w:rPr>
          <w:b/>
          <w:smallCaps/>
        </w:rPr>
      </w:pPr>
      <w:r w:rsidRPr="00FD15F9">
        <w:rPr>
          <w:b/>
          <w:smallCaps/>
        </w:rPr>
        <w:t>Annex 1</w:t>
      </w:r>
      <w:r w:rsidR="00D61CBE" w:rsidRPr="00FD15F9">
        <w:rPr>
          <w:b/>
          <w:smallCaps/>
        </w:rPr>
        <w:t>: results framework and monitoring</w:t>
      </w:r>
    </w:p>
    <w:p w:rsidR="00B315B1" w:rsidRDefault="00B315B1" w:rsidP="00904E16">
      <w:pPr>
        <w:ind w:left="360"/>
        <w:jc w:val="center"/>
        <w:rPr>
          <w:smallCaps/>
        </w:rPr>
      </w:pPr>
    </w:p>
    <w:p w:rsidR="00B315B1" w:rsidRPr="00FD15F9" w:rsidRDefault="00B315B1" w:rsidP="00904E16">
      <w:pPr>
        <w:ind w:left="360"/>
        <w:jc w:val="center"/>
        <w:rPr>
          <w:b/>
        </w:rPr>
      </w:pPr>
      <w:r w:rsidRPr="00FD15F9">
        <w:rPr>
          <w:b/>
          <w:smallCaps/>
        </w:rPr>
        <w:t>results framework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2943"/>
        <w:gridCol w:w="2941"/>
      </w:tblGrid>
      <w:tr w:rsidR="00904E16" w:rsidTr="00C82BEE">
        <w:tc>
          <w:tcPr>
            <w:tcW w:w="2972" w:type="dxa"/>
          </w:tcPr>
          <w:p w:rsidR="00904E16" w:rsidRPr="00C82BEE" w:rsidRDefault="00904E16" w:rsidP="00C82BEE">
            <w:pPr>
              <w:jc w:val="center"/>
              <w:rPr>
                <w:b/>
                <w:sz w:val="22"/>
                <w:szCs w:val="22"/>
              </w:rPr>
            </w:pPr>
            <w:r w:rsidRPr="00C82BEE">
              <w:rPr>
                <w:b/>
                <w:sz w:val="22"/>
                <w:szCs w:val="22"/>
              </w:rPr>
              <w:t>PDO/Global Environment Objective</w:t>
            </w:r>
          </w:p>
        </w:tc>
        <w:tc>
          <w:tcPr>
            <w:tcW w:w="2943" w:type="dxa"/>
          </w:tcPr>
          <w:p w:rsidR="00904E16" w:rsidRPr="00C82BEE" w:rsidRDefault="00904E16" w:rsidP="00C82BEE">
            <w:pPr>
              <w:jc w:val="center"/>
              <w:rPr>
                <w:b/>
                <w:sz w:val="22"/>
                <w:szCs w:val="22"/>
              </w:rPr>
            </w:pPr>
            <w:r w:rsidRPr="00C82BEE">
              <w:rPr>
                <w:b/>
                <w:sz w:val="22"/>
                <w:szCs w:val="22"/>
              </w:rPr>
              <w:t>Outcome Indicators</w:t>
            </w:r>
          </w:p>
        </w:tc>
        <w:tc>
          <w:tcPr>
            <w:tcW w:w="2941" w:type="dxa"/>
          </w:tcPr>
          <w:p w:rsidR="00904E16" w:rsidRPr="00C82BEE" w:rsidRDefault="00904E16" w:rsidP="00C82BEE">
            <w:pPr>
              <w:jc w:val="center"/>
              <w:rPr>
                <w:b/>
                <w:sz w:val="22"/>
                <w:szCs w:val="22"/>
              </w:rPr>
            </w:pPr>
            <w:r w:rsidRPr="00C82BEE">
              <w:rPr>
                <w:b/>
                <w:sz w:val="22"/>
                <w:szCs w:val="22"/>
              </w:rPr>
              <w:t>Use of Outcome Indicators</w:t>
            </w:r>
          </w:p>
        </w:tc>
      </w:tr>
      <w:tr w:rsidR="00904E16" w:rsidTr="00C82BEE">
        <w:tc>
          <w:tcPr>
            <w:tcW w:w="2972" w:type="dxa"/>
          </w:tcPr>
          <w:p w:rsidR="00904E16" w:rsidRPr="00C82BEE" w:rsidRDefault="00904E16" w:rsidP="00C82BEE">
            <w:pPr>
              <w:spacing w:before="240" w:after="120"/>
              <w:rPr>
                <w:sz w:val="22"/>
                <w:szCs w:val="22"/>
              </w:rPr>
            </w:pPr>
            <w:r w:rsidRPr="00C82BEE">
              <w:rPr>
                <w:b/>
                <w:sz w:val="22"/>
                <w:szCs w:val="22"/>
              </w:rPr>
              <w:t>Project development objective</w:t>
            </w:r>
            <w:r w:rsidR="006329F2" w:rsidRPr="00C82BEE">
              <w:rPr>
                <w:sz w:val="22"/>
                <w:szCs w:val="22"/>
              </w:rPr>
              <w:t xml:space="preserve"> </w:t>
            </w:r>
            <w:r w:rsidR="006329F2">
              <w:t xml:space="preserve">is to promote the transfer of a new environmentally sustainable renewable energy technology through piloting the use of animal manure for biogas-based heating and electricity production at the farm level.  </w:t>
            </w:r>
          </w:p>
          <w:p w:rsidR="00904E16" w:rsidRPr="006329F2" w:rsidRDefault="00B315B1" w:rsidP="001D7C20">
            <w:pPr>
              <w:spacing w:before="240" w:after="120"/>
            </w:pPr>
            <w:r w:rsidRPr="00C82BEE">
              <w:rPr>
                <w:b/>
                <w:sz w:val="22"/>
                <w:szCs w:val="22"/>
              </w:rPr>
              <w:t>T</w:t>
            </w:r>
            <w:r w:rsidR="00904E16" w:rsidRPr="00C82BEE">
              <w:rPr>
                <w:b/>
                <w:sz w:val="22"/>
                <w:szCs w:val="22"/>
              </w:rPr>
              <w:t>he global environment objective</w:t>
            </w:r>
            <w:r w:rsidR="001D7C20">
              <w:rPr>
                <w:sz w:val="22"/>
                <w:szCs w:val="22"/>
              </w:rPr>
              <w:t xml:space="preserve"> </w:t>
            </w:r>
            <w:r w:rsidR="001D7C20" w:rsidRPr="001D7C20">
              <w:rPr>
                <w:sz w:val="22"/>
                <w:szCs w:val="22"/>
              </w:rPr>
              <w:t>is to contribute to the reduction of GHG emissions through the adoption of on-grid renewable energy supplies.</w:t>
            </w:r>
          </w:p>
        </w:tc>
        <w:tc>
          <w:tcPr>
            <w:tcW w:w="2943" w:type="dxa"/>
          </w:tcPr>
          <w:p w:rsidR="00DB7503" w:rsidRPr="00C82BEE" w:rsidRDefault="00DB7503" w:rsidP="00C82BEE">
            <w:pPr>
              <w:pStyle w:val="ListParagraph"/>
              <w:spacing w:before="240" w:after="120"/>
              <w:ind w:left="0"/>
              <w:jc w:val="both"/>
              <w:rPr>
                <w:sz w:val="22"/>
                <w:szCs w:val="22"/>
              </w:rPr>
            </w:pPr>
          </w:p>
          <w:p w:rsidR="00904E16" w:rsidRPr="00C82BEE" w:rsidRDefault="00904E16" w:rsidP="00C82BEE">
            <w:pPr>
              <w:pStyle w:val="ListParagraph"/>
              <w:spacing w:before="240" w:after="120"/>
              <w:ind w:left="0"/>
              <w:jc w:val="both"/>
              <w:rPr>
                <w:sz w:val="22"/>
                <w:szCs w:val="22"/>
              </w:rPr>
            </w:pPr>
            <w:r w:rsidRPr="00C82BEE">
              <w:rPr>
                <w:sz w:val="22"/>
                <w:szCs w:val="22"/>
              </w:rPr>
              <w:t>Development of market for biodigester technologies for cattle farms encouraged, with an addi</w:t>
            </w:r>
            <w:r w:rsidR="00123BFC" w:rsidRPr="00C82BEE">
              <w:rPr>
                <w:sz w:val="22"/>
                <w:szCs w:val="22"/>
              </w:rPr>
              <w:t xml:space="preserve">tional two farms installing </w:t>
            </w:r>
            <w:r w:rsidR="00F335B2" w:rsidRPr="00C82BEE">
              <w:rPr>
                <w:sz w:val="22"/>
                <w:szCs w:val="22"/>
              </w:rPr>
              <w:t>biodigesters</w:t>
            </w:r>
          </w:p>
          <w:p w:rsidR="00904E16" w:rsidRPr="00C82BEE" w:rsidRDefault="00904E16" w:rsidP="001D25B0">
            <w:pPr>
              <w:rPr>
                <w:sz w:val="22"/>
                <w:szCs w:val="22"/>
              </w:rPr>
            </w:pPr>
          </w:p>
          <w:p w:rsidR="00904E16" w:rsidRPr="00C82BEE" w:rsidRDefault="00904E16" w:rsidP="00C82BEE">
            <w:pPr>
              <w:jc w:val="center"/>
              <w:rPr>
                <w:sz w:val="22"/>
                <w:szCs w:val="22"/>
              </w:rPr>
            </w:pPr>
          </w:p>
          <w:p w:rsidR="00904E16" w:rsidRPr="00C82BEE" w:rsidRDefault="00904E16" w:rsidP="00C82BEE">
            <w:pPr>
              <w:jc w:val="center"/>
              <w:rPr>
                <w:sz w:val="22"/>
                <w:szCs w:val="22"/>
              </w:rPr>
            </w:pPr>
          </w:p>
          <w:p w:rsidR="00904E16" w:rsidRPr="00C82BEE" w:rsidRDefault="00904E16" w:rsidP="00C82BEE">
            <w:pPr>
              <w:jc w:val="center"/>
              <w:rPr>
                <w:sz w:val="22"/>
                <w:szCs w:val="22"/>
              </w:rPr>
            </w:pPr>
          </w:p>
          <w:p w:rsidR="00904E16" w:rsidRPr="00C82BEE" w:rsidRDefault="00904E16" w:rsidP="00C82BEE">
            <w:pPr>
              <w:jc w:val="center"/>
              <w:rPr>
                <w:sz w:val="22"/>
                <w:szCs w:val="22"/>
              </w:rPr>
            </w:pPr>
          </w:p>
          <w:p w:rsidR="00904E16" w:rsidRPr="00C82BEE" w:rsidRDefault="00904E16" w:rsidP="001D25B0">
            <w:pPr>
              <w:rPr>
                <w:sz w:val="22"/>
                <w:szCs w:val="22"/>
              </w:rPr>
            </w:pPr>
            <w:r w:rsidRPr="00C82BEE">
              <w:rPr>
                <w:sz w:val="22"/>
                <w:szCs w:val="22"/>
              </w:rPr>
              <w:t>Legal and regulatory framework established</w:t>
            </w:r>
          </w:p>
          <w:p w:rsidR="00F72757" w:rsidRPr="00C82BEE" w:rsidRDefault="00F72757" w:rsidP="001D25B0">
            <w:pPr>
              <w:rPr>
                <w:sz w:val="22"/>
                <w:szCs w:val="22"/>
              </w:rPr>
            </w:pPr>
          </w:p>
          <w:p w:rsidR="00F72757" w:rsidRPr="00C82BEE" w:rsidRDefault="00F72757" w:rsidP="001D25B0">
            <w:pPr>
              <w:rPr>
                <w:sz w:val="22"/>
                <w:szCs w:val="22"/>
              </w:rPr>
            </w:pPr>
            <w:r w:rsidRPr="00C82BEE">
              <w:rPr>
                <w:sz w:val="22"/>
                <w:szCs w:val="22"/>
              </w:rPr>
              <w:t>Energy produced f</w:t>
            </w:r>
            <w:r w:rsidR="008B21E4">
              <w:rPr>
                <w:sz w:val="22"/>
                <w:szCs w:val="22"/>
              </w:rPr>
              <w:t>rom biogas units (kWh</w:t>
            </w:r>
            <w:r w:rsidRPr="00C82BEE">
              <w:rPr>
                <w:sz w:val="22"/>
                <w:szCs w:val="22"/>
              </w:rPr>
              <w:t>)</w:t>
            </w:r>
          </w:p>
          <w:p w:rsidR="00DB7503" w:rsidRPr="00C82BEE" w:rsidRDefault="00DB7503" w:rsidP="001D25B0">
            <w:pPr>
              <w:rPr>
                <w:sz w:val="22"/>
                <w:szCs w:val="22"/>
              </w:rPr>
            </w:pPr>
          </w:p>
          <w:p w:rsidR="00DB7503" w:rsidRPr="00C82BEE" w:rsidRDefault="00DB7503" w:rsidP="001D25B0">
            <w:pPr>
              <w:rPr>
                <w:sz w:val="22"/>
                <w:szCs w:val="22"/>
              </w:rPr>
            </w:pPr>
          </w:p>
          <w:p w:rsidR="00F35D78" w:rsidRPr="00C82BEE" w:rsidRDefault="00F35D78" w:rsidP="001D25B0">
            <w:pPr>
              <w:rPr>
                <w:sz w:val="22"/>
                <w:szCs w:val="22"/>
              </w:rPr>
            </w:pPr>
          </w:p>
        </w:tc>
        <w:tc>
          <w:tcPr>
            <w:tcW w:w="2941" w:type="dxa"/>
          </w:tcPr>
          <w:p w:rsidR="00DB7503" w:rsidRPr="00C82BEE" w:rsidRDefault="00DB7503" w:rsidP="00407FFA">
            <w:pPr>
              <w:rPr>
                <w:sz w:val="22"/>
                <w:szCs w:val="22"/>
              </w:rPr>
            </w:pPr>
          </w:p>
          <w:p w:rsidR="00DB7503" w:rsidRPr="00C82BEE" w:rsidRDefault="00DB7503" w:rsidP="00407FFA">
            <w:pPr>
              <w:rPr>
                <w:sz w:val="22"/>
                <w:szCs w:val="22"/>
              </w:rPr>
            </w:pPr>
          </w:p>
          <w:p w:rsidR="00904E16" w:rsidRPr="00C82BEE" w:rsidRDefault="00407FFA" w:rsidP="00407FFA">
            <w:pPr>
              <w:rPr>
                <w:sz w:val="22"/>
                <w:szCs w:val="22"/>
              </w:rPr>
            </w:pPr>
            <w:r w:rsidRPr="00C82BEE">
              <w:rPr>
                <w:sz w:val="22"/>
                <w:szCs w:val="22"/>
              </w:rPr>
              <w:t>PY1-PY2: Check suitability of the pilot digesters for wider uptake;</w:t>
            </w:r>
          </w:p>
          <w:p w:rsidR="00407FFA" w:rsidRPr="00C82BEE" w:rsidRDefault="00407FFA" w:rsidP="00407FFA">
            <w:pPr>
              <w:rPr>
                <w:sz w:val="22"/>
                <w:szCs w:val="22"/>
              </w:rPr>
            </w:pPr>
          </w:p>
          <w:p w:rsidR="00407FFA" w:rsidRPr="00C82BEE" w:rsidRDefault="00407FFA" w:rsidP="00407FFA">
            <w:pPr>
              <w:rPr>
                <w:sz w:val="22"/>
                <w:szCs w:val="22"/>
              </w:rPr>
            </w:pPr>
            <w:r w:rsidRPr="00C82BEE">
              <w:rPr>
                <w:sz w:val="22"/>
                <w:szCs w:val="22"/>
              </w:rPr>
              <w:t>PY2</w:t>
            </w:r>
            <w:r w:rsidR="00752334" w:rsidRPr="00C82BEE">
              <w:rPr>
                <w:sz w:val="22"/>
                <w:szCs w:val="22"/>
              </w:rPr>
              <w:t>-PY3</w:t>
            </w:r>
            <w:r w:rsidRPr="00C82BEE">
              <w:rPr>
                <w:sz w:val="22"/>
                <w:szCs w:val="22"/>
              </w:rPr>
              <w:t xml:space="preserve">; </w:t>
            </w:r>
            <w:r w:rsidR="00752334" w:rsidRPr="00C82BEE">
              <w:rPr>
                <w:sz w:val="22"/>
                <w:szCs w:val="22"/>
              </w:rPr>
              <w:t>Monitor uptake once suitability of design confirmed;</w:t>
            </w:r>
          </w:p>
          <w:p w:rsidR="00A16C51" w:rsidRPr="00C82BEE" w:rsidRDefault="00A16C51" w:rsidP="00407FFA">
            <w:pPr>
              <w:rPr>
                <w:sz w:val="22"/>
                <w:szCs w:val="22"/>
              </w:rPr>
            </w:pPr>
          </w:p>
          <w:p w:rsidR="00F72757" w:rsidRPr="00C82BEE" w:rsidRDefault="00F72757" w:rsidP="00407FFA">
            <w:pPr>
              <w:rPr>
                <w:sz w:val="22"/>
                <w:szCs w:val="22"/>
              </w:rPr>
            </w:pPr>
          </w:p>
          <w:p w:rsidR="00F72757" w:rsidRPr="00C82BEE" w:rsidRDefault="00F72757" w:rsidP="00407FFA">
            <w:pPr>
              <w:rPr>
                <w:sz w:val="22"/>
                <w:szCs w:val="22"/>
              </w:rPr>
            </w:pPr>
          </w:p>
          <w:p w:rsidR="00F72757" w:rsidRPr="00C82BEE" w:rsidRDefault="00F72757" w:rsidP="00407FFA">
            <w:pPr>
              <w:rPr>
                <w:sz w:val="22"/>
                <w:szCs w:val="22"/>
              </w:rPr>
            </w:pPr>
          </w:p>
          <w:p w:rsidR="00752334" w:rsidRPr="00C82BEE" w:rsidRDefault="00752334" w:rsidP="00407FFA">
            <w:pPr>
              <w:rPr>
                <w:sz w:val="22"/>
                <w:szCs w:val="22"/>
              </w:rPr>
            </w:pPr>
            <w:r w:rsidRPr="00C82BEE">
              <w:rPr>
                <w:sz w:val="22"/>
                <w:szCs w:val="22"/>
              </w:rPr>
              <w:t xml:space="preserve">PY1-PY2: </w:t>
            </w:r>
            <w:r w:rsidR="00A16C51" w:rsidRPr="00C82BEE">
              <w:rPr>
                <w:sz w:val="22"/>
                <w:szCs w:val="22"/>
              </w:rPr>
              <w:t xml:space="preserve">Check sufficient progress to ensure that </w:t>
            </w:r>
            <w:r w:rsidR="00E83D64">
              <w:rPr>
                <w:sz w:val="22"/>
                <w:szCs w:val="22"/>
              </w:rPr>
              <w:t xml:space="preserve">producers </w:t>
            </w:r>
            <w:r w:rsidR="00A16C51" w:rsidRPr="00C82BEE">
              <w:rPr>
                <w:sz w:val="22"/>
                <w:szCs w:val="22"/>
              </w:rPr>
              <w:t xml:space="preserve">will be able to supply </w:t>
            </w:r>
            <w:r w:rsidR="00E83D64">
              <w:rPr>
                <w:sz w:val="22"/>
                <w:szCs w:val="22"/>
              </w:rPr>
              <w:t xml:space="preserve">surplus electricity to </w:t>
            </w:r>
            <w:r w:rsidR="00A16C51" w:rsidRPr="00C82BEE">
              <w:rPr>
                <w:sz w:val="22"/>
                <w:szCs w:val="22"/>
              </w:rPr>
              <w:t xml:space="preserve">grid once </w:t>
            </w:r>
            <w:r w:rsidR="00F335B2" w:rsidRPr="00C82BEE">
              <w:rPr>
                <w:sz w:val="22"/>
                <w:szCs w:val="22"/>
              </w:rPr>
              <w:t>biodigesters</w:t>
            </w:r>
            <w:r w:rsidR="00A16C51" w:rsidRPr="00C82BEE">
              <w:rPr>
                <w:sz w:val="22"/>
                <w:szCs w:val="22"/>
              </w:rPr>
              <w:t xml:space="preserve"> </w:t>
            </w:r>
            <w:r w:rsidR="00E83D64">
              <w:rPr>
                <w:sz w:val="22"/>
                <w:szCs w:val="22"/>
              </w:rPr>
              <w:t>are operational</w:t>
            </w:r>
            <w:r w:rsidR="00A16C51" w:rsidRPr="00C82BEE">
              <w:rPr>
                <w:sz w:val="22"/>
                <w:szCs w:val="22"/>
              </w:rPr>
              <w:t>;</w:t>
            </w:r>
          </w:p>
          <w:p w:rsidR="00A16C51" w:rsidRPr="00C82BEE" w:rsidRDefault="00A16C51" w:rsidP="00407FFA">
            <w:pPr>
              <w:rPr>
                <w:sz w:val="22"/>
                <w:szCs w:val="22"/>
              </w:rPr>
            </w:pPr>
          </w:p>
          <w:p w:rsidR="00A16C51" w:rsidRPr="00C82BEE" w:rsidRDefault="00A16C51" w:rsidP="00407FFA">
            <w:pPr>
              <w:rPr>
                <w:sz w:val="22"/>
                <w:szCs w:val="22"/>
              </w:rPr>
            </w:pPr>
            <w:r w:rsidRPr="00C82BEE">
              <w:rPr>
                <w:sz w:val="22"/>
                <w:szCs w:val="22"/>
              </w:rPr>
              <w:t>PY2-PY3 Monitor applicability of framework.</w:t>
            </w:r>
          </w:p>
          <w:p w:rsidR="00752334" w:rsidRPr="00C82BEE" w:rsidRDefault="00752334" w:rsidP="00407FFA">
            <w:pPr>
              <w:rPr>
                <w:sz w:val="22"/>
                <w:szCs w:val="22"/>
              </w:rPr>
            </w:pPr>
          </w:p>
        </w:tc>
      </w:tr>
      <w:tr w:rsidR="00904E16" w:rsidTr="00C82BEE">
        <w:tc>
          <w:tcPr>
            <w:tcW w:w="2972" w:type="dxa"/>
          </w:tcPr>
          <w:p w:rsidR="00904E16" w:rsidRPr="00C82BEE" w:rsidRDefault="00904E16" w:rsidP="001D25B0">
            <w:pPr>
              <w:rPr>
                <w:b/>
                <w:sz w:val="22"/>
                <w:szCs w:val="22"/>
              </w:rPr>
            </w:pPr>
            <w:r w:rsidRPr="00C82BEE">
              <w:rPr>
                <w:b/>
                <w:sz w:val="22"/>
                <w:szCs w:val="22"/>
              </w:rPr>
              <w:t>Intermediate Results</w:t>
            </w:r>
          </w:p>
          <w:p w:rsidR="00904E16" w:rsidRPr="00C82BEE" w:rsidRDefault="00904E16" w:rsidP="001D25B0">
            <w:pPr>
              <w:rPr>
                <w:b/>
                <w:sz w:val="22"/>
                <w:szCs w:val="22"/>
              </w:rPr>
            </w:pPr>
            <w:r w:rsidRPr="00C82BEE">
              <w:rPr>
                <w:b/>
                <w:sz w:val="22"/>
                <w:szCs w:val="22"/>
              </w:rPr>
              <w:t>(One per Component)</w:t>
            </w:r>
          </w:p>
        </w:tc>
        <w:tc>
          <w:tcPr>
            <w:tcW w:w="2943" w:type="dxa"/>
          </w:tcPr>
          <w:p w:rsidR="00904E16" w:rsidRPr="00C82BEE" w:rsidRDefault="00904E16" w:rsidP="00C82BEE">
            <w:pPr>
              <w:jc w:val="center"/>
              <w:rPr>
                <w:b/>
                <w:sz w:val="22"/>
                <w:szCs w:val="22"/>
              </w:rPr>
            </w:pPr>
            <w:r w:rsidRPr="00C82BEE">
              <w:rPr>
                <w:b/>
                <w:sz w:val="22"/>
                <w:szCs w:val="22"/>
              </w:rPr>
              <w:t>Results Indicators</w:t>
            </w:r>
          </w:p>
        </w:tc>
        <w:tc>
          <w:tcPr>
            <w:tcW w:w="2941" w:type="dxa"/>
          </w:tcPr>
          <w:p w:rsidR="00904E16" w:rsidRPr="00C82BEE" w:rsidRDefault="00904E16" w:rsidP="00C82BEE">
            <w:pPr>
              <w:jc w:val="center"/>
              <w:rPr>
                <w:b/>
                <w:sz w:val="22"/>
                <w:szCs w:val="22"/>
              </w:rPr>
            </w:pPr>
            <w:r w:rsidRPr="00C82BEE">
              <w:rPr>
                <w:b/>
                <w:sz w:val="22"/>
                <w:szCs w:val="22"/>
              </w:rPr>
              <w:t>Use of Results Monitoring</w:t>
            </w:r>
          </w:p>
        </w:tc>
      </w:tr>
      <w:tr w:rsidR="00904E16" w:rsidTr="00C82BEE">
        <w:tc>
          <w:tcPr>
            <w:tcW w:w="2972" w:type="dxa"/>
          </w:tcPr>
          <w:p w:rsidR="00F35D78" w:rsidRPr="00C82BEE" w:rsidRDefault="00904E16" w:rsidP="001D25B0">
            <w:pPr>
              <w:rPr>
                <w:color w:val="000000"/>
                <w:sz w:val="22"/>
                <w:szCs w:val="22"/>
              </w:rPr>
            </w:pPr>
            <w:r w:rsidRPr="00C82BEE">
              <w:rPr>
                <w:b/>
                <w:sz w:val="22"/>
                <w:szCs w:val="22"/>
              </w:rPr>
              <w:t>Component one</w:t>
            </w:r>
            <w:r w:rsidRPr="00C82BEE">
              <w:rPr>
                <w:sz w:val="22"/>
                <w:szCs w:val="22"/>
              </w:rPr>
              <w:t>:</w:t>
            </w:r>
            <w:r w:rsidRPr="00C82BEE">
              <w:rPr>
                <w:color w:val="000000"/>
                <w:sz w:val="22"/>
                <w:szCs w:val="22"/>
              </w:rPr>
              <w:t xml:space="preserve"> </w:t>
            </w:r>
          </w:p>
          <w:p w:rsidR="00904E16" w:rsidRPr="00C82BEE" w:rsidRDefault="00904E16" w:rsidP="001D25B0">
            <w:pPr>
              <w:rPr>
                <w:sz w:val="22"/>
                <w:szCs w:val="22"/>
              </w:rPr>
            </w:pPr>
            <w:r w:rsidRPr="00C82BEE">
              <w:rPr>
                <w:color w:val="000000"/>
                <w:sz w:val="22"/>
                <w:szCs w:val="22"/>
              </w:rPr>
              <w:t>Enabling legislative and policy environment</w:t>
            </w:r>
          </w:p>
          <w:p w:rsidR="00904E16" w:rsidRPr="00C82BEE" w:rsidRDefault="00904E16" w:rsidP="001D25B0">
            <w:pPr>
              <w:rPr>
                <w:sz w:val="22"/>
                <w:szCs w:val="22"/>
              </w:rPr>
            </w:pPr>
          </w:p>
        </w:tc>
        <w:tc>
          <w:tcPr>
            <w:tcW w:w="2943" w:type="dxa"/>
          </w:tcPr>
          <w:p w:rsidR="00904E16" w:rsidRPr="00C82BEE" w:rsidRDefault="00F335B2" w:rsidP="00C82BEE">
            <w:pPr>
              <w:pStyle w:val="ListParagraph"/>
              <w:spacing w:before="240" w:after="120"/>
              <w:ind w:left="0"/>
              <w:jc w:val="both"/>
              <w:rPr>
                <w:sz w:val="22"/>
                <w:szCs w:val="22"/>
              </w:rPr>
            </w:pPr>
            <w:r w:rsidRPr="00C82BEE">
              <w:rPr>
                <w:sz w:val="22"/>
                <w:szCs w:val="22"/>
              </w:rPr>
              <w:t>Biodigesters</w:t>
            </w:r>
            <w:r w:rsidR="00904E16" w:rsidRPr="00C82BEE">
              <w:rPr>
                <w:sz w:val="22"/>
                <w:szCs w:val="22"/>
              </w:rPr>
              <w:t xml:space="preserve"> licensed for use in Moldova</w:t>
            </w:r>
          </w:p>
          <w:p w:rsidR="00904E16" w:rsidRPr="00C82BEE" w:rsidRDefault="00904E16" w:rsidP="001D25B0">
            <w:pPr>
              <w:rPr>
                <w:sz w:val="22"/>
                <w:szCs w:val="22"/>
              </w:rPr>
            </w:pPr>
          </w:p>
        </w:tc>
        <w:tc>
          <w:tcPr>
            <w:tcW w:w="2941" w:type="dxa"/>
          </w:tcPr>
          <w:p w:rsidR="00F35D78" w:rsidRPr="00C82BEE" w:rsidRDefault="00F35D78" w:rsidP="00F35D78">
            <w:pPr>
              <w:rPr>
                <w:sz w:val="22"/>
                <w:szCs w:val="22"/>
              </w:rPr>
            </w:pPr>
            <w:r w:rsidRPr="00C82BEE">
              <w:rPr>
                <w:sz w:val="22"/>
                <w:szCs w:val="22"/>
              </w:rPr>
              <w:t xml:space="preserve">PY1-PY2: </w:t>
            </w:r>
            <w:r w:rsidR="00752334" w:rsidRPr="00C82BEE">
              <w:rPr>
                <w:sz w:val="22"/>
                <w:szCs w:val="22"/>
              </w:rPr>
              <w:t>Measure progress with legislation and enable follow-up where delays;</w:t>
            </w:r>
          </w:p>
          <w:p w:rsidR="00752334" w:rsidRPr="00C82BEE" w:rsidRDefault="00752334" w:rsidP="00F35D78">
            <w:pPr>
              <w:rPr>
                <w:sz w:val="22"/>
                <w:szCs w:val="22"/>
              </w:rPr>
            </w:pPr>
            <w:r w:rsidRPr="00C82BEE">
              <w:rPr>
                <w:sz w:val="22"/>
                <w:szCs w:val="22"/>
              </w:rPr>
              <w:t xml:space="preserve">PY2-PY3: </w:t>
            </w:r>
            <w:r w:rsidR="0058428A" w:rsidRPr="00C82BEE">
              <w:rPr>
                <w:sz w:val="22"/>
                <w:szCs w:val="22"/>
              </w:rPr>
              <w:t>Monitor progress.</w:t>
            </w:r>
          </w:p>
        </w:tc>
      </w:tr>
      <w:tr w:rsidR="008B21E4" w:rsidTr="00C82BEE">
        <w:tc>
          <w:tcPr>
            <w:tcW w:w="2972" w:type="dxa"/>
            <w:vMerge w:val="restart"/>
          </w:tcPr>
          <w:p w:rsidR="008B21E4" w:rsidRPr="00C82BEE" w:rsidRDefault="008B21E4" w:rsidP="001D25B0">
            <w:pPr>
              <w:rPr>
                <w:noProof/>
                <w:sz w:val="22"/>
                <w:szCs w:val="22"/>
              </w:rPr>
            </w:pPr>
            <w:r w:rsidRPr="00C82BEE">
              <w:rPr>
                <w:b/>
                <w:sz w:val="22"/>
                <w:szCs w:val="22"/>
              </w:rPr>
              <w:t>Component two</w:t>
            </w:r>
            <w:r w:rsidRPr="00C82BEE">
              <w:rPr>
                <w:sz w:val="22"/>
                <w:szCs w:val="22"/>
              </w:rPr>
              <w:t>:</w:t>
            </w:r>
            <w:r w:rsidRPr="00C82BEE">
              <w:rPr>
                <w:noProof/>
                <w:sz w:val="22"/>
                <w:szCs w:val="22"/>
              </w:rPr>
              <w:t xml:space="preserve"> </w:t>
            </w:r>
          </w:p>
          <w:p w:rsidR="008B21E4" w:rsidRPr="00C82BEE" w:rsidRDefault="008B21E4" w:rsidP="005F0D31">
            <w:pPr>
              <w:rPr>
                <w:sz w:val="22"/>
                <w:szCs w:val="22"/>
              </w:rPr>
            </w:pPr>
            <w:r w:rsidRPr="00C82BEE">
              <w:rPr>
                <w:noProof/>
                <w:sz w:val="22"/>
                <w:szCs w:val="22"/>
              </w:rPr>
              <w:t>Technical assistance, capacity building and awareness raising on sound animal waste management, and animal manure-based biodigester and electricity generation technologies</w:t>
            </w:r>
          </w:p>
        </w:tc>
        <w:tc>
          <w:tcPr>
            <w:tcW w:w="2943" w:type="dxa"/>
          </w:tcPr>
          <w:p w:rsidR="008B21E4" w:rsidRPr="00C82BEE" w:rsidRDefault="008B21E4" w:rsidP="00C82BEE">
            <w:pPr>
              <w:pStyle w:val="ListParagraph"/>
              <w:spacing w:before="240" w:after="120"/>
              <w:ind w:left="0"/>
              <w:rPr>
                <w:sz w:val="22"/>
                <w:szCs w:val="22"/>
              </w:rPr>
            </w:pPr>
            <w:r w:rsidRPr="00C82BEE">
              <w:rPr>
                <w:sz w:val="22"/>
                <w:szCs w:val="22"/>
              </w:rPr>
              <w:t xml:space="preserve">At least </w:t>
            </w:r>
            <w:r w:rsidR="00323537">
              <w:rPr>
                <w:sz w:val="22"/>
                <w:szCs w:val="22"/>
              </w:rPr>
              <w:t>1,</w:t>
            </w:r>
            <w:r w:rsidRPr="00C82BEE">
              <w:rPr>
                <w:sz w:val="22"/>
                <w:szCs w:val="22"/>
              </w:rPr>
              <w:t>500 farmers trained in sustainable manure management practices</w:t>
            </w:r>
          </w:p>
        </w:tc>
        <w:tc>
          <w:tcPr>
            <w:tcW w:w="2941" w:type="dxa"/>
          </w:tcPr>
          <w:p w:rsidR="008B21E4" w:rsidRPr="00C82BEE" w:rsidRDefault="008B21E4" w:rsidP="00752334">
            <w:pPr>
              <w:rPr>
                <w:sz w:val="22"/>
                <w:szCs w:val="22"/>
              </w:rPr>
            </w:pPr>
            <w:r w:rsidRPr="00C82BEE">
              <w:rPr>
                <w:sz w:val="22"/>
                <w:szCs w:val="22"/>
              </w:rPr>
              <w:t>PY1-PY2: Check that appropriate training systems put in place;</w:t>
            </w:r>
          </w:p>
          <w:p w:rsidR="008B21E4" w:rsidRPr="00C82BEE" w:rsidRDefault="008B21E4" w:rsidP="00752334">
            <w:pPr>
              <w:rPr>
                <w:sz w:val="22"/>
                <w:szCs w:val="22"/>
              </w:rPr>
            </w:pPr>
            <w:r w:rsidRPr="00C82BEE">
              <w:rPr>
                <w:sz w:val="22"/>
                <w:szCs w:val="22"/>
              </w:rPr>
              <w:t>PY3: Monitor progress and numbers trained.</w:t>
            </w:r>
          </w:p>
        </w:tc>
      </w:tr>
      <w:tr w:rsidR="008B21E4" w:rsidTr="00C82BEE">
        <w:tc>
          <w:tcPr>
            <w:tcW w:w="2972" w:type="dxa"/>
            <w:vMerge/>
          </w:tcPr>
          <w:p w:rsidR="008B21E4" w:rsidRPr="00C82BEE" w:rsidRDefault="008B21E4" w:rsidP="001D25B0">
            <w:pPr>
              <w:rPr>
                <w:b/>
                <w:sz w:val="22"/>
                <w:szCs w:val="22"/>
              </w:rPr>
            </w:pPr>
          </w:p>
        </w:tc>
        <w:tc>
          <w:tcPr>
            <w:tcW w:w="2943" w:type="dxa"/>
          </w:tcPr>
          <w:p w:rsidR="006C5A7D" w:rsidRDefault="008B21E4">
            <w:pPr>
              <w:pStyle w:val="ListParagraph"/>
              <w:spacing w:before="240" w:after="120"/>
              <w:ind w:left="0"/>
              <w:rPr>
                <w:sz w:val="22"/>
                <w:szCs w:val="22"/>
              </w:rPr>
            </w:pPr>
            <w:r>
              <w:rPr>
                <w:sz w:val="22"/>
                <w:szCs w:val="22"/>
              </w:rPr>
              <w:t>A</w:t>
            </w:r>
            <w:r w:rsidRPr="008B21E4">
              <w:rPr>
                <w:sz w:val="22"/>
                <w:szCs w:val="22"/>
              </w:rPr>
              <w:t xml:space="preserve">t least 10% of farmers </w:t>
            </w:r>
            <w:r>
              <w:rPr>
                <w:sz w:val="22"/>
                <w:szCs w:val="22"/>
              </w:rPr>
              <w:t xml:space="preserve">who participated in awareness raising activities are </w:t>
            </w:r>
            <w:r w:rsidRPr="008B21E4">
              <w:rPr>
                <w:sz w:val="22"/>
                <w:szCs w:val="22"/>
              </w:rPr>
              <w:t>using improved manure management practices</w:t>
            </w:r>
          </w:p>
        </w:tc>
        <w:tc>
          <w:tcPr>
            <w:tcW w:w="2941" w:type="dxa"/>
          </w:tcPr>
          <w:p w:rsidR="008B21E4" w:rsidRDefault="008B21E4" w:rsidP="00752334">
            <w:pPr>
              <w:rPr>
                <w:sz w:val="22"/>
                <w:szCs w:val="22"/>
              </w:rPr>
            </w:pPr>
          </w:p>
          <w:p w:rsidR="00990AB1" w:rsidRPr="00C82BEE" w:rsidRDefault="00990AB1" w:rsidP="00990AB1">
            <w:pPr>
              <w:rPr>
                <w:sz w:val="22"/>
                <w:szCs w:val="22"/>
              </w:rPr>
            </w:pPr>
            <w:r>
              <w:rPr>
                <w:sz w:val="22"/>
                <w:szCs w:val="22"/>
              </w:rPr>
              <w:t>PY1-PY3</w:t>
            </w:r>
            <w:r w:rsidRPr="00C82BEE">
              <w:rPr>
                <w:sz w:val="22"/>
                <w:szCs w:val="22"/>
              </w:rPr>
              <w:t xml:space="preserve">: Monitor </w:t>
            </w:r>
            <w:r>
              <w:rPr>
                <w:sz w:val="22"/>
                <w:szCs w:val="22"/>
              </w:rPr>
              <w:t xml:space="preserve">the </w:t>
            </w:r>
            <w:r w:rsidRPr="00C82BEE">
              <w:rPr>
                <w:sz w:val="22"/>
                <w:szCs w:val="22"/>
              </w:rPr>
              <w:t xml:space="preserve">progress </w:t>
            </w:r>
            <w:r>
              <w:rPr>
                <w:sz w:val="22"/>
                <w:szCs w:val="22"/>
              </w:rPr>
              <w:t>of the adoption rate</w:t>
            </w:r>
            <w:r w:rsidRPr="00C82BEE">
              <w:rPr>
                <w:sz w:val="22"/>
                <w:szCs w:val="22"/>
              </w:rPr>
              <w:t>.</w:t>
            </w:r>
          </w:p>
        </w:tc>
      </w:tr>
      <w:tr w:rsidR="008B21E4" w:rsidTr="00C82BEE">
        <w:tc>
          <w:tcPr>
            <w:tcW w:w="2972" w:type="dxa"/>
            <w:vMerge/>
          </w:tcPr>
          <w:p w:rsidR="008B21E4" w:rsidRPr="00C82BEE" w:rsidRDefault="008B21E4" w:rsidP="001D25B0">
            <w:pPr>
              <w:rPr>
                <w:sz w:val="22"/>
                <w:szCs w:val="22"/>
              </w:rPr>
            </w:pPr>
          </w:p>
        </w:tc>
        <w:tc>
          <w:tcPr>
            <w:tcW w:w="2943" w:type="dxa"/>
          </w:tcPr>
          <w:p w:rsidR="008B21E4" w:rsidRPr="00C82BEE" w:rsidRDefault="008B21E4" w:rsidP="00C82BEE">
            <w:pPr>
              <w:pStyle w:val="ListParagraph"/>
              <w:spacing w:before="240" w:after="120"/>
              <w:ind w:left="0"/>
              <w:jc w:val="both"/>
              <w:rPr>
                <w:sz w:val="22"/>
                <w:szCs w:val="22"/>
              </w:rPr>
            </w:pPr>
            <w:r w:rsidRPr="00C82BEE">
              <w:rPr>
                <w:sz w:val="22"/>
                <w:szCs w:val="22"/>
              </w:rPr>
              <w:t>At least one local producer of biodigesters identified and has started production of the equipment</w:t>
            </w:r>
          </w:p>
          <w:p w:rsidR="008B21E4" w:rsidRPr="00C82BEE" w:rsidRDefault="008B21E4" w:rsidP="001D25B0">
            <w:pPr>
              <w:rPr>
                <w:sz w:val="22"/>
                <w:szCs w:val="22"/>
              </w:rPr>
            </w:pPr>
          </w:p>
        </w:tc>
        <w:tc>
          <w:tcPr>
            <w:tcW w:w="2941" w:type="dxa"/>
          </w:tcPr>
          <w:p w:rsidR="008B21E4" w:rsidRPr="00C82BEE" w:rsidRDefault="008B21E4" w:rsidP="0058428A">
            <w:pPr>
              <w:rPr>
                <w:sz w:val="22"/>
                <w:szCs w:val="22"/>
              </w:rPr>
            </w:pPr>
            <w:r w:rsidRPr="00C82BEE">
              <w:rPr>
                <w:sz w:val="22"/>
                <w:szCs w:val="22"/>
              </w:rPr>
              <w:t>PY1-PY2: Check that producers identified and appropriate capacity building in place;</w:t>
            </w:r>
          </w:p>
          <w:p w:rsidR="008B21E4" w:rsidRPr="00C82BEE" w:rsidRDefault="008B21E4" w:rsidP="0058428A">
            <w:pPr>
              <w:rPr>
                <w:sz w:val="22"/>
                <w:szCs w:val="22"/>
              </w:rPr>
            </w:pPr>
          </w:p>
          <w:p w:rsidR="008B21E4" w:rsidRPr="00C82BEE" w:rsidRDefault="008B21E4" w:rsidP="0058428A">
            <w:pPr>
              <w:rPr>
                <w:sz w:val="22"/>
                <w:szCs w:val="22"/>
              </w:rPr>
            </w:pPr>
            <w:r w:rsidRPr="00C82BEE">
              <w:rPr>
                <w:sz w:val="22"/>
                <w:szCs w:val="22"/>
              </w:rPr>
              <w:t>PY2-PY3: Monitor progress with identified producer(s).</w:t>
            </w:r>
          </w:p>
        </w:tc>
      </w:tr>
      <w:tr w:rsidR="00323537" w:rsidTr="00C82BEE">
        <w:tc>
          <w:tcPr>
            <w:tcW w:w="2972" w:type="dxa"/>
            <w:vMerge w:val="restart"/>
          </w:tcPr>
          <w:p w:rsidR="00323537" w:rsidRPr="00C82BEE" w:rsidRDefault="00323537" w:rsidP="005F0D31">
            <w:pPr>
              <w:rPr>
                <w:sz w:val="22"/>
                <w:szCs w:val="22"/>
              </w:rPr>
            </w:pPr>
            <w:r w:rsidRPr="00C82BEE">
              <w:rPr>
                <w:b/>
                <w:sz w:val="22"/>
                <w:szCs w:val="22"/>
              </w:rPr>
              <w:t xml:space="preserve">Component </w:t>
            </w:r>
            <w:r>
              <w:rPr>
                <w:b/>
                <w:sz w:val="22"/>
                <w:szCs w:val="22"/>
              </w:rPr>
              <w:t>three</w:t>
            </w:r>
            <w:r w:rsidRPr="00C82BEE">
              <w:rPr>
                <w:sz w:val="22"/>
                <w:szCs w:val="22"/>
              </w:rPr>
              <w:t xml:space="preserve">: </w:t>
            </w:r>
            <w:r w:rsidRPr="00C82BEE">
              <w:rPr>
                <w:color w:val="000000"/>
                <w:sz w:val="22"/>
                <w:szCs w:val="22"/>
              </w:rPr>
              <w:t>Investment in two biodigesters</w:t>
            </w:r>
          </w:p>
        </w:tc>
        <w:tc>
          <w:tcPr>
            <w:tcW w:w="2943" w:type="dxa"/>
          </w:tcPr>
          <w:p w:rsidR="00323537" w:rsidRPr="00C82BEE" w:rsidRDefault="00323537" w:rsidP="00C82BEE">
            <w:pPr>
              <w:pStyle w:val="ListParagraph"/>
              <w:spacing w:before="240" w:after="120"/>
              <w:ind w:left="0"/>
              <w:jc w:val="both"/>
              <w:rPr>
                <w:sz w:val="22"/>
                <w:szCs w:val="22"/>
              </w:rPr>
            </w:pPr>
            <w:r w:rsidRPr="00C82BEE">
              <w:rPr>
                <w:sz w:val="22"/>
                <w:szCs w:val="22"/>
              </w:rPr>
              <w:t>Biodigesters installed on at least two cattle farms, using grant financing</w:t>
            </w:r>
          </w:p>
          <w:p w:rsidR="00323537" w:rsidRPr="00C82BEE" w:rsidRDefault="00323537" w:rsidP="001D25B0">
            <w:pPr>
              <w:rPr>
                <w:sz w:val="22"/>
                <w:szCs w:val="22"/>
              </w:rPr>
            </w:pPr>
          </w:p>
        </w:tc>
        <w:tc>
          <w:tcPr>
            <w:tcW w:w="2941" w:type="dxa"/>
          </w:tcPr>
          <w:p w:rsidR="00323537" w:rsidRPr="00C82BEE" w:rsidRDefault="00323537" w:rsidP="00B208EF">
            <w:pPr>
              <w:rPr>
                <w:sz w:val="22"/>
                <w:szCs w:val="22"/>
              </w:rPr>
            </w:pPr>
          </w:p>
          <w:p w:rsidR="00323537" w:rsidRPr="00C82BEE" w:rsidRDefault="00323537" w:rsidP="00B208EF">
            <w:pPr>
              <w:rPr>
                <w:sz w:val="22"/>
                <w:szCs w:val="22"/>
              </w:rPr>
            </w:pPr>
            <w:r w:rsidRPr="00C82BEE">
              <w:rPr>
                <w:sz w:val="22"/>
                <w:szCs w:val="22"/>
              </w:rPr>
              <w:t>PY1-PY2: Designs agreed, financing obtained and installation to proceed;</w:t>
            </w:r>
          </w:p>
          <w:p w:rsidR="00323537" w:rsidRPr="00C82BEE" w:rsidRDefault="00323537" w:rsidP="00B208EF">
            <w:pPr>
              <w:rPr>
                <w:sz w:val="22"/>
                <w:szCs w:val="22"/>
              </w:rPr>
            </w:pPr>
          </w:p>
          <w:p w:rsidR="00323537" w:rsidRPr="00C82BEE" w:rsidRDefault="00323537" w:rsidP="005F0D31">
            <w:pPr>
              <w:rPr>
                <w:sz w:val="22"/>
                <w:szCs w:val="22"/>
              </w:rPr>
            </w:pPr>
            <w:r w:rsidRPr="00C82BEE">
              <w:rPr>
                <w:sz w:val="22"/>
                <w:szCs w:val="22"/>
              </w:rPr>
              <w:t>PY2-3: Measure performance of the biodigesters and capacity to supply grid.</w:t>
            </w:r>
          </w:p>
        </w:tc>
      </w:tr>
      <w:tr w:rsidR="00323537" w:rsidTr="00C82BEE">
        <w:tc>
          <w:tcPr>
            <w:tcW w:w="2972" w:type="dxa"/>
            <w:vMerge/>
          </w:tcPr>
          <w:p w:rsidR="00323537" w:rsidRPr="00C82BEE" w:rsidRDefault="00323537" w:rsidP="001D25B0">
            <w:pPr>
              <w:rPr>
                <w:b/>
                <w:sz w:val="22"/>
                <w:szCs w:val="22"/>
              </w:rPr>
            </w:pPr>
          </w:p>
        </w:tc>
        <w:tc>
          <w:tcPr>
            <w:tcW w:w="2943" w:type="dxa"/>
          </w:tcPr>
          <w:p w:rsidR="00323537" w:rsidRPr="00323537" w:rsidRDefault="00323537" w:rsidP="005F0D31">
            <w:pPr>
              <w:pStyle w:val="ListParagraph"/>
              <w:spacing w:before="240" w:after="120"/>
              <w:ind w:left="0"/>
              <w:jc w:val="both"/>
              <w:rPr>
                <w:sz w:val="22"/>
                <w:szCs w:val="22"/>
              </w:rPr>
            </w:pPr>
            <w:r w:rsidRPr="00C82BEE">
              <w:rPr>
                <w:sz w:val="22"/>
                <w:szCs w:val="22"/>
              </w:rPr>
              <w:t>Improved operating efficiency of the participating farms by at least 5% as a result of introduction of the new biodigester technology.</w:t>
            </w:r>
          </w:p>
        </w:tc>
        <w:tc>
          <w:tcPr>
            <w:tcW w:w="2941" w:type="dxa"/>
          </w:tcPr>
          <w:p w:rsidR="00323537" w:rsidRDefault="00323537" w:rsidP="00323537">
            <w:pPr>
              <w:rPr>
                <w:sz w:val="22"/>
                <w:szCs w:val="22"/>
              </w:rPr>
            </w:pPr>
          </w:p>
          <w:p w:rsidR="00323537" w:rsidRPr="00C82BEE" w:rsidRDefault="00323537" w:rsidP="00323537">
            <w:pPr>
              <w:rPr>
                <w:sz w:val="22"/>
                <w:szCs w:val="22"/>
              </w:rPr>
            </w:pPr>
            <w:r w:rsidRPr="00C82BEE">
              <w:rPr>
                <w:sz w:val="22"/>
                <w:szCs w:val="22"/>
              </w:rPr>
              <w:t>PY1-PY2: Establish baseline;</w:t>
            </w:r>
          </w:p>
          <w:p w:rsidR="00323537" w:rsidRPr="00C82BEE" w:rsidRDefault="00323537" w:rsidP="00323537">
            <w:pPr>
              <w:rPr>
                <w:sz w:val="22"/>
                <w:szCs w:val="22"/>
              </w:rPr>
            </w:pPr>
          </w:p>
          <w:p w:rsidR="00323537" w:rsidRPr="00C82BEE" w:rsidRDefault="00323537" w:rsidP="00323537">
            <w:pPr>
              <w:rPr>
                <w:sz w:val="22"/>
                <w:szCs w:val="22"/>
              </w:rPr>
            </w:pPr>
            <w:r w:rsidRPr="00C82BEE">
              <w:rPr>
                <w:sz w:val="22"/>
                <w:szCs w:val="22"/>
              </w:rPr>
              <w:t>PY2-PY3: Monitor progress.</w:t>
            </w:r>
          </w:p>
          <w:p w:rsidR="00323537" w:rsidRPr="00C82BEE" w:rsidRDefault="00323537" w:rsidP="00B208EF">
            <w:pPr>
              <w:rPr>
                <w:sz w:val="22"/>
                <w:szCs w:val="22"/>
              </w:rPr>
            </w:pPr>
          </w:p>
        </w:tc>
      </w:tr>
      <w:tr w:rsidR="00323537" w:rsidTr="00C82BEE">
        <w:tc>
          <w:tcPr>
            <w:tcW w:w="2972" w:type="dxa"/>
            <w:vMerge/>
          </w:tcPr>
          <w:p w:rsidR="00323537" w:rsidRPr="00C82BEE" w:rsidRDefault="00323537" w:rsidP="001D25B0">
            <w:pPr>
              <w:rPr>
                <w:b/>
                <w:sz w:val="22"/>
                <w:szCs w:val="22"/>
              </w:rPr>
            </w:pPr>
          </w:p>
        </w:tc>
        <w:tc>
          <w:tcPr>
            <w:tcW w:w="2943" w:type="dxa"/>
          </w:tcPr>
          <w:p w:rsidR="00323537" w:rsidRPr="00323537" w:rsidRDefault="00323537" w:rsidP="00FF5689">
            <w:pPr>
              <w:pStyle w:val="ListParagraph"/>
              <w:spacing w:before="240" w:after="120"/>
              <w:ind w:left="0"/>
              <w:jc w:val="both"/>
              <w:rPr>
                <w:sz w:val="22"/>
                <w:szCs w:val="22"/>
              </w:rPr>
            </w:pPr>
            <w:r w:rsidRPr="00323537">
              <w:rPr>
                <w:sz w:val="22"/>
                <w:szCs w:val="22"/>
              </w:rPr>
              <w:t xml:space="preserve">Improved global and local air quality, by achieving </w:t>
            </w:r>
            <w:r w:rsidR="00E77C57">
              <w:rPr>
                <w:sz w:val="22"/>
                <w:szCs w:val="22"/>
              </w:rPr>
              <w:t xml:space="preserve">at least </w:t>
            </w:r>
            <w:r w:rsidR="00FF5689">
              <w:rPr>
                <w:sz w:val="22"/>
                <w:szCs w:val="22"/>
              </w:rPr>
              <w:t xml:space="preserve">103,130 </w:t>
            </w:r>
            <w:r>
              <w:rPr>
                <w:sz w:val="22"/>
                <w:szCs w:val="22"/>
              </w:rPr>
              <w:t>t/CO</w:t>
            </w:r>
            <w:r w:rsidRPr="00323537">
              <w:rPr>
                <w:sz w:val="22"/>
                <w:szCs w:val="22"/>
                <w:vertAlign w:val="subscript"/>
              </w:rPr>
              <w:t>2</w:t>
            </w:r>
            <w:r>
              <w:rPr>
                <w:sz w:val="22"/>
                <w:szCs w:val="22"/>
              </w:rPr>
              <w:t xml:space="preserve"> </w:t>
            </w:r>
            <w:r w:rsidRPr="00323537">
              <w:rPr>
                <w:sz w:val="22"/>
                <w:szCs w:val="22"/>
              </w:rPr>
              <w:t xml:space="preserve">GHG emission reductions through operation of biodigesters on </w:t>
            </w:r>
            <w:r w:rsidR="00B5709B">
              <w:rPr>
                <w:sz w:val="22"/>
                <w:szCs w:val="22"/>
              </w:rPr>
              <w:t xml:space="preserve">the two </w:t>
            </w:r>
            <w:r w:rsidRPr="00323537">
              <w:rPr>
                <w:sz w:val="22"/>
                <w:szCs w:val="22"/>
              </w:rPr>
              <w:t>pilot farm</w:t>
            </w:r>
            <w:r>
              <w:rPr>
                <w:sz w:val="22"/>
                <w:szCs w:val="22"/>
              </w:rPr>
              <w:t>s</w:t>
            </w:r>
            <w:r w:rsidR="00B5709B">
              <w:rPr>
                <w:sz w:val="22"/>
                <w:szCs w:val="22"/>
              </w:rPr>
              <w:t xml:space="preserve"> during investment lifetime</w:t>
            </w:r>
          </w:p>
        </w:tc>
        <w:tc>
          <w:tcPr>
            <w:tcW w:w="2941" w:type="dxa"/>
          </w:tcPr>
          <w:p w:rsidR="00323537" w:rsidRDefault="00323537" w:rsidP="00B208EF">
            <w:pPr>
              <w:rPr>
                <w:sz w:val="22"/>
                <w:szCs w:val="22"/>
              </w:rPr>
            </w:pPr>
          </w:p>
          <w:p w:rsidR="00E77C57" w:rsidRPr="00C82BEE" w:rsidRDefault="00E77C57" w:rsidP="00E77C57">
            <w:pPr>
              <w:rPr>
                <w:sz w:val="22"/>
                <w:szCs w:val="22"/>
              </w:rPr>
            </w:pPr>
            <w:r w:rsidRPr="00C82BEE">
              <w:rPr>
                <w:sz w:val="22"/>
                <w:szCs w:val="22"/>
              </w:rPr>
              <w:t>PY1-PY2: Establish base-line;</w:t>
            </w:r>
          </w:p>
          <w:p w:rsidR="00E77C57" w:rsidRPr="00C82BEE" w:rsidRDefault="00E77C57" w:rsidP="00E77C57">
            <w:pPr>
              <w:rPr>
                <w:sz w:val="22"/>
                <w:szCs w:val="22"/>
              </w:rPr>
            </w:pPr>
          </w:p>
          <w:p w:rsidR="00E77C57" w:rsidRPr="00C82BEE" w:rsidRDefault="00E77C57" w:rsidP="00E77C57">
            <w:pPr>
              <w:rPr>
                <w:sz w:val="22"/>
                <w:szCs w:val="22"/>
              </w:rPr>
            </w:pPr>
            <w:r w:rsidRPr="00C82BEE">
              <w:rPr>
                <w:sz w:val="22"/>
                <w:szCs w:val="22"/>
              </w:rPr>
              <w:t>PY2-PY3: Monitor progress.</w:t>
            </w:r>
          </w:p>
        </w:tc>
      </w:tr>
    </w:tbl>
    <w:p w:rsidR="00904E16" w:rsidRDefault="00904E16">
      <w:pPr>
        <w:ind w:left="720"/>
        <w:rPr>
          <w:b/>
          <w:bCs/>
          <w:smallCaps/>
          <w:color w:val="999999"/>
        </w:rPr>
      </w:pPr>
    </w:p>
    <w:p w:rsidR="00313EEC" w:rsidRDefault="00313EEC" w:rsidP="00313EEC">
      <w:r w:rsidRPr="00313EEC">
        <w:rPr>
          <w:b/>
        </w:rPr>
        <w:t>Arrangements for Results Monitoring</w:t>
      </w:r>
    </w:p>
    <w:p w:rsidR="00313EEC" w:rsidRDefault="00313EEC" w:rsidP="00313EEC"/>
    <w:p w:rsidR="00F70222" w:rsidRDefault="00313EEC" w:rsidP="00EE1115">
      <w:pPr>
        <w:numPr>
          <w:ilvl w:val="0"/>
          <w:numId w:val="5"/>
        </w:numPr>
        <w:jc w:val="both"/>
      </w:pPr>
      <w:r>
        <w:t xml:space="preserve">Monitoring </w:t>
      </w:r>
      <w:r w:rsidR="00F70222">
        <w:t xml:space="preserve">and Evaluation would be conducted at </w:t>
      </w:r>
      <w:r w:rsidR="00E77C57">
        <w:t>two</w:t>
      </w:r>
      <w:r w:rsidR="00F70222">
        <w:t xml:space="preserve"> levels: (i) Start-up and implementation of the project activities; </w:t>
      </w:r>
      <w:r w:rsidR="00E77C57">
        <w:t xml:space="preserve">and </w:t>
      </w:r>
      <w:r w:rsidR="00F70222">
        <w:t>(ii) Impact of the project activities and technologies developed on product</w:t>
      </w:r>
      <w:r w:rsidR="006E12B7">
        <w:t>ion and use of renewable energy</w:t>
      </w:r>
      <w:r w:rsidR="00E77C57">
        <w:t xml:space="preserve">. </w:t>
      </w:r>
      <w:r w:rsidR="000A4E80">
        <w:t>A d</w:t>
      </w:r>
      <w:r w:rsidR="00E77C57">
        <w:t>e</w:t>
      </w:r>
      <w:r w:rsidR="00445A78">
        <w:t>t</w:t>
      </w:r>
      <w:r w:rsidR="00E77C57">
        <w:t xml:space="preserve">ailed Monitoring and Evaluation system will be designed and agreed with the PIU and the Ministry of Environment before the start of project implementation. </w:t>
      </w:r>
    </w:p>
    <w:p w:rsidR="00F70222" w:rsidRDefault="00F70222" w:rsidP="00771D28">
      <w:pPr>
        <w:ind w:left="360"/>
        <w:jc w:val="both"/>
      </w:pPr>
      <w:r>
        <w:t xml:space="preserve">  </w:t>
      </w:r>
    </w:p>
    <w:p w:rsidR="006E12B7" w:rsidRDefault="006E12B7" w:rsidP="00EE1115">
      <w:pPr>
        <w:numPr>
          <w:ilvl w:val="0"/>
          <w:numId w:val="5"/>
        </w:numPr>
        <w:jc w:val="both"/>
      </w:pPr>
      <w:r>
        <w:t>Monitoring and Evaluation w</w:t>
      </w:r>
      <w:r w:rsidR="000A4E80">
        <w:t>ill</w:t>
      </w:r>
      <w:r>
        <w:t xml:space="preserve"> be the responsi</w:t>
      </w:r>
      <w:r w:rsidR="00B66798">
        <w:t>bility of the Project Implementation</w:t>
      </w:r>
      <w:r>
        <w:t xml:space="preserve"> Unit</w:t>
      </w:r>
      <w:r w:rsidR="00376EA9">
        <w:t xml:space="preserve"> which </w:t>
      </w:r>
      <w:r w:rsidR="0048135C">
        <w:t>w</w:t>
      </w:r>
      <w:r w:rsidR="000A4E80">
        <w:t>ill</w:t>
      </w:r>
      <w:r w:rsidR="0048135C">
        <w:t xml:space="preserve"> coordinate all data collection and contract ad hoc surveys as necessary.</w:t>
      </w:r>
      <w:r w:rsidR="00E77C57">
        <w:t xml:space="preserve"> The PIU w</w:t>
      </w:r>
      <w:r w:rsidR="000A4E80">
        <w:t>ill</w:t>
      </w:r>
      <w:r w:rsidR="00E77C57">
        <w:t xml:space="preserve"> produce semi-annual and annual progress reports for submission to IDA, the Ministry of Environment and other interested Agencies.</w:t>
      </w:r>
    </w:p>
    <w:p w:rsidR="006E12B7" w:rsidRDefault="006E12B7" w:rsidP="00771D28">
      <w:pPr>
        <w:jc w:val="both"/>
      </w:pPr>
    </w:p>
    <w:p w:rsidR="006E12B7" w:rsidRDefault="006E12B7" w:rsidP="00EE1115">
      <w:pPr>
        <w:numPr>
          <w:ilvl w:val="0"/>
          <w:numId w:val="5"/>
        </w:numPr>
        <w:jc w:val="both"/>
      </w:pPr>
      <w:r>
        <w:t xml:space="preserve">Semi-annual </w:t>
      </w:r>
      <w:r w:rsidR="004855B3">
        <w:t>reviews w</w:t>
      </w:r>
      <w:r w:rsidR="000A4E80">
        <w:t>ill</w:t>
      </w:r>
      <w:r w:rsidR="004855B3">
        <w:t xml:space="preserve"> be conducted by </w:t>
      </w:r>
      <w:r>
        <w:t>supervision missions so as to identify specific measures to adapt project design as necessary to ensure objectives are met.</w:t>
      </w:r>
    </w:p>
    <w:p w:rsidR="0048135C" w:rsidRDefault="0048135C" w:rsidP="00771D28">
      <w:pPr>
        <w:jc w:val="both"/>
      </w:pPr>
    </w:p>
    <w:p w:rsidR="0048135C" w:rsidRDefault="002C550E" w:rsidP="00EE1115">
      <w:pPr>
        <w:numPr>
          <w:ilvl w:val="0"/>
          <w:numId w:val="5"/>
        </w:numPr>
        <w:jc w:val="both"/>
      </w:pPr>
      <w:r>
        <w:t>More substantial supervision of the p</w:t>
      </w:r>
      <w:r w:rsidR="0048135C">
        <w:t xml:space="preserve">rogress with project implementation would be </w:t>
      </w:r>
      <w:r>
        <w:t>carried out</w:t>
      </w:r>
      <w:r w:rsidR="0048135C">
        <w:t xml:space="preserve"> after eighteen months </w:t>
      </w:r>
      <w:r>
        <w:t xml:space="preserve">of project implementation </w:t>
      </w:r>
      <w:r w:rsidR="0048135C">
        <w:t xml:space="preserve">to check that it is </w:t>
      </w:r>
      <w:r>
        <w:t>on the course</w:t>
      </w:r>
      <w:r w:rsidR="0048135C">
        <w:t xml:space="preserve"> to achieve the expec</w:t>
      </w:r>
      <w:r>
        <w:t>ted results and outcomes</w:t>
      </w:r>
      <w:r w:rsidR="0048135C">
        <w:t>.</w:t>
      </w:r>
    </w:p>
    <w:p w:rsidR="0048135C" w:rsidRDefault="0048135C" w:rsidP="00771D28">
      <w:pPr>
        <w:jc w:val="both"/>
      </w:pPr>
    </w:p>
    <w:p w:rsidR="0048135C" w:rsidRDefault="002C550E" w:rsidP="00EE1115">
      <w:pPr>
        <w:numPr>
          <w:ilvl w:val="0"/>
          <w:numId w:val="5"/>
        </w:numPr>
        <w:jc w:val="both"/>
      </w:pPr>
      <w:r>
        <w:t xml:space="preserve">A </w:t>
      </w:r>
      <w:r w:rsidR="001F5A2C">
        <w:t>F</w:t>
      </w:r>
      <w:r>
        <w:t>inal E</w:t>
      </w:r>
      <w:r w:rsidR="0048135C">
        <w:t>valuation</w:t>
      </w:r>
      <w:r>
        <w:t>, carried out by an independent organization,</w:t>
      </w:r>
      <w:r w:rsidR="0048135C">
        <w:t xml:space="preserve"> </w:t>
      </w:r>
      <w:r w:rsidR="00D0260A">
        <w:t>will take place</w:t>
      </w:r>
      <w:r w:rsidR="0048135C">
        <w:t xml:space="preserve"> at the conclusion of the project</w:t>
      </w:r>
      <w:r w:rsidR="00BA4541">
        <w:t xml:space="preserve">. This </w:t>
      </w:r>
      <w:r w:rsidR="00941425">
        <w:t xml:space="preserve">evaluation </w:t>
      </w:r>
      <w:r w:rsidR="00BA4541">
        <w:t>w</w:t>
      </w:r>
      <w:r w:rsidR="00941425">
        <w:t>ill</w:t>
      </w:r>
      <w:r w:rsidR="00BA4541">
        <w:t xml:space="preserve"> include an assessment </w:t>
      </w:r>
      <w:r>
        <w:t>of results and impact and recommendations for m</w:t>
      </w:r>
      <w:r w:rsidR="00BA4541">
        <w:t>ainstream</w:t>
      </w:r>
      <w:r w:rsidR="00D0260A">
        <w:t>ing project</w:t>
      </w:r>
      <w:r w:rsidR="00BA4541">
        <w:t xml:space="preserve"> results</w:t>
      </w:r>
      <w:r>
        <w:t>. The Evaluation Report w</w:t>
      </w:r>
      <w:r w:rsidR="00D0260A">
        <w:t>ill</w:t>
      </w:r>
      <w:r>
        <w:t xml:space="preserve"> </w:t>
      </w:r>
      <w:r w:rsidR="00D0260A">
        <w:t>be a key input toward</w:t>
      </w:r>
      <w:r>
        <w:t xml:space="preserve"> the Implementation Completion Memorandum (ICM) for the project. </w:t>
      </w:r>
    </w:p>
    <w:p w:rsidR="001E1107" w:rsidRDefault="001E1107" w:rsidP="001E1107">
      <w:pPr>
        <w:sectPr w:rsidR="001E1107">
          <w:footerReference w:type="even" r:id="rId12"/>
          <w:footerReference w:type="default" r:id="rId13"/>
          <w:pgSz w:w="12240" w:h="15840"/>
          <w:pgMar w:top="1440" w:right="1800" w:bottom="1440" w:left="1800" w:header="720" w:footer="720" w:gutter="0"/>
          <w:cols w:space="720"/>
          <w:docGrid w:linePitch="360"/>
        </w:sectPr>
      </w:pPr>
    </w:p>
    <w:p w:rsidR="001E1107" w:rsidRPr="00FD15F9" w:rsidRDefault="00173902" w:rsidP="00173902">
      <w:pPr>
        <w:jc w:val="center"/>
        <w:rPr>
          <w:b/>
        </w:rPr>
      </w:pPr>
      <w:r w:rsidRPr="00FD15F9">
        <w:rPr>
          <w:b/>
          <w:smallCaps/>
        </w:rPr>
        <w:t>Arrangements for results monitoring</w:t>
      </w:r>
    </w:p>
    <w:p w:rsidR="007830D6" w:rsidRDefault="007830D6" w:rsidP="007830D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080"/>
        <w:gridCol w:w="900"/>
        <w:gridCol w:w="900"/>
        <w:gridCol w:w="1080"/>
        <w:gridCol w:w="1620"/>
        <w:gridCol w:w="1440"/>
        <w:gridCol w:w="1617"/>
      </w:tblGrid>
      <w:tr w:rsidR="00F062CF" w:rsidTr="00C82BEE">
        <w:tc>
          <w:tcPr>
            <w:tcW w:w="2808" w:type="dxa"/>
            <w:vMerge w:val="restart"/>
          </w:tcPr>
          <w:p w:rsidR="00F062CF" w:rsidRPr="00C82BEE" w:rsidRDefault="00F062CF" w:rsidP="00C82BEE">
            <w:pPr>
              <w:jc w:val="center"/>
              <w:rPr>
                <w:b/>
                <w:sz w:val="20"/>
                <w:szCs w:val="20"/>
              </w:rPr>
            </w:pPr>
          </w:p>
          <w:p w:rsidR="00F062CF" w:rsidRPr="00C82BEE" w:rsidRDefault="00F062CF" w:rsidP="00C82BEE">
            <w:pPr>
              <w:jc w:val="center"/>
              <w:rPr>
                <w:b/>
                <w:sz w:val="20"/>
                <w:szCs w:val="20"/>
              </w:rPr>
            </w:pPr>
            <w:r w:rsidRPr="00C82BEE">
              <w:rPr>
                <w:b/>
                <w:sz w:val="20"/>
                <w:szCs w:val="20"/>
              </w:rPr>
              <w:t>Project Outcome Indicators</w:t>
            </w:r>
          </w:p>
        </w:tc>
        <w:tc>
          <w:tcPr>
            <w:tcW w:w="1080" w:type="dxa"/>
            <w:vMerge w:val="restart"/>
          </w:tcPr>
          <w:p w:rsidR="00F062CF" w:rsidRPr="00C82BEE" w:rsidRDefault="00F062CF" w:rsidP="00C82BEE">
            <w:pPr>
              <w:jc w:val="center"/>
              <w:rPr>
                <w:b/>
                <w:sz w:val="18"/>
                <w:szCs w:val="18"/>
              </w:rPr>
            </w:pPr>
          </w:p>
          <w:p w:rsidR="00F062CF" w:rsidRPr="00C82BEE" w:rsidRDefault="00F062CF" w:rsidP="00C82BEE">
            <w:pPr>
              <w:jc w:val="center"/>
              <w:rPr>
                <w:b/>
                <w:sz w:val="18"/>
                <w:szCs w:val="18"/>
              </w:rPr>
            </w:pPr>
            <w:r w:rsidRPr="00C82BEE">
              <w:rPr>
                <w:b/>
                <w:sz w:val="18"/>
                <w:szCs w:val="18"/>
              </w:rPr>
              <w:t>Baseline</w:t>
            </w:r>
          </w:p>
        </w:tc>
        <w:tc>
          <w:tcPr>
            <w:tcW w:w="2880" w:type="dxa"/>
            <w:gridSpan w:val="3"/>
          </w:tcPr>
          <w:p w:rsidR="00F062CF" w:rsidRPr="00C82BEE" w:rsidRDefault="00F062CF" w:rsidP="00C82BEE">
            <w:pPr>
              <w:jc w:val="center"/>
              <w:rPr>
                <w:b/>
                <w:sz w:val="18"/>
                <w:szCs w:val="18"/>
              </w:rPr>
            </w:pPr>
            <w:r w:rsidRPr="00C82BEE">
              <w:rPr>
                <w:b/>
                <w:sz w:val="18"/>
                <w:szCs w:val="18"/>
              </w:rPr>
              <w:t>Target Values</w:t>
            </w:r>
          </w:p>
        </w:tc>
        <w:tc>
          <w:tcPr>
            <w:tcW w:w="4677" w:type="dxa"/>
            <w:gridSpan w:val="3"/>
          </w:tcPr>
          <w:p w:rsidR="00F062CF" w:rsidRPr="00C82BEE" w:rsidRDefault="00F062CF" w:rsidP="00C82BEE">
            <w:pPr>
              <w:jc w:val="center"/>
              <w:rPr>
                <w:b/>
                <w:sz w:val="18"/>
                <w:szCs w:val="18"/>
              </w:rPr>
            </w:pPr>
            <w:r w:rsidRPr="00C82BEE">
              <w:rPr>
                <w:b/>
                <w:sz w:val="18"/>
                <w:szCs w:val="18"/>
              </w:rPr>
              <w:t>Data Collection &amp; Recording</w:t>
            </w:r>
          </w:p>
        </w:tc>
      </w:tr>
      <w:tr w:rsidR="00F062CF" w:rsidTr="00C82BEE">
        <w:tc>
          <w:tcPr>
            <w:tcW w:w="2808" w:type="dxa"/>
            <w:vMerge/>
          </w:tcPr>
          <w:p w:rsidR="00F062CF" w:rsidRPr="00C82BEE" w:rsidRDefault="00F062CF" w:rsidP="001E1107">
            <w:pPr>
              <w:rPr>
                <w:b/>
                <w:sz w:val="20"/>
                <w:szCs w:val="20"/>
              </w:rPr>
            </w:pPr>
          </w:p>
        </w:tc>
        <w:tc>
          <w:tcPr>
            <w:tcW w:w="1080" w:type="dxa"/>
            <w:vMerge/>
          </w:tcPr>
          <w:p w:rsidR="00F062CF" w:rsidRPr="00C82BEE" w:rsidRDefault="00F062CF" w:rsidP="001E1107">
            <w:pPr>
              <w:rPr>
                <w:b/>
                <w:sz w:val="18"/>
                <w:szCs w:val="18"/>
              </w:rPr>
            </w:pPr>
          </w:p>
        </w:tc>
        <w:tc>
          <w:tcPr>
            <w:tcW w:w="900" w:type="dxa"/>
          </w:tcPr>
          <w:p w:rsidR="00F062CF" w:rsidRPr="00C82BEE" w:rsidRDefault="00F062CF" w:rsidP="00C82BEE">
            <w:pPr>
              <w:jc w:val="center"/>
              <w:rPr>
                <w:b/>
                <w:sz w:val="18"/>
                <w:szCs w:val="18"/>
              </w:rPr>
            </w:pPr>
            <w:r w:rsidRPr="00C82BEE">
              <w:rPr>
                <w:b/>
                <w:sz w:val="18"/>
                <w:szCs w:val="18"/>
              </w:rPr>
              <w:t>YR1</w:t>
            </w:r>
          </w:p>
        </w:tc>
        <w:tc>
          <w:tcPr>
            <w:tcW w:w="900" w:type="dxa"/>
          </w:tcPr>
          <w:p w:rsidR="00F062CF" w:rsidRPr="00C82BEE" w:rsidRDefault="00F062CF" w:rsidP="00C82BEE">
            <w:pPr>
              <w:jc w:val="center"/>
              <w:rPr>
                <w:b/>
                <w:sz w:val="18"/>
                <w:szCs w:val="18"/>
              </w:rPr>
            </w:pPr>
            <w:r w:rsidRPr="00C82BEE">
              <w:rPr>
                <w:b/>
                <w:sz w:val="18"/>
                <w:szCs w:val="18"/>
              </w:rPr>
              <w:t>YR2</w:t>
            </w:r>
          </w:p>
        </w:tc>
        <w:tc>
          <w:tcPr>
            <w:tcW w:w="1080" w:type="dxa"/>
          </w:tcPr>
          <w:p w:rsidR="00F062CF" w:rsidRPr="00C82BEE" w:rsidRDefault="00F062CF" w:rsidP="00C82BEE">
            <w:pPr>
              <w:jc w:val="center"/>
              <w:rPr>
                <w:b/>
                <w:sz w:val="18"/>
                <w:szCs w:val="18"/>
              </w:rPr>
            </w:pPr>
            <w:r w:rsidRPr="00C82BEE">
              <w:rPr>
                <w:b/>
                <w:sz w:val="18"/>
                <w:szCs w:val="18"/>
              </w:rPr>
              <w:t>YR3</w:t>
            </w:r>
          </w:p>
        </w:tc>
        <w:tc>
          <w:tcPr>
            <w:tcW w:w="1620" w:type="dxa"/>
          </w:tcPr>
          <w:p w:rsidR="00F062CF" w:rsidRPr="00C82BEE" w:rsidRDefault="00F062CF" w:rsidP="00C82BEE">
            <w:pPr>
              <w:jc w:val="center"/>
              <w:rPr>
                <w:b/>
                <w:sz w:val="18"/>
                <w:szCs w:val="18"/>
              </w:rPr>
            </w:pPr>
            <w:r w:rsidRPr="00C82BEE">
              <w:rPr>
                <w:b/>
                <w:sz w:val="18"/>
                <w:szCs w:val="18"/>
              </w:rPr>
              <w:t>Frequency &amp; Reports</w:t>
            </w:r>
          </w:p>
        </w:tc>
        <w:tc>
          <w:tcPr>
            <w:tcW w:w="1440" w:type="dxa"/>
          </w:tcPr>
          <w:p w:rsidR="00F062CF" w:rsidRPr="00C82BEE" w:rsidRDefault="00F062CF" w:rsidP="00C82BEE">
            <w:pPr>
              <w:jc w:val="center"/>
              <w:rPr>
                <w:b/>
                <w:sz w:val="18"/>
                <w:szCs w:val="18"/>
              </w:rPr>
            </w:pPr>
            <w:r w:rsidRPr="00C82BEE">
              <w:rPr>
                <w:b/>
                <w:sz w:val="18"/>
                <w:szCs w:val="18"/>
              </w:rPr>
              <w:t>Data Collection Instruments</w:t>
            </w:r>
          </w:p>
        </w:tc>
        <w:tc>
          <w:tcPr>
            <w:tcW w:w="1617" w:type="dxa"/>
          </w:tcPr>
          <w:p w:rsidR="00F062CF" w:rsidRPr="00C82BEE" w:rsidRDefault="00F062CF" w:rsidP="00C82BEE">
            <w:pPr>
              <w:jc w:val="center"/>
              <w:rPr>
                <w:b/>
                <w:sz w:val="18"/>
                <w:szCs w:val="18"/>
              </w:rPr>
            </w:pPr>
            <w:r w:rsidRPr="00C82BEE">
              <w:rPr>
                <w:b/>
                <w:sz w:val="18"/>
                <w:szCs w:val="18"/>
              </w:rPr>
              <w:t>Responsibility for Data Collection</w:t>
            </w:r>
          </w:p>
        </w:tc>
      </w:tr>
      <w:tr w:rsidR="00A0524B" w:rsidTr="00C82BEE">
        <w:tc>
          <w:tcPr>
            <w:tcW w:w="2808" w:type="dxa"/>
          </w:tcPr>
          <w:p w:rsidR="00A0524B" w:rsidRPr="00C82BEE" w:rsidRDefault="00A0524B" w:rsidP="00C82BEE">
            <w:pPr>
              <w:pStyle w:val="ListParagraph"/>
              <w:spacing w:before="240" w:after="120"/>
              <w:ind w:left="0"/>
              <w:jc w:val="both"/>
              <w:rPr>
                <w:sz w:val="20"/>
                <w:szCs w:val="20"/>
              </w:rPr>
            </w:pPr>
            <w:r w:rsidRPr="00C82BEE">
              <w:rPr>
                <w:sz w:val="20"/>
                <w:szCs w:val="20"/>
              </w:rPr>
              <w:t>Development of market for biodigester technologies for cattle farms encouraged, with an additional two farms installing biodigesters</w:t>
            </w:r>
            <w:r w:rsidR="005E2F34" w:rsidRPr="00C82BEE">
              <w:rPr>
                <w:sz w:val="20"/>
                <w:szCs w:val="20"/>
              </w:rPr>
              <w:t xml:space="preserve"> – (based on qualitative state of legislation as below)</w:t>
            </w:r>
            <w:r w:rsidR="005E2F34" w:rsidRPr="00C82BEE">
              <w:rPr>
                <w:rStyle w:val="FootnoteReference"/>
                <w:sz w:val="20"/>
                <w:szCs w:val="20"/>
              </w:rPr>
              <w:footnoteReference w:id="7"/>
            </w:r>
          </w:p>
          <w:p w:rsidR="00A0524B" w:rsidRPr="00C82BEE" w:rsidRDefault="00A0524B" w:rsidP="001E1107">
            <w:pPr>
              <w:rPr>
                <w:sz w:val="20"/>
                <w:szCs w:val="20"/>
              </w:rPr>
            </w:pPr>
          </w:p>
        </w:tc>
        <w:tc>
          <w:tcPr>
            <w:tcW w:w="1080" w:type="dxa"/>
          </w:tcPr>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r w:rsidRPr="00C82BEE">
              <w:rPr>
                <w:sz w:val="18"/>
                <w:szCs w:val="18"/>
              </w:rPr>
              <w:t>0</w:t>
            </w:r>
          </w:p>
        </w:tc>
        <w:tc>
          <w:tcPr>
            <w:tcW w:w="900" w:type="dxa"/>
          </w:tcPr>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r w:rsidRPr="00C82BEE">
              <w:rPr>
                <w:sz w:val="18"/>
                <w:szCs w:val="18"/>
              </w:rPr>
              <w:t>1</w:t>
            </w:r>
          </w:p>
        </w:tc>
        <w:tc>
          <w:tcPr>
            <w:tcW w:w="900" w:type="dxa"/>
          </w:tcPr>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r w:rsidRPr="00C82BEE">
              <w:rPr>
                <w:sz w:val="18"/>
                <w:szCs w:val="18"/>
              </w:rPr>
              <w:t>3</w:t>
            </w:r>
          </w:p>
        </w:tc>
        <w:tc>
          <w:tcPr>
            <w:tcW w:w="1080" w:type="dxa"/>
          </w:tcPr>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r w:rsidRPr="00C82BEE">
              <w:rPr>
                <w:sz w:val="18"/>
                <w:szCs w:val="18"/>
              </w:rPr>
              <w:t>4</w:t>
            </w:r>
          </w:p>
        </w:tc>
        <w:tc>
          <w:tcPr>
            <w:tcW w:w="1620" w:type="dxa"/>
          </w:tcPr>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r w:rsidRPr="00C82BEE">
              <w:rPr>
                <w:sz w:val="18"/>
                <w:szCs w:val="18"/>
              </w:rPr>
              <w:t>Semi-annual and annual reports</w:t>
            </w:r>
          </w:p>
          <w:p w:rsidR="00A0524B" w:rsidRPr="00C82BEE" w:rsidRDefault="00A0524B" w:rsidP="00C82BEE">
            <w:pPr>
              <w:jc w:val="center"/>
              <w:rPr>
                <w:sz w:val="18"/>
                <w:szCs w:val="18"/>
              </w:rPr>
            </w:pPr>
          </w:p>
        </w:tc>
        <w:tc>
          <w:tcPr>
            <w:tcW w:w="1440" w:type="dxa"/>
          </w:tcPr>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5E2F34" w:rsidP="00C82BEE">
            <w:pPr>
              <w:jc w:val="center"/>
              <w:rPr>
                <w:sz w:val="18"/>
                <w:szCs w:val="18"/>
              </w:rPr>
            </w:pPr>
            <w:r w:rsidRPr="00C82BEE">
              <w:rPr>
                <w:sz w:val="18"/>
                <w:szCs w:val="18"/>
              </w:rPr>
              <w:t>Reports of TA and concerned Agencies</w:t>
            </w:r>
          </w:p>
          <w:p w:rsidR="00A0524B" w:rsidRPr="00C82BEE" w:rsidRDefault="00A0524B" w:rsidP="00C82BEE">
            <w:pPr>
              <w:jc w:val="center"/>
              <w:rPr>
                <w:sz w:val="18"/>
                <w:szCs w:val="18"/>
              </w:rPr>
            </w:pPr>
          </w:p>
        </w:tc>
        <w:tc>
          <w:tcPr>
            <w:tcW w:w="1617" w:type="dxa"/>
          </w:tcPr>
          <w:p w:rsidR="00A0524B" w:rsidRPr="00C82BEE" w:rsidRDefault="00A0524B" w:rsidP="004E53C5">
            <w:pPr>
              <w:rPr>
                <w:sz w:val="18"/>
                <w:szCs w:val="18"/>
              </w:rPr>
            </w:pPr>
          </w:p>
          <w:p w:rsidR="00A0524B" w:rsidRPr="00C82BEE" w:rsidRDefault="00A0524B" w:rsidP="00C82BEE">
            <w:pPr>
              <w:jc w:val="center"/>
              <w:rPr>
                <w:sz w:val="18"/>
                <w:szCs w:val="18"/>
              </w:rPr>
            </w:pPr>
          </w:p>
          <w:p w:rsidR="00A0524B" w:rsidRPr="00C82BEE" w:rsidRDefault="00A0524B" w:rsidP="00C82BEE">
            <w:pPr>
              <w:jc w:val="center"/>
              <w:rPr>
                <w:sz w:val="18"/>
                <w:szCs w:val="18"/>
              </w:rPr>
            </w:pPr>
          </w:p>
          <w:p w:rsidR="00A0524B" w:rsidRPr="00C82BEE" w:rsidRDefault="000074FF" w:rsidP="00C82BEE">
            <w:pPr>
              <w:jc w:val="center"/>
              <w:rPr>
                <w:sz w:val="18"/>
                <w:szCs w:val="18"/>
              </w:rPr>
            </w:pPr>
            <w:r>
              <w:rPr>
                <w:sz w:val="18"/>
                <w:szCs w:val="18"/>
              </w:rPr>
              <w:t>PI</w:t>
            </w:r>
            <w:r w:rsidR="00A0524B" w:rsidRPr="00C82BEE">
              <w:rPr>
                <w:sz w:val="18"/>
                <w:szCs w:val="18"/>
              </w:rPr>
              <w:t>U</w:t>
            </w:r>
          </w:p>
        </w:tc>
      </w:tr>
      <w:tr w:rsidR="00DB3DCA" w:rsidTr="00C82BEE">
        <w:tc>
          <w:tcPr>
            <w:tcW w:w="2808" w:type="dxa"/>
          </w:tcPr>
          <w:p w:rsidR="00DB3DCA" w:rsidRPr="00C82BEE" w:rsidRDefault="00DB3DCA" w:rsidP="0073314A">
            <w:pPr>
              <w:rPr>
                <w:sz w:val="20"/>
                <w:szCs w:val="20"/>
              </w:rPr>
            </w:pPr>
            <w:r w:rsidRPr="00C82BEE">
              <w:rPr>
                <w:sz w:val="20"/>
                <w:szCs w:val="20"/>
              </w:rPr>
              <w:t>Legal and regulatory framework established</w:t>
            </w:r>
            <w:r w:rsidR="0073314A" w:rsidRPr="00C82BEE">
              <w:rPr>
                <w:sz w:val="20"/>
                <w:szCs w:val="20"/>
              </w:rPr>
              <w:t xml:space="preserve"> </w:t>
            </w:r>
            <w:r w:rsidR="005E2F34" w:rsidRPr="00C82BEE">
              <w:rPr>
                <w:sz w:val="20"/>
                <w:szCs w:val="20"/>
              </w:rPr>
              <w:t xml:space="preserve">– </w:t>
            </w:r>
            <w:r w:rsidR="0073314A" w:rsidRPr="00C82BEE">
              <w:rPr>
                <w:sz w:val="20"/>
                <w:szCs w:val="20"/>
              </w:rPr>
              <w:t xml:space="preserve"> </w:t>
            </w:r>
            <w:r w:rsidR="005E2F34" w:rsidRPr="00C82BEE">
              <w:rPr>
                <w:sz w:val="20"/>
                <w:szCs w:val="20"/>
              </w:rPr>
              <w:t>(</w:t>
            </w:r>
            <w:r w:rsidR="0073314A" w:rsidRPr="00C82BEE">
              <w:rPr>
                <w:sz w:val="20"/>
                <w:szCs w:val="20"/>
              </w:rPr>
              <w:t>qualitative state of legislation</w:t>
            </w:r>
            <w:r w:rsidR="005E2F34" w:rsidRPr="00C82BEE">
              <w:rPr>
                <w:sz w:val="20"/>
                <w:szCs w:val="20"/>
              </w:rPr>
              <w:t>)</w:t>
            </w:r>
          </w:p>
          <w:p w:rsidR="00DB3DCA" w:rsidRPr="00C82BEE" w:rsidRDefault="00DB3DCA" w:rsidP="001E1107">
            <w:pPr>
              <w:rPr>
                <w:sz w:val="20"/>
                <w:szCs w:val="20"/>
              </w:rPr>
            </w:pPr>
          </w:p>
        </w:tc>
        <w:tc>
          <w:tcPr>
            <w:tcW w:w="1080" w:type="dxa"/>
          </w:tcPr>
          <w:p w:rsidR="00DB3DCA" w:rsidRPr="00C82BEE" w:rsidRDefault="00DB3DCA" w:rsidP="00C82BEE">
            <w:pPr>
              <w:jc w:val="center"/>
              <w:rPr>
                <w:sz w:val="18"/>
                <w:szCs w:val="18"/>
              </w:rPr>
            </w:pPr>
          </w:p>
          <w:p w:rsidR="0073314A" w:rsidRPr="00C82BEE" w:rsidRDefault="0073314A" w:rsidP="00C82BEE">
            <w:pPr>
              <w:jc w:val="center"/>
              <w:rPr>
                <w:sz w:val="18"/>
                <w:szCs w:val="18"/>
              </w:rPr>
            </w:pPr>
            <w:r w:rsidRPr="00C82BEE">
              <w:rPr>
                <w:sz w:val="18"/>
                <w:szCs w:val="18"/>
              </w:rPr>
              <w:t>0</w:t>
            </w:r>
          </w:p>
        </w:tc>
        <w:tc>
          <w:tcPr>
            <w:tcW w:w="900" w:type="dxa"/>
          </w:tcPr>
          <w:p w:rsidR="00DB3DCA" w:rsidRPr="00C82BEE" w:rsidRDefault="00DB3DCA" w:rsidP="00C82BEE">
            <w:pPr>
              <w:jc w:val="center"/>
              <w:rPr>
                <w:sz w:val="18"/>
                <w:szCs w:val="18"/>
              </w:rPr>
            </w:pPr>
          </w:p>
          <w:p w:rsidR="0073314A" w:rsidRPr="00C82BEE" w:rsidRDefault="0073314A" w:rsidP="00C82BEE">
            <w:pPr>
              <w:jc w:val="center"/>
              <w:rPr>
                <w:sz w:val="18"/>
                <w:szCs w:val="18"/>
              </w:rPr>
            </w:pPr>
            <w:r w:rsidRPr="00C82BEE">
              <w:rPr>
                <w:sz w:val="18"/>
                <w:szCs w:val="18"/>
              </w:rPr>
              <w:t>1</w:t>
            </w:r>
          </w:p>
        </w:tc>
        <w:tc>
          <w:tcPr>
            <w:tcW w:w="900" w:type="dxa"/>
          </w:tcPr>
          <w:p w:rsidR="00DB3DCA" w:rsidRPr="00C82BEE" w:rsidRDefault="00DB3DCA" w:rsidP="00C82BEE">
            <w:pPr>
              <w:jc w:val="center"/>
              <w:rPr>
                <w:sz w:val="18"/>
                <w:szCs w:val="18"/>
              </w:rPr>
            </w:pPr>
          </w:p>
          <w:p w:rsidR="0073314A" w:rsidRPr="00C82BEE" w:rsidRDefault="0073314A" w:rsidP="00C82BEE">
            <w:pPr>
              <w:jc w:val="center"/>
              <w:rPr>
                <w:sz w:val="18"/>
                <w:szCs w:val="18"/>
              </w:rPr>
            </w:pPr>
            <w:r w:rsidRPr="00C82BEE">
              <w:rPr>
                <w:sz w:val="18"/>
                <w:szCs w:val="18"/>
              </w:rPr>
              <w:t>3</w:t>
            </w:r>
          </w:p>
        </w:tc>
        <w:tc>
          <w:tcPr>
            <w:tcW w:w="1080" w:type="dxa"/>
          </w:tcPr>
          <w:p w:rsidR="00DB3DCA" w:rsidRPr="00C82BEE" w:rsidRDefault="00DB3DCA" w:rsidP="00C82BEE">
            <w:pPr>
              <w:jc w:val="center"/>
              <w:rPr>
                <w:sz w:val="18"/>
                <w:szCs w:val="18"/>
              </w:rPr>
            </w:pPr>
          </w:p>
          <w:p w:rsidR="0073314A" w:rsidRPr="00C82BEE" w:rsidRDefault="0073314A" w:rsidP="00C82BEE">
            <w:pPr>
              <w:jc w:val="center"/>
              <w:rPr>
                <w:sz w:val="18"/>
                <w:szCs w:val="18"/>
              </w:rPr>
            </w:pPr>
            <w:r w:rsidRPr="00C82BEE">
              <w:rPr>
                <w:sz w:val="18"/>
                <w:szCs w:val="18"/>
              </w:rPr>
              <w:t>4</w:t>
            </w:r>
          </w:p>
        </w:tc>
        <w:tc>
          <w:tcPr>
            <w:tcW w:w="1620" w:type="dxa"/>
          </w:tcPr>
          <w:p w:rsidR="0073314A" w:rsidRPr="00C82BEE" w:rsidRDefault="0073314A" w:rsidP="00C82BEE">
            <w:pPr>
              <w:jc w:val="center"/>
              <w:rPr>
                <w:sz w:val="18"/>
                <w:szCs w:val="18"/>
              </w:rPr>
            </w:pPr>
          </w:p>
          <w:p w:rsidR="0073314A" w:rsidRPr="00C82BEE" w:rsidRDefault="0073314A" w:rsidP="00C82BEE">
            <w:pPr>
              <w:jc w:val="center"/>
              <w:rPr>
                <w:sz w:val="18"/>
                <w:szCs w:val="18"/>
              </w:rPr>
            </w:pPr>
            <w:r w:rsidRPr="00C82BEE">
              <w:rPr>
                <w:sz w:val="18"/>
                <w:szCs w:val="18"/>
              </w:rPr>
              <w:t>Semi-annual and annual reports</w:t>
            </w:r>
          </w:p>
          <w:p w:rsidR="00DB3DCA" w:rsidRPr="00C82BEE" w:rsidRDefault="00DB3DCA" w:rsidP="00C82BEE">
            <w:pPr>
              <w:jc w:val="center"/>
              <w:rPr>
                <w:sz w:val="18"/>
                <w:szCs w:val="18"/>
              </w:rPr>
            </w:pPr>
          </w:p>
        </w:tc>
        <w:tc>
          <w:tcPr>
            <w:tcW w:w="1440" w:type="dxa"/>
          </w:tcPr>
          <w:p w:rsidR="0073314A" w:rsidRPr="00C82BEE" w:rsidRDefault="0073314A" w:rsidP="00C82BEE">
            <w:pPr>
              <w:jc w:val="center"/>
              <w:rPr>
                <w:sz w:val="18"/>
                <w:szCs w:val="18"/>
              </w:rPr>
            </w:pPr>
          </w:p>
          <w:p w:rsidR="0073314A" w:rsidRPr="00C82BEE" w:rsidRDefault="0073314A" w:rsidP="00C82BEE">
            <w:pPr>
              <w:jc w:val="center"/>
              <w:rPr>
                <w:sz w:val="18"/>
                <w:szCs w:val="18"/>
              </w:rPr>
            </w:pPr>
            <w:r w:rsidRPr="00C82BEE">
              <w:rPr>
                <w:sz w:val="18"/>
                <w:szCs w:val="18"/>
              </w:rPr>
              <w:t>Reports of component TA</w:t>
            </w:r>
          </w:p>
          <w:p w:rsidR="00DB3DCA" w:rsidRPr="00C82BEE" w:rsidRDefault="00DB3DCA" w:rsidP="00C82BEE">
            <w:pPr>
              <w:jc w:val="center"/>
              <w:rPr>
                <w:sz w:val="18"/>
                <w:szCs w:val="18"/>
              </w:rPr>
            </w:pPr>
          </w:p>
        </w:tc>
        <w:tc>
          <w:tcPr>
            <w:tcW w:w="1617" w:type="dxa"/>
          </w:tcPr>
          <w:p w:rsidR="0073314A" w:rsidRPr="00C82BEE" w:rsidRDefault="0073314A" w:rsidP="001E1107">
            <w:pPr>
              <w:rPr>
                <w:sz w:val="18"/>
                <w:szCs w:val="18"/>
              </w:rPr>
            </w:pPr>
          </w:p>
          <w:p w:rsidR="00DB3DCA" w:rsidRPr="00C82BEE" w:rsidRDefault="000074FF" w:rsidP="00C82BEE">
            <w:pPr>
              <w:jc w:val="center"/>
              <w:rPr>
                <w:sz w:val="18"/>
                <w:szCs w:val="18"/>
              </w:rPr>
            </w:pPr>
            <w:r>
              <w:rPr>
                <w:sz w:val="18"/>
                <w:szCs w:val="18"/>
              </w:rPr>
              <w:t>PI</w:t>
            </w:r>
            <w:r w:rsidR="0073314A" w:rsidRPr="00C82BEE">
              <w:rPr>
                <w:sz w:val="18"/>
                <w:szCs w:val="18"/>
              </w:rPr>
              <w:t>U</w:t>
            </w:r>
          </w:p>
        </w:tc>
      </w:tr>
      <w:tr w:rsidR="00DB3DCA" w:rsidTr="00C82BEE">
        <w:tc>
          <w:tcPr>
            <w:tcW w:w="2808" w:type="dxa"/>
          </w:tcPr>
          <w:p w:rsidR="00DB3DCA" w:rsidRPr="00C82BEE" w:rsidRDefault="00DB3DCA" w:rsidP="001E1107">
            <w:pPr>
              <w:rPr>
                <w:b/>
                <w:sz w:val="20"/>
                <w:szCs w:val="20"/>
              </w:rPr>
            </w:pPr>
            <w:r w:rsidRPr="00C82BEE">
              <w:rPr>
                <w:b/>
                <w:sz w:val="20"/>
                <w:szCs w:val="20"/>
              </w:rPr>
              <w:t>Intermediate Outcome Indicators</w:t>
            </w:r>
          </w:p>
        </w:tc>
        <w:tc>
          <w:tcPr>
            <w:tcW w:w="1080" w:type="dxa"/>
          </w:tcPr>
          <w:p w:rsidR="00DB3DCA" w:rsidRPr="00C82BEE" w:rsidRDefault="00DB3DCA" w:rsidP="00C82BEE">
            <w:pPr>
              <w:jc w:val="center"/>
              <w:rPr>
                <w:sz w:val="18"/>
                <w:szCs w:val="18"/>
              </w:rPr>
            </w:pPr>
          </w:p>
        </w:tc>
        <w:tc>
          <w:tcPr>
            <w:tcW w:w="900" w:type="dxa"/>
          </w:tcPr>
          <w:p w:rsidR="00DB3DCA" w:rsidRPr="00C82BEE" w:rsidRDefault="00DB3DCA" w:rsidP="00C82BEE">
            <w:pPr>
              <w:jc w:val="center"/>
              <w:rPr>
                <w:sz w:val="18"/>
                <w:szCs w:val="18"/>
              </w:rPr>
            </w:pPr>
          </w:p>
        </w:tc>
        <w:tc>
          <w:tcPr>
            <w:tcW w:w="900" w:type="dxa"/>
          </w:tcPr>
          <w:p w:rsidR="00DB3DCA" w:rsidRPr="00C82BEE" w:rsidRDefault="00DB3DCA" w:rsidP="00C82BEE">
            <w:pPr>
              <w:jc w:val="center"/>
              <w:rPr>
                <w:sz w:val="18"/>
                <w:szCs w:val="18"/>
              </w:rPr>
            </w:pPr>
          </w:p>
        </w:tc>
        <w:tc>
          <w:tcPr>
            <w:tcW w:w="1080" w:type="dxa"/>
          </w:tcPr>
          <w:p w:rsidR="00DB3DCA" w:rsidRPr="00C82BEE" w:rsidRDefault="00DB3DCA" w:rsidP="00C82BEE">
            <w:pPr>
              <w:jc w:val="center"/>
              <w:rPr>
                <w:sz w:val="18"/>
                <w:szCs w:val="18"/>
              </w:rPr>
            </w:pPr>
          </w:p>
        </w:tc>
        <w:tc>
          <w:tcPr>
            <w:tcW w:w="1620" w:type="dxa"/>
          </w:tcPr>
          <w:p w:rsidR="00DB3DCA" w:rsidRPr="00C82BEE" w:rsidRDefault="00DB3DCA" w:rsidP="00C82BEE">
            <w:pPr>
              <w:jc w:val="center"/>
              <w:rPr>
                <w:sz w:val="18"/>
                <w:szCs w:val="18"/>
              </w:rPr>
            </w:pPr>
          </w:p>
        </w:tc>
        <w:tc>
          <w:tcPr>
            <w:tcW w:w="1440" w:type="dxa"/>
          </w:tcPr>
          <w:p w:rsidR="00DB3DCA" w:rsidRPr="00C82BEE" w:rsidRDefault="00DB3DCA" w:rsidP="00C82BEE">
            <w:pPr>
              <w:jc w:val="center"/>
              <w:rPr>
                <w:sz w:val="18"/>
                <w:szCs w:val="18"/>
              </w:rPr>
            </w:pPr>
          </w:p>
        </w:tc>
        <w:tc>
          <w:tcPr>
            <w:tcW w:w="1617" w:type="dxa"/>
          </w:tcPr>
          <w:p w:rsidR="00DB3DCA" w:rsidRPr="00C82BEE" w:rsidRDefault="00DB3DCA" w:rsidP="001E1107">
            <w:pPr>
              <w:rPr>
                <w:sz w:val="18"/>
                <w:szCs w:val="18"/>
              </w:rPr>
            </w:pPr>
          </w:p>
        </w:tc>
      </w:tr>
      <w:tr w:rsidR="00F062CF" w:rsidTr="00C82BEE">
        <w:tc>
          <w:tcPr>
            <w:tcW w:w="2808" w:type="dxa"/>
          </w:tcPr>
          <w:p w:rsidR="005121A0" w:rsidRPr="00C82BEE" w:rsidRDefault="00F062CF" w:rsidP="001E1107">
            <w:pPr>
              <w:rPr>
                <w:sz w:val="20"/>
                <w:szCs w:val="20"/>
              </w:rPr>
            </w:pPr>
            <w:r w:rsidRPr="00C82BEE">
              <w:rPr>
                <w:b/>
                <w:sz w:val="20"/>
                <w:szCs w:val="20"/>
              </w:rPr>
              <w:t xml:space="preserve">Component 1: </w:t>
            </w:r>
          </w:p>
          <w:p w:rsidR="00C72AA4" w:rsidRPr="00C82BEE" w:rsidRDefault="00F335B2" w:rsidP="005F0D31">
            <w:pPr>
              <w:rPr>
                <w:sz w:val="20"/>
                <w:szCs w:val="20"/>
              </w:rPr>
            </w:pPr>
            <w:r w:rsidRPr="00C82BEE">
              <w:rPr>
                <w:sz w:val="20"/>
                <w:szCs w:val="20"/>
              </w:rPr>
              <w:t>Biodigesters</w:t>
            </w:r>
            <w:r w:rsidR="00C72AA4" w:rsidRPr="00C82BEE">
              <w:rPr>
                <w:sz w:val="20"/>
                <w:szCs w:val="20"/>
              </w:rPr>
              <w:t xml:space="preserve"> licensed for use in Moldova</w:t>
            </w:r>
            <w:r w:rsidR="00C31C48" w:rsidRPr="00C82BEE">
              <w:rPr>
                <w:sz w:val="20"/>
                <w:szCs w:val="20"/>
              </w:rPr>
              <w:t xml:space="preserve"> – </w:t>
            </w:r>
            <w:r w:rsidR="005E2F34" w:rsidRPr="00C82BEE">
              <w:rPr>
                <w:sz w:val="20"/>
                <w:szCs w:val="20"/>
              </w:rPr>
              <w:t>(</w:t>
            </w:r>
            <w:r w:rsidR="00C31C48" w:rsidRPr="00C82BEE">
              <w:rPr>
                <w:sz w:val="20"/>
                <w:szCs w:val="20"/>
              </w:rPr>
              <w:t>qualitative state of licensing process</w:t>
            </w:r>
            <w:r w:rsidR="005E2F34" w:rsidRPr="00C82BEE">
              <w:rPr>
                <w:sz w:val="20"/>
                <w:szCs w:val="20"/>
              </w:rPr>
              <w:t>)</w:t>
            </w:r>
          </w:p>
        </w:tc>
        <w:tc>
          <w:tcPr>
            <w:tcW w:w="1080" w:type="dxa"/>
          </w:tcPr>
          <w:p w:rsidR="0040774F" w:rsidRPr="00C82BEE" w:rsidRDefault="0040774F" w:rsidP="00C82BEE">
            <w:pPr>
              <w:jc w:val="center"/>
              <w:rPr>
                <w:sz w:val="18"/>
                <w:szCs w:val="18"/>
              </w:rPr>
            </w:pPr>
          </w:p>
          <w:p w:rsidR="0073314A" w:rsidRPr="00C82BEE" w:rsidRDefault="0073314A" w:rsidP="00C82BEE">
            <w:pPr>
              <w:jc w:val="center"/>
              <w:rPr>
                <w:sz w:val="18"/>
                <w:szCs w:val="18"/>
              </w:rPr>
            </w:pPr>
          </w:p>
          <w:p w:rsidR="0073314A" w:rsidRPr="00C82BEE" w:rsidRDefault="00C31C48" w:rsidP="00C82BEE">
            <w:pPr>
              <w:jc w:val="center"/>
              <w:rPr>
                <w:sz w:val="18"/>
                <w:szCs w:val="18"/>
              </w:rPr>
            </w:pPr>
            <w:r w:rsidRPr="00C82BEE">
              <w:rPr>
                <w:sz w:val="18"/>
                <w:szCs w:val="18"/>
              </w:rPr>
              <w:t>0</w:t>
            </w:r>
          </w:p>
        </w:tc>
        <w:tc>
          <w:tcPr>
            <w:tcW w:w="900" w:type="dxa"/>
          </w:tcPr>
          <w:p w:rsidR="0040774F" w:rsidRPr="00C82BEE" w:rsidRDefault="0040774F" w:rsidP="00C82BEE">
            <w:pPr>
              <w:jc w:val="center"/>
              <w:rPr>
                <w:sz w:val="18"/>
                <w:szCs w:val="18"/>
              </w:rPr>
            </w:pPr>
          </w:p>
          <w:p w:rsidR="0073314A" w:rsidRPr="00C82BEE" w:rsidRDefault="0073314A" w:rsidP="00C82BEE">
            <w:pPr>
              <w:jc w:val="center"/>
              <w:rPr>
                <w:sz w:val="18"/>
                <w:szCs w:val="18"/>
              </w:rPr>
            </w:pPr>
          </w:p>
          <w:p w:rsidR="0073314A" w:rsidRPr="00C82BEE" w:rsidRDefault="00C31C48" w:rsidP="00C82BEE">
            <w:pPr>
              <w:jc w:val="center"/>
              <w:rPr>
                <w:sz w:val="18"/>
                <w:szCs w:val="18"/>
              </w:rPr>
            </w:pPr>
            <w:r w:rsidRPr="00C82BEE">
              <w:rPr>
                <w:sz w:val="18"/>
                <w:szCs w:val="18"/>
              </w:rPr>
              <w:t>1</w:t>
            </w:r>
          </w:p>
        </w:tc>
        <w:tc>
          <w:tcPr>
            <w:tcW w:w="900" w:type="dxa"/>
          </w:tcPr>
          <w:p w:rsidR="0040774F" w:rsidRPr="00C82BEE" w:rsidRDefault="0040774F" w:rsidP="00C82BEE">
            <w:pPr>
              <w:jc w:val="center"/>
              <w:rPr>
                <w:sz w:val="18"/>
                <w:szCs w:val="18"/>
              </w:rPr>
            </w:pPr>
          </w:p>
          <w:p w:rsidR="0073314A" w:rsidRPr="00C82BEE" w:rsidRDefault="0073314A" w:rsidP="00C82BEE">
            <w:pPr>
              <w:jc w:val="center"/>
              <w:rPr>
                <w:sz w:val="18"/>
                <w:szCs w:val="18"/>
              </w:rPr>
            </w:pPr>
          </w:p>
          <w:p w:rsidR="0073314A" w:rsidRPr="00C82BEE" w:rsidRDefault="00C31C48" w:rsidP="00C82BEE">
            <w:pPr>
              <w:jc w:val="center"/>
              <w:rPr>
                <w:sz w:val="18"/>
                <w:szCs w:val="18"/>
              </w:rPr>
            </w:pPr>
            <w:r w:rsidRPr="00C82BEE">
              <w:rPr>
                <w:sz w:val="18"/>
                <w:szCs w:val="18"/>
              </w:rPr>
              <w:t>2</w:t>
            </w:r>
          </w:p>
        </w:tc>
        <w:tc>
          <w:tcPr>
            <w:tcW w:w="1080" w:type="dxa"/>
          </w:tcPr>
          <w:p w:rsidR="0040774F" w:rsidRPr="00C82BEE" w:rsidRDefault="0040774F" w:rsidP="00C82BEE">
            <w:pPr>
              <w:jc w:val="center"/>
              <w:rPr>
                <w:sz w:val="18"/>
                <w:szCs w:val="18"/>
              </w:rPr>
            </w:pPr>
          </w:p>
          <w:p w:rsidR="0073314A" w:rsidRPr="00C82BEE" w:rsidRDefault="0073314A" w:rsidP="00C82BEE">
            <w:pPr>
              <w:jc w:val="center"/>
              <w:rPr>
                <w:sz w:val="18"/>
                <w:szCs w:val="18"/>
              </w:rPr>
            </w:pPr>
          </w:p>
          <w:p w:rsidR="0073314A" w:rsidRPr="00C82BEE" w:rsidRDefault="00C31C48" w:rsidP="00C82BEE">
            <w:pPr>
              <w:jc w:val="center"/>
              <w:rPr>
                <w:sz w:val="18"/>
                <w:szCs w:val="18"/>
              </w:rPr>
            </w:pPr>
            <w:r w:rsidRPr="00C82BEE">
              <w:rPr>
                <w:sz w:val="18"/>
                <w:szCs w:val="18"/>
              </w:rPr>
              <w:t>4</w:t>
            </w:r>
          </w:p>
        </w:tc>
        <w:tc>
          <w:tcPr>
            <w:tcW w:w="1620" w:type="dxa"/>
          </w:tcPr>
          <w:p w:rsidR="001E1107" w:rsidRPr="00C82BEE" w:rsidRDefault="001E1107" w:rsidP="00C82BEE">
            <w:pPr>
              <w:jc w:val="center"/>
              <w:rPr>
                <w:sz w:val="18"/>
                <w:szCs w:val="18"/>
              </w:rPr>
            </w:pPr>
          </w:p>
          <w:p w:rsidR="0040774F" w:rsidRPr="00C82BEE" w:rsidRDefault="0073314A" w:rsidP="00C82BEE">
            <w:pPr>
              <w:jc w:val="center"/>
              <w:rPr>
                <w:sz w:val="18"/>
                <w:szCs w:val="18"/>
              </w:rPr>
            </w:pPr>
            <w:r w:rsidRPr="00C82BEE">
              <w:rPr>
                <w:sz w:val="18"/>
                <w:szCs w:val="18"/>
              </w:rPr>
              <w:t xml:space="preserve">Semi-annual </w:t>
            </w:r>
            <w:r w:rsidR="0040774F" w:rsidRPr="00C82BEE">
              <w:rPr>
                <w:sz w:val="18"/>
                <w:szCs w:val="18"/>
              </w:rPr>
              <w:t xml:space="preserve"> </w:t>
            </w:r>
            <w:r w:rsidR="00C31C48" w:rsidRPr="00C82BEE">
              <w:rPr>
                <w:sz w:val="18"/>
                <w:szCs w:val="18"/>
              </w:rPr>
              <w:t xml:space="preserve">and annual </w:t>
            </w:r>
            <w:r w:rsidR="0040774F" w:rsidRPr="00C82BEE">
              <w:rPr>
                <w:sz w:val="18"/>
                <w:szCs w:val="18"/>
              </w:rPr>
              <w:t>reports</w:t>
            </w:r>
            <w:r w:rsidRPr="00C82BEE">
              <w:rPr>
                <w:sz w:val="18"/>
                <w:szCs w:val="18"/>
              </w:rPr>
              <w:t xml:space="preserve"> </w:t>
            </w:r>
          </w:p>
        </w:tc>
        <w:tc>
          <w:tcPr>
            <w:tcW w:w="1440" w:type="dxa"/>
          </w:tcPr>
          <w:p w:rsidR="001E1107" w:rsidRPr="00C82BEE" w:rsidRDefault="001E1107" w:rsidP="00C82BEE">
            <w:pPr>
              <w:jc w:val="center"/>
              <w:rPr>
                <w:sz w:val="18"/>
                <w:szCs w:val="18"/>
              </w:rPr>
            </w:pPr>
          </w:p>
          <w:p w:rsidR="00DB3DCA" w:rsidRPr="00C82BEE" w:rsidRDefault="00C31C48" w:rsidP="00C82BEE">
            <w:pPr>
              <w:jc w:val="center"/>
              <w:rPr>
                <w:sz w:val="18"/>
                <w:szCs w:val="18"/>
              </w:rPr>
            </w:pPr>
            <w:r w:rsidRPr="00C82BEE">
              <w:rPr>
                <w:sz w:val="18"/>
                <w:szCs w:val="18"/>
              </w:rPr>
              <w:t>R</w:t>
            </w:r>
            <w:r w:rsidR="00DB3DCA" w:rsidRPr="00C82BEE">
              <w:rPr>
                <w:sz w:val="18"/>
                <w:szCs w:val="18"/>
              </w:rPr>
              <w:t>eports</w:t>
            </w:r>
            <w:r w:rsidRPr="00C82BEE">
              <w:rPr>
                <w:sz w:val="18"/>
                <w:szCs w:val="18"/>
              </w:rPr>
              <w:t xml:space="preserve"> of TA and potential Benefic</w:t>
            </w:r>
            <w:r w:rsidR="00A0524B" w:rsidRPr="00C82BEE">
              <w:rPr>
                <w:sz w:val="18"/>
                <w:szCs w:val="18"/>
              </w:rPr>
              <w:t>i</w:t>
            </w:r>
            <w:r w:rsidRPr="00C82BEE">
              <w:rPr>
                <w:sz w:val="18"/>
                <w:szCs w:val="18"/>
              </w:rPr>
              <w:t>aries</w:t>
            </w:r>
          </w:p>
        </w:tc>
        <w:tc>
          <w:tcPr>
            <w:tcW w:w="1617" w:type="dxa"/>
          </w:tcPr>
          <w:p w:rsidR="001E1107" w:rsidRPr="00C82BEE" w:rsidRDefault="001E1107" w:rsidP="001E1107">
            <w:pPr>
              <w:rPr>
                <w:sz w:val="18"/>
                <w:szCs w:val="18"/>
              </w:rPr>
            </w:pPr>
          </w:p>
          <w:p w:rsidR="0040774F" w:rsidRPr="00C82BEE" w:rsidRDefault="000074FF" w:rsidP="00C82BEE">
            <w:pPr>
              <w:jc w:val="center"/>
              <w:rPr>
                <w:sz w:val="18"/>
                <w:szCs w:val="18"/>
              </w:rPr>
            </w:pPr>
            <w:r>
              <w:rPr>
                <w:sz w:val="18"/>
                <w:szCs w:val="18"/>
              </w:rPr>
              <w:t>PI</w:t>
            </w:r>
            <w:r w:rsidR="0040774F" w:rsidRPr="00C82BEE">
              <w:rPr>
                <w:sz w:val="18"/>
                <w:szCs w:val="18"/>
              </w:rPr>
              <w:t>U</w:t>
            </w:r>
          </w:p>
          <w:p w:rsidR="0040774F" w:rsidRPr="00C82BEE" w:rsidRDefault="0040774F" w:rsidP="001E1107">
            <w:pPr>
              <w:rPr>
                <w:sz w:val="18"/>
                <w:szCs w:val="18"/>
              </w:rPr>
            </w:pPr>
          </w:p>
        </w:tc>
      </w:tr>
    </w:tbl>
    <w:p w:rsidR="005E2F34" w:rsidRDefault="005E2F3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080"/>
        <w:gridCol w:w="900"/>
        <w:gridCol w:w="900"/>
        <w:gridCol w:w="1080"/>
        <w:gridCol w:w="1620"/>
        <w:gridCol w:w="1440"/>
        <w:gridCol w:w="1617"/>
      </w:tblGrid>
      <w:tr w:rsidR="00F062CF" w:rsidTr="00C82BEE">
        <w:tc>
          <w:tcPr>
            <w:tcW w:w="2808" w:type="dxa"/>
          </w:tcPr>
          <w:p w:rsidR="001E1107" w:rsidRPr="00C82BEE" w:rsidRDefault="00C72AA4" w:rsidP="001E1107">
            <w:pPr>
              <w:rPr>
                <w:sz w:val="20"/>
                <w:szCs w:val="20"/>
              </w:rPr>
            </w:pPr>
            <w:r w:rsidRPr="00C82BEE">
              <w:rPr>
                <w:b/>
                <w:sz w:val="20"/>
                <w:szCs w:val="20"/>
              </w:rPr>
              <w:t xml:space="preserve">Component 2: </w:t>
            </w:r>
          </w:p>
          <w:p w:rsidR="00C72AA4" w:rsidRDefault="00C72AA4" w:rsidP="001E1107">
            <w:pPr>
              <w:rPr>
                <w:sz w:val="20"/>
                <w:szCs w:val="20"/>
              </w:rPr>
            </w:pPr>
            <w:r w:rsidRPr="00C82BEE">
              <w:rPr>
                <w:sz w:val="20"/>
                <w:szCs w:val="20"/>
              </w:rPr>
              <w:t xml:space="preserve">At least </w:t>
            </w:r>
            <w:r w:rsidR="00E34648">
              <w:rPr>
                <w:sz w:val="20"/>
                <w:szCs w:val="20"/>
              </w:rPr>
              <w:t>1,</w:t>
            </w:r>
            <w:r w:rsidRPr="00C82BEE">
              <w:rPr>
                <w:sz w:val="20"/>
                <w:szCs w:val="20"/>
              </w:rPr>
              <w:t>500 farmers trained in sustainable manure practices</w:t>
            </w:r>
            <w:r w:rsidR="005E2F34" w:rsidRPr="00C82BEE">
              <w:rPr>
                <w:sz w:val="20"/>
                <w:szCs w:val="20"/>
              </w:rPr>
              <w:t xml:space="preserve"> (accumulative)</w:t>
            </w:r>
          </w:p>
          <w:p w:rsidR="00E34648" w:rsidRDefault="00323537" w:rsidP="00FE129C">
            <w:pPr>
              <w:pStyle w:val="ListParagraph"/>
              <w:spacing w:before="240" w:after="120"/>
              <w:ind w:left="0"/>
              <w:jc w:val="both"/>
              <w:rPr>
                <w:sz w:val="20"/>
                <w:szCs w:val="20"/>
              </w:rPr>
            </w:pPr>
            <w:r w:rsidRPr="00323537">
              <w:rPr>
                <w:sz w:val="20"/>
                <w:szCs w:val="20"/>
              </w:rPr>
              <w:t>At least 10% of farmers who participated in awareness raising activities are using improved manure management practices</w:t>
            </w:r>
          </w:p>
          <w:p w:rsidR="00E34648" w:rsidRPr="00C82BEE" w:rsidRDefault="00E34648" w:rsidP="005F0D31">
            <w:pPr>
              <w:rPr>
                <w:sz w:val="20"/>
                <w:szCs w:val="20"/>
              </w:rPr>
            </w:pPr>
            <w:r w:rsidRPr="00C82BEE">
              <w:rPr>
                <w:sz w:val="20"/>
                <w:szCs w:val="20"/>
              </w:rPr>
              <w:t>At least one local producer of biodigesters identified and has started production</w:t>
            </w:r>
          </w:p>
        </w:tc>
        <w:tc>
          <w:tcPr>
            <w:tcW w:w="1080" w:type="dxa"/>
          </w:tcPr>
          <w:p w:rsidR="001E1107" w:rsidRPr="00C82BEE" w:rsidRDefault="001E1107" w:rsidP="00FE129C">
            <w:pPr>
              <w:jc w:val="center"/>
              <w:rPr>
                <w:sz w:val="18"/>
                <w:szCs w:val="18"/>
              </w:rPr>
            </w:pPr>
          </w:p>
          <w:p w:rsidR="00BA4541" w:rsidRPr="00C82BEE" w:rsidRDefault="00BA4541" w:rsidP="00FE129C">
            <w:pPr>
              <w:jc w:val="center"/>
              <w:rPr>
                <w:sz w:val="18"/>
                <w:szCs w:val="18"/>
              </w:rPr>
            </w:pPr>
          </w:p>
          <w:p w:rsidR="00E83F82" w:rsidRDefault="00E83F82" w:rsidP="00FE129C">
            <w:pPr>
              <w:jc w:val="center"/>
              <w:rPr>
                <w:sz w:val="18"/>
                <w:szCs w:val="18"/>
              </w:rPr>
            </w:pPr>
          </w:p>
          <w:p w:rsidR="00BA4541" w:rsidRDefault="00E83F82" w:rsidP="00FE129C">
            <w:pPr>
              <w:jc w:val="center"/>
              <w:rPr>
                <w:sz w:val="18"/>
                <w:szCs w:val="18"/>
              </w:rPr>
            </w:pPr>
            <w:r>
              <w:rPr>
                <w:sz w:val="18"/>
                <w:szCs w:val="18"/>
              </w:rPr>
              <w:t>0</w:t>
            </w:r>
          </w:p>
          <w:p w:rsidR="00FE129C" w:rsidRDefault="00FE129C" w:rsidP="00FE129C">
            <w:pPr>
              <w:jc w:val="center"/>
              <w:rPr>
                <w:sz w:val="18"/>
                <w:szCs w:val="18"/>
              </w:rPr>
            </w:pPr>
          </w:p>
          <w:p w:rsidR="00FE129C" w:rsidRDefault="00FE129C" w:rsidP="00FE129C">
            <w:pPr>
              <w:jc w:val="center"/>
              <w:rPr>
                <w:sz w:val="18"/>
                <w:szCs w:val="18"/>
              </w:rPr>
            </w:pPr>
          </w:p>
          <w:p w:rsidR="00FE129C" w:rsidRPr="00C82BEE" w:rsidRDefault="00FE129C" w:rsidP="00FE129C">
            <w:pPr>
              <w:jc w:val="center"/>
              <w:rPr>
                <w:sz w:val="18"/>
                <w:szCs w:val="18"/>
              </w:rPr>
            </w:pPr>
            <w:r>
              <w:rPr>
                <w:sz w:val="18"/>
                <w:szCs w:val="18"/>
              </w:rPr>
              <w:t>0</w:t>
            </w:r>
          </w:p>
          <w:p w:rsidR="000F4548" w:rsidRPr="00C82BEE" w:rsidRDefault="000F4548" w:rsidP="00FE129C">
            <w:pPr>
              <w:jc w:val="center"/>
              <w:rPr>
                <w:sz w:val="18"/>
                <w:szCs w:val="18"/>
              </w:rPr>
            </w:pPr>
          </w:p>
          <w:p w:rsidR="000F4548" w:rsidRPr="00C82BEE" w:rsidRDefault="000F4548" w:rsidP="00FE129C">
            <w:pPr>
              <w:jc w:val="center"/>
              <w:rPr>
                <w:sz w:val="18"/>
                <w:szCs w:val="18"/>
              </w:rPr>
            </w:pPr>
          </w:p>
          <w:p w:rsidR="000F4548" w:rsidRPr="00C82BEE" w:rsidRDefault="000F4548" w:rsidP="00FE129C">
            <w:pPr>
              <w:jc w:val="center"/>
              <w:rPr>
                <w:sz w:val="18"/>
                <w:szCs w:val="18"/>
              </w:rPr>
            </w:pPr>
          </w:p>
          <w:p w:rsidR="00323537" w:rsidRDefault="00323537" w:rsidP="00FE129C">
            <w:pPr>
              <w:rPr>
                <w:sz w:val="18"/>
                <w:szCs w:val="18"/>
              </w:rPr>
            </w:pPr>
          </w:p>
          <w:p w:rsidR="00E83F82" w:rsidRDefault="00E83F82" w:rsidP="00FE129C">
            <w:pPr>
              <w:rPr>
                <w:sz w:val="18"/>
                <w:szCs w:val="18"/>
              </w:rPr>
            </w:pPr>
          </w:p>
          <w:p w:rsidR="00E83F82" w:rsidRPr="00C82BEE" w:rsidRDefault="00E83F82" w:rsidP="00FE129C">
            <w:pPr>
              <w:jc w:val="center"/>
              <w:rPr>
                <w:sz w:val="18"/>
                <w:szCs w:val="18"/>
              </w:rPr>
            </w:pPr>
            <w:r>
              <w:rPr>
                <w:sz w:val="18"/>
                <w:szCs w:val="18"/>
              </w:rPr>
              <w:t>0</w:t>
            </w:r>
          </w:p>
        </w:tc>
        <w:tc>
          <w:tcPr>
            <w:tcW w:w="900" w:type="dxa"/>
          </w:tcPr>
          <w:p w:rsidR="001E1107" w:rsidRPr="00C82BEE" w:rsidRDefault="001E1107" w:rsidP="00FE129C">
            <w:pPr>
              <w:jc w:val="center"/>
              <w:rPr>
                <w:sz w:val="18"/>
                <w:szCs w:val="18"/>
              </w:rPr>
            </w:pPr>
          </w:p>
          <w:p w:rsidR="0073314A" w:rsidRPr="00C82BEE" w:rsidRDefault="0073314A" w:rsidP="00FE129C">
            <w:pPr>
              <w:jc w:val="center"/>
              <w:rPr>
                <w:sz w:val="18"/>
                <w:szCs w:val="18"/>
              </w:rPr>
            </w:pPr>
          </w:p>
          <w:p w:rsidR="0073314A" w:rsidRPr="00C82BEE" w:rsidRDefault="0073314A" w:rsidP="00FE129C">
            <w:pPr>
              <w:jc w:val="center"/>
              <w:rPr>
                <w:sz w:val="18"/>
                <w:szCs w:val="18"/>
              </w:rPr>
            </w:pPr>
          </w:p>
          <w:p w:rsidR="0073314A" w:rsidRPr="00C82BEE" w:rsidRDefault="00E34648" w:rsidP="00FE129C">
            <w:pPr>
              <w:jc w:val="center"/>
              <w:rPr>
                <w:sz w:val="18"/>
                <w:szCs w:val="18"/>
              </w:rPr>
            </w:pPr>
            <w:r>
              <w:rPr>
                <w:sz w:val="18"/>
                <w:szCs w:val="18"/>
              </w:rPr>
              <w:t>600</w:t>
            </w:r>
          </w:p>
          <w:p w:rsidR="000F4548" w:rsidRPr="00C82BEE" w:rsidRDefault="000F4548" w:rsidP="00FE129C">
            <w:pPr>
              <w:jc w:val="center"/>
              <w:rPr>
                <w:sz w:val="18"/>
                <w:szCs w:val="18"/>
              </w:rPr>
            </w:pPr>
          </w:p>
          <w:p w:rsidR="000F4548" w:rsidRPr="00C82BEE" w:rsidRDefault="000F4548" w:rsidP="00FE129C">
            <w:pPr>
              <w:jc w:val="center"/>
              <w:rPr>
                <w:sz w:val="18"/>
                <w:szCs w:val="18"/>
              </w:rPr>
            </w:pPr>
          </w:p>
          <w:p w:rsidR="000F4548" w:rsidRPr="00C82BEE" w:rsidRDefault="00FE129C" w:rsidP="00FE129C">
            <w:pPr>
              <w:jc w:val="center"/>
              <w:rPr>
                <w:sz w:val="18"/>
                <w:szCs w:val="18"/>
              </w:rPr>
            </w:pPr>
            <w:r>
              <w:rPr>
                <w:sz w:val="18"/>
                <w:szCs w:val="18"/>
              </w:rPr>
              <w:t>0</w:t>
            </w:r>
          </w:p>
          <w:p w:rsidR="000F4548" w:rsidRPr="00C82BEE" w:rsidRDefault="000F4548" w:rsidP="00FE129C">
            <w:pPr>
              <w:jc w:val="center"/>
              <w:rPr>
                <w:sz w:val="18"/>
                <w:szCs w:val="18"/>
              </w:rPr>
            </w:pPr>
          </w:p>
          <w:p w:rsidR="00323537" w:rsidRDefault="00323537" w:rsidP="00FE129C">
            <w:pPr>
              <w:jc w:val="center"/>
              <w:rPr>
                <w:sz w:val="18"/>
                <w:szCs w:val="18"/>
              </w:rPr>
            </w:pPr>
          </w:p>
          <w:p w:rsidR="00323537" w:rsidRDefault="00323537" w:rsidP="00FE129C">
            <w:pPr>
              <w:jc w:val="center"/>
              <w:rPr>
                <w:sz w:val="18"/>
                <w:szCs w:val="18"/>
              </w:rPr>
            </w:pPr>
          </w:p>
          <w:p w:rsidR="000F4548" w:rsidRDefault="000F4548" w:rsidP="00FE129C">
            <w:pPr>
              <w:jc w:val="center"/>
              <w:rPr>
                <w:sz w:val="18"/>
                <w:szCs w:val="18"/>
              </w:rPr>
            </w:pPr>
          </w:p>
          <w:p w:rsidR="00E83F82" w:rsidRDefault="00E83F82" w:rsidP="00FE129C">
            <w:pPr>
              <w:rPr>
                <w:sz w:val="18"/>
                <w:szCs w:val="18"/>
              </w:rPr>
            </w:pPr>
          </w:p>
          <w:p w:rsidR="00E83F82" w:rsidRPr="00C82BEE" w:rsidRDefault="00E83F82" w:rsidP="00FE129C">
            <w:pPr>
              <w:jc w:val="center"/>
              <w:rPr>
                <w:sz w:val="18"/>
                <w:szCs w:val="18"/>
              </w:rPr>
            </w:pPr>
            <w:r>
              <w:rPr>
                <w:sz w:val="18"/>
                <w:szCs w:val="18"/>
              </w:rPr>
              <w:t>-</w:t>
            </w:r>
          </w:p>
        </w:tc>
        <w:tc>
          <w:tcPr>
            <w:tcW w:w="900" w:type="dxa"/>
          </w:tcPr>
          <w:p w:rsidR="001E1107" w:rsidRPr="00C82BEE" w:rsidRDefault="001E1107" w:rsidP="00FE129C">
            <w:pPr>
              <w:jc w:val="center"/>
              <w:rPr>
                <w:sz w:val="18"/>
                <w:szCs w:val="18"/>
              </w:rPr>
            </w:pPr>
          </w:p>
          <w:p w:rsidR="0073314A" w:rsidRPr="00C82BEE" w:rsidRDefault="0073314A" w:rsidP="00FE129C">
            <w:pPr>
              <w:jc w:val="center"/>
              <w:rPr>
                <w:sz w:val="18"/>
                <w:szCs w:val="18"/>
              </w:rPr>
            </w:pPr>
          </w:p>
          <w:p w:rsidR="0073314A" w:rsidRPr="00C82BEE" w:rsidRDefault="0073314A" w:rsidP="00FE129C">
            <w:pPr>
              <w:jc w:val="center"/>
              <w:rPr>
                <w:sz w:val="18"/>
                <w:szCs w:val="18"/>
              </w:rPr>
            </w:pPr>
          </w:p>
          <w:p w:rsidR="0073314A" w:rsidRPr="00C82BEE" w:rsidRDefault="00E34648" w:rsidP="00FE129C">
            <w:pPr>
              <w:jc w:val="center"/>
              <w:rPr>
                <w:sz w:val="18"/>
                <w:szCs w:val="18"/>
              </w:rPr>
            </w:pPr>
            <w:r>
              <w:rPr>
                <w:sz w:val="18"/>
                <w:szCs w:val="18"/>
              </w:rPr>
              <w:t>1,050</w:t>
            </w:r>
          </w:p>
          <w:p w:rsidR="000F4548" w:rsidRPr="00C82BEE" w:rsidRDefault="000F4548" w:rsidP="00FE129C">
            <w:pPr>
              <w:jc w:val="center"/>
              <w:rPr>
                <w:sz w:val="18"/>
                <w:szCs w:val="18"/>
              </w:rPr>
            </w:pPr>
          </w:p>
          <w:p w:rsidR="000F4548" w:rsidRPr="00C82BEE" w:rsidRDefault="000F4548" w:rsidP="00FE129C">
            <w:pPr>
              <w:jc w:val="center"/>
              <w:rPr>
                <w:sz w:val="18"/>
                <w:szCs w:val="18"/>
              </w:rPr>
            </w:pPr>
          </w:p>
          <w:p w:rsidR="000F4548" w:rsidRPr="00C82BEE" w:rsidRDefault="00FE129C" w:rsidP="00FE129C">
            <w:pPr>
              <w:jc w:val="center"/>
              <w:rPr>
                <w:sz w:val="18"/>
                <w:szCs w:val="18"/>
              </w:rPr>
            </w:pPr>
            <w:r>
              <w:rPr>
                <w:sz w:val="18"/>
                <w:szCs w:val="18"/>
              </w:rPr>
              <w:t>5%</w:t>
            </w:r>
          </w:p>
          <w:p w:rsidR="000F4548" w:rsidRPr="00C82BEE" w:rsidRDefault="000F4548" w:rsidP="00FE129C">
            <w:pPr>
              <w:jc w:val="center"/>
              <w:rPr>
                <w:sz w:val="18"/>
                <w:szCs w:val="18"/>
              </w:rPr>
            </w:pPr>
          </w:p>
          <w:p w:rsidR="00323537" w:rsidRDefault="00323537" w:rsidP="00FE129C">
            <w:pPr>
              <w:jc w:val="center"/>
              <w:rPr>
                <w:sz w:val="18"/>
                <w:szCs w:val="18"/>
              </w:rPr>
            </w:pPr>
          </w:p>
          <w:p w:rsidR="00323537" w:rsidRDefault="00323537" w:rsidP="00FE129C">
            <w:pPr>
              <w:jc w:val="center"/>
              <w:rPr>
                <w:sz w:val="18"/>
                <w:szCs w:val="18"/>
              </w:rPr>
            </w:pPr>
          </w:p>
          <w:p w:rsidR="00323537" w:rsidRDefault="00323537" w:rsidP="00FE129C">
            <w:pPr>
              <w:jc w:val="center"/>
              <w:rPr>
                <w:sz w:val="18"/>
                <w:szCs w:val="18"/>
              </w:rPr>
            </w:pPr>
          </w:p>
          <w:p w:rsidR="00E83F82" w:rsidRDefault="00E83F82" w:rsidP="00FE129C">
            <w:pPr>
              <w:rPr>
                <w:sz w:val="18"/>
                <w:szCs w:val="18"/>
              </w:rPr>
            </w:pPr>
          </w:p>
          <w:p w:rsidR="00E83F82" w:rsidRPr="00C82BEE" w:rsidRDefault="00E83F82" w:rsidP="00FE129C">
            <w:pPr>
              <w:jc w:val="center"/>
              <w:rPr>
                <w:sz w:val="18"/>
                <w:szCs w:val="18"/>
              </w:rPr>
            </w:pPr>
            <w:r>
              <w:rPr>
                <w:sz w:val="18"/>
                <w:szCs w:val="18"/>
              </w:rPr>
              <w:t>1</w:t>
            </w:r>
          </w:p>
        </w:tc>
        <w:tc>
          <w:tcPr>
            <w:tcW w:w="1080" w:type="dxa"/>
          </w:tcPr>
          <w:p w:rsidR="001E1107" w:rsidRPr="00C82BEE" w:rsidRDefault="001E1107" w:rsidP="00FE129C">
            <w:pPr>
              <w:jc w:val="center"/>
              <w:rPr>
                <w:sz w:val="18"/>
                <w:szCs w:val="18"/>
              </w:rPr>
            </w:pPr>
          </w:p>
          <w:p w:rsidR="0073314A" w:rsidRPr="00C82BEE" w:rsidRDefault="0073314A" w:rsidP="00FE129C">
            <w:pPr>
              <w:jc w:val="center"/>
              <w:rPr>
                <w:sz w:val="18"/>
                <w:szCs w:val="18"/>
              </w:rPr>
            </w:pPr>
          </w:p>
          <w:p w:rsidR="0073314A" w:rsidRPr="00C82BEE" w:rsidRDefault="0073314A" w:rsidP="00FE129C">
            <w:pPr>
              <w:jc w:val="center"/>
              <w:rPr>
                <w:sz w:val="18"/>
                <w:szCs w:val="18"/>
              </w:rPr>
            </w:pPr>
          </w:p>
          <w:p w:rsidR="0073314A" w:rsidRPr="00C82BEE" w:rsidRDefault="00E34648" w:rsidP="00FE129C">
            <w:pPr>
              <w:jc w:val="center"/>
              <w:rPr>
                <w:sz w:val="18"/>
                <w:szCs w:val="18"/>
              </w:rPr>
            </w:pPr>
            <w:r>
              <w:rPr>
                <w:sz w:val="18"/>
                <w:szCs w:val="18"/>
              </w:rPr>
              <w:t>1,500</w:t>
            </w:r>
          </w:p>
          <w:p w:rsidR="000F4548" w:rsidRPr="00C82BEE" w:rsidRDefault="000F4548" w:rsidP="00FE129C">
            <w:pPr>
              <w:jc w:val="center"/>
              <w:rPr>
                <w:sz w:val="18"/>
                <w:szCs w:val="18"/>
              </w:rPr>
            </w:pPr>
          </w:p>
          <w:p w:rsidR="000F4548" w:rsidRPr="00C82BEE" w:rsidRDefault="000F4548" w:rsidP="00FE129C">
            <w:pPr>
              <w:jc w:val="center"/>
              <w:rPr>
                <w:sz w:val="18"/>
                <w:szCs w:val="18"/>
              </w:rPr>
            </w:pPr>
          </w:p>
          <w:p w:rsidR="000F4548" w:rsidRPr="00C82BEE" w:rsidRDefault="00FE129C" w:rsidP="00FE129C">
            <w:pPr>
              <w:jc w:val="center"/>
              <w:rPr>
                <w:sz w:val="18"/>
                <w:szCs w:val="18"/>
              </w:rPr>
            </w:pPr>
            <w:r>
              <w:rPr>
                <w:sz w:val="18"/>
                <w:szCs w:val="18"/>
              </w:rPr>
              <w:t>10%</w:t>
            </w:r>
          </w:p>
          <w:p w:rsidR="000F4548" w:rsidRPr="00C82BEE" w:rsidRDefault="000F4548" w:rsidP="00FE129C">
            <w:pPr>
              <w:jc w:val="center"/>
              <w:rPr>
                <w:sz w:val="18"/>
                <w:szCs w:val="18"/>
              </w:rPr>
            </w:pPr>
          </w:p>
          <w:p w:rsidR="00323537" w:rsidRDefault="00323537" w:rsidP="00FE129C">
            <w:pPr>
              <w:jc w:val="center"/>
              <w:rPr>
                <w:sz w:val="18"/>
                <w:szCs w:val="18"/>
              </w:rPr>
            </w:pPr>
          </w:p>
          <w:p w:rsidR="00323537" w:rsidRDefault="00323537" w:rsidP="00FE129C">
            <w:pPr>
              <w:jc w:val="center"/>
              <w:rPr>
                <w:sz w:val="18"/>
                <w:szCs w:val="18"/>
              </w:rPr>
            </w:pPr>
          </w:p>
          <w:p w:rsidR="00323537" w:rsidRDefault="00323537" w:rsidP="00FE129C">
            <w:pPr>
              <w:jc w:val="center"/>
              <w:rPr>
                <w:sz w:val="18"/>
                <w:szCs w:val="18"/>
              </w:rPr>
            </w:pPr>
          </w:p>
          <w:p w:rsidR="00E83F82" w:rsidRDefault="00E83F82" w:rsidP="00FE129C">
            <w:pPr>
              <w:rPr>
                <w:sz w:val="18"/>
                <w:szCs w:val="18"/>
              </w:rPr>
            </w:pPr>
          </w:p>
          <w:p w:rsidR="00E83F82" w:rsidRPr="00C82BEE" w:rsidRDefault="00E83F82" w:rsidP="00FE129C">
            <w:pPr>
              <w:jc w:val="center"/>
              <w:rPr>
                <w:sz w:val="18"/>
                <w:szCs w:val="18"/>
              </w:rPr>
            </w:pPr>
            <w:r>
              <w:rPr>
                <w:sz w:val="18"/>
                <w:szCs w:val="18"/>
              </w:rPr>
              <w:t>1</w:t>
            </w:r>
          </w:p>
        </w:tc>
        <w:tc>
          <w:tcPr>
            <w:tcW w:w="1620" w:type="dxa"/>
          </w:tcPr>
          <w:p w:rsidR="001E1107" w:rsidRPr="00C82BEE" w:rsidRDefault="001E1107" w:rsidP="00FE129C">
            <w:pPr>
              <w:jc w:val="center"/>
              <w:rPr>
                <w:sz w:val="18"/>
                <w:szCs w:val="18"/>
              </w:rPr>
            </w:pPr>
          </w:p>
          <w:p w:rsidR="0073314A" w:rsidRPr="00C82BEE" w:rsidRDefault="0073314A" w:rsidP="00FE129C">
            <w:pPr>
              <w:jc w:val="center"/>
              <w:rPr>
                <w:sz w:val="18"/>
                <w:szCs w:val="18"/>
              </w:rPr>
            </w:pPr>
          </w:p>
          <w:p w:rsidR="0073314A" w:rsidRPr="00C82BEE" w:rsidRDefault="0073314A" w:rsidP="00FE129C">
            <w:pPr>
              <w:jc w:val="center"/>
              <w:rPr>
                <w:sz w:val="18"/>
                <w:szCs w:val="18"/>
              </w:rPr>
            </w:pPr>
            <w:r w:rsidRPr="00C82BEE">
              <w:rPr>
                <w:sz w:val="18"/>
                <w:szCs w:val="18"/>
              </w:rPr>
              <w:t xml:space="preserve">Semi-annual </w:t>
            </w:r>
            <w:r w:rsidR="00C31C48" w:rsidRPr="00C82BEE">
              <w:rPr>
                <w:sz w:val="18"/>
                <w:szCs w:val="18"/>
              </w:rPr>
              <w:t xml:space="preserve">and annual </w:t>
            </w:r>
            <w:r w:rsidRPr="00C82BEE">
              <w:rPr>
                <w:sz w:val="18"/>
                <w:szCs w:val="18"/>
              </w:rPr>
              <w:t>reports</w:t>
            </w:r>
          </w:p>
          <w:p w:rsidR="000F4548" w:rsidRPr="00C82BEE" w:rsidRDefault="000F4548" w:rsidP="00FE129C">
            <w:pPr>
              <w:jc w:val="center"/>
              <w:rPr>
                <w:sz w:val="18"/>
                <w:szCs w:val="18"/>
              </w:rPr>
            </w:pPr>
          </w:p>
          <w:p w:rsidR="000F4548" w:rsidRPr="00C82BEE" w:rsidRDefault="000F4548" w:rsidP="00FE129C">
            <w:pPr>
              <w:jc w:val="center"/>
              <w:rPr>
                <w:sz w:val="18"/>
                <w:szCs w:val="18"/>
              </w:rPr>
            </w:pPr>
          </w:p>
          <w:p w:rsidR="00FE129C" w:rsidRPr="00C82BEE" w:rsidRDefault="00FE129C" w:rsidP="00FE129C">
            <w:pPr>
              <w:jc w:val="center"/>
              <w:rPr>
                <w:sz w:val="18"/>
                <w:szCs w:val="18"/>
              </w:rPr>
            </w:pPr>
            <w:r w:rsidRPr="00C82BEE">
              <w:rPr>
                <w:sz w:val="18"/>
                <w:szCs w:val="18"/>
              </w:rPr>
              <w:t>Semi-annual and annual reports</w:t>
            </w:r>
          </w:p>
          <w:p w:rsidR="00FE129C" w:rsidRPr="00C82BEE" w:rsidRDefault="00FE129C" w:rsidP="00FE129C">
            <w:pPr>
              <w:jc w:val="center"/>
              <w:rPr>
                <w:sz w:val="18"/>
                <w:szCs w:val="18"/>
              </w:rPr>
            </w:pPr>
          </w:p>
          <w:p w:rsidR="000F4548" w:rsidRPr="00C82BEE" w:rsidRDefault="000F4548" w:rsidP="00FE129C">
            <w:pPr>
              <w:jc w:val="center"/>
              <w:rPr>
                <w:sz w:val="18"/>
                <w:szCs w:val="18"/>
              </w:rPr>
            </w:pPr>
          </w:p>
          <w:p w:rsidR="00323537" w:rsidRDefault="00323537" w:rsidP="00FE129C">
            <w:pPr>
              <w:rPr>
                <w:sz w:val="18"/>
                <w:szCs w:val="18"/>
              </w:rPr>
            </w:pPr>
          </w:p>
          <w:p w:rsidR="00E83F82" w:rsidRDefault="00E83F82" w:rsidP="00FE129C">
            <w:pPr>
              <w:rPr>
                <w:sz w:val="18"/>
                <w:szCs w:val="18"/>
              </w:rPr>
            </w:pPr>
          </w:p>
          <w:p w:rsidR="00E83F82" w:rsidRPr="00C82BEE" w:rsidRDefault="00E83F82" w:rsidP="00FE129C">
            <w:pPr>
              <w:jc w:val="center"/>
              <w:rPr>
                <w:sz w:val="18"/>
                <w:szCs w:val="18"/>
              </w:rPr>
            </w:pPr>
            <w:r w:rsidRPr="00C82BEE">
              <w:rPr>
                <w:sz w:val="18"/>
                <w:szCs w:val="18"/>
              </w:rPr>
              <w:t>Semi-annual and annual reports</w:t>
            </w:r>
          </w:p>
        </w:tc>
        <w:tc>
          <w:tcPr>
            <w:tcW w:w="1440" w:type="dxa"/>
          </w:tcPr>
          <w:p w:rsidR="001E1107" w:rsidRPr="00C82BEE" w:rsidRDefault="001E1107" w:rsidP="00FE129C">
            <w:pPr>
              <w:jc w:val="center"/>
              <w:rPr>
                <w:sz w:val="18"/>
                <w:szCs w:val="18"/>
              </w:rPr>
            </w:pPr>
          </w:p>
          <w:p w:rsidR="0073314A" w:rsidRPr="00C82BEE" w:rsidRDefault="0073314A" w:rsidP="00FE129C">
            <w:pPr>
              <w:jc w:val="center"/>
              <w:rPr>
                <w:sz w:val="18"/>
                <w:szCs w:val="18"/>
              </w:rPr>
            </w:pPr>
          </w:p>
          <w:p w:rsidR="0073314A" w:rsidRPr="00C82BEE" w:rsidRDefault="0073314A" w:rsidP="00FE129C">
            <w:pPr>
              <w:jc w:val="center"/>
              <w:rPr>
                <w:sz w:val="18"/>
                <w:szCs w:val="18"/>
              </w:rPr>
            </w:pPr>
            <w:r w:rsidRPr="00C82BEE">
              <w:rPr>
                <w:sz w:val="18"/>
                <w:szCs w:val="18"/>
              </w:rPr>
              <w:t>Reports of contracted trainers</w:t>
            </w:r>
          </w:p>
          <w:p w:rsidR="000F4548" w:rsidRPr="00C82BEE" w:rsidRDefault="000F4548" w:rsidP="00FE129C">
            <w:pPr>
              <w:jc w:val="center"/>
              <w:rPr>
                <w:sz w:val="18"/>
                <w:szCs w:val="18"/>
              </w:rPr>
            </w:pPr>
          </w:p>
          <w:p w:rsidR="000F4548" w:rsidRPr="00C82BEE" w:rsidRDefault="00FE129C" w:rsidP="00FE129C">
            <w:pPr>
              <w:jc w:val="center"/>
              <w:rPr>
                <w:sz w:val="18"/>
                <w:szCs w:val="18"/>
              </w:rPr>
            </w:pPr>
            <w:r>
              <w:rPr>
                <w:sz w:val="18"/>
                <w:szCs w:val="18"/>
              </w:rPr>
              <w:t>Monitoring Reports</w:t>
            </w:r>
          </w:p>
          <w:p w:rsidR="000F4548" w:rsidRPr="00C82BEE" w:rsidRDefault="000F4548" w:rsidP="00FE129C">
            <w:pPr>
              <w:jc w:val="center"/>
              <w:rPr>
                <w:sz w:val="18"/>
                <w:szCs w:val="18"/>
              </w:rPr>
            </w:pPr>
          </w:p>
          <w:p w:rsidR="00323537" w:rsidRDefault="00323537" w:rsidP="00FE129C">
            <w:pPr>
              <w:jc w:val="center"/>
              <w:rPr>
                <w:sz w:val="18"/>
                <w:szCs w:val="18"/>
              </w:rPr>
            </w:pPr>
          </w:p>
          <w:p w:rsidR="00323537" w:rsidRDefault="00323537" w:rsidP="00FE129C">
            <w:pPr>
              <w:rPr>
                <w:sz w:val="18"/>
                <w:szCs w:val="18"/>
              </w:rPr>
            </w:pPr>
          </w:p>
          <w:p w:rsidR="00E83F82" w:rsidRPr="00C82BEE" w:rsidRDefault="00E83F82" w:rsidP="00FE129C">
            <w:pPr>
              <w:jc w:val="center"/>
              <w:rPr>
                <w:sz w:val="18"/>
                <w:szCs w:val="18"/>
              </w:rPr>
            </w:pPr>
            <w:r>
              <w:rPr>
                <w:sz w:val="18"/>
                <w:szCs w:val="18"/>
              </w:rPr>
              <w:t>Reports of contracted TA; Evaluation Report</w:t>
            </w:r>
          </w:p>
        </w:tc>
        <w:tc>
          <w:tcPr>
            <w:tcW w:w="1617" w:type="dxa"/>
          </w:tcPr>
          <w:p w:rsidR="001E1107" w:rsidRPr="00C82BEE" w:rsidRDefault="001E1107" w:rsidP="00FE129C">
            <w:pPr>
              <w:jc w:val="center"/>
              <w:rPr>
                <w:sz w:val="18"/>
                <w:szCs w:val="18"/>
              </w:rPr>
            </w:pPr>
          </w:p>
          <w:p w:rsidR="0073314A" w:rsidRPr="00C82BEE" w:rsidRDefault="0073314A" w:rsidP="00FE129C">
            <w:pPr>
              <w:rPr>
                <w:sz w:val="18"/>
                <w:szCs w:val="18"/>
              </w:rPr>
            </w:pPr>
          </w:p>
          <w:p w:rsidR="0073314A" w:rsidRPr="00C82BEE" w:rsidRDefault="000074FF" w:rsidP="00FE129C">
            <w:pPr>
              <w:jc w:val="center"/>
              <w:rPr>
                <w:sz w:val="18"/>
                <w:szCs w:val="18"/>
              </w:rPr>
            </w:pPr>
            <w:r>
              <w:rPr>
                <w:sz w:val="18"/>
                <w:szCs w:val="18"/>
              </w:rPr>
              <w:t>PI</w:t>
            </w:r>
            <w:r w:rsidR="0073314A" w:rsidRPr="00C82BEE">
              <w:rPr>
                <w:sz w:val="18"/>
                <w:szCs w:val="18"/>
              </w:rPr>
              <w:t>U</w:t>
            </w:r>
          </w:p>
          <w:p w:rsidR="000F4548" w:rsidRPr="00C82BEE" w:rsidRDefault="000F4548" w:rsidP="00FE129C">
            <w:pPr>
              <w:jc w:val="center"/>
              <w:rPr>
                <w:sz w:val="18"/>
                <w:szCs w:val="18"/>
              </w:rPr>
            </w:pPr>
          </w:p>
          <w:p w:rsidR="000F4548" w:rsidRPr="00C82BEE" w:rsidRDefault="000F4548" w:rsidP="00FE129C">
            <w:pPr>
              <w:jc w:val="center"/>
              <w:rPr>
                <w:sz w:val="18"/>
                <w:szCs w:val="18"/>
              </w:rPr>
            </w:pPr>
          </w:p>
          <w:p w:rsidR="000F4548" w:rsidRPr="00C82BEE" w:rsidRDefault="000F4548" w:rsidP="00FE129C">
            <w:pPr>
              <w:jc w:val="center"/>
              <w:rPr>
                <w:sz w:val="18"/>
                <w:szCs w:val="18"/>
              </w:rPr>
            </w:pPr>
          </w:p>
          <w:p w:rsidR="000F4548" w:rsidRPr="00C82BEE" w:rsidRDefault="00FE129C" w:rsidP="00FE129C">
            <w:pPr>
              <w:jc w:val="center"/>
              <w:rPr>
                <w:sz w:val="18"/>
                <w:szCs w:val="18"/>
              </w:rPr>
            </w:pPr>
            <w:r>
              <w:rPr>
                <w:sz w:val="18"/>
                <w:szCs w:val="18"/>
              </w:rPr>
              <w:t>PIU</w:t>
            </w:r>
          </w:p>
          <w:p w:rsidR="00323537" w:rsidRDefault="00323537" w:rsidP="00FE129C">
            <w:pPr>
              <w:jc w:val="center"/>
              <w:rPr>
                <w:sz w:val="18"/>
                <w:szCs w:val="18"/>
              </w:rPr>
            </w:pPr>
          </w:p>
          <w:p w:rsidR="00323537" w:rsidRDefault="00323537" w:rsidP="00FE129C">
            <w:pPr>
              <w:jc w:val="center"/>
              <w:rPr>
                <w:sz w:val="18"/>
                <w:szCs w:val="18"/>
              </w:rPr>
            </w:pPr>
          </w:p>
          <w:p w:rsidR="00323537" w:rsidRDefault="00323537" w:rsidP="00FE129C">
            <w:pPr>
              <w:jc w:val="center"/>
              <w:rPr>
                <w:sz w:val="18"/>
                <w:szCs w:val="18"/>
              </w:rPr>
            </w:pPr>
          </w:p>
          <w:p w:rsidR="00323537" w:rsidRDefault="00323537" w:rsidP="00FE129C">
            <w:pPr>
              <w:rPr>
                <w:sz w:val="18"/>
                <w:szCs w:val="18"/>
              </w:rPr>
            </w:pPr>
          </w:p>
          <w:p w:rsidR="00323537" w:rsidRDefault="00323537" w:rsidP="00FE129C">
            <w:pPr>
              <w:jc w:val="center"/>
              <w:rPr>
                <w:sz w:val="18"/>
                <w:szCs w:val="18"/>
              </w:rPr>
            </w:pPr>
          </w:p>
          <w:p w:rsidR="000F4548" w:rsidRDefault="000074FF" w:rsidP="00FE129C">
            <w:pPr>
              <w:jc w:val="center"/>
              <w:rPr>
                <w:sz w:val="18"/>
                <w:szCs w:val="18"/>
              </w:rPr>
            </w:pPr>
            <w:r>
              <w:rPr>
                <w:sz w:val="18"/>
                <w:szCs w:val="18"/>
              </w:rPr>
              <w:t>PI</w:t>
            </w:r>
            <w:r w:rsidR="000F4548" w:rsidRPr="00C82BEE">
              <w:rPr>
                <w:sz w:val="18"/>
                <w:szCs w:val="18"/>
              </w:rPr>
              <w:t>U</w:t>
            </w:r>
          </w:p>
          <w:p w:rsidR="00E83F82" w:rsidRDefault="00E83F82" w:rsidP="00FE129C">
            <w:pPr>
              <w:jc w:val="center"/>
              <w:rPr>
                <w:sz w:val="18"/>
                <w:szCs w:val="18"/>
              </w:rPr>
            </w:pPr>
          </w:p>
          <w:p w:rsidR="00E83F82" w:rsidRDefault="00E83F82" w:rsidP="00FE129C">
            <w:pPr>
              <w:jc w:val="center"/>
              <w:rPr>
                <w:sz w:val="18"/>
                <w:szCs w:val="18"/>
              </w:rPr>
            </w:pPr>
          </w:p>
          <w:p w:rsidR="0073314A" w:rsidRPr="00C82BEE" w:rsidRDefault="0073314A" w:rsidP="00FE129C">
            <w:pPr>
              <w:jc w:val="center"/>
              <w:rPr>
                <w:sz w:val="18"/>
                <w:szCs w:val="18"/>
              </w:rPr>
            </w:pPr>
          </w:p>
        </w:tc>
      </w:tr>
      <w:tr w:rsidR="00F062CF" w:rsidTr="00C82BEE">
        <w:tc>
          <w:tcPr>
            <w:tcW w:w="2808" w:type="dxa"/>
          </w:tcPr>
          <w:p w:rsidR="00794AC7" w:rsidRDefault="00E83F82" w:rsidP="001E1107">
            <w:pPr>
              <w:rPr>
                <w:sz w:val="20"/>
                <w:szCs w:val="20"/>
              </w:rPr>
            </w:pPr>
            <w:r>
              <w:rPr>
                <w:b/>
                <w:sz w:val="20"/>
                <w:szCs w:val="20"/>
              </w:rPr>
              <w:t>Component 3</w:t>
            </w:r>
            <w:r w:rsidR="00C72AA4" w:rsidRPr="00C82BEE">
              <w:rPr>
                <w:b/>
                <w:sz w:val="20"/>
                <w:szCs w:val="20"/>
              </w:rPr>
              <w:t xml:space="preserve">: </w:t>
            </w:r>
          </w:p>
          <w:p w:rsidR="00C72AA4" w:rsidRPr="00C82BEE" w:rsidRDefault="00F335B2" w:rsidP="001E1107">
            <w:pPr>
              <w:rPr>
                <w:sz w:val="20"/>
                <w:szCs w:val="20"/>
              </w:rPr>
            </w:pPr>
            <w:r w:rsidRPr="00C82BEE">
              <w:rPr>
                <w:sz w:val="20"/>
                <w:szCs w:val="20"/>
              </w:rPr>
              <w:t>Biodigesters</w:t>
            </w:r>
            <w:r w:rsidR="00C72AA4" w:rsidRPr="00C82BEE">
              <w:rPr>
                <w:sz w:val="20"/>
                <w:szCs w:val="20"/>
              </w:rPr>
              <w:t xml:space="preserve"> installed on at least two farms using grant financing</w:t>
            </w:r>
          </w:p>
          <w:p w:rsidR="00794AC7" w:rsidRDefault="00794AC7" w:rsidP="00E83F82">
            <w:pPr>
              <w:rPr>
                <w:sz w:val="20"/>
                <w:szCs w:val="20"/>
              </w:rPr>
            </w:pPr>
          </w:p>
          <w:p w:rsidR="00D519EF" w:rsidRDefault="00D519EF" w:rsidP="00E83F82">
            <w:pPr>
              <w:rPr>
                <w:sz w:val="20"/>
                <w:szCs w:val="20"/>
              </w:rPr>
            </w:pPr>
            <w:r w:rsidRPr="00C82BEE">
              <w:rPr>
                <w:sz w:val="20"/>
                <w:szCs w:val="20"/>
              </w:rPr>
              <w:t>Energy produced from Biogas un</w:t>
            </w:r>
            <w:r w:rsidR="00E83F82">
              <w:rPr>
                <w:sz w:val="20"/>
                <w:szCs w:val="20"/>
              </w:rPr>
              <w:t>its (KW/h</w:t>
            </w:r>
            <w:r w:rsidRPr="00C82BEE">
              <w:rPr>
                <w:sz w:val="20"/>
                <w:szCs w:val="20"/>
              </w:rPr>
              <w:t>)</w:t>
            </w:r>
          </w:p>
          <w:p w:rsidR="00794AC7" w:rsidRDefault="00794AC7" w:rsidP="00E83F82">
            <w:pPr>
              <w:rPr>
                <w:sz w:val="20"/>
                <w:szCs w:val="20"/>
              </w:rPr>
            </w:pPr>
          </w:p>
          <w:p w:rsidR="00794AC7" w:rsidRDefault="00794AC7" w:rsidP="00794AC7">
            <w:pPr>
              <w:rPr>
                <w:sz w:val="20"/>
                <w:szCs w:val="20"/>
              </w:rPr>
            </w:pPr>
            <w:r w:rsidRPr="00C82BEE">
              <w:rPr>
                <w:sz w:val="20"/>
                <w:szCs w:val="20"/>
              </w:rPr>
              <w:t xml:space="preserve">Improved operating efficiency of the participating farmers by at least 5% as a result of the new biodigester </w:t>
            </w:r>
            <w:r>
              <w:rPr>
                <w:sz w:val="20"/>
                <w:szCs w:val="20"/>
              </w:rPr>
              <w:t>technology</w:t>
            </w:r>
          </w:p>
          <w:p w:rsidR="00FE129C" w:rsidRPr="00FE129C" w:rsidRDefault="00FE129C" w:rsidP="00794AC7">
            <w:pPr>
              <w:rPr>
                <w:sz w:val="20"/>
                <w:szCs w:val="20"/>
              </w:rPr>
            </w:pPr>
          </w:p>
          <w:p w:rsidR="00794AC7" w:rsidRPr="00C82BEE" w:rsidRDefault="00FE129C" w:rsidP="00D16F31">
            <w:pPr>
              <w:rPr>
                <w:b/>
                <w:sz w:val="20"/>
                <w:szCs w:val="20"/>
              </w:rPr>
            </w:pPr>
            <w:r w:rsidRPr="00FE129C">
              <w:rPr>
                <w:sz w:val="20"/>
                <w:szCs w:val="20"/>
              </w:rPr>
              <w:t xml:space="preserve">Improved global and local air quality, by achieving </w:t>
            </w:r>
            <w:r w:rsidR="00D16F31">
              <w:rPr>
                <w:sz w:val="20"/>
                <w:szCs w:val="20"/>
              </w:rPr>
              <w:t>103,130</w:t>
            </w:r>
            <w:r w:rsidR="00B5709B" w:rsidRPr="00FE129C">
              <w:rPr>
                <w:sz w:val="20"/>
                <w:szCs w:val="20"/>
              </w:rPr>
              <w:t xml:space="preserve"> </w:t>
            </w:r>
            <w:r w:rsidRPr="00FE129C">
              <w:rPr>
                <w:sz w:val="20"/>
                <w:szCs w:val="20"/>
              </w:rPr>
              <w:t>t/CO</w:t>
            </w:r>
            <w:r w:rsidRPr="00FE129C">
              <w:rPr>
                <w:sz w:val="20"/>
                <w:szCs w:val="20"/>
                <w:vertAlign w:val="subscript"/>
              </w:rPr>
              <w:t>2</w:t>
            </w:r>
            <w:r w:rsidRPr="00FE129C">
              <w:rPr>
                <w:sz w:val="20"/>
                <w:szCs w:val="20"/>
              </w:rPr>
              <w:t xml:space="preserve"> GHG emission reductions through operation of biodigesters on </w:t>
            </w:r>
            <w:r w:rsidR="00B5709B">
              <w:rPr>
                <w:sz w:val="20"/>
                <w:szCs w:val="20"/>
              </w:rPr>
              <w:t xml:space="preserve">the two </w:t>
            </w:r>
            <w:r w:rsidRPr="00FE129C">
              <w:rPr>
                <w:sz w:val="20"/>
                <w:szCs w:val="20"/>
              </w:rPr>
              <w:t>pilot farms</w:t>
            </w:r>
            <w:r w:rsidR="00B5709B">
              <w:rPr>
                <w:sz w:val="20"/>
                <w:szCs w:val="20"/>
              </w:rPr>
              <w:t xml:space="preserve"> during investment lifetime</w:t>
            </w:r>
          </w:p>
        </w:tc>
        <w:tc>
          <w:tcPr>
            <w:tcW w:w="1080" w:type="dxa"/>
          </w:tcPr>
          <w:p w:rsidR="001E1107" w:rsidRPr="00C82BEE" w:rsidRDefault="001E1107" w:rsidP="00C82BEE">
            <w:pPr>
              <w:jc w:val="center"/>
              <w:rPr>
                <w:sz w:val="18"/>
                <w:szCs w:val="18"/>
              </w:rPr>
            </w:pPr>
          </w:p>
          <w:p w:rsidR="00A0524B" w:rsidRPr="00C82BEE" w:rsidRDefault="00A0524B" w:rsidP="00C82BEE">
            <w:pPr>
              <w:jc w:val="center"/>
              <w:rPr>
                <w:sz w:val="18"/>
                <w:szCs w:val="18"/>
              </w:rPr>
            </w:pPr>
          </w:p>
          <w:p w:rsidR="00A0524B" w:rsidRPr="00C82BEE" w:rsidRDefault="00E83F82" w:rsidP="00C82BEE">
            <w:pPr>
              <w:jc w:val="center"/>
              <w:rPr>
                <w:sz w:val="18"/>
                <w:szCs w:val="18"/>
              </w:rPr>
            </w:pPr>
            <w:r>
              <w:rPr>
                <w:sz w:val="18"/>
                <w:szCs w:val="18"/>
              </w:rPr>
              <w:t>0</w:t>
            </w:r>
          </w:p>
          <w:p w:rsidR="00A5632A" w:rsidRPr="00C82BEE" w:rsidRDefault="00A5632A" w:rsidP="00C82BEE">
            <w:pPr>
              <w:jc w:val="center"/>
              <w:rPr>
                <w:sz w:val="18"/>
                <w:szCs w:val="18"/>
              </w:rPr>
            </w:pPr>
          </w:p>
          <w:p w:rsidR="00A5632A" w:rsidRDefault="00A5632A" w:rsidP="00C82BEE">
            <w:pPr>
              <w:jc w:val="center"/>
              <w:rPr>
                <w:sz w:val="18"/>
                <w:szCs w:val="18"/>
              </w:rPr>
            </w:pPr>
          </w:p>
          <w:p w:rsidR="00433274" w:rsidRPr="00C82BEE" w:rsidRDefault="00433274" w:rsidP="00C82BEE">
            <w:pPr>
              <w:jc w:val="center"/>
              <w:rPr>
                <w:sz w:val="18"/>
                <w:szCs w:val="18"/>
              </w:rPr>
            </w:pPr>
          </w:p>
          <w:p w:rsidR="00794AC7" w:rsidRDefault="00E83F82" w:rsidP="00794AC7">
            <w:pPr>
              <w:jc w:val="center"/>
              <w:rPr>
                <w:sz w:val="18"/>
                <w:szCs w:val="18"/>
              </w:rPr>
            </w:pPr>
            <w:r>
              <w:rPr>
                <w:sz w:val="18"/>
                <w:szCs w:val="18"/>
              </w:rPr>
              <w:t>0</w:t>
            </w:r>
            <w:r w:rsidR="00794AC7">
              <w:rPr>
                <w:sz w:val="18"/>
                <w:szCs w:val="18"/>
              </w:rPr>
              <w:t xml:space="preserve"> </w:t>
            </w:r>
          </w:p>
          <w:p w:rsidR="00794AC7" w:rsidRDefault="00794AC7" w:rsidP="00794AC7">
            <w:pPr>
              <w:jc w:val="center"/>
              <w:rPr>
                <w:sz w:val="18"/>
                <w:szCs w:val="18"/>
              </w:rPr>
            </w:pPr>
          </w:p>
          <w:p w:rsidR="00794AC7" w:rsidRDefault="00794AC7" w:rsidP="00794AC7">
            <w:pPr>
              <w:jc w:val="center"/>
              <w:rPr>
                <w:sz w:val="18"/>
                <w:szCs w:val="18"/>
              </w:rPr>
            </w:pPr>
          </w:p>
          <w:p w:rsidR="00794AC7" w:rsidRDefault="00794AC7" w:rsidP="00794AC7">
            <w:pPr>
              <w:jc w:val="center"/>
              <w:rPr>
                <w:sz w:val="18"/>
                <w:szCs w:val="18"/>
              </w:rPr>
            </w:pPr>
          </w:p>
          <w:p w:rsidR="00794AC7" w:rsidRDefault="00794AC7" w:rsidP="00794AC7">
            <w:pPr>
              <w:jc w:val="center"/>
              <w:rPr>
                <w:sz w:val="18"/>
                <w:szCs w:val="18"/>
              </w:rPr>
            </w:pPr>
            <w:r>
              <w:rPr>
                <w:sz w:val="18"/>
                <w:szCs w:val="18"/>
              </w:rPr>
              <w:t>TBD</w:t>
            </w:r>
            <w:r>
              <w:rPr>
                <w:rStyle w:val="FootnoteReference"/>
                <w:sz w:val="18"/>
                <w:szCs w:val="18"/>
              </w:rPr>
              <w:footnoteReference w:id="8"/>
            </w:r>
          </w:p>
          <w:p w:rsidR="00A5632A" w:rsidRDefault="00A5632A" w:rsidP="00E83F82">
            <w:pPr>
              <w:jc w:val="center"/>
              <w:rPr>
                <w:sz w:val="18"/>
                <w:szCs w:val="18"/>
              </w:rPr>
            </w:pPr>
          </w:p>
          <w:p w:rsidR="00B038EE" w:rsidRDefault="00B038EE" w:rsidP="00E83F82">
            <w:pPr>
              <w:jc w:val="center"/>
              <w:rPr>
                <w:sz w:val="18"/>
                <w:szCs w:val="18"/>
              </w:rPr>
            </w:pPr>
          </w:p>
          <w:p w:rsidR="00B038EE" w:rsidRDefault="00B038EE" w:rsidP="00E83F82">
            <w:pPr>
              <w:jc w:val="center"/>
              <w:rPr>
                <w:sz w:val="18"/>
                <w:szCs w:val="18"/>
              </w:rPr>
            </w:pPr>
          </w:p>
          <w:p w:rsidR="00B038EE" w:rsidRDefault="00B038EE" w:rsidP="00716F3D">
            <w:pPr>
              <w:rPr>
                <w:sz w:val="18"/>
                <w:szCs w:val="18"/>
              </w:rPr>
            </w:pPr>
          </w:p>
          <w:p w:rsidR="00B038EE" w:rsidRPr="00C82BEE" w:rsidRDefault="00B038EE" w:rsidP="00E83F82">
            <w:pPr>
              <w:jc w:val="center"/>
              <w:rPr>
                <w:sz w:val="18"/>
                <w:szCs w:val="18"/>
              </w:rPr>
            </w:pPr>
            <w:r>
              <w:rPr>
                <w:sz w:val="18"/>
                <w:szCs w:val="18"/>
              </w:rPr>
              <w:t>0</w:t>
            </w:r>
          </w:p>
        </w:tc>
        <w:tc>
          <w:tcPr>
            <w:tcW w:w="900" w:type="dxa"/>
          </w:tcPr>
          <w:p w:rsidR="001E1107" w:rsidRPr="00C82BEE" w:rsidRDefault="001E1107" w:rsidP="001577D0">
            <w:pPr>
              <w:jc w:val="center"/>
              <w:rPr>
                <w:sz w:val="18"/>
                <w:szCs w:val="18"/>
              </w:rPr>
            </w:pPr>
          </w:p>
          <w:p w:rsidR="00A0524B" w:rsidRPr="00C82BEE" w:rsidRDefault="00A0524B" w:rsidP="001577D0">
            <w:pPr>
              <w:jc w:val="center"/>
              <w:rPr>
                <w:sz w:val="18"/>
                <w:szCs w:val="18"/>
              </w:rPr>
            </w:pPr>
          </w:p>
          <w:p w:rsidR="00A0524B" w:rsidRPr="00C82BEE" w:rsidRDefault="00A0524B" w:rsidP="001577D0">
            <w:pPr>
              <w:jc w:val="center"/>
              <w:rPr>
                <w:sz w:val="18"/>
                <w:szCs w:val="18"/>
              </w:rPr>
            </w:pPr>
            <w:r w:rsidRPr="00C82BEE">
              <w:rPr>
                <w:sz w:val="18"/>
                <w:szCs w:val="18"/>
              </w:rPr>
              <w:t>-</w:t>
            </w:r>
          </w:p>
          <w:p w:rsidR="00A5632A" w:rsidRPr="00C82BEE" w:rsidRDefault="00A5632A" w:rsidP="001577D0">
            <w:pPr>
              <w:jc w:val="center"/>
              <w:rPr>
                <w:sz w:val="18"/>
                <w:szCs w:val="18"/>
              </w:rPr>
            </w:pPr>
          </w:p>
          <w:p w:rsidR="00A5632A" w:rsidRPr="00C82BEE" w:rsidRDefault="00A5632A" w:rsidP="001577D0">
            <w:pPr>
              <w:jc w:val="center"/>
              <w:rPr>
                <w:sz w:val="18"/>
                <w:szCs w:val="18"/>
              </w:rPr>
            </w:pPr>
          </w:p>
          <w:p w:rsidR="00433274" w:rsidRDefault="00433274" w:rsidP="001577D0">
            <w:pPr>
              <w:jc w:val="center"/>
              <w:rPr>
                <w:sz w:val="18"/>
                <w:szCs w:val="18"/>
              </w:rPr>
            </w:pPr>
          </w:p>
          <w:p w:rsidR="00A5632A" w:rsidRDefault="00A5632A" w:rsidP="001577D0">
            <w:pPr>
              <w:jc w:val="center"/>
              <w:rPr>
                <w:sz w:val="18"/>
                <w:szCs w:val="18"/>
              </w:rPr>
            </w:pPr>
            <w:r w:rsidRPr="00C82BEE">
              <w:rPr>
                <w:sz w:val="18"/>
                <w:szCs w:val="18"/>
              </w:rPr>
              <w:t>-</w:t>
            </w:r>
          </w:p>
          <w:p w:rsidR="00794AC7" w:rsidRDefault="00794AC7" w:rsidP="001577D0">
            <w:pPr>
              <w:jc w:val="center"/>
              <w:rPr>
                <w:sz w:val="18"/>
                <w:szCs w:val="18"/>
              </w:rPr>
            </w:pPr>
          </w:p>
          <w:p w:rsidR="00794AC7" w:rsidRDefault="00794AC7" w:rsidP="001577D0">
            <w:pPr>
              <w:jc w:val="center"/>
              <w:rPr>
                <w:sz w:val="18"/>
                <w:szCs w:val="18"/>
              </w:rPr>
            </w:pPr>
          </w:p>
          <w:p w:rsidR="00794AC7" w:rsidRDefault="00794AC7" w:rsidP="001577D0">
            <w:pPr>
              <w:jc w:val="center"/>
              <w:rPr>
                <w:sz w:val="18"/>
                <w:szCs w:val="18"/>
              </w:rPr>
            </w:pPr>
          </w:p>
          <w:p w:rsidR="00794AC7" w:rsidRDefault="00794AC7" w:rsidP="001577D0">
            <w:pPr>
              <w:jc w:val="center"/>
              <w:rPr>
                <w:sz w:val="18"/>
                <w:szCs w:val="18"/>
              </w:rPr>
            </w:pPr>
            <w:r>
              <w:rPr>
                <w:sz w:val="18"/>
                <w:szCs w:val="18"/>
              </w:rPr>
              <w:t>-</w:t>
            </w:r>
          </w:p>
          <w:p w:rsidR="00B038EE" w:rsidRDefault="00B038EE" w:rsidP="001577D0">
            <w:pPr>
              <w:jc w:val="center"/>
              <w:rPr>
                <w:sz w:val="18"/>
                <w:szCs w:val="18"/>
              </w:rPr>
            </w:pPr>
          </w:p>
          <w:p w:rsidR="00B038EE" w:rsidRDefault="00B038EE" w:rsidP="001577D0">
            <w:pPr>
              <w:jc w:val="center"/>
              <w:rPr>
                <w:sz w:val="18"/>
                <w:szCs w:val="18"/>
              </w:rPr>
            </w:pPr>
          </w:p>
          <w:p w:rsidR="00B038EE" w:rsidRDefault="00B038EE" w:rsidP="00716F3D">
            <w:pPr>
              <w:rPr>
                <w:sz w:val="18"/>
                <w:szCs w:val="18"/>
              </w:rPr>
            </w:pPr>
          </w:p>
          <w:p w:rsidR="00B038EE" w:rsidRDefault="00B038EE" w:rsidP="001577D0">
            <w:pPr>
              <w:jc w:val="center"/>
              <w:rPr>
                <w:sz w:val="18"/>
                <w:szCs w:val="18"/>
              </w:rPr>
            </w:pPr>
          </w:p>
          <w:p w:rsidR="00B038EE" w:rsidRPr="00C82BEE" w:rsidRDefault="00B038EE" w:rsidP="001577D0">
            <w:pPr>
              <w:jc w:val="center"/>
              <w:rPr>
                <w:sz w:val="18"/>
                <w:szCs w:val="18"/>
              </w:rPr>
            </w:pPr>
            <w:r>
              <w:rPr>
                <w:sz w:val="18"/>
                <w:szCs w:val="18"/>
              </w:rPr>
              <w:t>-</w:t>
            </w:r>
          </w:p>
        </w:tc>
        <w:tc>
          <w:tcPr>
            <w:tcW w:w="900" w:type="dxa"/>
          </w:tcPr>
          <w:p w:rsidR="001E1107" w:rsidRPr="00C82BEE" w:rsidRDefault="001E1107" w:rsidP="001577D0">
            <w:pPr>
              <w:jc w:val="center"/>
              <w:rPr>
                <w:sz w:val="18"/>
                <w:szCs w:val="18"/>
              </w:rPr>
            </w:pPr>
          </w:p>
          <w:p w:rsidR="00A0524B" w:rsidRPr="00C82BEE" w:rsidRDefault="00A0524B" w:rsidP="001577D0">
            <w:pPr>
              <w:jc w:val="center"/>
              <w:rPr>
                <w:sz w:val="18"/>
                <w:szCs w:val="18"/>
              </w:rPr>
            </w:pPr>
          </w:p>
          <w:p w:rsidR="00A0524B" w:rsidRPr="00C82BEE" w:rsidRDefault="00A0524B" w:rsidP="001577D0">
            <w:pPr>
              <w:jc w:val="center"/>
              <w:rPr>
                <w:sz w:val="18"/>
                <w:szCs w:val="18"/>
              </w:rPr>
            </w:pPr>
            <w:r w:rsidRPr="00C82BEE">
              <w:rPr>
                <w:sz w:val="18"/>
                <w:szCs w:val="18"/>
              </w:rPr>
              <w:t>1</w:t>
            </w:r>
          </w:p>
          <w:p w:rsidR="00A5632A" w:rsidRPr="00C82BEE" w:rsidRDefault="00A5632A" w:rsidP="001577D0">
            <w:pPr>
              <w:jc w:val="center"/>
              <w:rPr>
                <w:sz w:val="18"/>
                <w:szCs w:val="18"/>
              </w:rPr>
            </w:pPr>
          </w:p>
          <w:p w:rsidR="00A5632A" w:rsidRPr="00C82BEE" w:rsidRDefault="00A5632A" w:rsidP="001577D0">
            <w:pPr>
              <w:jc w:val="center"/>
              <w:rPr>
                <w:sz w:val="18"/>
                <w:szCs w:val="18"/>
              </w:rPr>
            </w:pPr>
          </w:p>
          <w:p w:rsidR="00433274" w:rsidRDefault="00433274" w:rsidP="001577D0">
            <w:pPr>
              <w:jc w:val="center"/>
              <w:rPr>
                <w:sz w:val="18"/>
                <w:szCs w:val="18"/>
              </w:rPr>
            </w:pPr>
          </w:p>
          <w:p w:rsidR="00A5632A" w:rsidRDefault="00433274" w:rsidP="001577D0">
            <w:pPr>
              <w:jc w:val="center"/>
              <w:rPr>
                <w:sz w:val="18"/>
                <w:szCs w:val="18"/>
              </w:rPr>
            </w:pPr>
            <w:r>
              <w:rPr>
                <w:sz w:val="18"/>
                <w:szCs w:val="18"/>
              </w:rPr>
              <w:t>115,000</w:t>
            </w:r>
          </w:p>
          <w:p w:rsidR="00794AC7" w:rsidRDefault="00794AC7" w:rsidP="001577D0">
            <w:pPr>
              <w:jc w:val="center"/>
              <w:rPr>
                <w:sz w:val="18"/>
                <w:szCs w:val="18"/>
              </w:rPr>
            </w:pPr>
          </w:p>
          <w:p w:rsidR="00794AC7" w:rsidRDefault="00794AC7" w:rsidP="001577D0">
            <w:pPr>
              <w:jc w:val="center"/>
              <w:rPr>
                <w:sz w:val="18"/>
                <w:szCs w:val="18"/>
              </w:rPr>
            </w:pPr>
          </w:p>
          <w:p w:rsidR="00794AC7" w:rsidRDefault="00794AC7" w:rsidP="001577D0">
            <w:pPr>
              <w:jc w:val="center"/>
              <w:rPr>
                <w:sz w:val="18"/>
                <w:szCs w:val="18"/>
              </w:rPr>
            </w:pPr>
          </w:p>
          <w:p w:rsidR="00794AC7" w:rsidRDefault="00794AC7" w:rsidP="001577D0">
            <w:pPr>
              <w:jc w:val="center"/>
              <w:rPr>
                <w:sz w:val="18"/>
                <w:szCs w:val="18"/>
              </w:rPr>
            </w:pPr>
            <w:r>
              <w:rPr>
                <w:sz w:val="18"/>
                <w:szCs w:val="18"/>
              </w:rPr>
              <w:t>-</w:t>
            </w:r>
          </w:p>
          <w:p w:rsidR="00B038EE" w:rsidRDefault="00B038EE" w:rsidP="001577D0">
            <w:pPr>
              <w:jc w:val="center"/>
              <w:rPr>
                <w:sz w:val="18"/>
                <w:szCs w:val="18"/>
              </w:rPr>
            </w:pPr>
          </w:p>
          <w:p w:rsidR="00B038EE" w:rsidRDefault="00B038EE" w:rsidP="001577D0">
            <w:pPr>
              <w:jc w:val="center"/>
              <w:rPr>
                <w:sz w:val="18"/>
                <w:szCs w:val="18"/>
              </w:rPr>
            </w:pPr>
          </w:p>
          <w:p w:rsidR="00B038EE" w:rsidRDefault="00B038EE" w:rsidP="001577D0">
            <w:pPr>
              <w:jc w:val="center"/>
              <w:rPr>
                <w:sz w:val="18"/>
                <w:szCs w:val="18"/>
              </w:rPr>
            </w:pPr>
          </w:p>
          <w:p w:rsidR="00B038EE" w:rsidRDefault="00B038EE" w:rsidP="00716F3D">
            <w:pPr>
              <w:rPr>
                <w:sz w:val="18"/>
                <w:szCs w:val="18"/>
              </w:rPr>
            </w:pPr>
          </w:p>
          <w:p w:rsidR="00B038EE" w:rsidRPr="00C82BEE" w:rsidRDefault="00D16F31" w:rsidP="001577D0">
            <w:pPr>
              <w:jc w:val="center"/>
              <w:rPr>
                <w:sz w:val="18"/>
                <w:szCs w:val="18"/>
              </w:rPr>
            </w:pPr>
            <w:r>
              <w:rPr>
                <w:sz w:val="18"/>
                <w:szCs w:val="18"/>
              </w:rPr>
              <w:t>2,578</w:t>
            </w:r>
          </w:p>
        </w:tc>
        <w:tc>
          <w:tcPr>
            <w:tcW w:w="1080" w:type="dxa"/>
          </w:tcPr>
          <w:p w:rsidR="001E1107" w:rsidRPr="00C82BEE" w:rsidRDefault="001E1107" w:rsidP="001577D0">
            <w:pPr>
              <w:jc w:val="center"/>
              <w:rPr>
                <w:sz w:val="18"/>
                <w:szCs w:val="18"/>
              </w:rPr>
            </w:pPr>
          </w:p>
          <w:p w:rsidR="00A0524B" w:rsidRPr="00C82BEE" w:rsidRDefault="00A0524B" w:rsidP="001577D0">
            <w:pPr>
              <w:jc w:val="center"/>
              <w:rPr>
                <w:sz w:val="18"/>
                <w:szCs w:val="18"/>
              </w:rPr>
            </w:pPr>
          </w:p>
          <w:p w:rsidR="00A0524B" w:rsidRPr="00C82BEE" w:rsidRDefault="00A0524B" w:rsidP="001577D0">
            <w:pPr>
              <w:jc w:val="center"/>
              <w:rPr>
                <w:sz w:val="18"/>
                <w:szCs w:val="18"/>
              </w:rPr>
            </w:pPr>
            <w:r w:rsidRPr="00C82BEE">
              <w:rPr>
                <w:sz w:val="18"/>
                <w:szCs w:val="18"/>
              </w:rPr>
              <w:t>2</w:t>
            </w:r>
          </w:p>
          <w:p w:rsidR="00A5632A" w:rsidRPr="00C82BEE" w:rsidRDefault="00A5632A" w:rsidP="001577D0">
            <w:pPr>
              <w:jc w:val="center"/>
              <w:rPr>
                <w:sz w:val="18"/>
                <w:szCs w:val="18"/>
              </w:rPr>
            </w:pPr>
          </w:p>
          <w:p w:rsidR="00A5632A" w:rsidRPr="00C82BEE" w:rsidRDefault="00A5632A" w:rsidP="001577D0">
            <w:pPr>
              <w:jc w:val="center"/>
              <w:rPr>
                <w:sz w:val="18"/>
                <w:szCs w:val="18"/>
              </w:rPr>
            </w:pPr>
          </w:p>
          <w:p w:rsidR="00A5632A" w:rsidRDefault="00A5632A" w:rsidP="001577D0">
            <w:pPr>
              <w:jc w:val="center"/>
              <w:rPr>
                <w:sz w:val="18"/>
                <w:szCs w:val="18"/>
              </w:rPr>
            </w:pPr>
          </w:p>
          <w:p w:rsidR="00433274" w:rsidRDefault="001577D0" w:rsidP="001577D0">
            <w:pPr>
              <w:jc w:val="center"/>
              <w:rPr>
                <w:sz w:val="18"/>
                <w:szCs w:val="18"/>
              </w:rPr>
            </w:pPr>
            <w:r>
              <w:rPr>
                <w:sz w:val="18"/>
                <w:szCs w:val="18"/>
              </w:rPr>
              <w:t>460,000</w:t>
            </w:r>
          </w:p>
          <w:p w:rsidR="00794AC7" w:rsidRDefault="00794AC7" w:rsidP="001577D0">
            <w:pPr>
              <w:jc w:val="center"/>
              <w:rPr>
                <w:sz w:val="18"/>
                <w:szCs w:val="18"/>
              </w:rPr>
            </w:pPr>
          </w:p>
          <w:p w:rsidR="00794AC7" w:rsidRDefault="00794AC7" w:rsidP="001577D0">
            <w:pPr>
              <w:jc w:val="center"/>
              <w:rPr>
                <w:sz w:val="18"/>
                <w:szCs w:val="18"/>
              </w:rPr>
            </w:pPr>
          </w:p>
          <w:p w:rsidR="00794AC7" w:rsidRDefault="00794AC7" w:rsidP="001577D0">
            <w:pPr>
              <w:jc w:val="center"/>
              <w:rPr>
                <w:sz w:val="18"/>
                <w:szCs w:val="18"/>
              </w:rPr>
            </w:pPr>
          </w:p>
          <w:p w:rsidR="00794AC7" w:rsidRDefault="00794AC7" w:rsidP="001577D0">
            <w:pPr>
              <w:jc w:val="center"/>
              <w:rPr>
                <w:sz w:val="18"/>
                <w:szCs w:val="18"/>
              </w:rPr>
            </w:pPr>
            <w:r>
              <w:rPr>
                <w:sz w:val="18"/>
                <w:szCs w:val="18"/>
              </w:rPr>
              <w:t>5%</w:t>
            </w:r>
          </w:p>
          <w:p w:rsidR="00B038EE" w:rsidRDefault="00B038EE" w:rsidP="001577D0">
            <w:pPr>
              <w:jc w:val="center"/>
              <w:rPr>
                <w:sz w:val="18"/>
                <w:szCs w:val="18"/>
              </w:rPr>
            </w:pPr>
          </w:p>
          <w:p w:rsidR="00B038EE" w:rsidRDefault="00B038EE" w:rsidP="001577D0">
            <w:pPr>
              <w:jc w:val="center"/>
              <w:rPr>
                <w:sz w:val="18"/>
                <w:szCs w:val="18"/>
              </w:rPr>
            </w:pPr>
          </w:p>
          <w:p w:rsidR="00B038EE" w:rsidRDefault="00B038EE" w:rsidP="00716F3D">
            <w:pPr>
              <w:rPr>
                <w:sz w:val="18"/>
                <w:szCs w:val="18"/>
              </w:rPr>
            </w:pPr>
          </w:p>
          <w:p w:rsidR="00B038EE" w:rsidRDefault="00B038EE" w:rsidP="001577D0">
            <w:pPr>
              <w:jc w:val="center"/>
              <w:rPr>
                <w:sz w:val="18"/>
                <w:szCs w:val="18"/>
              </w:rPr>
            </w:pPr>
          </w:p>
          <w:p w:rsidR="00B038EE" w:rsidRPr="00C82BEE" w:rsidRDefault="00D16F31" w:rsidP="001577D0">
            <w:pPr>
              <w:jc w:val="center"/>
              <w:rPr>
                <w:sz w:val="18"/>
                <w:szCs w:val="18"/>
              </w:rPr>
            </w:pPr>
            <w:r>
              <w:rPr>
                <w:sz w:val="18"/>
                <w:szCs w:val="18"/>
              </w:rPr>
              <w:t>10,313</w:t>
            </w:r>
          </w:p>
        </w:tc>
        <w:tc>
          <w:tcPr>
            <w:tcW w:w="1620" w:type="dxa"/>
          </w:tcPr>
          <w:p w:rsidR="001E1107" w:rsidRPr="00C82BEE" w:rsidRDefault="001E1107" w:rsidP="001577D0">
            <w:pPr>
              <w:jc w:val="center"/>
              <w:rPr>
                <w:sz w:val="18"/>
                <w:szCs w:val="18"/>
              </w:rPr>
            </w:pPr>
          </w:p>
          <w:p w:rsidR="000F4548" w:rsidRPr="00C82BEE" w:rsidRDefault="000F4548" w:rsidP="001577D0">
            <w:pPr>
              <w:jc w:val="center"/>
              <w:rPr>
                <w:sz w:val="18"/>
                <w:szCs w:val="18"/>
              </w:rPr>
            </w:pPr>
          </w:p>
          <w:p w:rsidR="00A5632A" w:rsidRPr="00C82BEE" w:rsidRDefault="00A0524B" w:rsidP="001577D0">
            <w:pPr>
              <w:jc w:val="center"/>
              <w:rPr>
                <w:sz w:val="18"/>
                <w:szCs w:val="18"/>
              </w:rPr>
            </w:pPr>
            <w:r w:rsidRPr="00C82BEE">
              <w:rPr>
                <w:sz w:val="18"/>
                <w:szCs w:val="18"/>
              </w:rPr>
              <w:t>Semi-annual and annual reports</w:t>
            </w:r>
          </w:p>
          <w:p w:rsidR="00A5632A" w:rsidRPr="00C82BEE" w:rsidRDefault="00A5632A" w:rsidP="001577D0">
            <w:pPr>
              <w:jc w:val="center"/>
              <w:rPr>
                <w:sz w:val="18"/>
                <w:szCs w:val="18"/>
              </w:rPr>
            </w:pPr>
          </w:p>
          <w:p w:rsidR="001577D0" w:rsidRDefault="001577D0" w:rsidP="001577D0">
            <w:pPr>
              <w:jc w:val="center"/>
              <w:rPr>
                <w:sz w:val="18"/>
                <w:szCs w:val="18"/>
              </w:rPr>
            </w:pPr>
          </w:p>
          <w:p w:rsidR="00A5632A" w:rsidRDefault="00B038EE" w:rsidP="001577D0">
            <w:pPr>
              <w:jc w:val="center"/>
              <w:rPr>
                <w:sz w:val="18"/>
                <w:szCs w:val="18"/>
              </w:rPr>
            </w:pPr>
            <w:r>
              <w:rPr>
                <w:sz w:val="18"/>
                <w:szCs w:val="18"/>
              </w:rPr>
              <w:t xml:space="preserve">Ad hoc </w:t>
            </w:r>
            <w:r w:rsidR="00E83F82">
              <w:rPr>
                <w:sz w:val="18"/>
                <w:szCs w:val="18"/>
              </w:rPr>
              <w:t>Monitoring S</w:t>
            </w:r>
            <w:r w:rsidR="00A5632A" w:rsidRPr="00C82BEE">
              <w:rPr>
                <w:sz w:val="18"/>
                <w:szCs w:val="18"/>
              </w:rPr>
              <w:t>urvey</w:t>
            </w:r>
            <w:r w:rsidR="00E83F82">
              <w:rPr>
                <w:sz w:val="18"/>
                <w:szCs w:val="18"/>
              </w:rPr>
              <w:t>s</w:t>
            </w:r>
          </w:p>
          <w:p w:rsidR="00794AC7" w:rsidRDefault="00794AC7" w:rsidP="001577D0">
            <w:pPr>
              <w:jc w:val="center"/>
              <w:rPr>
                <w:sz w:val="18"/>
                <w:szCs w:val="18"/>
              </w:rPr>
            </w:pPr>
          </w:p>
          <w:p w:rsidR="00794AC7" w:rsidRDefault="00794AC7" w:rsidP="001577D0">
            <w:pPr>
              <w:jc w:val="center"/>
              <w:rPr>
                <w:sz w:val="18"/>
                <w:szCs w:val="18"/>
              </w:rPr>
            </w:pPr>
          </w:p>
          <w:p w:rsidR="00794AC7" w:rsidRDefault="00794AC7" w:rsidP="001577D0">
            <w:pPr>
              <w:jc w:val="center"/>
              <w:rPr>
                <w:sz w:val="18"/>
                <w:szCs w:val="18"/>
              </w:rPr>
            </w:pPr>
            <w:r w:rsidRPr="00C82BEE">
              <w:rPr>
                <w:sz w:val="18"/>
                <w:szCs w:val="18"/>
              </w:rPr>
              <w:t>End of project</w:t>
            </w:r>
          </w:p>
          <w:p w:rsidR="00B038EE" w:rsidRDefault="00B038EE" w:rsidP="001577D0">
            <w:pPr>
              <w:jc w:val="center"/>
              <w:rPr>
                <w:sz w:val="18"/>
                <w:szCs w:val="18"/>
              </w:rPr>
            </w:pPr>
          </w:p>
          <w:p w:rsidR="00B038EE" w:rsidRDefault="00B038EE" w:rsidP="001577D0">
            <w:pPr>
              <w:jc w:val="center"/>
              <w:rPr>
                <w:sz w:val="18"/>
                <w:szCs w:val="18"/>
              </w:rPr>
            </w:pPr>
          </w:p>
          <w:p w:rsidR="00B038EE" w:rsidRDefault="00B038EE" w:rsidP="001577D0">
            <w:pPr>
              <w:jc w:val="center"/>
              <w:rPr>
                <w:sz w:val="18"/>
                <w:szCs w:val="18"/>
              </w:rPr>
            </w:pPr>
          </w:p>
          <w:p w:rsidR="00B038EE" w:rsidRDefault="00B038EE" w:rsidP="00716F3D">
            <w:pPr>
              <w:rPr>
                <w:sz w:val="18"/>
                <w:szCs w:val="18"/>
              </w:rPr>
            </w:pPr>
          </w:p>
          <w:p w:rsidR="00B038EE" w:rsidRPr="00C82BEE" w:rsidRDefault="00B038EE" w:rsidP="001577D0">
            <w:pPr>
              <w:jc w:val="center"/>
              <w:rPr>
                <w:sz w:val="18"/>
                <w:szCs w:val="18"/>
              </w:rPr>
            </w:pPr>
            <w:r w:rsidRPr="00C82BEE">
              <w:rPr>
                <w:sz w:val="18"/>
                <w:szCs w:val="18"/>
              </w:rPr>
              <w:t>Semi-annual and annual reports</w:t>
            </w:r>
          </w:p>
          <w:p w:rsidR="00B038EE" w:rsidRPr="00C82BEE" w:rsidRDefault="00B038EE" w:rsidP="001577D0">
            <w:pPr>
              <w:jc w:val="center"/>
              <w:rPr>
                <w:sz w:val="18"/>
                <w:szCs w:val="18"/>
              </w:rPr>
            </w:pPr>
          </w:p>
          <w:p w:rsidR="00A5632A" w:rsidRPr="00C82BEE" w:rsidRDefault="00A5632A" w:rsidP="001577D0">
            <w:pPr>
              <w:jc w:val="center"/>
              <w:rPr>
                <w:sz w:val="18"/>
                <w:szCs w:val="18"/>
              </w:rPr>
            </w:pPr>
          </w:p>
        </w:tc>
        <w:tc>
          <w:tcPr>
            <w:tcW w:w="1440" w:type="dxa"/>
          </w:tcPr>
          <w:p w:rsidR="001E1107" w:rsidRPr="00C82BEE" w:rsidRDefault="001E1107" w:rsidP="001577D0">
            <w:pPr>
              <w:jc w:val="center"/>
              <w:rPr>
                <w:sz w:val="18"/>
                <w:szCs w:val="18"/>
              </w:rPr>
            </w:pPr>
          </w:p>
          <w:p w:rsidR="000F4548" w:rsidRPr="00C82BEE" w:rsidRDefault="000F4548" w:rsidP="001577D0">
            <w:pPr>
              <w:jc w:val="center"/>
              <w:rPr>
                <w:sz w:val="18"/>
                <w:szCs w:val="18"/>
              </w:rPr>
            </w:pPr>
          </w:p>
          <w:p w:rsidR="00A0524B" w:rsidRPr="00C82BEE" w:rsidRDefault="00A0524B" w:rsidP="001577D0">
            <w:pPr>
              <w:jc w:val="center"/>
              <w:rPr>
                <w:sz w:val="18"/>
                <w:szCs w:val="18"/>
              </w:rPr>
            </w:pPr>
            <w:r w:rsidRPr="00C82BEE">
              <w:rPr>
                <w:sz w:val="18"/>
                <w:szCs w:val="18"/>
              </w:rPr>
              <w:t>Reports of Beneficiaries</w:t>
            </w:r>
          </w:p>
          <w:p w:rsidR="00A5632A" w:rsidRPr="00C82BEE" w:rsidRDefault="00A5632A" w:rsidP="001577D0">
            <w:pPr>
              <w:jc w:val="center"/>
              <w:rPr>
                <w:sz w:val="18"/>
                <w:szCs w:val="18"/>
              </w:rPr>
            </w:pPr>
          </w:p>
          <w:p w:rsidR="001577D0" w:rsidRDefault="001577D0" w:rsidP="001577D0">
            <w:pPr>
              <w:jc w:val="center"/>
              <w:rPr>
                <w:sz w:val="18"/>
                <w:szCs w:val="18"/>
              </w:rPr>
            </w:pPr>
          </w:p>
          <w:p w:rsidR="00794AC7" w:rsidRDefault="00A5632A" w:rsidP="001577D0">
            <w:pPr>
              <w:jc w:val="center"/>
              <w:rPr>
                <w:sz w:val="18"/>
                <w:szCs w:val="18"/>
              </w:rPr>
            </w:pPr>
            <w:r w:rsidRPr="00C82BEE">
              <w:rPr>
                <w:sz w:val="18"/>
                <w:szCs w:val="18"/>
              </w:rPr>
              <w:t>Reports of Beneficiaries</w:t>
            </w:r>
          </w:p>
          <w:p w:rsidR="00794AC7" w:rsidRDefault="00794AC7" w:rsidP="001577D0">
            <w:pPr>
              <w:jc w:val="center"/>
              <w:rPr>
                <w:sz w:val="18"/>
                <w:szCs w:val="18"/>
              </w:rPr>
            </w:pPr>
          </w:p>
          <w:p w:rsidR="00794AC7" w:rsidRDefault="00794AC7" w:rsidP="001577D0">
            <w:pPr>
              <w:jc w:val="center"/>
              <w:rPr>
                <w:sz w:val="18"/>
                <w:szCs w:val="18"/>
              </w:rPr>
            </w:pPr>
          </w:p>
          <w:p w:rsidR="00794AC7" w:rsidRDefault="00794AC7" w:rsidP="001577D0">
            <w:pPr>
              <w:jc w:val="center"/>
              <w:rPr>
                <w:sz w:val="18"/>
                <w:szCs w:val="18"/>
              </w:rPr>
            </w:pPr>
            <w:r>
              <w:rPr>
                <w:sz w:val="18"/>
                <w:szCs w:val="18"/>
              </w:rPr>
              <w:t>Project Evaluation R</w:t>
            </w:r>
            <w:r w:rsidR="00B038EE">
              <w:rPr>
                <w:sz w:val="18"/>
                <w:szCs w:val="18"/>
              </w:rPr>
              <w:t>eport</w:t>
            </w:r>
          </w:p>
          <w:p w:rsidR="00B038EE" w:rsidRDefault="00B038EE" w:rsidP="00716F3D">
            <w:pPr>
              <w:rPr>
                <w:sz w:val="18"/>
                <w:szCs w:val="18"/>
              </w:rPr>
            </w:pPr>
          </w:p>
          <w:p w:rsidR="00B038EE" w:rsidRDefault="00B038EE" w:rsidP="001577D0">
            <w:pPr>
              <w:jc w:val="center"/>
              <w:rPr>
                <w:sz w:val="18"/>
                <w:szCs w:val="18"/>
              </w:rPr>
            </w:pPr>
          </w:p>
          <w:p w:rsidR="00B038EE" w:rsidRPr="00C82BEE" w:rsidRDefault="00B038EE" w:rsidP="001577D0">
            <w:pPr>
              <w:jc w:val="center"/>
              <w:rPr>
                <w:sz w:val="18"/>
                <w:szCs w:val="18"/>
              </w:rPr>
            </w:pPr>
            <w:r>
              <w:rPr>
                <w:sz w:val="18"/>
                <w:szCs w:val="18"/>
              </w:rPr>
              <w:t>Monitoring Reports</w:t>
            </w:r>
          </w:p>
          <w:p w:rsidR="00B038EE" w:rsidRPr="00C82BEE" w:rsidRDefault="00B038EE" w:rsidP="001577D0">
            <w:pPr>
              <w:jc w:val="center"/>
              <w:rPr>
                <w:sz w:val="18"/>
                <w:szCs w:val="18"/>
              </w:rPr>
            </w:pPr>
          </w:p>
        </w:tc>
        <w:tc>
          <w:tcPr>
            <w:tcW w:w="1617" w:type="dxa"/>
          </w:tcPr>
          <w:p w:rsidR="001E1107" w:rsidRPr="00C82BEE" w:rsidRDefault="001E1107" w:rsidP="001577D0">
            <w:pPr>
              <w:jc w:val="center"/>
              <w:rPr>
                <w:sz w:val="18"/>
                <w:szCs w:val="18"/>
              </w:rPr>
            </w:pPr>
          </w:p>
          <w:p w:rsidR="000F4548" w:rsidRPr="00C82BEE" w:rsidRDefault="000F4548" w:rsidP="001577D0">
            <w:pPr>
              <w:jc w:val="center"/>
              <w:rPr>
                <w:sz w:val="18"/>
                <w:szCs w:val="18"/>
              </w:rPr>
            </w:pPr>
          </w:p>
          <w:p w:rsidR="00A0524B" w:rsidRPr="00C82BEE" w:rsidRDefault="000074FF" w:rsidP="001577D0">
            <w:pPr>
              <w:jc w:val="center"/>
              <w:rPr>
                <w:sz w:val="18"/>
                <w:szCs w:val="18"/>
              </w:rPr>
            </w:pPr>
            <w:r>
              <w:rPr>
                <w:sz w:val="18"/>
                <w:szCs w:val="18"/>
              </w:rPr>
              <w:t>PI</w:t>
            </w:r>
            <w:r w:rsidR="00A0524B" w:rsidRPr="00C82BEE">
              <w:rPr>
                <w:sz w:val="18"/>
                <w:szCs w:val="18"/>
              </w:rPr>
              <w:t>U</w:t>
            </w:r>
          </w:p>
          <w:p w:rsidR="00A5632A" w:rsidRPr="00C82BEE" w:rsidRDefault="00A5632A" w:rsidP="001577D0">
            <w:pPr>
              <w:jc w:val="center"/>
              <w:rPr>
                <w:sz w:val="18"/>
                <w:szCs w:val="18"/>
              </w:rPr>
            </w:pPr>
          </w:p>
          <w:p w:rsidR="00A5632A" w:rsidRPr="00C82BEE" w:rsidRDefault="00A5632A" w:rsidP="001577D0">
            <w:pPr>
              <w:jc w:val="center"/>
              <w:rPr>
                <w:sz w:val="18"/>
                <w:szCs w:val="18"/>
              </w:rPr>
            </w:pPr>
          </w:p>
          <w:p w:rsidR="001577D0" w:rsidRDefault="001577D0" w:rsidP="001577D0">
            <w:pPr>
              <w:jc w:val="center"/>
              <w:rPr>
                <w:sz w:val="18"/>
                <w:szCs w:val="18"/>
              </w:rPr>
            </w:pPr>
          </w:p>
          <w:p w:rsidR="00A5632A" w:rsidRDefault="000074FF" w:rsidP="001577D0">
            <w:pPr>
              <w:jc w:val="center"/>
              <w:rPr>
                <w:sz w:val="18"/>
                <w:szCs w:val="18"/>
              </w:rPr>
            </w:pPr>
            <w:r>
              <w:rPr>
                <w:sz w:val="18"/>
                <w:szCs w:val="18"/>
              </w:rPr>
              <w:t>PI</w:t>
            </w:r>
            <w:r w:rsidR="00A5632A" w:rsidRPr="00C82BEE">
              <w:rPr>
                <w:sz w:val="18"/>
                <w:szCs w:val="18"/>
              </w:rPr>
              <w:t>U</w:t>
            </w:r>
          </w:p>
          <w:p w:rsidR="006444CB" w:rsidRDefault="006444CB" w:rsidP="001577D0">
            <w:pPr>
              <w:jc w:val="center"/>
              <w:rPr>
                <w:sz w:val="18"/>
                <w:szCs w:val="18"/>
              </w:rPr>
            </w:pPr>
          </w:p>
          <w:p w:rsidR="006444CB" w:rsidRDefault="006444CB" w:rsidP="001577D0">
            <w:pPr>
              <w:jc w:val="center"/>
              <w:rPr>
                <w:sz w:val="18"/>
                <w:szCs w:val="18"/>
              </w:rPr>
            </w:pPr>
          </w:p>
          <w:p w:rsidR="006444CB" w:rsidRDefault="006444CB" w:rsidP="001577D0">
            <w:pPr>
              <w:jc w:val="center"/>
              <w:rPr>
                <w:sz w:val="18"/>
                <w:szCs w:val="18"/>
              </w:rPr>
            </w:pPr>
          </w:p>
          <w:p w:rsidR="006444CB" w:rsidRDefault="006444CB" w:rsidP="001577D0">
            <w:pPr>
              <w:jc w:val="center"/>
              <w:rPr>
                <w:sz w:val="18"/>
                <w:szCs w:val="18"/>
              </w:rPr>
            </w:pPr>
            <w:r>
              <w:rPr>
                <w:sz w:val="18"/>
                <w:szCs w:val="18"/>
              </w:rPr>
              <w:t>PIU</w:t>
            </w:r>
          </w:p>
          <w:p w:rsidR="00B038EE" w:rsidRDefault="00B038EE" w:rsidP="001577D0">
            <w:pPr>
              <w:jc w:val="center"/>
              <w:rPr>
                <w:sz w:val="18"/>
                <w:szCs w:val="18"/>
              </w:rPr>
            </w:pPr>
          </w:p>
          <w:p w:rsidR="00B038EE" w:rsidRDefault="00B038EE" w:rsidP="001577D0">
            <w:pPr>
              <w:jc w:val="center"/>
              <w:rPr>
                <w:sz w:val="18"/>
                <w:szCs w:val="18"/>
              </w:rPr>
            </w:pPr>
          </w:p>
          <w:p w:rsidR="00B038EE" w:rsidRDefault="00B038EE" w:rsidP="00716F3D">
            <w:pPr>
              <w:rPr>
                <w:sz w:val="18"/>
                <w:szCs w:val="18"/>
              </w:rPr>
            </w:pPr>
          </w:p>
          <w:p w:rsidR="00B038EE" w:rsidRDefault="00B038EE" w:rsidP="001577D0">
            <w:pPr>
              <w:jc w:val="center"/>
              <w:rPr>
                <w:sz w:val="18"/>
                <w:szCs w:val="18"/>
              </w:rPr>
            </w:pPr>
          </w:p>
          <w:p w:rsidR="00B038EE" w:rsidRPr="00C82BEE" w:rsidRDefault="00B038EE" w:rsidP="001577D0">
            <w:pPr>
              <w:jc w:val="center"/>
              <w:rPr>
                <w:sz w:val="18"/>
                <w:szCs w:val="18"/>
              </w:rPr>
            </w:pPr>
            <w:r>
              <w:rPr>
                <w:sz w:val="18"/>
                <w:szCs w:val="18"/>
              </w:rPr>
              <w:t>PIU</w:t>
            </w:r>
          </w:p>
        </w:tc>
      </w:tr>
    </w:tbl>
    <w:p w:rsidR="001E1107" w:rsidRDefault="001E1107" w:rsidP="001E1107"/>
    <w:p w:rsidR="001E1107" w:rsidRDefault="001E1107" w:rsidP="00FD15F9">
      <w:pPr>
        <w:ind w:left="360"/>
        <w:jc w:val="center"/>
        <w:rPr>
          <w:smallCaps/>
        </w:rPr>
        <w:sectPr w:rsidR="001E1107" w:rsidSect="001E1107">
          <w:pgSz w:w="15840" w:h="12240" w:orient="landscape"/>
          <w:pgMar w:top="1797" w:right="1440" w:bottom="1797" w:left="1440" w:header="720" w:footer="720" w:gutter="0"/>
          <w:cols w:space="720"/>
          <w:docGrid w:linePitch="360"/>
        </w:sectPr>
      </w:pPr>
    </w:p>
    <w:p w:rsidR="005121A0" w:rsidRPr="00FD15F9" w:rsidRDefault="00FE467A" w:rsidP="00F629C7">
      <w:pPr>
        <w:jc w:val="right"/>
        <w:rPr>
          <w:b/>
        </w:rPr>
      </w:pPr>
      <w:r w:rsidRPr="00FD15F9">
        <w:rPr>
          <w:b/>
        </w:rPr>
        <w:t>A</w:t>
      </w:r>
      <w:r w:rsidR="00F629C7" w:rsidRPr="00FD15F9">
        <w:rPr>
          <w:b/>
        </w:rPr>
        <w:t>nnex 2</w:t>
      </w:r>
    </w:p>
    <w:p w:rsidR="00311D1F" w:rsidRDefault="00311D1F" w:rsidP="00F629C7">
      <w:pPr>
        <w:jc w:val="right"/>
      </w:pPr>
    </w:p>
    <w:p w:rsidR="00716AB0" w:rsidRPr="00FD15F9" w:rsidRDefault="00716AB0" w:rsidP="00311D1F">
      <w:pPr>
        <w:ind w:left="360"/>
        <w:jc w:val="center"/>
        <w:rPr>
          <w:b/>
          <w:smallCaps/>
        </w:rPr>
      </w:pPr>
      <w:r w:rsidRPr="00FD15F9">
        <w:rPr>
          <w:b/>
          <w:smallCaps/>
        </w:rPr>
        <w:t>biogas generation from animal manure pilot project</w:t>
      </w:r>
    </w:p>
    <w:p w:rsidR="00311D1F" w:rsidRPr="00173902" w:rsidRDefault="00311D1F" w:rsidP="00311D1F">
      <w:pPr>
        <w:ind w:left="360"/>
        <w:jc w:val="center"/>
      </w:pPr>
      <w:r w:rsidRPr="00FD15F9">
        <w:rPr>
          <w:b/>
          <w:smallCaps/>
        </w:rPr>
        <w:t>Annex 2: detailed project description</w:t>
      </w:r>
    </w:p>
    <w:p w:rsidR="00311D1F" w:rsidRPr="00A6570A" w:rsidRDefault="00311D1F" w:rsidP="00311D1F">
      <w:pPr>
        <w:spacing w:before="240" w:after="120"/>
        <w:jc w:val="both"/>
      </w:pPr>
      <w:r>
        <w:rPr>
          <w:b/>
        </w:rPr>
        <w:t>Project O</w:t>
      </w:r>
      <w:r w:rsidRPr="00A6570A">
        <w:rPr>
          <w:b/>
        </w:rPr>
        <w:t>bjectives</w:t>
      </w:r>
      <w:r>
        <w:t>:</w:t>
      </w:r>
      <w:r w:rsidR="006D698D">
        <w:t xml:space="preserve"> </w:t>
      </w:r>
      <w:r w:rsidRPr="00A6570A">
        <w:t>The project has five areas of focus:</w:t>
      </w:r>
    </w:p>
    <w:p w:rsidR="00311D1F" w:rsidRPr="00A6570A" w:rsidRDefault="00311D1F" w:rsidP="00311D1F">
      <w:pPr>
        <w:spacing w:before="240" w:after="120"/>
        <w:jc w:val="both"/>
      </w:pPr>
      <w:r w:rsidRPr="00A6570A">
        <w:t xml:space="preserve">(i) </w:t>
      </w:r>
      <w:r w:rsidRPr="00A6570A">
        <w:rPr>
          <w:b/>
        </w:rPr>
        <w:t xml:space="preserve">Contribute to the creation of a legal framework for the use of </w:t>
      </w:r>
      <w:r w:rsidR="00F335B2">
        <w:rPr>
          <w:b/>
        </w:rPr>
        <w:t>biodigesters</w:t>
      </w:r>
      <w:r w:rsidRPr="00A6570A">
        <w:rPr>
          <w:b/>
        </w:rPr>
        <w:t xml:space="preserve"> in Moldova. </w:t>
      </w:r>
      <w:r w:rsidRPr="00A6570A">
        <w:t xml:space="preserve">A Law on Renewable Energy was passed in Moldova in August 2007, setting a very ambitious target of obtaining 20% of energy resources from renewable sources by 2020. However, there is no clear follow-up action plan, budget or related regulations to achieve this target. The project will focus on developing the legal framework for one type of renewable energy, which enables the use of </w:t>
      </w:r>
      <w:r w:rsidR="00F335B2">
        <w:t>biodigesters</w:t>
      </w:r>
      <w:r w:rsidRPr="00A6570A">
        <w:t xml:space="preserve"> in Moldova. Project activities will include development of the specifications for </w:t>
      </w:r>
      <w:r w:rsidR="00F335B2">
        <w:t>biodigesters</w:t>
      </w:r>
      <w:r w:rsidRPr="00A6570A">
        <w:t xml:space="preserve"> and assistance with licensing and authorization of these </w:t>
      </w:r>
      <w:r w:rsidR="00F335B2">
        <w:t>biodigesters</w:t>
      </w:r>
      <w:r w:rsidRPr="00A6570A">
        <w:t xml:space="preserve"> for use in Moldova.  In addition, while there are regulations permitting the sale of surplus energy from renewable resources into the grid, the project will work with Moldova’s energy regulator to try to facilitate the sale of electricity into the grid of smaller producers. These activities will focus on development of regulations covering the terms, conditions and procedures for the sale of electricity into the grid of such smaller producers. Overall, the project will, therefore, contribute to the implementation of the Law on Renewable Energy by piloting alternative – renewable – sources of energy (biogas), which should provide benefits at the farm level of reducing emissions and  pollution (in particular, water pollution) and improving on-farm operational efficiency. The project will make international legal and technical advisors available, as necessary, who will work together with local experts to update the legal framework. </w:t>
      </w:r>
    </w:p>
    <w:p w:rsidR="00311D1F" w:rsidRPr="00A6570A" w:rsidRDefault="00311D1F" w:rsidP="00311D1F">
      <w:pPr>
        <w:pStyle w:val="Footer"/>
        <w:tabs>
          <w:tab w:val="clear" w:pos="4320"/>
          <w:tab w:val="clear" w:pos="8640"/>
        </w:tabs>
        <w:spacing w:before="240" w:after="80"/>
        <w:jc w:val="both"/>
      </w:pPr>
      <w:r w:rsidRPr="00A6570A">
        <w:t>(ii)</w:t>
      </w:r>
      <w:r w:rsidRPr="00A6570A">
        <w:tab/>
      </w:r>
      <w:r w:rsidRPr="00A6570A">
        <w:rPr>
          <w:b/>
        </w:rPr>
        <w:t>Build farmer capacity on environmentally sound manure management systems to reduce climate change effects</w:t>
      </w:r>
      <w:r w:rsidRPr="00A6570A">
        <w:t xml:space="preserve">. As mentioned, the current manure management practices – high-piling of manure and open lagoons – result in carbon emissions and occasional run-off into rivers. The project will train farmers in sustainable manure management practices in the pilot farms (using GEF-financed investments in up to two livestock farms and carbon-financed investments in pig and poultry farms), accompanied with technical assistance provided by international and local experts, as required, and disseminate the results achieved on these farms in sound manure management practices to support both replication and farmer training. It is expected that at least another 500 farmers/livestock producers, in addition to those participating in the pilots, will be trained in sustainable manure management practices. </w:t>
      </w:r>
    </w:p>
    <w:p w:rsidR="00FE467A" w:rsidRDefault="00311D1F" w:rsidP="00FE467A">
      <w:pPr>
        <w:spacing w:before="240"/>
        <w:jc w:val="both"/>
      </w:pPr>
      <w:r w:rsidRPr="00A6570A">
        <w:t>(iii)</w:t>
      </w:r>
      <w:r w:rsidRPr="00A6570A">
        <w:tab/>
      </w:r>
      <w:r w:rsidRPr="00A6570A">
        <w:rPr>
          <w:b/>
        </w:rPr>
        <w:t xml:space="preserve">Build local capacity to further scale-up the use of new technologies, in particular, </w:t>
      </w:r>
      <w:r w:rsidR="00F335B2">
        <w:rPr>
          <w:b/>
        </w:rPr>
        <w:t>biodigesters</w:t>
      </w:r>
      <w:r w:rsidRPr="00A6570A">
        <w:t xml:space="preserve">. The project is the first in the ECA region to pilot farm-level (as opposed to household-level) </w:t>
      </w:r>
      <w:r w:rsidR="00F335B2">
        <w:t>biodigesters</w:t>
      </w:r>
      <w:r w:rsidRPr="00A6570A">
        <w:t>. Given the lack of knowledge of this particular technology in Moldova, the project will finance capacity-building activities, by mobilizing international expertise, at three levels: (i) build capacity of and transfer</w:t>
      </w:r>
      <w:r>
        <w:t>r</w:t>
      </w:r>
      <w:r w:rsidRPr="00A6570A">
        <w:t xml:space="preserve">ing know-how to local </w:t>
      </w:r>
      <w:r w:rsidR="00376EA9">
        <w:t>biodigester</w:t>
      </w:r>
      <w:r w:rsidRPr="00A6570A">
        <w:t xml:space="preserve"> producers. It is expected that the local production of </w:t>
      </w:r>
      <w:r w:rsidR="00F335B2">
        <w:t>biodigesters</w:t>
      </w:r>
      <w:r w:rsidRPr="00A6570A">
        <w:t xml:space="preserve"> will reduce costs and encourage </w:t>
      </w:r>
      <w:r w:rsidR="00376EA9">
        <w:t>biodigester</w:t>
      </w:r>
      <w:r w:rsidRPr="00A6570A">
        <w:t xml:space="preserve"> market development. This will </w:t>
      </w:r>
    </w:p>
    <w:p w:rsidR="0002228C" w:rsidRPr="00A6570A" w:rsidRDefault="00311D1F" w:rsidP="00DE0324">
      <w:pPr>
        <w:spacing w:before="240"/>
        <w:jc w:val="both"/>
      </w:pPr>
      <w:r w:rsidRPr="00A6570A">
        <w:t xml:space="preserve">ensure accessibility of </w:t>
      </w:r>
      <w:r w:rsidR="00F335B2">
        <w:t>biodigesters</w:t>
      </w:r>
      <w:r w:rsidRPr="00A6570A">
        <w:t xml:space="preserve"> to a wider farmer population and will also develop local industry; (ii) train a number of local engineers in the installation and operation of </w:t>
      </w:r>
      <w:r w:rsidR="00F335B2">
        <w:t>biodigesters</w:t>
      </w:r>
      <w:r w:rsidR="0002228C" w:rsidRPr="00A6570A">
        <w:t xml:space="preserve"> to enable them to work independently in scaling up biogas and electricity generation after the project closes; (iii) train the participating farmers in the proper operation of </w:t>
      </w:r>
      <w:r w:rsidR="00F335B2">
        <w:t>biodigesters</w:t>
      </w:r>
      <w:r w:rsidR="0002228C" w:rsidRPr="00A6570A">
        <w:t>; and (iv) ensure broader capacity building in the animal producer community through a series of seminars and demonstrations, to disseminate the information on the benefits of generation of biogas and electricity from animal manure.</w:t>
      </w:r>
    </w:p>
    <w:p w:rsidR="0002228C" w:rsidRPr="00A6570A" w:rsidRDefault="0002228C" w:rsidP="0002228C">
      <w:pPr>
        <w:spacing w:before="240" w:after="120"/>
        <w:jc w:val="both"/>
      </w:pPr>
      <w:r w:rsidRPr="00A6570A">
        <w:t xml:space="preserve">Different types of </w:t>
      </w:r>
      <w:r w:rsidR="00F335B2">
        <w:t>biodigesters</w:t>
      </w:r>
      <w:r w:rsidRPr="00A6570A">
        <w:t xml:space="preserve"> for use on cattle farms wil</w:t>
      </w:r>
      <w:r w:rsidR="00D1044F">
        <w:t>l be reviewed under the project, given the operational experience of biodigesters in other countries and feasibility of the specific types of biodigesters for Moldova’s climate conditions (e.g., film-covered biodigesters may not be appropriate for Moldova due to the relatively cold winters, thus the need for additional heating of the biodigesters).</w:t>
      </w:r>
      <w:r w:rsidRPr="00A6570A">
        <w:t xml:space="preserve"> The most appropriate type(s) of </w:t>
      </w:r>
      <w:r w:rsidR="00376EA9">
        <w:t>biodigester</w:t>
      </w:r>
      <w:r w:rsidR="00941425">
        <w:t>(s)</w:t>
      </w:r>
      <w:r w:rsidRPr="00A6570A">
        <w:t xml:space="preserve"> for use in Moldova will be selected with the help of international consultants. It is expected that the farms will fully use the heat and electricity generated by the </w:t>
      </w:r>
      <w:r w:rsidR="00376EA9">
        <w:t>biodigester</w:t>
      </w:r>
      <w:r w:rsidRPr="00A6570A">
        <w:t xml:space="preserve"> technology. A decision on how to best utilize any excess heat and/or electricity will be made during the project, and will depend on the specifics (including financial and technological considerations) of the farms and the options available to the biogas producers. A number of options will be reviewed, including use of the heat and electricity in its entirety on the site, sale of electricity into the grid (provided the installation generates at least 10KW, which is the existing minimum threshold for beco</w:t>
      </w:r>
      <w:r w:rsidR="0025138B">
        <w:t>ming an energy supplier in Moldov</w:t>
      </w:r>
      <w:r w:rsidRPr="00A6570A">
        <w:t xml:space="preserve">a), sale of excess heat and/or electricity to the neighboring farms/households, as a well as flaring of the excess gas produced, which cannot be used by the producer. </w:t>
      </w:r>
    </w:p>
    <w:p w:rsidR="0002228C" w:rsidRDefault="0002228C" w:rsidP="0002228C">
      <w:pPr>
        <w:spacing w:before="240"/>
        <w:jc w:val="both"/>
      </w:pPr>
      <w:r w:rsidRPr="00A6570A">
        <w:t>(iv)</w:t>
      </w:r>
      <w:r>
        <w:t xml:space="preserve"> </w:t>
      </w:r>
      <w:r w:rsidRPr="00A6570A">
        <w:rPr>
          <w:b/>
        </w:rPr>
        <w:t>Implement a comprehensive pilot program by installing a wide range of digesters</w:t>
      </w:r>
      <w:r w:rsidRPr="00A6570A">
        <w:t xml:space="preserve">. All of the farms participating in the sale of carbon emissions to the World Bank’s Carbon Fund are poultry and pig farms and able to co-finance the investment made through carbon payments received from the Carbon Fund. However, cattle farms, which form a large share of Moldova’s animal farms and contribute to a number of environmental issues, do not have sufficient emission reductions to obtain carbon benefits to co-finance their investments. Therefore, to ensure a comprehensive pilot program that encompasses a wide range of </w:t>
      </w:r>
      <w:r w:rsidR="00F335B2">
        <w:t>biodigesters</w:t>
      </w:r>
      <w:r w:rsidRPr="00A6570A">
        <w:t xml:space="preserve"> piloted on farms producing different animals, GEF support in the installation of </w:t>
      </w:r>
      <w:r w:rsidR="00F335B2">
        <w:t>biodigesters</w:t>
      </w:r>
      <w:r w:rsidRPr="00A6570A">
        <w:t xml:space="preserve"> is necessary. </w:t>
      </w:r>
    </w:p>
    <w:p w:rsidR="0002228C" w:rsidRDefault="0002228C" w:rsidP="0002228C">
      <w:pPr>
        <w:spacing w:before="240"/>
        <w:jc w:val="both"/>
      </w:pPr>
      <w:r w:rsidRPr="00A6570A">
        <w:t xml:space="preserve">The GEF-financed pilots will be carried out in up to two livestock farms.  Investment grants in the amount of up to 40% of the total investment will be provided to the selected farms.  The potential beneficiary farms will have </w:t>
      </w:r>
      <w:r w:rsidR="00600211">
        <w:t>at least 400 to 500</w:t>
      </w:r>
      <w:r w:rsidRPr="00A6570A">
        <w:t xml:space="preserve"> cattle, and the volume of manure will be in the rang</w:t>
      </w:r>
      <w:r w:rsidR="006C793C">
        <w:t>e of 9,5</w:t>
      </w:r>
      <w:r w:rsidR="00600211">
        <w:t>00 to 11</w:t>
      </w:r>
      <w:r w:rsidRPr="00A6570A">
        <w:t xml:space="preserve">,500 tons per year. As mentioned, the project design will ensure that the GEF and carbon benefit resources are appropriately allocated, to avoid financing overlaps. In this context, the project will identify at least one local manufacturer of </w:t>
      </w:r>
      <w:r w:rsidR="00F335B2">
        <w:t>biodigesters</w:t>
      </w:r>
      <w:r w:rsidRPr="00A6570A">
        <w:t xml:space="preserve">, as well as ensure licensing of the </w:t>
      </w:r>
      <w:r w:rsidR="00F335B2">
        <w:t>biodigesters</w:t>
      </w:r>
      <w:r w:rsidRPr="00A6570A">
        <w:t xml:space="preserve"> (the types piloted under the project) as part of the project-supported activities.  </w:t>
      </w:r>
    </w:p>
    <w:p w:rsidR="0002228C" w:rsidRDefault="0002228C" w:rsidP="0002228C"/>
    <w:p w:rsidR="0002228C" w:rsidRDefault="0002228C" w:rsidP="00FE467A">
      <w:pPr>
        <w:jc w:val="both"/>
        <w:rPr>
          <w:rFonts w:ascii="TimesNewRoman" w:hAnsi="TimesNewRoman"/>
        </w:rPr>
      </w:pPr>
      <w:r>
        <w:t xml:space="preserve">(v) </w:t>
      </w:r>
      <w:r w:rsidRPr="00A6570A">
        <w:rPr>
          <w:b/>
        </w:rPr>
        <w:t>Improve operational efficiency in the animal farming sub-sector</w:t>
      </w:r>
      <w:r w:rsidRPr="00A6570A">
        <w:t xml:space="preserve">. The power generated on the farms will contribute to improved operational efficiencies in the animal farming sub-sector, providing savings on payments for electricity and potentially increasing profits of Moldovan animal farmers, and generating new revenue streams and </w:t>
      </w:r>
      <w:r w:rsidR="00B015D5">
        <w:t xml:space="preserve">improving </w:t>
      </w:r>
      <w:r w:rsidRPr="00A6570A">
        <w:t xml:space="preserve">living standards for farmer families. In addition, the use of biogas technology will generate a nutrient-enhanced, environmentally stable, residual by-product. </w:t>
      </w:r>
      <w:r w:rsidRPr="00A6570A">
        <w:rPr>
          <w:rFonts w:ascii="TimesNewRoman" w:hAnsi="TimesNewRoman"/>
        </w:rPr>
        <w:t>This residue is an effective soil conditioner and fertilizer, with research suggesting that the micro-flora present in digested manure may lead to increased crop yields.</w:t>
      </w:r>
    </w:p>
    <w:p w:rsidR="00EF5635" w:rsidRDefault="00EF5635" w:rsidP="00FE467A">
      <w:pPr>
        <w:jc w:val="both"/>
        <w:rPr>
          <w:rFonts w:ascii="TimesNewRoman" w:hAnsi="TimesNewRoman"/>
        </w:rPr>
      </w:pPr>
    </w:p>
    <w:p w:rsidR="0068120A" w:rsidRDefault="0068120A" w:rsidP="0002228C">
      <w:pPr>
        <w:rPr>
          <w:rFonts w:ascii="TimesNewRoman" w:hAnsi="TimesNewRoman"/>
        </w:rPr>
      </w:pPr>
      <w:r w:rsidRPr="0068120A">
        <w:rPr>
          <w:rFonts w:ascii="TimesNewRoman" w:hAnsi="TimesNewRoman"/>
          <w:b/>
        </w:rPr>
        <w:t>Project Components</w:t>
      </w:r>
      <w:r>
        <w:rPr>
          <w:rFonts w:ascii="TimesNewRoman" w:hAnsi="TimesNewRoman"/>
        </w:rPr>
        <w:t>:</w:t>
      </w:r>
      <w:r w:rsidR="00C84508">
        <w:rPr>
          <w:rFonts w:ascii="TimesNewRoman" w:hAnsi="TimesNewRoman"/>
        </w:rPr>
        <w:t xml:space="preserve">  There would be </w:t>
      </w:r>
      <w:r w:rsidR="00D43084">
        <w:rPr>
          <w:rFonts w:ascii="TimesNewRoman" w:hAnsi="TimesNewRoman"/>
        </w:rPr>
        <w:t>four</w:t>
      </w:r>
      <w:r w:rsidR="00C84508">
        <w:rPr>
          <w:rFonts w:ascii="TimesNewRoman" w:hAnsi="TimesNewRoman"/>
        </w:rPr>
        <w:t xml:space="preserve"> components as follows:</w:t>
      </w:r>
    </w:p>
    <w:p w:rsidR="005F069C" w:rsidRPr="00072985" w:rsidRDefault="005F069C" w:rsidP="009A68AB">
      <w:pPr>
        <w:spacing w:before="240" w:after="120"/>
        <w:jc w:val="both"/>
        <w:rPr>
          <w:color w:val="000000"/>
        </w:rPr>
      </w:pPr>
      <w:r w:rsidRPr="00072985">
        <w:rPr>
          <w:color w:val="000000"/>
          <w:u w:val="single"/>
        </w:rPr>
        <w:t>Component 1: Enabling legislative and policy environment</w:t>
      </w:r>
      <w:r>
        <w:rPr>
          <w:color w:val="000000"/>
          <w:u w:val="single"/>
        </w:rPr>
        <w:t xml:space="preserve"> (Total cost - $88,900 of which GEF $80,000)</w:t>
      </w:r>
      <w:r>
        <w:rPr>
          <w:color w:val="000000"/>
        </w:rPr>
        <w:t>, including</w:t>
      </w:r>
      <w:r w:rsidRPr="00072985">
        <w:rPr>
          <w:color w:val="000000"/>
        </w:rPr>
        <w:t xml:space="preserve">: </w:t>
      </w:r>
      <w:r w:rsidR="004E68C0">
        <w:rPr>
          <w:color w:val="000000"/>
        </w:rPr>
        <w:t xml:space="preserve">(i) </w:t>
      </w:r>
      <w:r w:rsidRPr="00072985">
        <w:rPr>
          <w:color w:val="000000"/>
        </w:rPr>
        <w:t>certification and licensing of biodigester</w:t>
      </w:r>
      <w:r>
        <w:rPr>
          <w:color w:val="000000"/>
        </w:rPr>
        <w:t xml:space="preserve">s for use in Moldova and provision </w:t>
      </w:r>
      <w:r w:rsidRPr="00072985">
        <w:rPr>
          <w:color w:val="000000"/>
        </w:rPr>
        <w:t>of the necessary sup</w:t>
      </w:r>
      <w:r w:rsidR="00372247">
        <w:rPr>
          <w:color w:val="000000"/>
        </w:rPr>
        <w:t>porting legal framework; and (i</w:t>
      </w:r>
      <w:r>
        <w:rPr>
          <w:color w:val="000000"/>
        </w:rPr>
        <w:t>i</w:t>
      </w:r>
      <w:r w:rsidRPr="00072985">
        <w:rPr>
          <w:color w:val="000000"/>
        </w:rPr>
        <w:t xml:space="preserve">) cooperation with the country’s energy regulator to </w:t>
      </w:r>
      <w:r w:rsidR="00CA74D0">
        <w:rPr>
          <w:color w:val="000000"/>
        </w:rPr>
        <w:t xml:space="preserve">review options </w:t>
      </w:r>
      <w:r w:rsidR="00EE5DEE" w:rsidRPr="00EE5DEE">
        <w:rPr>
          <w:color w:val="000000"/>
        </w:rPr>
        <w:t xml:space="preserve">and develop the relevant legislation provisions </w:t>
      </w:r>
      <w:r w:rsidR="00CA74D0">
        <w:rPr>
          <w:color w:val="000000"/>
        </w:rPr>
        <w:t xml:space="preserve">for </w:t>
      </w:r>
      <w:r w:rsidRPr="00072985">
        <w:rPr>
          <w:color w:val="000000"/>
        </w:rPr>
        <w:t>allow</w:t>
      </w:r>
      <w:r w:rsidR="00CA74D0">
        <w:rPr>
          <w:color w:val="000000"/>
        </w:rPr>
        <w:t>ing</w:t>
      </w:r>
      <w:r w:rsidRPr="00072985">
        <w:rPr>
          <w:color w:val="000000"/>
        </w:rPr>
        <w:t xml:space="preserve"> smaller electricity producers </w:t>
      </w:r>
      <w:r w:rsidR="00456A07">
        <w:rPr>
          <w:color w:val="000000"/>
        </w:rPr>
        <w:t xml:space="preserve">to </w:t>
      </w:r>
      <w:r w:rsidRPr="00072985">
        <w:rPr>
          <w:color w:val="000000"/>
        </w:rPr>
        <w:t xml:space="preserve">sell surplus electricity into the national grid. </w:t>
      </w:r>
    </w:p>
    <w:p w:rsidR="00D43084" w:rsidRDefault="005F069C" w:rsidP="009A68AB">
      <w:pPr>
        <w:spacing w:before="240"/>
        <w:jc w:val="both"/>
        <w:rPr>
          <w:color w:val="000000"/>
        </w:rPr>
      </w:pPr>
      <w:r w:rsidRPr="00072985">
        <w:rPr>
          <w:color w:val="000000"/>
          <w:u w:val="single"/>
        </w:rPr>
        <w:t xml:space="preserve">Component 2: </w:t>
      </w:r>
      <w:r w:rsidRPr="00072985">
        <w:rPr>
          <w:noProof/>
          <w:u w:val="single"/>
        </w:rPr>
        <w:t xml:space="preserve">Technical assistance, capacity building and awareness raising on sound animal waste management, and animal manure-based </w:t>
      </w:r>
      <w:r w:rsidR="00376EA9">
        <w:rPr>
          <w:noProof/>
          <w:u w:val="single"/>
        </w:rPr>
        <w:t>biodigester</w:t>
      </w:r>
      <w:r w:rsidRPr="00072985">
        <w:rPr>
          <w:noProof/>
          <w:u w:val="single"/>
        </w:rPr>
        <w:t xml:space="preserve"> and electricity generation technologies</w:t>
      </w:r>
      <w:r>
        <w:rPr>
          <w:noProof/>
          <w:u w:val="single"/>
        </w:rPr>
        <w:t xml:space="preserve"> (Total - $</w:t>
      </w:r>
      <w:r w:rsidR="00F5569F">
        <w:rPr>
          <w:noProof/>
          <w:u w:val="single"/>
        </w:rPr>
        <w:t>691,600 of which GEF $6</w:t>
      </w:r>
      <w:r>
        <w:rPr>
          <w:noProof/>
          <w:u w:val="single"/>
        </w:rPr>
        <w:t>10,000)</w:t>
      </w:r>
      <w:r w:rsidRPr="00072985">
        <w:rPr>
          <w:color w:val="000000"/>
        </w:rPr>
        <w:t xml:space="preserve">. In order to promote sound animal manure management practices and mainstreaming of the use of </w:t>
      </w:r>
      <w:r w:rsidR="00376EA9">
        <w:rPr>
          <w:color w:val="000000"/>
        </w:rPr>
        <w:t>biodigester</w:t>
      </w:r>
      <w:r w:rsidRPr="00072985">
        <w:rPr>
          <w:color w:val="000000"/>
        </w:rPr>
        <w:t xml:space="preserve"> technologies, the </w:t>
      </w:r>
      <w:r>
        <w:rPr>
          <w:color w:val="000000"/>
        </w:rPr>
        <w:t xml:space="preserve">project </w:t>
      </w:r>
      <w:r w:rsidRPr="00072985">
        <w:rPr>
          <w:color w:val="000000"/>
        </w:rPr>
        <w:t xml:space="preserve">activities will include </w:t>
      </w:r>
      <w:r>
        <w:t>capacity-building</w:t>
      </w:r>
      <w:r w:rsidRPr="00072985">
        <w:t>, by mobilizing international expertise and best</w:t>
      </w:r>
      <w:r>
        <w:t>-practice transfer, to provide</w:t>
      </w:r>
      <w:r w:rsidRPr="00072985">
        <w:t>: (i) training of farmers in sound manure management practices; (ii) training of a number of local engineers in the installation and operation</w:t>
      </w:r>
      <w:r>
        <w:t xml:space="preserve"> of </w:t>
      </w:r>
      <w:r w:rsidR="00F335B2">
        <w:t>biodigesters</w:t>
      </w:r>
      <w:r>
        <w:t xml:space="preserve"> so as to be able </w:t>
      </w:r>
      <w:r w:rsidRPr="00072985">
        <w:t>to work independently in scaling up the generation of biogas and electricity after the projec</w:t>
      </w:r>
      <w:r>
        <w:t xml:space="preserve">t closes; (iii) training of </w:t>
      </w:r>
      <w:r w:rsidRPr="00072985">
        <w:t xml:space="preserve">participating farmers in the proper operation of </w:t>
      </w:r>
      <w:r w:rsidR="00F335B2">
        <w:t>biodigesters</w:t>
      </w:r>
      <w:r>
        <w:t>; and (iv) broader awareness-raising in the livestock production</w:t>
      </w:r>
      <w:r w:rsidRPr="00072985">
        <w:t xml:space="preserve"> community through a series of seminars and demonstration activities, to disseminate information on the benefits of biogas and electricity generation from animal manure. </w:t>
      </w:r>
      <w:r w:rsidR="004D539E" w:rsidRPr="004D539E">
        <w:t xml:space="preserve">The component will also support a feasibility </w:t>
      </w:r>
      <w:r w:rsidR="004D539E" w:rsidRPr="0062662D">
        <w:t xml:space="preserve">study </w:t>
      </w:r>
      <w:r w:rsidR="004E1B80" w:rsidRPr="0062662D">
        <w:t>to replicate and expand the use of</w:t>
      </w:r>
      <w:r w:rsidR="004D539E" w:rsidRPr="0062662D">
        <w:t xml:space="preserve"> biodigester</w:t>
      </w:r>
      <w:r w:rsidR="004D539E" w:rsidRPr="004D539E">
        <w:t xml:space="preserve"> technology in the country’s animal farms (livestock, pigs and poultry). </w:t>
      </w:r>
      <w:r w:rsidR="00D43084">
        <w:t xml:space="preserve">In addition, in </w:t>
      </w:r>
      <w:r w:rsidRPr="00072985">
        <w:rPr>
          <w:color w:val="000000"/>
        </w:rPr>
        <w:t xml:space="preserve">order to reduce the investment cost, </w:t>
      </w:r>
      <w:r w:rsidR="00F335B2">
        <w:rPr>
          <w:color w:val="000000"/>
        </w:rPr>
        <w:t>biodigesters</w:t>
      </w:r>
      <w:r w:rsidRPr="00072985">
        <w:rPr>
          <w:color w:val="000000"/>
        </w:rPr>
        <w:t xml:space="preserve"> will be manufactured locally to </w:t>
      </w:r>
      <w:r w:rsidRPr="00072985">
        <w:t xml:space="preserve">ensure affordability and accessibility of </w:t>
      </w:r>
      <w:r w:rsidR="00F335B2">
        <w:t>biodigesters</w:t>
      </w:r>
      <w:r w:rsidRPr="00072985">
        <w:t xml:space="preserve"> for a wider farmer population</w:t>
      </w:r>
      <w:r w:rsidRPr="00072985">
        <w:rPr>
          <w:color w:val="000000"/>
        </w:rPr>
        <w:t xml:space="preserve">. The project will assist local producers with knowledge transfer and capacity building in various </w:t>
      </w:r>
      <w:r w:rsidR="00376EA9">
        <w:rPr>
          <w:color w:val="000000"/>
        </w:rPr>
        <w:t>biodigester</w:t>
      </w:r>
      <w:r w:rsidRPr="00072985">
        <w:rPr>
          <w:color w:val="000000"/>
        </w:rPr>
        <w:t xml:space="preserve"> and co-generation equipment technologies. </w:t>
      </w:r>
    </w:p>
    <w:p w:rsidR="00FD1666" w:rsidRPr="00FD1666" w:rsidRDefault="00D43084" w:rsidP="009A68AB">
      <w:pPr>
        <w:spacing w:before="240"/>
        <w:jc w:val="both"/>
      </w:pPr>
      <w:r>
        <w:rPr>
          <w:color w:val="000000"/>
          <w:u w:val="single"/>
        </w:rPr>
        <w:t>Component 3</w:t>
      </w:r>
      <w:r w:rsidR="005F069C" w:rsidRPr="00072985">
        <w:rPr>
          <w:color w:val="000000"/>
          <w:u w:val="single"/>
        </w:rPr>
        <w:t xml:space="preserve">: </w:t>
      </w:r>
      <w:r w:rsidR="00376EA9">
        <w:rPr>
          <w:color w:val="000000"/>
          <w:u w:val="single"/>
        </w:rPr>
        <w:t>Biodigester</w:t>
      </w:r>
      <w:r w:rsidR="005F069C" w:rsidRPr="00072985">
        <w:rPr>
          <w:color w:val="000000"/>
          <w:u w:val="single"/>
        </w:rPr>
        <w:t xml:space="preserve"> Investment Grants</w:t>
      </w:r>
      <w:r w:rsidR="005F069C">
        <w:rPr>
          <w:color w:val="000000"/>
          <w:u w:val="single"/>
        </w:rPr>
        <w:t xml:space="preserve"> (Total - $</w:t>
      </w:r>
      <w:r w:rsidR="00F5569F">
        <w:rPr>
          <w:color w:val="000000"/>
          <w:u w:val="single"/>
        </w:rPr>
        <w:t>667,000</w:t>
      </w:r>
      <w:r w:rsidR="005F069C">
        <w:rPr>
          <w:color w:val="000000"/>
          <w:u w:val="single"/>
        </w:rPr>
        <w:t xml:space="preserve"> of which GEF $200,000)</w:t>
      </w:r>
      <w:r w:rsidR="005F069C" w:rsidRPr="00072985">
        <w:rPr>
          <w:color w:val="000000"/>
          <w:u w:val="single"/>
        </w:rPr>
        <w:t>.</w:t>
      </w:r>
      <w:r w:rsidR="005F069C" w:rsidRPr="00072985">
        <w:rPr>
          <w:color w:val="000000"/>
        </w:rPr>
        <w:t xml:space="preserve"> </w:t>
      </w:r>
      <w:r w:rsidR="005F069C">
        <w:rPr>
          <w:color w:val="000000"/>
        </w:rPr>
        <w:t xml:space="preserve">The project will fund </w:t>
      </w:r>
      <w:r w:rsidR="005F069C" w:rsidRPr="00FB15A8">
        <w:t xml:space="preserve">pilot </w:t>
      </w:r>
      <w:r w:rsidR="00F335B2">
        <w:t>biodigesters</w:t>
      </w:r>
      <w:r w:rsidR="005F069C">
        <w:t xml:space="preserve">/co-generation systems on </w:t>
      </w:r>
      <w:r w:rsidR="005F069C" w:rsidRPr="00FB15A8">
        <w:t xml:space="preserve">two livestock </w:t>
      </w:r>
      <w:r w:rsidR="005F069C">
        <w:t xml:space="preserve">cattle farms where the small carbon emissions reductions prevent them from obtaining co-financing investments from carbon funds.  This will complement parallel developments on poultry and swine farms under the Moldova Bioenergy Project.  Investment grants will be provided to leverage commercial loans under the IDA-supported RISP II project.  </w:t>
      </w:r>
      <w:r w:rsidR="00376EA9">
        <w:t>Biodigester</w:t>
      </w:r>
      <w:r w:rsidR="005F069C">
        <w:t xml:space="preserve"> investments will </w:t>
      </w:r>
      <w:r w:rsidR="005F069C" w:rsidRPr="00FB15A8">
        <w:t xml:space="preserve">include the equipment to utilize the gas produced, either for heat or electricity generation or both.  </w:t>
      </w:r>
    </w:p>
    <w:p w:rsidR="00EE7390" w:rsidRDefault="00D43084" w:rsidP="009A68AB">
      <w:pPr>
        <w:spacing w:before="240" w:after="120"/>
        <w:jc w:val="both"/>
        <w:rPr>
          <w:b/>
        </w:rPr>
      </w:pPr>
      <w:r>
        <w:rPr>
          <w:u w:val="single"/>
        </w:rPr>
        <w:t>Component 4</w:t>
      </w:r>
      <w:r w:rsidR="005F069C" w:rsidRPr="00072985">
        <w:rPr>
          <w:u w:val="single"/>
        </w:rPr>
        <w:t>: Project Management</w:t>
      </w:r>
      <w:r w:rsidR="005F069C">
        <w:rPr>
          <w:u w:val="single"/>
        </w:rPr>
        <w:t xml:space="preserve"> (Total - $112,500 of which GEF $90,000).</w:t>
      </w:r>
      <w:r w:rsidR="005F069C">
        <w:t xml:space="preserve"> </w:t>
      </w:r>
    </w:p>
    <w:p w:rsidR="004A7654" w:rsidRDefault="00EE7390" w:rsidP="009A68AB">
      <w:pPr>
        <w:jc w:val="both"/>
      </w:pPr>
      <w:r>
        <w:t xml:space="preserve">The Carbon Finance Unit (CFU) under the Ministry of Environment (MOE) will be responsible for technical implementation of the project. The CFU has been selected as the implementing agency based on the complementarity of this GEF project and the follow-up carbon finance project. Technical administration of the GEF project will allow the CFU to obtain knowledge on the new biodigester technologies and become the contact point for farmers keen to adopt the </w:t>
      </w:r>
      <w:r w:rsidRPr="00F5569F">
        <w:t xml:space="preserve">new technology. </w:t>
      </w:r>
      <w:r w:rsidR="009A4AB7">
        <w:t>Procurement and F</w:t>
      </w:r>
      <w:r w:rsidRPr="00F5569F">
        <w:t>inancia</w:t>
      </w:r>
      <w:r w:rsidR="009A4AB7">
        <w:t>l M</w:t>
      </w:r>
      <w:r w:rsidRPr="00F5569F">
        <w:t xml:space="preserve">anagement </w:t>
      </w:r>
      <w:r w:rsidR="009A4AB7">
        <w:t>functions will be carried out by the Water Supply and Sanitation Project Implementation Unit (WSSPIU), which has a prior experience and solid track record in carrying out these functions</w:t>
      </w:r>
      <w:r w:rsidR="009A4AB7" w:rsidRPr="00F5569F">
        <w:t xml:space="preserve"> </w:t>
      </w:r>
      <w:r w:rsidRPr="00F5569F">
        <w:t xml:space="preserve">for the project. Environmental </w:t>
      </w:r>
      <w:r w:rsidR="00F5569F" w:rsidRPr="00F5569F">
        <w:t>safeguard activities</w:t>
      </w:r>
      <w:r w:rsidR="009A4AB7">
        <w:t xml:space="preserve"> will be carried out by a part-time environmental specialist. </w:t>
      </w:r>
    </w:p>
    <w:p w:rsidR="004A7654" w:rsidRDefault="004A7654" w:rsidP="004A7654">
      <w:pPr>
        <w:jc w:val="both"/>
        <w:rPr>
          <w:b/>
        </w:rPr>
      </w:pPr>
    </w:p>
    <w:p w:rsidR="00B015D5" w:rsidRDefault="00B015D5" w:rsidP="004A7654">
      <w:pPr>
        <w:jc w:val="both"/>
        <w:rPr>
          <w:i/>
          <w:lang w:val="en-GB"/>
        </w:rPr>
      </w:pPr>
      <w:r>
        <w:rPr>
          <w:b/>
        </w:rPr>
        <w:t>Project Location</w:t>
      </w:r>
      <w:r w:rsidR="004A7654">
        <w:t>: For the technical assistance activities, t</w:t>
      </w:r>
      <w:r>
        <w:t>he project will work with interested farmers throughout Moldova.</w:t>
      </w:r>
      <w:r w:rsidR="004A7654">
        <w:t xml:space="preserve"> For instance, it is expected that at least 1,500 farmers will be trained on sustainable manure management practices and around 1,200 farmers will obtain knowledge on use of biodigester technologies for generation of heat and electricity. </w:t>
      </w:r>
      <w:r>
        <w:t xml:space="preserve">The location </w:t>
      </w:r>
      <w:r w:rsidR="004A7654">
        <w:t>of</w:t>
      </w:r>
      <w:r>
        <w:t xml:space="preserve"> </w:t>
      </w:r>
      <w:r w:rsidR="004A7654">
        <w:t xml:space="preserve">the two </w:t>
      </w:r>
      <w:r>
        <w:t xml:space="preserve">pilot digesters will be determined </w:t>
      </w:r>
      <w:r w:rsidR="004A7654">
        <w:t>based on the interest of the farmers to participate in the pilot activities, the appropriate size of the far</w:t>
      </w:r>
      <w:r w:rsidR="0031433E">
        <w:t>m</w:t>
      </w:r>
      <w:r w:rsidR="004A7654">
        <w:t xml:space="preserve"> (around 400 cattle minimum), capacity to borrow for the purposes of financing of the biodigesters, and willingness to provide access to the biodigester site for other farmers for learning and knowledge exchange purposes. </w:t>
      </w:r>
    </w:p>
    <w:p w:rsidR="004A7654" w:rsidRDefault="004A7654" w:rsidP="00B015D5">
      <w:pPr>
        <w:jc w:val="both"/>
        <w:rPr>
          <w:lang w:val="en-GB"/>
        </w:rPr>
      </w:pPr>
    </w:p>
    <w:p w:rsidR="00B015D5" w:rsidRDefault="00B015D5" w:rsidP="00B015D5">
      <w:pPr>
        <w:jc w:val="both"/>
        <w:rPr>
          <w:lang w:val="en-GB"/>
        </w:rPr>
      </w:pPr>
      <w:r>
        <w:rPr>
          <w:lang w:val="en-GB"/>
        </w:rPr>
        <w:t>Non-discriminatory policies followed by GOM seem to have promoted investment among smallholders and a new group of medium-size commerc</w:t>
      </w:r>
      <w:r w:rsidR="004A7654">
        <w:rPr>
          <w:lang w:val="en-GB"/>
        </w:rPr>
        <w:t xml:space="preserve">ial farms is rapidly emerging. </w:t>
      </w:r>
      <w:r>
        <w:rPr>
          <w:lang w:val="en-GB"/>
        </w:rPr>
        <w:t>These are farms of sizes between 5 and 50 hectares with an average of about 20 hectares, whose number despite the 2007 drought has increased in just two years fro</w:t>
      </w:r>
      <w:r w:rsidR="004A7654">
        <w:rPr>
          <w:lang w:val="en-GB"/>
        </w:rPr>
        <w:t xml:space="preserve">m a few hundred to over 5,000. </w:t>
      </w:r>
      <w:r>
        <w:rPr>
          <w:lang w:val="en-GB"/>
        </w:rPr>
        <w:t>Over time they will provide further opportunities to use livestock waste for biogas generation.</w:t>
      </w:r>
    </w:p>
    <w:p w:rsidR="001626BA" w:rsidRDefault="001626BA" w:rsidP="009A5006"/>
    <w:p w:rsidR="009A5006" w:rsidRDefault="005E2F34" w:rsidP="009A5006">
      <w:pPr>
        <w:rPr>
          <w:lang w:val="en-GB"/>
        </w:rPr>
      </w:pPr>
      <w:r>
        <w:rPr>
          <w:b/>
          <w:lang w:val="en-GB"/>
        </w:rPr>
        <w:t>Pilot Bio</w:t>
      </w:r>
      <w:r w:rsidR="009A5006">
        <w:rPr>
          <w:b/>
          <w:lang w:val="en-GB"/>
        </w:rPr>
        <w:t>digesters</w:t>
      </w:r>
      <w:r w:rsidR="007017A4">
        <w:rPr>
          <w:b/>
          <w:lang w:val="en-GB"/>
        </w:rPr>
        <w:t xml:space="preserve"> (Component 3</w:t>
      </w:r>
      <w:r w:rsidR="00EF5635">
        <w:rPr>
          <w:b/>
          <w:lang w:val="en-GB"/>
        </w:rPr>
        <w:t>)</w:t>
      </w:r>
    </w:p>
    <w:p w:rsidR="00EF5635" w:rsidRDefault="00EF5635" w:rsidP="009A5006">
      <w:pPr>
        <w:jc w:val="both"/>
        <w:rPr>
          <w:lang w:val="en-GB"/>
        </w:rPr>
      </w:pPr>
    </w:p>
    <w:p w:rsidR="00EF5635" w:rsidRDefault="007017A4" w:rsidP="009A5006">
      <w:pPr>
        <w:jc w:val="both"/>
        <w:rPr>
          <w:lang w:val="en-GB"/>
        </w:rPr>
      </w:pPr>
      <w:r>
        <w:rPr>
          <w:lang w:val="en-GB"/>
        </w:rPr>
        <w:t>Under Component 3,</w:t>
      </w:r>
      <w:r w:rsidR="00EF5635">
        <w:rPr>
          <w:lang w:val="en-GB"/>
        </w:rPr>
        <w:t xml:space="preserve"> two livestock cattle farms w</w:t>
      </w:r>
      <w:r w:rsidR="0031433E">
        <w:rPr>
          <w:lang w:val="en-GB"/>
        </w:rPr>
        <w:t>ill</w:t>
      </w:r>
      <w:r w:rsidR="00EF5635">
        <w:rPr>
          <w:lang w:val="en-GB"/>
        </w:rPr>
        <w:t xml:space="preserve"> be selected for design and installation of biodigesters to handle livestock waste.  The design of these biodigesters would be developed in the first year of the project using experience from countries where the use of anaerobic digestion is well advanced.</w:t>
      </w:r>
    </w:p>
    <w:p w:rsidR="00EF5635" w:rsidRDefault="00EF5635" w:rsidP="009A5006">
      <w:pPr>
        <w:jc w:val="both"/>
        <w:rPr>
          <w:lang w:val="en-GB"/>
        </w:rPr>
      </w:pPr>
    </w:p>
    <w:p w:rsidR="004E68C0" w:rsidRDefault="009A5006" w:rsidP="009A5006">
      <w:pPr>
        <w:jc w:val="both"/>
        <w:rPr>
          <w:lang w:val="en-GB"/>
        </w:rPr>
      </w:pPr>
      <w:r w:rsidRPr="00B83182">
        <w:rPr>
          <w:lang w:val="en-GB"/>
        </w:rPr>
        <w:t xml:space="preserve">An initial study conducted on 23 livestock farms that reviewed manure management practices and explored the feasibility of establishing biogas technology, identified three digester designs – covered lagoon, plug-flow and completely mixed – as potentially economical and suitable for Moldova livestock farms. </w:t>
      </w:r>
      <w:r w:rsidR="00997E27">
        <w:rPr>
          <w:lang w:val="en-GB"/>
        </w:rPr>
        <w:t>After the project start-up, p</w:t>
      </w:r>
      <w:r w:rsidR="004E68C0" w:rsidRPr="00B83182">
        <w:rPr>
          <w:lang w:val="en-GB"/>
        </w:rPr>
        <w:t xml:space="preserve">otential local manufacturers </w:t>
      </w:r>
      <w:r w:rsidR="00997E27">
        <w:rPr>
          <w:lang w:val="en-GB"/>
        </w:rPr>
        <w:t xml:space="preserve">of biodigesters will be identified, and together with the international and national technical experts, the </w:t>
      </w:r>
      <w:r w:rsidR="004E68C0" w:rsidRPr="00B83182">
        <w:rPr>
          <w:lang w:val="en-GB"/>
        </w:rPr>
        <w:t>pilot farms</w:t>
      </w:r>
      <w:r w:rsidR="00997E27">
        <w:rPr>
          <w:lang w:val="en-GB"/>
        </w:rPr>
        <w:t xml:space="preserve"> will be selected and </w:t>
      </w:r>
      <w:r w:rsidR="004E68C0" w:rsidRPr="00B83182">
        <w:rPr>
          <w:lang w:val="en-GB"/>
        </w:rPr>
        <w:t>digester designs to be piloted</w:t>
      </w:r>
      <w:r w:rsidR="00997E27">
        <w:rPr>
          <w:lang w:val="en-GB"/>
        </w:rPr>
        <w:t xml:space="preserve"> will be identified</w:t>
      </w:r>
      <w:r w:rsidR="004E68C0" w:rsidRPr="00B83182">
        <w:rPr>
          <w:lang w:val="en-GB"/>
        </w:rPr>
        <w:t>.</w:t>
      </w:r>
      <w:r w:rsidR="00711CAE">
        <w:rPr>
          <w:lang w:val="en-GB"/>
        </w:rPr>
        <w:t xml:space="preserve"> Annex 5 provides more details on the most widely used types of biodigesters. </w:t>
      </w:r>
    </w:p>
    <w:p w:rsidR="008573A0" w:rsidRPr="00F80783" w:rsidRDefault="008573A0" w:rsidP="008573A0">
      <w:pPr>
        <w:ind w:left="360"/>
        <w:jc w:val="right"/>
        <w:rPr>
          <w:b/>
          <w:smallCaps/>
        </w:rPr>
      </w:pPr>
      <w:r>
        <w:rPr>
          <w:lang w:val="en-GB"/>
        </w:rPr>
        <w:br w:type="page"/>
      </w:r>
      <w:r>
        <w:rPr>
          <w:b/>
          <w:smallCaps/>
        </w:rPr>
        <w:t>Annex 3</w:t>
      </w:r>
    </w:p>
    <w:p w:rsidR="008573A0" w:rsidRPr="00F80783" w:rsidRDefault="008573A0" w:rsidP="008573A0">
      <w:pPr>
        <w:ind w:left="360"/>
        <w:jc w:val="center"/>
        <w:rPr>
          <w:b/>
          <w:smallCaps/>
        </w:rPr>
      </w:pPr>
      <w:r w:rsidRPr="00F80783">
        <w:rPr>
          <w:b/>
          <w:smallCaps/>
        </w:rPr>
        <w:t>biogas generation from animal manure pilot project</w:t>
      </w:r>
    </w:p>
    <w:p w:rsidR="008573A0" w:rsidRPr="00F80783" w:rsidRDefault="008573A0" w:rsidP="008573A0">
      <w:pPr>
        <w:ind w:left="360"/>
        <w:jc w:val="center"/>
        <w:rPr>
          <w:b/>
          <w:smallCaps/>
        </w:rPr>
      </w:pPr>
      <w:r>
        <w:rPr>
          <w:b/>
          <w:smallCaps/>
        </w:rPr>
        <w:t>Annex 4: Project Cost Tables</w:t>
      </w:r>
    </w:p>
    <w:p w:rsidR="008573A0" w:rsidRDefault="008573A0" w:rsidP="009A5006">
      <w:pPr>
        <w:jc w:val="both"/>
        <w:rPr>
          <w:lang w:val="en-GB"/>
        </w:rPr>
      </w:pPr>
    </w:p>
    <w:p w:rsidR="008573A0" w:rsidRDefault="007D344A" w:rsidP="009A5006">
      <w:pPr>
        <w:jc w:val="both"/>
        <w:rPr>
          <w:lang w:val="en-GB"/>
        </w:rPr>
      </w:pPr>
      <w:r>
        <w:rPr>
          <w:noProof/>
        </w:rPr>
        <w:drawing>
          <wp:inline distT="0" distB="0" distL="0" distR="0">
            <wp:extent cx="5495925" cy="281940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495925" cy="2819400"/>
                    </a:xfrm>
                    <a:prstGeom prst="rect">
                      <a:avLst/>
                    </a:prstGeom>
                    <a:noFill/>
                    <a:ln w="9525">
                      <a:noFill/>
                      <a:miter lim="800000"/>
                      <a:headEnd/>
                      <a:tailEnd/>
                    </a:ln>
                  </pic:spPr>
                </pic:pic>
              </a:graphicData>
            </a:graphic>
          </wp:inline>
        </w:drawing>
      </w:r>
    </w:p>
    <w:p w:rsidR="008573A0" w:rsidRDefault="008573A0" w:rsidP="009A5006">
      <w:pPr>
        <w:jc w:val="both"/>
        <w:rPr>
          <w:lang w:val="en-GB"/>
        </w:rPr>
      </w:pPr>
    </w:p>
    <w:p w:rsidR="008573A0" w:rsidRDefault="008573A0" w:rsidP="009A5006">
      <w:pPr>
        <w:jc w:val="both"/>
        <w:rPr>
          <w:lang w:val="en-GB"/>
        </w:rPr>
      </w:pPr>
    </w:p>
    <w:p w:rsidR="008573A0" w:rsidRDefault="007D344A" w:rsidP="009A5006">
      <w:pPr>
        <w:jc w:val="both"/>
        <w:rPr>
          <w:lang w:val="en-GB"/>
        </w:rPr>
      </w:pPr>
      <w:r>
        <w:rPr>
          <w:noProof/>
        </w:rPr>
        <w:drawing>
          <wp:inline distT="0" distB="0" distL="0" distR="0">
            <wp:extent cx="5486400" cy="189547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486400" cy="1895475"/>
                    </a:xfrm>
                    <a:prstGeom prst="rect">
                      <a:avLst/>
                    </a:prstGeom>
                    <a:noFill/>
                    <a:ln w="9525">
                      <a:noFill/>
                      <a:miter lim="800000"/>
                      <a:headEnd/>
                      <a:tailEnd/>
                    </a:ln>
                  </pic:spPr>
                </pic:pic>
              </a:graphicData>
            </a:graphic>
          </wp:inline>
        </w:drawing>
      </w:r>
    </w:p>
    <w:p w:rsidR="008573A0" w:rsidRDefault="008573A0" w:rsidP="009A5006">
      <w:pPr>
        <w:jc w:val="both"/>
        <w:rPr>
          <w:lang w:val="en-GB"/>
        </w:rPr>
      </w:pPr>
    </w:p>
    <w:p w:rsidR="005121A0" w:rsidRPr="00315777" w:rsidRDefault="008573A0" w:rsidP="00315777">
      <w:pPr>
        <w:jc w:val="both"/>
        <w:rPr>
          <w:lang w:val="en-GB"/>
        </w:rPr>
      </w:pPr>
      <w:r>
        <w:rPr>
          <w:lang w:val="en-GB"/>
        </w:rPr>
        <w:t>Full project cost tables are available in the project file.</w:t>
      </w:r>
    </w:p>
    <w:p w:rsidR="001626BA" w:rsidRDefault="001626BA" w:rsidP="001626BA">
      <w:pPr>
        <w:rPr>
          <w:smallCaps/>
        </w:rPr>
        <w:sectPr w:rsidR="001626BA" w:rsidSect="001E1107">
          <w:pgSz w:w="12240" w:h="15840"/>
          <w:pgMar w:top="1440" w:right="1797" w:bottom="1440" w:left="1797" w:header="720" w:footer="720" w:gutter="0"/>
          <w:cols w:space="720"/>
          <w:docGrid w:linePitch="360"/>
        </w:sectPr>
      </w:pPr>
    </w:p>
    <w:p w:rsidR="005121A0" w:rsidRPr="00F80783" w:rsidRDefault="005121A0" w:rsidP="005121A0">
      <w:pPr>
        <w:ind w:left="360"/>
        <w:jc w:val="right"/>
        <w:rPr>
          <w:b/>
          <w:smallCaps/>
        </w:rPr>
      </w:pPr>
      <w:r w:rsidRPr="00F80783">
        <w:rPr>
          <w:b/>
          <w:smallCaps/>
        </w:rPr>
        <w:t>Annex 4</w:t>
      </w:r>
    </w:p>
    <w:p w:rsidR="005121A0" w:rsidRPr="00F80783" w:rsidRDefault="005121A0" w:rsidP="005121A0">
      <w:pPr>
        <w:ind w:left="360"/>
        <w:jc w:val="center"/>
        <w:rPr>
          <w:b/>
          <w:smallCaps/>
        </w:rPr>
      </w:pPr>
      <w:r w:rsidRPr="00F80783">
        <w:rPr>
          <w:b/>
          <w:smallCaps/>
        </w:rPr>
        <w:t xml:space="preserve">biogas generation </w:t>
      </w:r>
      <w:r w:rsidR="00716AB0" w:rsidRPr="00F80783">
        <w:rPr>
          <w:b/>
          <w:smallCaps/>
        </w:rPr>
        <w:t xml:space="preserve">from animal manure </w:t>
      </w:r>
      <w:r w:rsidRPr="00F80783">
        <w:rPr>
          <w:b/>
          <w:smallCaps/>
        </w:rPr>
        <w:t>pilot project</w:t>
      </w:r>
    </w:p>
    <w:p w:rsidR="005121A0" w:rsidRPr="00F80783" w:rsidRDefault="005121A0" w:rsidP="005121A0">
      <w:pPr>
        <w:ind w:left="360"/>
        <w:jc w:val="center"/>
        <w:rPr>
          <w:b/>
          <w:smallCaps/>
        </w:rPr>
      </w:pPr>
      <w:r w:rsidRPr="00F80783">
        <w:rPr>
          <w:b/>
          <w:smallCaps/>
        </w:rPr>
        <w:t>Annex 4: Implementation plan</w:t>
      </w:r>
    </w:p>
    <w:p w:rsidR="00EF5635" w:rsidRDefault="00EF5635" w:rsidP="00EF5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2610"/>
        <w:gridCol w:w="2340"/>
        <w:gridCol w:w="2340"/>
        <w:gridCol w:w="2610"/>
      </w:tblGrid>
      <w:tr w:rsidR="00EF5635" w:rsidTr="00F80783">
        <w:tc>
          <w:tcPr>
            <w:tcW w:w="2718" w:type="dxa"/>
            <w:vMerge w:val="restart"/>
          </w:tcPr>
          <w:p w:rsidR="00EF5635" w:rsidRPr="00C82BEE" w:rsidRDefault="00EF5635" w:rsidP="00C82BEE">
            <w:pPr>
              <w:jc w:val="center"/>
              <w:rPr>
                <w:smallCaps/>
                <w:sz w:val="20"/>
                <w:szCs w:val="20"/>
              </w:rPr>
            </w:pPr>
            <w:r w:rsidRPr="00C82BEE">
              <w:rPr>
                <w:smallCaps/>
                <w:sz w:val="20"/>
                <w:szCs w:val="20"/>
              </w:rPr>
              <w:t>Project Components</w:t>
            </w:r>
          </w:p>
        </w:tc>
        <w:tc>
          <w:tcPr>
            <w:tcW w:w="9900" w:type="dxa"/>
            <w:gridSpan w:val="4"/>
          </w:tcPr>
          <w:p w:rsidR="00EF5635" w:rsidRPr="00C82BEE" w:rsidRDefault="00EF5635" w:rsidP="00C82BEE">
            <w:pPr>
              <w:jc w:val="center"/>
              <w:rPr>
                <w:smallCaps/>
                <w:sz w:val="20"/>
                <w:szCs w:val="20"/>
              </w:rPr>
            </w:pPr>
            <w:r w:rsidRPr="00C82BEE">
              <w:rPr>
                <w:smallCaps/>
                <w:sz w:val="20"/>
                <w:szCs w:val="20"/>
              </w:rPr>
              <w:t>project months</w:t>
            </w:r>
          </w:p>
        </w:tc>
      </w:tr>
      <w:tr w:rsidR="00EF5635" w:rsidTr="00F80783">
        <w:tc>
          <w:tcPr>
            <w:tcW w:w="2718" w:type="dxa"/>
            <w:vMerge/>
          </w:tcPr>
          <w:p w:rsidR="00EF5635" w:rsidRPr="00C82BEE" w:rsidRDefault="00EF5635" w:rsidP="00C82BEE">
            <w:pPr>
              <w:jc w:val="center"/>
              <w:rPr>
                <w:smallCaps/>
                <w:sz w:val="20"/>
                <w:szCs w:val="20"/>
              </w:rPr>
            </w:pPr>
          </w:p>
        </w:tc>
        <w:tc>
          <w:tcPr>
            <w:tcW w:w="2610" w:type="dxa"/>
          </w:tcPr>
          <w:p w:rsidR="00EF5635" w:rsidRPr="00C82BEE" w:rsidRDefault="00EF5635" w:rsidP="00C82BEE">
            <w:pPr>
              <w:jc w:val="center"/>
              <w:rPr>
                <w:smallCaps/>
                <w:sz w:val="20"/>
                <w:szCs w:val="20"/>
              </w:rPr>
            </w:pPr>
            <w:r w:rsidRPr="00C82BEE">
              <w:rPr>
                <w:smallCaps/>
                <w:sz w:val="20"/>
                <w:szCs w:val="20"/>
              </w:rPr>
              <w:t xml:space="preserve"> 1 - 6</w:t>
            </w:r>
          </w:p>
        </w:tc>
        <w:tc>
          <w:tcPr>
            <w:tcW w:w="2340" w:type="dxa"/>
          </w:tcPr>
          <w:p w:rsidR="00EF5635" w:rsidRPr="00C82BEE" w:rsidRDefault="00EF5635" w:rsidP="00C82BEE">
            <w:pPr>
              <w:jc w:val="center"/>
              <w:rPr>
                <w:smallCaps/>
                <w:sz w:val="20"/>
                <w:szCs w:val="20"/>
              </w:rPr>
            </w:pPr>
            <w:r w:rsidRPr="00C82BEE">
              <w:rPr>
                <w:smallCaps/>
                <w:sz w:val="20"/>
                <w:szCs w:val="20"/>
              </w:rPr>
              <w:t>7-12</w:t>
            </w:r>
          </w:p>
        </w:tc>
        <w:tc>
          <w:tcPr>
            <w:tcW w:w="2340" w:type="dxa"/>
          </w:tcPr>
          <w:p w:rsidR="00EF5635" w:rsidRPr="00C82BEE" w:rsidRDefault="00EF5635" w:rsidP="00C82BEE">
            <w:pPr>
              <w:jc w:val="center"/>
              <w:rPr>
                <w:smallCaps/>
                <w:sz w:val="20"/>
                <w:szCs w:val="20"/>
              </w:rPr>
            </w:pPr>
            <w:r w:rsidRPr="00C82BEE">
              <w:rPr>
                <w:smallCaps/>
                <w:sz w:val="20"/>
                <w:szCs w:val="20"/>
              </w:rPr>
              <w:t>13- 24</w:t>
            </w:r>
          </w:p>
        </w:tc>
        <w:tc>
          <w:tcPr>
            <w:tcW w:w="2610" w:type="dxa"/>
          </w:tcPr>
          <w:p w:rsidR="00EF5635" w:rsidRPr="00C82BEE" w:rsidRDefault="00EF5635" w:rsidP="00C82BEE">
            <w:pPr>
              <w:jc w:val="center"/>
              <w:rPr>
                <w:smallCaps/>
                <w:sz w:val="20"/>
                <w:szCs w:val="20"/>
              </w:rPr>
            </w:pPr>
            <w:r w:rsidRPr="00C82BEE">
              <w:rPr>
                <w:smallCaps/>
                <w:sz w:val="20"/>
                <w:szCs w:val="20"/>
              </w:rPr>
              <w:t>25 - 36</w:t>
            </w:r>
          </w:p>
        </w:tc>
      </w:tr>
      <w:tr w:rsidR="00EF5635" w:rsidTr="00F80783">
        <w:tc>
          <w:tcPr>
            <w:tcW w:w="2718" w:type="dxa"/>
          </w:tcPr>
          <w:p w:rsidR="00EF5635" w:rsidRPr="00C82BEE" w:rsidRDefault="00EF5635" w:rsidP="007C5D9B">
            <w:pPr>
              <w:rPr>
                <w:b/>
                <w:sz w:val="20"/>
                <w:szCs w:val="20"/>
              </w:rPr>
            </w:pPr>
            <w:r w:rsidRPr="00C82BEE">
              <w:rPr>
                <w:b/>
                <w:sz w:val="20"/>
                <w:szCs w:val="20"/>
              </w:rPr>
              <w:t>Component 1: Enabling legislative and policy environment</w:t>
            </w:r>
          </w:p>
        </w:tc>
        <w:tc>
          <w:tcPr>
            <w:tcW w:w="2610" w:type="dxa"/>
            <w:tcBorders>
              <w:bottom w:val="single" w:sz="4" w:space="0" w:color="auto"/>
            </w:tcBorders>
          </w:tcPr>
          <w:p w:rsidR="00EF5635" w:rsidRPr="00C82BEE" w:rsidRDefault="00EF5635" w:rsidP="007C5D9B">
            <w:pPr>
              <w:rPr>
                <w:sz w:val="20"/>
                <w:szCs w:val="20"/>
              </w:rPr>
            </w:pPr>
          </w:p>
        </w:tc>
        <w:tc>
          <w:tcPr>
            <w:tcW w:w="2340" w:type="dxa"/>
            <w:tcBorders>
              <w:bottom w:val="single" w:sz="4" w:space="0" w:color="auto"/>
            </w:tcBorders>
          </w:tcPr>
          <w:p w:rsidR="00EF5635" w:rsidRPr="00C82BEE" w:rsidRDefault="00EF5635" w:rsidP="007C5D9B">
            <w:pPr>
              <w:rPr>
                <w:sz w:val="20"/>
                <w:szCs w:val="20"/>
              </w:rPr>
            </w:pPr>
          </w:p>
        </w:tc>
        <w:tc>
          <w:tcPr>
            <w:tcW w:w="2340" w:type="dxa"/>
          </w:tcPr>
          <w:p w:rsidR="00EF5635" w:rsidRPr="00C82BEE" w:rsidRDefault="00EF5635" w:rsidP="007C5D9B">
            <w:pPr>
              <w:rPr>
                <w:sz w:val="20"/>
                <w:szCs w:val="20"/>
              </w:rPr>
            </w:pPr>
          </w:p>
        </w:tc>
        <w:tc>
          <w:tcPr>
            <w:tcW w:w="2610" w:type="dxa"/>
          </w:tcPr>
          <w:p w:rsidR="00EF5635" w:rsidRPr="00C82BEE" w:rsidRDefault="00EF5635" w:rsidP="007C5D9B">
            <w:pPr>
              <w:rPr>
                <w:sz w:val="20"/>
                <w:szCs w:val="20"/>
              </w:rPr>
            </w:pPr>
          </w:p>
        </w:tc>
      </w:tr>
      <w:tr w:rsidR="00EF5635" w:rsidTr="00F80783">
        <w:tc>
          <w:tcPr>
            <w:tcW w:w="2718" w:type="dxa"/>
          </w:tcPr>
          <w:p w:rsidR="00EF5635" w:rsidRPr="00C82BEE" w:rsidRDefault="00EF5635" w:rsidP="007C5D9B">
            <w:pPr>
              <w:rPr>
                <w:sz w:val="20"/>
                <w:szCs w:val="20"/>
              </w:rPr>
            </w:pPr>
            <w:r w:rsidRPr="00C82BEE">
              <w:rPr>
                <w:sz w:val="20"/>
                <w:szCs w:val="20"/>
              </w:rPr>
              <w:t>1.1 Identify the legal, administrative and financing barriers that prevent introduction and operation of biogas digesters</w:t>
            </w:r>
          </w:p>
        </w:tc>
        <w:tc>
          <w:tcPr>
            <w:tcW w:w="2610" w:type="dxa"/>
            <w:shd w:val="clear" w:color="auto" w:fill="C0C0C0"/>
          </w:tcPr>
          <w:p w:rsidR="00EF5635" w:rsidRPr="00C82BEE" w:rsidRDefault="00EF5635" w:rsidP="005B16BC">
            <w:pPr>
              <w:rPr>
                <w:sz w:val="20"/>
                <w:szCs w:val="20"/>
              </w:rPr>
            </w:pPr>
            <w:r w:rsidRPr="00C82BEE">
              <w:rPr>
                <w:sz w:val="20"/>
                <w:szCs w:val="20"/>
              </w:rPr>
              <w:t xml:space="preserve">Recruit </w:t>
            </w:r>
            <w:r w:rsidR="005B16BC">
              <w:rPr>
                <w:sz w:val="20"/>
                <w:szCs w:val="20"/>
              </w:rPr>
              <w:t>consultants to provide t</w:t>
            </w:r>
            <w:r w:rsidRPr="00C82BEE">
              <w:rPr>
                <w:sz w:val="20"/>
                <w:szCs w:val="20"/>
              </w:rPr>
              <w:t>echnical ass</w:t>
            </w:r>
            <w:r w:rsidR="006C5A7D">
              <w:rPr>
                <w:sz w:val="20"/>
                <w:szCs w:val="20"/>
              </w:rPr>
              <w:t>istance and start work with ANRE</w:t>
            </w:r>
            <w:r w:rsidRPr="00C82BEE">
              <w:rPr>
                <w:sz w:val="20"/>
                <w:szCs w:val="20"/>
              </w:rPr>
              <w:t>, MOE, MOA to identify barriers.</w:t>
            </w:r>
          </w:p>
        </w:tc>
        <w:tc>
          <w:tcPr>
            <w:tcW w:w="2340" w:type="dxa"/>
            <w:tcBorders>
              <w:bottom w:val="single" w:sz="4" w:space="0" w:color="auto"/>
            </w:tcBorders>
            <w:shd w:val="clear" w:color="auto" w:fill="auto"/>
          </w:tcPr>
          <w:p w:rsidR="00EF5635" w:rsidRPr="00C82BEE" w:rsidRDefault="00EF5635" w:rsidP="007C5D9B">
            <w:pPr>
              <w:rPr>
                <w:sz w:val="20"/>
                <w:szCs w:val="20"/>
              </w:rPr>
            </w:pPr>
          </w:p>
        </w:tc>
        <w:tc>
          <w:tcPr>
            <w:tcW w:w="2340" w:type="dxa"/>
            <w:tcBorders>
              <w:bottom w:val="single" w:sz="4" w:space="0" w:color="auto"/>
            </w:tcBorders>
          </w:tcPr>
          <w:p w:rsidR="00EF5635" w:rsidRPr="00C82BEE" w:rsidRDefault="00EF5635" w:rsidP="007C5D9B">
            <w:pPr>
              <w:rPr>
                <w:sz w:val="20"/>
                <w:szCs w:val="20"/>
              </w:rPr>
            </w:pPr>
          </w:p>
        </w:tc>
        <w:tc>
          <w:tcPr>
            <w:tcW w:w="2610" w:type="dxa"/>
          </w:tcPr>
          <w:p w:rsidR="00EF5635" w:rsidRPr="00C82BEE" w:rsidRDefault="00EF5635" w:rsidP="007C5D9B">
            <w:pPr>
              <w:rPr>
                <w:sz w:val="20"/>
                <w:szCs w:val="20"/>
              </w:rPr>
            </w:pPr>
          </w:p>
        </w:tc>
      </w:tr>
      <w:tr w:rsidR="00EF5635" w:rsidTr="00F80783">
        <w:tc>
          <w:tcPr>
            <w:tcW w:w="2718" w:type="dxa"/>
          </w:tcPr>
          <w:p w:rsidR="00EF5635" w:rsidRPr="00C82BEE" w:rsidRDefault="00EF5635" w:rsidP="007C5D9B">
            <w:pPr>
              <w:rPr>
                <w:sz w:val="20"/>
                <w:szCs w:val="20"/>
              </w:rPr>
            </w:pPr>
            <w:r w:rsidRPr="00C82BEE">
              <w:rPr>
                <w:sz w:val="20"/>
                <w:szCs w:val="20"/>
              </w:rPr>
              <w:t>1.2  Cons</w:t>
            </w:r>
            <w:r w:rsidR="00367066" w:rsidRPr="00C82BEE">
              <w:rPr>
                <w:sz w:val="20"/>
                <w:szCs w:val="20"/>
              </w:rPr>
              <w:t xml:space="preserve">ultation and agreement </w:t>
            </w:r>
            <w:r w:rsidR="005B16BC">
              <w:rPr>
                <w:sz w:val="20"/>
                <w:szCs w:val="20"/>
              </w:rPr>
              <w:t xml:space="preserve">on </w:t>
            </w:r>
            <w:r w:rsidR="00367066" w:rsidRPr="00C82BEE">
              <w:rPr>
                <w:sz w:val="20"/>
                <w:szCs w:val="20"/>
              </w:rPr>
              <w:t xml:space="preserve">price changes with </w:t>
            </w:r>
            <w:r w:rsidRPr="00C82BEE">
              <w:rPr>
                <w:sz w:val="20"/>
                <w:szCs w:val="20"/>
              </w:rPr>
              <w:t>enabling legislation</w:t>
            </w:r>
          </w:p>
        </w:tc>
        <w:tc>
          <w:tcPr>
            <w:tcW w:w="2610" w:type="dxa"/>
          </w:tcPr>
          <w:p w:rsidR="00EF5635" w:rsidRPr="00C82BEE" w:rsidRDefault="00EF5635" w:rsidP="007C5D9B">
            <w:pPr>
              <w:rPr>
                <w:sz w:val="20"/>
                <w:szCs w:val="20"/>
              </w:rPr>
            </w:pPr>
          </w:p>
        </w:tc>
        <w:tc>
          <w:tcPr>
            <w:tcW w:w="2340" w:type="dxa"/>
            <w:shd w:val="clear" w:color="auto" w:fill="C0C0C0"/>
          </w:tcPr>
          <w:p w:rsidR="00EF5635" w:rsidRPr="00C82BEE" w:rsidRDefault="003A418B" w:rsidP="005B16BC">
            <w:pPr>
              <w:rPr>
                <w:sz w:val="20"/>
                <w:szCs w:val="20"/>
              </w:rPr>
            </w:pPr>
            <w:r w:rsidRPr="00C82BEE">
              <w:rPr>
                <w:sz w:val="20"/>
                <w:szCs w:val="20"/>
              </w:rPr>
              <w:t xml:space="preserve">Consultation and preparation </w:t>
            </w:r>
            <w:r w:rsidR="005B16BC">
              <w:rPr>
                <w:sz w:val="20"/>
                <w:szCs w:val="20"/>
              </w:rPr>
              <w:t xml:space="preserve">of </w:t>
            </w:r>
            <w:r w:rsidRPr="00C82BEE">
              <w:rPr>
                <w:sz w:val="20"/>
                <w:szCs w:val="20"/>
              </w:rPr>
              <w:t>proposals for amendments to legislation and/or introducing regulations for implementing existing law and pricing.</w:t>
            </w:r>
          </w:p>
        </w:tc>
        <w:tc>
          <w:tcPr>
            <w:tcW w:w="2340" w:type="dxa"/>
            <w:shd w:val="clear" w:color="auto" w:fill="C0C0C0"/>
          </w:tcPr>
          <w:p w:rsidR="00EF5635" w:rsidRPr="00C82BEE" w:rsidRDefault="00EF5635" w:rsidP="007C5D9B">
            <w:pPr>
              <w:rPr>
                <w:sz w:val="20"/>
                <w:szCs w:val="20"/>
              </w:rPr>
            </w:pPr>
            <w:r w:rsidRPr="00C82BEE">
              <w:rPr>
                <w:sz w:val="20"/>
                <w:szCs w:val="20"/>
              </w:rPr>
              <w:t xml:space="preserve">Submission to concerned </w:t>
            </w:r>
            <w:r w:rsidRPr="00C82BEE">
              <w:rPr>
                <w:sz w:val="20"/>
                <w:szCs w:val="20"/>
                <w:shd w:val="clear" w:color="auto" w:fill="C0C0C0"/>
              </w:rPr>
              <w:t>agencies and passage of enabling legislation</w:t>
            </w:r>
            <w:r w:rsidRPr="00C82BEE">
              <w:rPr>
                <w:sz w:val="20"/>
                <w:szCs w:val="20"/>
              </w:rPr>
              <w:t xml:space="preserve"> </w:t>
            </w:r>
            <w:r w:rsidR="00F005D4" w:rsidRPr="00C82BEE">
              <w:rPr>
                <w:sz w:val="20"/>
                <w:szCs w:val="20"/>
              </w:rPr>
              <w:t>and pricing changes</w:t>
            </w:r>
            <w:r w:rsidRPr="00C82BEE">
              <w:rPr>
                <w:sz w:val="20"/>
                <w:szCs w:val="20"/>
              </w:rPr>
              <w:t xml:space="preserve"> </w:t>
            </w:r>
          </w:p>
        </w:tc>
        <w:tc>
          <w:tcPr>
            <w:tcW w:w="2610" w:type="dxa"/>
            <w:tcBorders>
              <w:bottom w:val="single" w:sz="4" w:space="0" w:color="auto"/>
            </w:tcBorders>
          </w:tcPr>
          <w:p w:rsidR="00EF5635" w:rsidRPr="00C82BEE" w:rsidRDefault="00EF5635" w:rsidP="007C5D9B">
            <w:pPr>
              <w:rPr>
                <w:sz w:val="20"/>
                <w:szCs w:val="20"/>
              </w:rPr>
            </w:pPr>
          </w:p>
        </w:tc>
      </w:tr>
      <w:tr w:rsidR="00EF5635" w:rsidTr="00F80783">
        <w:tc>
          <w:tcPr>
            <w:tcW w:w="2718" w:type="dxa"/>
          </w:tcPr>
          <w:p w:rsidR="00EF5635" w:rsidRPr="00C82BEE" w:rsidRDefault="00EF5635" w:rsidP="005F0D31">
            <w:pPr>
              <w:rPr>
                <w:sz w:val="20"/>
                <w:szCs w:val="20"/>
              </w:rPr>
            </w:pPr>
            <w:r w:rsidRPr="00C82BEE">
              <w:rPr>
                <w:sz w:val="20"/>
                <w:szCs w:val="20"/>
              </w:rPr>
              <w:t>1.3 Licensing of biodigesters</w:t>
            </w:r>
          </w:p>
        </w:tc>
        <w:tc>
          <w:tcPr>
            <w:tcW w:w="2610" w:type="dxa"/>
          </w:tcPr>
          <w:p w:rsidR="00EF5635" w:rsidRPr="00C82BEE" w:rsidRDefault="00EF5635" w:rsidP="007C5D9B">
            <w:pPr>
              <w:rPr>
                <w:sz w:val="20"/>
                <w:szCs w:val="20"/>
              </w:rPr>
            </w:pPr>
          </w:p>
        </w:tc>
        <w:tc>
          <w:tcPr>
            <w:tcW w:w="2340" w:type="dxa"/>
          </w:tcPr>
          <w:p w:rsidR="00EF5635" w:rsidRPr="00C82BEE" w:rsidRDefault="00EF5635" w:rsidP="007C5D9B">
            <w:pPr>
              <w:rPr>
                <w:sz w:val="20"/>
                <w:szCs w:val="20"/>
              </w:rPr>
            </w:pPr>
          </w:p>
        </w:tc>
        <w:tc>
          <w:tcPr>
            <w:tcW w:w="2340" w:type="dxa"/>
          </w:tcPr>
          <w:p w:rsidR="00EF5635" w:rsidRPr="00C82BEE" w:rsidRDefault="00EF5635" w:rsidP="007C5D9B">
            <w:pPr>
              <w:rPr>
                <w:sz w:val="20"/>
                <w:szCs w:val="20"/>
              </w:rPr>
            </w:pPr>
          </w:p>
        </w:tc>
        <w:tc>
          <w:tcPr>
            <w:tcW w:w="2610" w:type="dxa"/>
            <w:shd w:val="clear" w:color="auto" w:fill="C0C0C0"/>
          </w:tcPr>
          <w:p w:rsidR="00EF5635" w:rsidRPr="00C82BEE" w:rsidRDefault="00EF5635" w:rsidP="005F0D31">
            <w:pPr>
              <w:rPr>
                <w:sz w:val="20"/>
                <w:szCs w:val="20"/>
              </w:rPr>
            </w:pPr>
            <w:r w:rsidRPr="00C82BEE">
              <w:rPr>
                <w:sz w:val="20"/>
                <w:szCs w:val="20"/>
              </w:rPr>
              <w:t>Biodigesters licensed for use in Moldova</w:t>
            </w:r>
          </w:p>
        </w:tc>
      </w:tr>
      <w:tr w:rsidR="00EF5635" w:rsidTr="00F80783">
        <w:tc>
          <w:tcPr>
            <w:tcW w:w="2718" w:type="dxa"/>
          </w:tcPr>
          <w:p w:rsidR="00EF5635" w:rsidRPr="00C82BEE" w:rsidRDefault="00EF5635" w:rsidP="007C5D9B">
            <w:pPr>
              <w:rPr>
                <w:b/>
                <w:sz w:val="20"/>
                <w:szCs w:val="20"/>
              </w:rPr>
            </w:pPr>
            <w:r w:rsidRPr="00C82BEE">
              <w:rPr>
                <w:b/>
                <w:sz w:val="20"/>
                <w:szCs w:val="20"/>
              </w:rPr>
              <w:t>Component 2: Technical assistance at farm level</w:t>
            </w:r>
          </w:p>
        </w:tc>
        <w:tc>
          <w:tcPr>
            <w:tcW w:w="2610" w:type="dxa"/>
            <w:tcBorders>
              <w:bottom w:val="single" w:sz="4" w:space="0" w:color="auto"/>
            </w:tcBorders>
          </w:tcPr>
          <w:p w:rsidR="00EF5635" w:rsidRPr="00C82BEE" w:rsidRDefault="00EF5635" w:rsidP="007C5D9B">
            <w:pPr>
              <w:rPr>
                <w:sz w:val="20"/>
                <w:szCs w:val="20"/>
              </w:rPr>
            </w:pPr>
          </w:p>
        </w:tc>
        <w:tc>
          <w:tcPr>
            <w:tcW w:w="2340" w:type="dxa"/>
            <w:tcBorders>
              <w:bottom w:val="single" w:sz="4" w:space="0" w:color="auto"/>
            </w:tcBorders>
          </w:tcPr>
          <w:p w:rsidR="00EF5635" w:rsidRPr="00C82BEE" w:rsidRDefault="00EF5635" w:rsidP="007C5D9B">
            <w:pPr>
              <w:rPr>
                <w:sz w:val="20"/>
                <w:szCs w:val="20"/>
              </w:rPr>
            </w:pPr>
          </w:p>
        </w:tc>
        <w:tc>
          <w:tcPr>
            <w:tcW w:w="2340" w:type="dxa"/>
            <w:tcBorders>
              <w:bottom w:val="single" w:sz="4" w:space="0" w:color="auto"/>
            </w:tcBorders>
          </w:tcPr>
          <w:p w:rsidR="00EF5635" w:rsidRPr="00C82BEE" w:rsidRDefault="00EF5635" w:rsidP="007C5D9B">
            <w:pPr>
              <w:rPr>
                <w:sz w:val="20"/>
                <w:szCs w:val="20"/>
              </w:rPr>
            </w:pPr>
          </w:p>
        </w:tc>
        <w:tc>
          <w:tcPr>
            <w:tcW w:w="2610" w:type="dxa"/>
            <w:tcBorders>
              <w:bottom w:val="single" w:sz="4" w:space="0" w:color="auto"/>
            </w:tcBorders>
          </w:tcPr>
          <w:p w:rsidR="00EF5635" w:rsidRPr="00C82BEE" w:rsidRDefault="00EF5635" w:rsidP="007C5D9B">
            <w:pPr>
              <w:rPr>
                <w:sz w:val="20"/>
                <w:szCs w:val="20"/>
              </w:rPr>
            </w:pPr>
          </w:p>
        </w:tc>
      </w:tr>
      <w:tr w:rsidR="00EF5635" w:rsidTr="00F80783">
        <w:tc>
          <w:tcPr>
            <w:tcW w:w="2718" w:type="dxa"/>
          </w:tcPr>
          <w:p w:rsidR="00EF5635" w:rsidRPr="00C82BEE" w:rsidRDefault="00EF5635" w:rsidP="007C5D9B">
            <w:pPr>
              <w:rPr>
                <w:sz w:val="20"/>
                <w:szCs w:val="20"/>
              </w:rPr>
            </w:pPr>
            <w:r w:rsidRPr="00C82BEE">
              <w:rPr>
                <w:sz w:val="20"/>
                <w:szCs w:val="20"/>
              </w:rPr>
              <w:t>2.1 Farmer training in manure management</w:t>
            </w:r>
          </w:p>
        </w:tc>
        <w:tc>
          <w:tcPr>
            <w:tcW w:w="2610" w:type="dxa"/>
            <w:shd w:val="clear" w:color="auto" w:fill="C0C0C0"/>
          </w:tcPr>
          <w:p w:rsidR="00EF5635" w:rsidRPr="00C82BEE" w:rsidRDefault="00EF5635" w:rsidP="007C5D9B">
            <w:pPr>
              <w:rPr>
                <w:sz w:val="20"/>
                <w:szCs w:val="20"/>
              </w:rPr>
            </w:pPr>
            <w:r w:rsidRPr="00C82BEE">
              <w:rPr>
                <w:sz w:val="20"/>
                <w:szCs w:val="20"/>
              </w:rPr>
              <w:t>Recruit technical assistance and contract agencies for training programs</w:t>
            </w:r>
          </w:p>
        </w:tc>
        <w:tc>
          <w:tcPr>
            <w:tcW w:w="2340" w:type="dxa"/>
            <w:tcBorders>
              <w:bottom w:val="single" w:sz="4" w:space="0" w:color="auto"/>
            </w:tcBorders>
            <w:shd w:val="clear" w:color="auto" w:fill="C0C0C0"/>
          </w:tcPr>
          <w:p w:rsidR="00EF5635" w:rsidRPr="00C82BEE" w:rsidRDefault="00EF5635" w:rsidP="007C5D9B">
            <w:pPr>
              <w:rPr>
                <w:sz w:val="20"/>
                <w:szCs w:val="20"/>
              </w:rPr>
            </w:pPr>
            <w:r w:rsidRPr="00C82BEE">
              <w:rPr>
                <w:sz w:val="20"/>
                <w:szCs w:val="20"/>
              </w:rPr>
              <w:t>Farmer training in manure management</w:t>
            </w:r>
          </w:p>
        </w:tc>
        <w:tc>
          <w:tcPr>
            <w:tcW w:w="2340" w:type="dxa"/>
            <w:tcBorders>
              <w:bottom w:val="single" w:sz="4" w:space="0" w:color="auto"/>
            </w:tcBorders>
            <w:shd w:val="clear" w:color="auto" w:fill="C0C0C0"/>
          </w:tcPr>
          <w:p w:rsidR="00EF5635" w:rsidRPr="00C82BEE" w:rsidRDefault="00EF5635" w:rsidP="007C5D9B">
            <w:pPr>
              <w:rPr>
                <w:sz w:val="20"/>
                <w:szCs w:val="20"/>
              </w:rPr>
            </w:pPr>
            <w:r w:rsidRPr="00C82BEE">
              <w:rPr>
                <w:sz w:val="20"/>
                <w:szCs w:val="20"/>
              </w:rPr>
              <w:t>Farmer training in manure management</w:t>
            </w:r>
          </w:p>
        </w:tc>
        <w:tc>
          <w:tcPr>
            <w:tcW w:w="2610" w:type="dxa"/>
            <w:tcBorders>
              <w:bottom w:val="single" w:sz="4" w:space="0" w:color="auto"/>
            </w:tcBorders>
            <w:shd w:val="clear" w:color="auto" w:fill="C0C0C0"/>
          </w:tcPr>
          <w:p w:rsidR="00EF5635" w:rsidRPr="00C82BEE" w:rsidRDefault="00EF5635" w:rsidP="007C5D9B">
            <w:pPr>
              <w:rPr>
                <w:sz w:val="20"/>
                <w:szCs w:val="20"/>
              </w:rPr>
            </w:pPr>
            <w:r w:rsidRPr="00C82BEE">
              <w:rPr>
                <w:sz w:val="20"/>
                <w:szCs w:val="20"/>
              </w:rPr>
              <w:t>Farmer training in manure management</w:t>
            </w:r>
          </w:p>
        </w:tc>
      </w:tr>
      <w:tr w:rsidR="00EF5635" w:rsidTr="00F80783">
        <w:tc>
          <w:tcPr>
            <w:tcW w:w="2718" w:type="dxa"/>
          </w:tcPr>
          <w:p w:rsidR="00EF5635" w:rsidRPr="00C82BEE" w:rsidRDefault="00EF5635" w:rsidP="005F0D31">
            <w:pPr>
              <w:rPr>
                <w:sz w:val="20"/>
                <w:szCs w:val="20"/>
              </w:rPr>
            </w:pPr>
            <w:r w:rsidRPr="00C82BEE">
              <w:rPr>
                <w:sz w:val="20"/>
                <w:szCs w:val="20"/>
              </w:rPr>
              <w:t>2.2 Training local engineers in installation and operation of biodigesters</w:t>
            </w:r>
          </w:p>
        </w:tc>
        <w:tc>
          <w:tcPr>
            <w:tcW w:w="2610" w:type="dxa"/>
          </w:tcPr>
          <w:p w:rsidR="00EF5635" w:rsidRPr="00C82BEE" w:rsidRDefault="00EF5635" w:rsidP="007C5D9B">
            <w:pPr>
              <w:rPr>
                <w:sz w:val="20"/>
                <w:szCs w:val="20"/>
              </w:rPr>
            </w:pPr>
          </w:p>
        </w:tc>
        <w:tc>
          <w:tcPr>
            <w:tcW w:w="2340" w:type="dxa"/>
            <w:shd w:val="clear" w:color="auto" w:fill="C0C0C0"/>
          </w:tcPr>
          <w:p w:rsidR="00EF5635" w:rsidRPr="00C82BEE" w:rsidRDefault="00EF5635" w:rsidP="007C5D9B">
            <w:pPr>
              <w:rPr>
                <w:sz w:val="20"/>
                <w:szCs w:val="20"/>
              </w:rPr>
            </w:pPr>
            <w:r w:rsidRPr="00C82BEE">
              <w:rPr>
                <w:sz w:val="20"/>
                <w:szCs w:val="20"/>
              </w:rPr>
              <w:t xml:space="preserve">Recruit </w:t>
            </w:r>
            <w:r w:rsidR="005B16BC">
              <w:rPr>
                <w:sz w:val="20"/>
                <w:szCs w:val="20"/>
              </w:rPr>
              <w:t xml:space="preserve">consultants to provide </w:t>
            </w:r>
            <w:r w:rsidRPr="00C82BEE">
              <w:rPr>
                <w:sz w:val="20"/>
                <w:szCs w:val="20"/>
              </w:rPr>
              <w:t>technical assistance and contract agencies for training programs</w:t>
            </w:r>
          </w:p>
        </w:tc>
        <w:tc>
          <w:tcPr>
            <w:tcW w:w="2340" w:type="dxa"/>
            <w:shd w:val="clear" w:color="auto" w:fill="C0C0C0"/>
          </w:tcPr>
          <w:p w:rsidR="00EF5635" w:rsidRPr="00C82BEE" w:rsidRDefault="00EF5635" w:rsidP="007C5D9B">
            <w:pPr>
              <w:rPr>
                <w:sz w:val="20"/>
                <w:szCs w:val="20"/>
              </w:rPr>
            </w:pPr>
            <w:r w:rsidRPr="00C82BEE">
              <w:rPr>
                <w:sz w:val="20"/>
                <w:szCs w:val="20"/>
              </w:rPr>
              <w:t>Training local engineers</w:t>
            </w:r>
          </w:p>
        </w:tc>
        <w:tc>
          <w:tcPr>
            <w:tcW w:w="2610" w:type="dxa"/>
            <w:tcBorders>
              <w:bottom w:val="single" w:sz="4" w:space="0" w:color="auto"/>
            </w:tcBorders>
            <w:shd w:val="clear" w:color="auto" w:fill="C0C0C0"/>
          </w:tcPr>
          <w:p w:rsidR="00EF5635" w:rsidRPr="00C82BEE" w:rsidRDefault="00EF5635" w:rsidP="007C5D9B">
            <w:pPr>
              <w:rPr>
                <w:sz w:val="20"/>
                <w:szCs w:val="20"/>
              </w:rPr>
            </w:pPr>
            <w:r w:rsidRPr="00C82BEE">
              <w:rPr>
                <w:sz w:val="20"/>
                <w:szCs w:val="20"/>
              </w:rPr>
              <w:t>Training local engineers</w:t>
            </w:r>
          </w:p>
        </w:tc>
      </w:tr>
      <w:tr w:rsidR="00EF5635" w:rsidTr="004F5347">
        <w:tc>
          <w:tcPr>
            <w:tcW w:w="2718" w:type="dxa"/>
          </w:tcPr>
          <w:p w:rsidR="00EF5635" w:rsidRPr="00C82BEE" w:rsidRDefault="00EF5635" w:rsidP="005F0D31">
            <w:pPr>
              <w:rPr>
                <w:sz w:val="20"/>
                <w:szCs w:val="20"/>
              </w:rPr>
            </w:pPr>
            <w:r w:rsidRPr="00C82BEE">
              <w:rPr>
                <w:sz w:val="20"/>
                <w:szCs w:val="20"/>
              </w:rPr>
              <w:t>2.3Training farmers in biodigester operation</w:t>
            </w:r>
          </w:p>
        </w:tc>
        <w:tc>
          <w:tcPr>
            <w:tcW w:w="2610" w:type="dxa"/>
            <w:tcBorders>
              <w:bottom w:val="single" w:sz="4" w:space="0" w:color="auto"/>
            </w:tcBorders>
          </w:tcPr>
          <w:p w:rsidR="00EF5635" w:rsidRPr="00C82BEE" w:rsidRDefault="00EF5635" w:rsidP="007C5D9B">
            <w:pPr>
              <w:rPr>
                <w:sz w:val="20"/>
                <w:szCs w:val="20"/>
              </w:rPr>
            </w:pPr>
          </w:p>
        </w:tc>
        <w:tc>
          <w:tcPr>
            <w:tcW w:w="2340" w:type="dxa"/>
            <w:tcBorders>
              <w:bottom w:val="single" w:sz="4" w:space="0" w:color="auto"/>
            </w:tcBorders>
          </w:tcPr>
          <w:p w:rsidR="00EF5635" w:rsidRPr="00C82BEE" w:rsidRDefault="00EF5635" w:rsidP="007C5D9B">
            <w:pPr>
              <w:rPr>
                <w:sz w:val="20"/>
                <w:szCs w:val="20"/>
              </w:rPr>
            </w:pPr>
          </w:p>
        </w:tc>
        <w:tc>
          <w:tcPr>
            <w:tcW w:w="2340" w:type="dxa"/>
            <w:tcBorders>
              <w:bottom w:val="single" w:sz="4" w:space="0" w:color="auto"/>
            </w:tcBorders>
            <w:shd w:val="clear" w:color="auto" w:fill="BFBFBF"/>
          </w:tcPr>
          <w:p w:rsidR="00EF5635" w:rsidRPr="00C82BEE" w:rsidRDefault="006C5A7D" w:rsidP="007C5D9B">
            <w:pPr>
              <w:rPr>
                <w:sz w:val="20"/>
                <w:szCs w:val="20"/>
              </w:rPr>
            </w:pPr>
            <w:r w:rsidRPr="00C82BEE">
              <w:rPr>
                <w:sz w:val="20"/>
                <w:szCs w:val="20"/>
              </w:rPr>
              <w:t>Farmer training once biodigesters constructed</w:t>
            </w:r>
          </w:p>
        </w:tc>
        <w:tc>
          <w:tcPr>
            <w:tcW w:w="2610" w:type="dxa"/>
            <w:tcBorders>
              <w:bottom w:val="single" w:sz="4" w:space="0" w:color="auto"/>
            </w:tcBorders>
            <w:shd w:val="clear" w:color="auto" w:fill="C0C0C0"/>
          </w:tcPr>
          <w:p w:rsidR="00EF5635" w:rsidRPr="00C82BEE" w:rsidRDefault="00EF5635" w:rsidP="005F0D31">
            <w:pPr>
              <w:rPr>
                <w:sz w:val="20"/>
                <w:szCs w:val="20"/>
              </w:rPr>
            </w:pPr>
            <w:r w:rsidRPr="00C82BEE">
              <w:rPr>
                <w:sz w:val="20"/>
                <w:szCs w:val="20"/>
              </w:rPr>
              <w:t>Farmer training once biodigesters constructed</w:t>
            </w:r>
          </w:p>
        </w:tc>
      </w:tr>
    </w:tbl>
    <w:p w:rsidR="003A418B" w:rsidRDefault="003A418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2610"/>
        <w:gridCol w:w="2325"/>
        <w:gridCol w:w="2326"/>
        <w:gridCol w:w="2639"/>
      </w:tblGrid>
      <w:tr w:rsidR="00EF5635" w:rsidTr="00F80783">
        <w:tc>
          <w:tcPr>
            <w:tcW w:w="2718" w:type="dxa"/>
          </w:tcPr>
          <w:p w:rsidR="00EF5635" w:rsidRPr="00C82BEE" w:rsidRDefault="00EF5635" w:rsidP="007C5D9B">
            <w:pPr>
              <w:rPr>
                <w:sz w:val="20"/>
                <w:szCs w:val="20"/>
              </w:rPr>
            </w:pPr>
            <w:r w:rsidRPr="00C82BEE">
              <w:rPr>
                <w:sz w:val="20"/>
                <w:szCs w:val="20"/>
              </w:rPr>
              <w:t>2.4 Broader awareness-raising in wider community</w:t>
            </w:r>
          </w:p>
        </w:tc>
        <w:tc>
          <w:tcPr>
            <w:tcW w:w="2610" w:type="dxa"/>
            <w:shd w:val="clear" w:color="auto" w:fill="C0C0C0"/>
          </w:tcPr>
          <w:p w:rsidR="00EF5635" w:rsidRPr="00C82BEE" w:rsidRDefault="00EF5635" w:rsidP="005B16BC">
            <w:pPr>
              <w:rPr>
                <w:sz w:val="20"/>
                <w:szCs w:val="20"/>
              </w:rPr>
            </w:pPr>
            <w:r w:rsidRPr="00C82BEE">
              <w:rPr>
                <w:sz w:val="20"/>
                <w:szCs w:val="20"/>
              </w:rPr>
              <w:t xml:space="preserve">Recruit agency </w:t>
            </w:r>
            <w:r w:rsidR="005B16BC">
              <w:rPr>
                <w:sz w:val="20"/>
                <w:szCs w:val="20"/>
              </w:rPr>
              <w:t>to conduct</w:t>
            </w:r>
            <w:r w:rsidRPr="00C82BEE">
              <w:rPr>
                <w:sz w:val="20"/>
                <w:szCs w:val="20"/>
              </w:rPr>
              <w:t xml:space="preserve"> awareness campaign</w:t>
            </w:r>
          </w:p>
        </w:tc>
        <w:tc>
          <w:tcPr>
            <w:tcW w:w="2325" w:type="dxa"/>
            <w:shd w:val="clear" w:color="auto" w:fill="C0C0C0"/>
          </w:tcPr>
          <w:p w:rsidR="00EF5635" w:rsidRPr="00C82BEE" w:rsidRDefault="00EF5635" w:rsidP="007C5D9B">
            <w:pPr>
              <w:rPr>
                <w:sz w:val="20"/>
                <w:szCs w:val="20"/>
              </w:rPr>
            </w:pPr>
            <w:r w:rsidRPr="00C82BEE">
              <w:rPr>
                <w:sz w:val="20"/>
                <w:szCs w:val="20"/>
              </w:rPr>
              <w:t>Pilot program launched</w:t>
            </w:r>
          </w:p>
        </w:tc>
        <w:tc>
          <w:tcPr>
            <w:tcW w:w="2326" w:type="dxa"/>
            <w:shd w:val="clear" w:color="auto" w:fill="C0C0C0"/>
          </w:tcPr>
          <w:p w:rsidR="00EF5635" w:rsidRPr="00C82BEE" w:rsidRDefault="00EF5635" w:rsidP="007C5D9B">
            <w:pPr>
              <w:rPr>
                <w:sz w:val="20"/>
                <w:szCs w:val="20"/>
              </w:rPr>
            </w:pPr>
            <w:r w:rsidRPr="00C82BEE">
              <w:rPr>
                <w:sz w:val="20"/>
                <w:szCs w:val="20"/>
              </w:rPr>
              <w:t>Consolidated awareness programs</w:t>
            </w:r>
          </w:p>
        </w:tc>
        <w:tc>
          <w:tcPr>
            <w:tcW w:w="2639" w:type="dxa"/>
            <w:shd w:val="clear" w:color="auto" w:fill="C0C0C0"/>
          </w:tcPr>
          <w:p w:rsidR="00EF5635" w:rsidRPr="00C82BEE" w:rsidRDefault="00EF5635" w:rsidP="007C5D9B">
            <w:pPr>
              <w:rPr>
                <w:sz w:val="20"/>
                <w:szCs w:val="20"/>
              </w:rPr>
            </w:pPr>
            <w:r w:rsidRPr="00C82BEE">
              <w:rPr>
                <w:sz w:val="20"/>
                <w:szCs w:val="20"/>
              </w:rPr>
              <w:t>Consolidated awareness programs</w:t>
            </w:r>
          </w:p>
        </w:tc>
      </w:tr>
      <w:tr w:rsidR="00EF5635" w:rsidTr="00F80783">
        <w:tc>
          <w:tcPr>
            <w:tcW w:w="2718" w:type="dxa"/>
          </w:tcPr>
          <w:p w:rsidR="00EF5635" w:rsidRPr="00C82BEE" w:rsidRDefault="00EF5635" w:rsidP="005F0D31">
            <w:pPr>
              <w:rPr>
                <w:b/>
                <w:sz w:val="20"/>
                <w:szCs w:val="20"/>
              </w:rPr>
            </w:pPr>
            <w:r w:rsidRPr="00C82BEE">
              <w:rPr>
                <w:b/>
                <w:sz w:val="20"/>
                <w:szCs w:val="20"/>
              </w:rPr>
              <w:t>Component 3: Technical Assistance and capacity building for local manufacturing of biodigesters</w:t>
            </w:r>
          </w:p>
        </w:tc>
        <w:tc>
          <w:tcPr>
            <w:tcW w:w="2610" w:type="dxa"/>
            <w:tcBorders>
              <w:bottom w:val="single" w:sz="4" w:space="0" w:color="auto"/>
            </w:tcBorders>
          </w:tcPr>
          <w:p w:rsidR="00EF5635" w:rsidRPr="00C82BEE" w:rsidRDefault="00EF5635" w:rsidP="007C5D9B">
            <w:pPr>
              <w:rPr>
                <w:sz w:val="20"/>
                <w:szCs w:val="20"/>
              </w:rPr>
            </w:pPr>
          </w:p>
        </w:tc>
        <w:tc>
          <w:tcPr>
            <w:tcW w:w="2325" w:type="dxa"/>
            <w:tcBorders>
              <w:bottom w:val="single" w:sz="4" w:space="0" w:color="auto"/>
            </w:tcBorders>
          </w:tcPr>
          <w:p w:rsidR="00EF5635" w:rsidRPr="00C82BEE" w:rsidRDefault="00EF5635" w:rsidP="007C5D9B">
            <w:pPr>
              <w:rPr>
                <w:sz w:val="20"/>
                <w:szCs w:val="20"/>
              </w:rPr>
            </w:pPr>
          </w:p>
        </w:tc>
        <w:tc>
          <w:tcPr>
            <w:tcW w:w="2326" w:type="dxa"/>
            <w:tcBorders>
              <w:bottom w:val="single" w:sz="4" w:space="0" w:color="auto"/>
            </w:tcBorders>
          </w:tcPr>
          <w:p w:rsidR="00EF5635" w:rsidRPr="00C82BEE" w:rsidRDefault="00EF5635" w:rsidP="007C5D9B">
            <w:pPr>
              <w:rPr>
                <w:sz w:val="20"/>
                <w:szCs w:val="20"/>
              </w:rPr>
            </w:pPr>
          </w:p>
        </w:tc>
        <w:tc>
          <w:tcPr>
            <w:tcW w:w="2639" w:type="dxa"/>
            <w:tcBorders>
              <w:bottom w:val="single" w:sz="4" w:space="0" w:color="auto"/>
            </w:tcBorders>
          </w:tcPr>
          <w:p w:rsidR="00EF5635" w:rsidRPr="00C82BEE" w:rsidRDefault="00EF5635" w:rsidP="007C5D9B">
            <w:pPr>
              <w:rPr>
                <w:sz w:val="20"/>
                <w:szCs w:val="20"/>
              </w:rPr>
            </w:pPr>
          </w:p>
        </w:tc>
      </w:tr>
      <w:tr w:rsidR="00EF5635" w:rsidTr="00F80783">
        <w:tc>
          <w:tcPr>
            <w:tcW w:w="2718" w:type="dxa"/>
          </w:tcPr>
          <w:p w:rsidR="00EF5635" w:rsidRPr="00C82BEE" w:rsidRDefault="00EF5635" w:rsidP="007C5D9B">
            <w:pPr>
              <w:rPr>
                <w:sz w:val="20"/>
                <w:szCs w:val="20"/>
              </w:rPr>
            </w:pPr>
            <w:r w:rsidRPr="00C82BEE">
              <w:rPr>
                <w:sz w:val="20"/>
                <w:szCs w:val="20"/>
              </w:rPr>
              <w:t>3.1 Training and capacity building in local manufacturers</w:t>
            </w:r>
          </w:p>
        </w:tc>
        <w:tc>
          <w:tcPr>
            <w:tcW w:w="2610" w:type="dxa"/>
            <w:shd w:val="clear" w:color="auto" w:fill="C0C0C0"/>
          </w:tcPr>
          <w:p w:rsidR="00EF5635" w:rsidRPr="00C82BEE" w:rsidRDefault="00EF5635" w:rsidP="005B16BC">
            <w:pPr>
              <w:rPr>
                <w:sz w:val="20"/>
                <w:szCs w:val="20"/>
              </w:rPr>
            </w:pPr>
            <w:r w:rsidRPr="00C82BEE">
              <w:rPr>
                <w:sz w:val="20"/>
                <w:szCs w:val="20"/>
              </w:rPr>
              <w:t xml:space="preserve">Recruit </w:t>
            </w:r>
            <w:r w:rsidR="005B16BC">
              <w:rPr>
                <w:sz w:val="20"/>
                <w:szCs w:val="20"/>
              </w:rPr>
              <w:t>consultants</w:t>
            </w:r>
            <w:r w:rsidRPr="00C82BEE">
              <w:rPr>
                <w:sz w:val="20"/>
                <w:szCs w:val="20"/>
              </w:rPr>
              <w:t xml:space="preserve"> to assist </w:t>
            </w:r>
            <w:r w:rsidR="005B16BC">
              <w:rPr>
                <w:sz w:val="20"/>
                <w:szCs w:val="20"/>
              </w:rPr>
              <w:t>in</w:t>
            </w:r>
            <w:r w:rsidRPr="00C82BEE">
              <w:rPr>
                <w:sz w:val="20"/>
                <w:szCs w:val="20"/>
              </w:rPr>
              <w:t xml:space="preserve"> design of pilot biodigesters and training manufacturers</w:t>
            </w:r>
          </w:p>
        </w:tc>
        <w:tc>
          <w:tcPr>
            <w:tcW w:w="2325" w:type="dxa"/>
            <w:tcBorders>
              <w:bottom w:val="single" w:sz="4" w:space="0" w:color="auto"/>
            </w:tcBorders>
            <w:shd w:val="clear" w:color="auto" w:fill="C0C0C0"/>
          </w:tcPr>
          <w:p w:rsidR="00EF5635" w:rsidRPr="00C82BEE" w:rsidRDefault="00EF5635" w:rsidP="005F0D31">
            <w:pPr>
              <w:rPr>
                <w:sz w:val="20"/>
                <w:szCs w:val="20"/>
              </w:rPr>
            </w:pPr>
            <w:r w:rsidRPr="00C82BEE">
              <w:rPr>
                <w:sz w:val="20"/>
                <w:szCs w:val="20"/>
              </w:rPr>
              <w:t>Identify local boiler producers as potential manufactures of  biodigesters</w:t>
            </w:r>
          </w:p>
        </w:tc>
        <w:tc>
          <w:tcPr>
            <w:tcW w:w="2326" w:type="dxa"/>
            <w:shd w:val="clear" w:color="auto" w:fill="C0C0C0"/>
          </w:tcPr>
          <w:p w:rsidR="00EF5635" w:rsidRPr="00C82BEE" w:rsidRDefault="00EF5635" w:rsidP="007C5D9B">
            <w:pPr>
              <w:rPr>
                <w:sz w:val="20"/>
                <w:szCs w:val="20"/>
              </w:rPr>
            </w:pPr>
            <w:r w:rsidRPr="00C82BEE">
              <w:rPr>
                <w:sz w:val="20"/>
                <w:szCs w:val="20"/>
              </w:rPr>
              <w:t>Capacity building for local manufacturers</w:t>
            </w:r>
          </w:p>
        </w:tc>
        <w:tc>
          <w:tcPr>
            <w:tcW w:w="2639" w:type="dxa"/>
            <w:shd w:val="clear" w:color="auto" w:fill="C0C0C0"/>
          </w:tcPr>
          <w:p w:rsidR="00EF5635" w:rsidRPr="00C82BEE" w:rsidRDefault="00EF5635" w:rsidP="007C5D9B">
            <w:pPr>
              <w:rPr>
                <w:sz w:val="20"/>
                <w:szCs w:val="20"/>
              </w:rPr>
            </w:pPr>
            <w:r w:rsidRPr="00C82BEE">
              <w:rPr>
                <w:sz w:val="20"/>
                <w:szCs w:val="20"/>
              </w:rPr>
              <w:t>Capacity building for local manufacturers</w:t>
            </w:r>
          </w:p>
        </w:tc>
      </w:tr>
      <w:tr w:rsidR="00EF5635" w:rsidTr="00F80783">
        <w:tc>
          <w:tcPr>
            <w:tcW w:w="2718" w:type="dxa"/>
          </w:tcPr>
          <w:p w:rsidR="00EF5635" w:rsidRPr="00C82BEE" w:rsidRDefault="00EF5635" w:rsidP="005F0D31">
            <w:pPr>
              <w:rPr>
                <w:sz w:val="20"/>
                <w:szCs w:val="20"/>
              </w:rPr>
            </w:pPr>
            <w:r w:rsidRPr="00C82BEE">
              <w:rPr>
                <w:sz w:val="20"/>
                <w:szCs w:val="20"/>
              </w:rPr>
              <w:t>3.2 Design of pilot biodigesters</w:t>
            </w:r>
          </w:p>
        </w:tc>
        <w:tc>
          <w:tcPr>
            <w:tcW w:w="2610" w:type="dxa"/>
            <w:tcBorders>
              <w:bottom w:val="single" w:sz="4" w:space="0" w:color="auto"/>
            </w:tcBorders>
          </w:tcPr>
          <w:p w:rsidR="00EF5635" w:rsidRPr="00C82BEE" w:rsidRDefault="00EF5635" w:rsidP="007C5D9B">
            <w:pPr>
              <w:rPr>
                <w:sz w:val="20"/>
                <w:szCs w:val="20"/>
              </w:rPr>
            </w:pPr>
          </w:p>
        </w:tc>
        <w:tc>
          <w:tcPr>
            <w:tcW w:w="2325" w:type="dxa"/>
            <w:tcBorders>
              <w:bottom w:val="single" w:sz="4" w:space="0" w:color="auto"/>
            </w:tcBorders>
            <w:shd w:val="clear" w:color="auto" w:fill="C0C0C0"/>
          </w:tcPr>
          <w:p w:rsidR="00EF5635" w:rsidRPr="00C82BEE" w:rsidRDefault="00EF5635" w:rsidP="007C5D9B">
            <w:pPr>
              <w:rPr>
                <w:sz w:val="20"/>
                <w:szCs w:val="20"/>
              </w:rPr>
            </w:pPr>
            <w:r w:rsidRPr="00C82BEE">
              <w:rPr>
                <w:sz w:val="20"/>
                <w:szCs w:val="20"/>
              </w:rPr>
              <w:t>Together with selected manufacturers and pilot farms choose design and prepare plans</w:t>
            </w:r>
          </w:p>
        </w:tc>
        <w:tc>
          <w:tcPr>
            <w:tcW w:w="2326" w:type="dxa"/>
          </w:tcPr>
          <w:p w:rsidR="00EF5635" w:rsidRPr="00C82BEE" w:rsidRDefault="00EF5635" w:rsidP="007C5D9B">
            <w:pPr>
              <w:rPr>
                <w:sz w:val="20"/>
                <w:szCs w:val="20"/>
              </w:rPr>
            </w:pPr>
          </w:p>
        </w:tc>
        <w:tc>
          <w:tcPr>
            <w:tcW w:w="2639" w:type="dxa"/>
          </w:tcPr>
          <w:p w:rsidR="00EF5635" w:rsidRPr="00C82BEE" w:rsidRDefault="00EF5635" w:rsidP="007C5D9B">
            <w:pPr>
              <w:rPr>
                <w:sz w:val="20"/>
                <w:szCs w:val="20"/>
              </w:rPr>
            </w:pPr>
          </w:p>
        </w:tc>
      </w:tr>
      <w:tr w:rsidR="00EF5635" w:rsidTr="00F80783">
        <w:tc>
          <w:tcPr>
            <w:tcW w:w="2718" w:type="dxa"/>
          </w:tcPr>
          <w:p w:rsidR="00EF5635" w:rsidRPr="00C82BEE" w:rsidRDefault="004F5347" w:rsidP="007C5D9B">
            <w:pPr>
              <w:rPr>
                <w:sz w:val="20"/>
                <w:szCs w:val="20"/>
              </w:rPr>
            </w:pPr>
            <w:r>
              <w:rPr>
                <w:sz w:val="20"/>
                <w:szCs w:val="20"/>
              </w:rPr>
              <w:t>3.3</w:t>
            </w:r>
            <w:r w:rsidR="00EF5635" w:rsidRPr="00C82BEE">
              <w:rPr>
                <w:sz w:val="20"/>
                <w:szCs w:val="20"/>
              </w:rPr>
              <w:t xml:space="preserve"> Select two pilot farms and prepare technical designs </w:t>
            </w:r>
          </w:p>
        </w:tc>
        <w:tc>
          <w:tcPr>
            <w:tcW w:w="2610" w:type="dxa"/>
            <w:shd w:val="clear" w:color="auto" w:fill="C0C0C0"/>
          </w:tcPr>
          <w:p w:rsidR="00EF5635" w:rsidRPr="00C82BEE" w:rsidRDefault="00EF5635" w:rsidP="007C5D9B">
            <w:pPr>
              <w:rPr>
                <w:sz w:val="20"/>
                <w:szCs w:val="20"/>
              </w:rPr>
            </w:pPr>
            <w:r w:rsidRPr="00C82BEE">
              <w:rPr>
                <w:sz w:val="20"/>
                <w:szCs w:val="20"/>
              </w:rPr>
              <w:t>Select pilot farms</w:t>
            </w:r>
          </w:p>
        </w:tc>
        <w:tc>
          <w:tcPr>
            <w:tcW w:w="2325" w:type="dxa"/>
            <w:shd w:val="clear" w:color="auto" w:fill="C0C0C0"/>
          </w:tcPr>
          <w:p w:rsidR="00EF5635" w:rsidRPr="00C82BEE" w:rsidRDefault="00EF5635" w:rsidP="007C5D9B">
            <w:pPr>
              <w:rPr>
                <w:sz w:val="20"/>
                <w:szCs w:val="20"/>
              </w:rPr>
            </w:pPr>
            <w:r w:rsidRPr="00C82BEE">
              <w:rPr>
                <w:sz w:val="20"/>
                <w:szCs w:val="20"/>
              </w:rPr>
              <w:t>Together with selected manufacturers and pilot farms choose design and prepare plans</w:t>
            </w:r>
          </w:p>
        </w:tc>
        <w:tc>
          <w:tcPr>
            <w:tcW w:w="2326" w:type="dxa"/>
            <w:tcBorders>
              <w:bottom w:val="single" w:sz="4" w:space="0" w:color="auto"/>
            </w:tcBorders>
          </w:tcPr>
          <w:p w:rsidR="00EF5635" w:rsidRPr="00C82BEE" w:rsidRDefault="00EF5635" w:rsidP="007C5D9B">
            <w:pPr>
              <w:rPr>
                <w:sz w:val="20"/>
                <w:szCs w:val="20"/>
              </w:rPr>
            </w:pPr>
          </w:p>
        </w:tc>
        <w:tc>
          <w:tcPr>
            <w:tcW w:w="2639" w:type="dxa"/>
            <w:tcBorders>
              <w:bottom w:val="single" w:sz="4" w:space="0" w:color="auto"/>
            </w:tcBorders>
          </w:tcPr>
          <w:p w:rsidR="00EF5635" w:rsidRPr="00C82BEE" w:rsidRDefault="00EF5635" w:rsidP="007C5D9B">
            <w:pPr>
              <w:rPr>
                <w:sz w:val="20"/>
                <w:szCs w:val="20"/>
              </w:rPr>
            </w:pPr>
          </w:p>
        </w:tc>
      </w:tr>
      <w:tr w:rsidR="00EF5635" w:rsidTr="00F80783">
        <w:tc>
          <w:tcPr>
            <w:tcW w:w="2718" w:type="dxa"/>
          </w:tcPr>
          <w:p w:rsidR="00EF5635" w:rsidRPr="00C82BEE" w:rsidRDefault="004F5347" w:rsidP="005F0D31">
            <w:pPr>
              <w:rPr>
                <w:sz w:val="20"/>
                <w:szCs w:val="20"/>
              </w:rPr>
            </w:pPr>
            <w:r>
              <w:rPr>
                <w:sz w:val="20"/>
                <w:szCs w:val="20"/>
              </w:rPr>
              <w:t>3.4</w:t>
            </w:r>
            <w:r w:rsidR="00EF5635" w:rsidRPr="00C82BEE">
              <w:rPr>
                <w:sz w:val="20"/>
                <w:szCs w:val="20"/>
              </w:rPr>
              <w:t xml:space="preserve"> Finance, construct  and operate biodigesters</w:t>
            </w:r>
          </w:p>
        </w:tc>
        <w:tc>
          <w:tcPr>
            <w:tcW w:w="2610" w:type="dxa"/>
          </w:tcPr>
          <w:p w:rsidR="00EF5635" w:rsidRPr="00C82BEE" w:rsidRDefault="00EF5635" w:rsidP="007C5D9B">
            <w:pPr>
              <w:rPr>
                <w:sz w:val="20"/>
                <w:szCs w:val="20"/>
              </w:rPr>
            </w:pPr>
          </w:p>
        </w:tc>
        <w:tc>
          <w:tcPr>
            <w:tcW w:w="2325" w:type="dxa"/>
          </w:tcPr>
          <w:p w:rsidR="00EF5635" w:rsidRPr="00C82BEE" w:rsidRDefault="00EF5635" w:rsidP="007C5D9B">
            <w:pPr>
              <w:rPr>
                <w:sz w:val="20"/>
                <w:szCs w:val="20"/>
              </w:rPr>
            </w:pPr>
          </w:p>
        </w:tc>
        <w:tc>
          <w:tcPr>
            <w:tcW w:w="2326" w:type="dxa"/>
            <w:shd w:val="clear" w:color="auto" w:fill="C0C0C0"/>
          </w:tcPr>
          <w:p w:rsidR="00EF5635" w:rsidRPr="00C82BEE" w:rsidRDefault="00EF5635" w:rsidP="005F0D31">
            <w:pPr>
              <w:rPr>
                <w:sz w:val="20"/>
                <w:szCs w:val="20"/>
              </w:rPr>
            </w:pPr>
            <w:r w:rsidRPr="00C82BEE">
              <w:rPr>
                <w:sz w:val="20"/>
                <w:szCs w:val="20"/>
              </w:rPr>
              <w:t xml:space="preserve">Agree </w:t>
            </w:r>
            <w:r w:rsidR="005B16BC">
              <w:rPr>
                <w:sz w:val="20"/>
                <w:szCs w:val="20"/>
              </w:rPr>
              <w:t xml:space="preserve">on </w:t>
            </w:r>
            <w:r w:rsidRPr="00C82BEE">
              <w:rPr>
                <w:sz w:val="20"/>
                <w:szCs w:val="20"/>
              </w:rPr>
              <w:t>financing and install pilot biodigesters</w:t>
            </w:r>
          </w:p>
        </w:tc>
        <w:tc>
          <w:tcPr>
            <w:tcW w:w="2639" w:type="dxa"/>
            <w:shd w:val="clear" w:color="auto" w:fill="C0C0C0"/>
          </w:tcPr>
          <w:p w:rsidR="00EF5635" w:rsidRPr="00C82BEE" w:rsidRDefault="00EF5635" w:rsidP="005F0D31">
            <w:pPr>
              <w:rPr>
                <w:sz w:val="20"/>
                <w:szCs w:val="20"/>
              </w:rPr>
            </w:pPr>
            <w:r w:rsidRPr="00C82BEE">
              <w:rPr>
                <w:sz w:val="20"/>
                <w:szCs w:val="20"/>
              </w:rPr>
              <w:t>Operate biodigesters and monitor performance</w:t>
            </w:r>
          </w:p>
        </w:tc>
      </w:tr>
      <w:tr w:rsidR="00EF5635" w:rsidTr="00F80783">
        <w:tc>
          <w:tcPr>
            <w:tcW w:w="2718" w:type="dxa"/>
          </w:tcPr>
          <w:p w:rsidR="00EF5635" w:rsidRPr="00C82BEE" w:rsidRDefault="004F5347" w:rsidP="007C5D9B">
            <w:pPr>
              <w:rPr>
                <w:b/>
                <w:smallCaps/>
                <w:sz w:val="20"/>
                <w:szCs w:val="20"/>
              </w:rPr>
            </w:pPr>
            <w:r>
              <w:rPr>
                <w:b/>
                <w:sz w:val="20"/>
                <w:szCs w:val="20"/>
              </w:rPr>
              <w:t>Component 4</w:t>
            </w:r>
            <w:r w:rsidR="00EF5635" w:rsidRPr="00C82BEE">
              <w:rPr>
                <w:b/>
                <w:sz w:val="20"/>
                <w:szCs w:val="20"/>
              </w:rPr>
              <w:t>: Project Management</w:t>
            </w:r>
          </w:p>
        </w:tc>
        <w:tc>
          <w:tcPr>
            <w:tcW w:w="2610" w:type="dxa"/>
            <w:tcBorders>
              <w:bottom w:val="single" w:sz="4" w:space="0" w:color="auto"/>
            </w:tcBorders>
          </w:tcPr>
          <w:p w:rsidR="00EF5635" w:rsidRPr="00C82BEE" w:rsidRDefault="00EF5635" w:rsidP="007C5D9B">
            <w:pPr>
              <w:rPr>
                <w:sz w:val="20"/>
                <w:szCs w:val="20"/>
              </w:rPr>
            </w:pPr>
          </w:p>
        </w:tc>
        <w:tc>
          <w:tcPr>
            <w:tcW w:w="2325" w:type="dxa"/>
          </w:tcPr>
          <w:p w:rsidR="00EF5635" w:rsidRPr="00C82BEE" w:rsidRDefault="00EF5635" w:rsidP="007C5D9B">
            <w:pPr>
              <w:rPr>
                <w:sz w:val="20"/>
                <w:szCs w:val="20"/>
              </w:rPr>
            </w:pPr>
          </w:p>
        </w:tc>
        <w:tc>
          <w:tcPr>
            <w:tcW w:w="2326" w:type="dxa"/>
          </w:tcPr>
          <w:p w:rsidR="00EF5635" w:rsidRPr="00C82BEE" w:rsidRDefault="00EF5635" w:rsidP="007C5D9B">
            <w:pPr>
              <w:rPr>
                <w:sz w:val="20"/>
                <w:szCs w:val="20"/>
              </w:rPr>
            </w:pPr>
          </w:p>
        </w:tc>
        <w:tc>
          <w:tcPr>
            <w:tcW w:w="2639" w:type="dxa"/>
          </w:tcPr>
          <w:p w:rsidR="00EF5635" w:rsidRPr="00C82BEE" w:rsidRDefault="00EF5635" w:rsidP="007C5D9B">
            <w:pPr>
              <w:rPr>
                <w:sz w:val="20"/>
                <w:szCs w:val="20"/>
              </w:rPr>
            </w:pPr>
          </w:p>
        </w:tc>
      </w:tr>
      <w:tr w:rsidR="00EF5635" w:rsidTr="00F80783">
        <w:tc>
          <w:tcPr>
            <w:tcW w:w="2718" w:type="dxa"/>
          </w:tcPr>
          <w:p w:rsidR="00EF5635" w:rsidRPr="00C82BEE" w:rsidRDefault="004F5347" w:rsidP="007C5D9B">
            <w:pPr>
              <w:rPr>
                <w:sz w:val="20"/>
                <w:szCs w:val="20"/>
              </w:rPr>
            </w:pPr>
            <w:r>
              <w:rPr>
                <w:sz w:val="20"/>
                <w:szCs w:val="20"/>
              </w:rPr>
              <w:t>4</w:t>
            </w:r>
            <w:r w:rsidR="00EF5635" w:rsidRPr="00C82BEE">
              <w:rPr>
                <w:sz w:val="20"/>
                <w:szCs w:val="20"/>
              </w:rPr>
              <w:t xml:space="preserve">.1 Project management </w:t>
            </w:r>
          </w:p>
        </w:tc>
        <w:tc>
          <w:tcPr>
            <w:tcW w:w="9900" w:type="dxa"/>
            <w:gridSpan w:val="4"/>
            <w:shd w:val="clear" w:color="auto" w:fill="C0C0C0"/>
          </w:tcPr>
          <w:p w:rsidR="00EF5635" w:rsidRPr="00C82BEE" w:rsidRDefault="00F005D4" w:rsidP="005B16BC">
            <w:pPr>
              <w:jc w:val="center"/>
              <w:rPr>
                <w:sz w:val="20"/>
                <w:szCs w:val="20"/>
              </w:rPr>
            </w:pPr>
            <w:r w:rsidRPr="00C82BEE">
              <w:rPr>
                <w:sz w:val="20"/>
                <w:szCs w:val="20"/>
              </w:rPr>
              <w:t xml:space="preserve">Establish PIU and </w:t>
            </w:r>
            <w:r w:rsidR="005B16BC">
              <w:rPr>
                <w:sz w:val="20"/>
                <w:szCs w:val="20"/>
              </w:rPr>
              <w:t>m</w:t>
            </w:r>
            <w:r w:rsidR="00EF5635" w:rsidRPr="00C82BEE">
              <w:rPr>
                <w:sz w:val="20"/>
                <w:szCs w:val="20"/>
              </w:rPr>
              <w:t>anage project execution including Monitoring &amp; Evaluation</w:t>
            </w:r>
          </w:p>
        </w:tc>
      </w:tr>
      <w:tr w:rsidR="004F5347" w:rsidTr="003B3E53">
        <w:tc>
          <w:tcPr>
            <w:tcW w:w="2718" w:type="dxa"/>
          </w:tcPr>
          <w:p w:rsidR="004F5347" w:rsidRPr="00C82BEE" w:rsidRDefault="004F5347" w:rsidP="007C5D9B">
            <w:pPr>
              <w:rPr>
                <w:sz w:val="20"/>
                <w:szCs w:val="20"/>
              </w:rPr>
            </w:pPr>
            <w:r>
              <w:rPr>
                <w:sz w:val="20"/>
                <w:szCs w:val="20"/>
              </w:rPr>
              <w:t>4</w:t>
            </w:r>
            <w:r w:rsidRPr="00C82BEE">
              <w:rPr>
                <w:sz w:val="20"/>
                <w:szCs w:val="20"/>
              </w:rPr>
              <w:t>.2 Safeguards</w:t>
            </w:r>
          </w:p>
        </w:tc>
        <w:tc>
          <w:tcPr>
            <w:tcW w:w="9900" w:type="dxa"/>
            <w:gridSpan w:val="4"/>
            <w:tcBorders>
              <w:bottom w:val="single" w:sz="4" w:space="0" w:color="auto"/>
            </w:tcBorders>
            <w:shd w:val="clear" w:color="auto" w:fill="BFBFBF"/>
          </w:tcPr>
          <w:p w:rsidR="004F5347" w:rsidRPr="00C82BEE" w:rsidRDefault="004F5347" w:rsidP="004F5347">
            <w:pPr>
              <w:jc w:val="center"/>
              <w:rPr>
                <w:sz w:val="20"/>
                <w:szCs w:val="20"/>
              </w:rPr>
            </w:pPr>
            <w:r>
              <w:rPr>
                <w:sz w:val="20"/>
                <w:szCs w:val="20"/>
              </w:rPr>
              <w:t>Environment and Procurement carried out</w:t>
            </w:r>
          </w:p>
        </w:tc>
      </w:tr>
    </w:tbl>
    <w:p w:rsidR="005121A0" w:rsidRDefault="005121A0" w:rsidP="005121A0">
      <w:pPr>
        <w:jc w:val="center"/>
        <w:rPr>
          <w:smallCaps/>
        </w:rPr>
        <w:sectPr w:rsidR="005121A0" w:rsidSect="005121A0">
          <w:pgSz w:w="15840" w:h="12240" w:orient="landscape"/>
          <w:pgMar w:top="1797" w:right="1440" w:bottom="1797" w:left="1440" w:header="720" w:footer="720" w:gutter="0"/>
          <w:cols w:space="720"/>
          <w:docGrid w:linePitch="360"/>
        </w:sectPr>
      </w:pPr>
    </w:p>
    <w:p w:rsidR="00BD2DEF" w:rsidRPr="00DC68B8" w:rsidRDefault="00BD2DEF" w:rsidP="00BD2DEF">
      <w:pPr>
        <w:ind w:left="360"/>
        <w:jc w:val="right"/>
        <w:rPr>
          <w:b/>
          <w:smallCaps/>
        </w:rPr>
      </w:pPr>
      <w:r w:rsidRPr="00DC68B8">
        <w:rPr>
          <w:b/>
          <w:smallCaps/>
        </w:rPr>
        <w:t>Annex 5</w:t>
      </w:r>
    </w:p>
    <w:p w:rsidR="00BD2DEF" w:rsidRPr="00DC68B8" w:rsidRDefault="00BD2DEF" w:rsidP="00BD2DEF">
      <w:pPr>
        <w:ind w:left="360"/>
        <w:jc w:val="center"/>
        <w:rPr>
          <w:b/>
          <w:smallCaps/>
        </w:rPr>
      </w:pPr>
      <w:r w:rsidRPr="00DC68B8">
        <w:rPr>
          <w:b/>
          <w:smallCaps/>
        </w:rPr>
        <w:t>biogas generation from animal manure pilot project</w:t>
      </w:r>
    </w:p>
    <w:p w:rsidR="00BD2DEF" w:rsidRPr="00DC68B8" w:rsidRDefault="00BD2DEF" w:rsidP="00BD2DEF">
      <w:pPr>
        <w:ind w:left="360"/>
        <w:jc w:val="center"/>
        <w:rPr>
          <w:b/>
          <w:smallCaps/>
        </w:rPr>
      </w:pPr>
      <w:r w:rsidRPr="00DC68B8">
        <w:rPr>
          <w:b/>
          <w:smallCaps/>
        </w:rPr>
        <w:t>Annex 5: Technology Overview</w:t>
      </w:r>
      <w:r w:rsidR="00715799">
        <w:rPr>
          <w:rStyle w:val="FootnoteReference"/>
          <w:b/>
          <w:smallCaps/>
        </w:rPr>
        <w:footnoteReference w:id="9"/>
      </w:r>
    </w:p>
    <w:p w:rsidR="00BD2DEF" w:rsidRDefault="00BD2DEF">
      <w:pPr>
        <w:ind w:left="720"/>
        <w:rPr>
          <w:smallCaps/>
        </w:rPr>
      </w:pPr>
    </w:p>
    <w:p w:rsidR="00BD2DEF" w:rsidRPr="00C31A5F" w:rsidRDefault="00C31A5F" w:rsidP="00C31A5F">
      <w:pPr>
        <w:rPr>
          <w:b/>
          <w:smallCaps/>
        </w:rPr>
      </w:pPr>
      <w:r w:rsidRPr="00C31A5F">
        <w:rPr>
          <w:b/>
          <w:smallCaps/>
        </w:rPr>
        <w:t>Manure Management</w:t>
      </w:r>
      <w:r>
        <w:rPr>
          <w:b/>
          <w:smallCaps/>
        </w:rPr>
        <w:t xml:space="preserve"> in Moldova</w:t>
      </w:r>
    </w:p>
    <w:p w:rsidR="00C31A5F" w:rsidRDefault="00C31A5F" w:rsidP="00C31A5F">
      <w:pPr>
        <w:rPr>
          <w:smallCaps/>
        </w:rPr>
      </w:pPr>
    </w:p>
    <w:p w:rsidR="00C31A5F" w:rsidRDefault="00C31A5F" w:rsidP="00C31A5F">
      <w:pPr>
        <w:jc w:val="both"/>
      </w:pPr>
      <w:r w:rsidRPr="00C03493">
        <w:t>In animals, nutrient excretion is a necessary by-product of digestion and metabolic processes. Nutrients along with gaseous losses and odor problems are a major manure management and environmental issue worldwide; dust and flies are considered nuisances as well. Where waste materials are not removed or stabilized, continuing environmental pollution occurs. It includes nitrogen pollution of groundwater and phosphate eutrophication</w:t>
      </w:r>
      <w:r>
        <w:rPr>
          <w:rStyle w:val="FootnoteReference"/>
        </w:rPr>
        <w:footnoteReference w:id="10"/>
      </w:r>
      <w:r w:rsidRPr="00C03493">
        <w:t xml:space="preserve"> of surface waters. Animal manure contributes to both water and air pollution by emitting or releasing methane, ammonia, excess nutrients, pathogens, dust, bio-aerosols, odors, and volatile organic compounds, as well as increasing the biochemical oxygen demand. Manure is also a potential source of salts and trace metals, and to a lesser extent, antibiotics, pesticides, and hormones. Potential sources of manure pollution at livestock farms include open feedlots, pastures, treatment lagoons, manure stockpiles or storage, and land application. Livestock and livestock wastes also produce gases. Gaseous losses can occur at any stage of manure handling with continued exposure to air. Some of the losses are localized, such as ammonia (NH3), whereas others, such as carbon dioxide (CO2), methane (CH4), ozone (O3), nitrous oxide (N2O), and other trace gases (tog</w:t>
      </w:r>
      <w:r w:rsidR="00315777">
        <w:t>ether forming greenhouse gases (GHG)</w:t>
      </w:r>
      <w:r w:rsidRPr="00C03493">
        <w:t xml:space="preserve">), contribute to global climate change. Loss of gaseous NH3 and Nitrate Oxide (N2O)—which has greatest impact on GHG—310 X CO2 effect—in poorly managed systems can be significant. </w:t>
      </w:r>
    </w:p>
    <w:p w:rsidR="00C31A5F" w:rsidRDefault="00C31A5F" w:rsidP="00C31A5F">
      <w:pPr>
        <w:jc w:val="both"/>
      </w:pPr>
    </w:p>
    <w:p w:rsidR="00C31A5F" w:rsidRDefault="00C31A5F" w:rsidP="00C31A5F">
      <w:pPr>
        <w:jc w:val="both"/>
      </w:pPr>
      <w:r>
        <w:t>In Moldova, p</w:t>
      </w:r>
      <w:r w:rsidRPr="00C03493">
        <w:t>otential nitrogen input to groundwater has been estimated at 424 tons/year based on all available nitrogen from animal wastes contribution. In addition, N</w:t>
      </w:r>
      <w:r w:rsidR="00C2618A">
        <w:t>itrogen</w:t>
      </w:r>
      <w:r w:rsidR="00735E76">
        <w:t xml:space="preserve"> </w:t>
      </w:r>
      <w:r w:rsidRPr="00C03493">
        <w:t>pollution from latrines in rural areas is estimated to contribute an additional 20% of Nitrogen compounds found in groundwater. Potential phosphate input to surface waters in Moldova has been estimated to be 242 tons/year based on all soluble phosphates from animal waste contribution.</w:t>
      </w:r>
      <w:r>
        <w:rPr>
          <w:rStyle w:val="FootnoteReference"/>
        </w:rPr>
        <w:footnoteReference w:id="11"/>
      </w:r>
      <w:r w:rsidRPr="00C03493">
        <w:t xml:space="preserve"> </w:t>
      </w:r>
      <w:r>
        <w:t xml:space="preserve">A previous, GEF-financed </w:t>
      </w:r>
      <w:r w:rsidRPr="00C03493">
        <w:t>sponsored Agriculture Po</w:t>
      </w:r>
      <w:r>
        <w:t xml:space="preserve">llution Control Project (APCP) (completed in May 2009), </w:t>
      </w:r>
      <w:r w:rsidR="00262568">
        <w:t>contribut</w:t>
      </w:r>
      <w:r w:rsidR="00C2618A">
        <w:t>ed</w:t>
      </w:r>
      <w:r w:rsidR="00262568">
        <w:t xml:space="preserve"> to </w:t>
      </w:r>
      <w:r>
        <w:t>reducing</w:t>
      </w:r>
      <w:r w:rsidRPr="00C03493">
        <w:t xml:space="preserve"> nutrient discharges from agriculture sources to the Danube River and Black Sea</w:t>
      </w:r>
      <w:r w:rsidR="00262568">
        <w:t>, by focusing on animal manure management using manure collection platforms</w:t>
      </w:r>
      <w:r w:rsidRPr="00C03493">
        <w:t xml:space="preserve">. </w:t>
      </w:r>
    </w:p>
    <w:p w:rsidR="00262568" w:rsidRDefault="00262568" w:rsidP="00C31A5F">
      <w:pPr>
        <w:jc w:val="both"/>
      </w:pPr>
    </w:p>
    <w:p w:rsidR="00C31A5F" w:rsidRPr="004E370A" w:rsidRDefault="00C31A5F" w:rsidP="00C31A5F">
      <w:pPr>
        <w:jc w:val="both"/>
      </w:pPr>
      <w:r w:rsidRPr="004E370A">
        <w:t>The current manure management systems in Moldova</w:t>
      </w:r>
      <w:r>
        <w:t xml:space="preserve"> </w:t>
      </w:r>
      <w:r w:rsidRPr="004E370A">
        <w:t>are diverse, mostly manual, and in general, environmentally polluting.</w:t>
      </w:r>
      <w:r>
        <w:t xml:space="preserve"> S</w:t>
      </w:r>
      <w:r w:rsidRPr="004E370A">
        <w:t xml:space="preserve">tructured and sustainable animal waste management, overall, is non-existent and management practices vary across </w:t>
      </w:r>
      <w:r w:rsidR="00694A4C">
        <w:t xml:space="preserve">different </w:t>
      </w:r>
      <w:r w:rsidRPr="004E370A">
        <w:t xml:space="preserve">regions. </w:t>
      </w:r>
      <w:r>
        <w:t xml:space="preserve">Proper manure management systems are important not only to prevent pollution of natural resources but also to utilize the benefits of anaerobic digestion technology more efficiently.  </w:t>
      </w:r>
      <w:r w:rsidRPr="004E370A">
        <w:t xml:space="preserve">The quantity </w:t>
      </w:r>
      <w:r>
        <w:t xml:space="preserve">and quality </w:t>
      </w:r>
      <w:r w:rsidRPr="004E370A">
        <w:t xml:space="preserve">of non-degradable, organic, and inorganic materials can significantly impact the performance of </w:t>
      </w:r>
      <w:r>
        <w:t>anaerobic digestion</w:t>
      </w:r>
      <w:r w:rsidRPr="004E370A">
        <w:t xml:space="preserve">, and the removal of organics through </w:t>
      </w:r>
      <w:r>
        <w:t>improper manure management practices</w:t>
      </w:r>
      <w:r w:rsidRPr="004E370A">
        <w:t xml:space="preserve"> will reduce the quantity of organic solids that can be converted to gas in the digester. </w:t>
      </w:r>
    </w:p>
    <w:p w:rsidR="00F621DC" w:rsidRDefault="00F621DC" w:rsidP="00C31A5F">
      <w:pPr>
        <w:jc w:val="both"/>
      </w:pPr>
    </w:p>
    <w:p w:rsidR="00C31A5F" w:rsidRDefault="00C31A5F" w:rsidP="00C31A5F">
      <w:pPr>
        <w:jc w:val="both"/>
      </w:pPr>
      <w:r>
        <w:t xml:space="preserve">An assessment of </w:t>
      </w:r>
      <w:r w:rsidR="00F621DC">
        <w:t xml:space="preserve">manure management practices was done on selected (a total of twelve) </w:t>
      </w:r>
      <w:r w:rsidRPr="004E370A">
        <w:t xml:space="preserve">cattle, </w:t>
      </w:r>
      <w:r>
        <w:t>swine</w:t>
      </w:r>
      <w:r w:rsidRPr="004E370A">
        <w:t xml:space="preserve"> and poultry farms</w:t>
      </w:r>
      <w:r w:rsidR="00F621DC">
        <w:t xml:space="preserve"> </w:t>
      </w:r>
      <w:r w:rsidRPr="004E370A">
        <w:t xml:space="preserve">across Moldova </w:t>
      </w:r>
      <w:r>
        <w:t>in 2009</w:t>
      </w:r>
      <w:r w:rsidRPr="004E370A">
        <w:t xml:space="preserve">. </w:t>
      </w:r>
      <w:r>
        <w:t>The assessment showed that i</w:t>
      </w:r>
      <w:r w:rsidRPr="004E370A">
        <w:t>n a number of cases, manure is allowed to accumulate on earthen surfaces, enabling liquid portions of the waste to soak into the ground</w:t>
      </w:r>
      <w:r w:rsidR="00694A4C">
        <w:t>,</w:t>
      </w:r>
      <w:r w:rsidRPr="004E370A">
        <w:t xml:space="preserve"> and depending upon topography, rainfall amounts and intensity and other factors, th</w:t>
      </w:r>
      <w:r w:rsidR="00694A4C">
        <w:t>is</w:t>
      </w:r>
      <w:r w:rsidRPr="004E370A">
        <w:t xml:space="preserve"> practice poses significant ground and surface water pollution. </w:t>
      </w:r>
    </w:p>
    <w:p w:rsidR="00F621DC" w:rsidRDefault="00F621DC" w:rsidP="00C31A5F">
      <w:pPr>
        <w:jc w:val="both"/>
      </w:pPr>
    </w:p>
    <w:p w:rsidR="00C31A5F" w:rsidRPr="004E370A" w:rsidRDefault="00C31A5F" w:rsidP="00C31A5F">
      <w:pPr>
        <w:jc w:val="both"/>
      </w:pPr>
      <w:r>
        <w:t>In general</w:t>
      </w:r>
      <w:r w:rsidR="00694A4C">
        <w:t>,</w:t>
      </w:r>
      <w:r>
        <w:t xml:space="preserve"> </w:t>
      </w:r>
      <w:r w:rsidRPr="004E370A">
        <w:t>animals were observed to be housed in sheds, some as long as 100-met</w:t>
      </w:r>
      <w:r>
        <w:t>ers</w:t>
      </w:r>
      <w:r w:rsidRPr="004E370A">
        <w:rPr>
          <w:b/>
          <w:bCs/>
        </w:rPr>
        <w:t xml:space="preserve">. </w:t>
      </w:r>
      <w:r w:rsidR="00715799">
        <w:t>The</w:t>
      </w:r>
      <w:r w:rsidR="00694A4C">
        <w:t xml:space="preserve"> </w:t>
      </w:r>
      <w:r w:rsidRPr="004E370A">
        <w:t xml:space="preserve">animals often </w:t>
      </w:r>
      <w:r w:rsidR="00F621DC">
        <w:t>stay on</w:t>
      </w:r>
      <w:r w:rsidRPr="004E370A">
        <w:t xml:space="preserve"> concrete flat areas</w:t>
      </w:r>
      <w:r w:rsidR="00F621DC">
        <w:t>,</w:t>
      </w:r>
      <w:r w:rsidRPr="004E370A">
        <w:t xml:space="preserve"> and channels for collection of feces are narrow, often clogged and often unconnected to holding areas. Often, discarded fodder, primarily from un-chopped maize stalks is used as bedding material. However, being coarse and fibrous, maize stalks do not absorb wastes or liquids in its long form. The stalks have fibrous lignocellulose materials that are difficult to break. At one dairy farm a moving belt placed in the channel led to the manure to a loading truck. Such a manure collection (and transportation) system is considered inefficient and unsustainable.</w:t>
      </w:r>
      <w:r>
        <w:t xml:space="preserve"> </w:t>
      </w:r>
      <w:r w:rsidRPr="004E370A">
        <w:t>In some places, poultry and swine are housed in adjoining buildings. Also, poultry housing is in open-ended build</w:t>
      </w:r>
      <w:r w:rsidR="00F621DC">
        <w:t>ings. The birds</w:t>
      </w:r>
      <w:r w:rsidRPr="004E370A">
        <w:t xml:space="preserve"> are allowed free range of the enclosure, so the waste is scattered over the surface of the entire enclosed area. </w:t>
      </w:r>
      <w:r w:rsidR="00F621DC">
        <w:t xml:space="preserve">Pigs </w:t>
      </w:r>
      <w:r w:rsidRPr="004E370A">
        <w:t xml:space="preserve">are housed in large buildings within pens that have large dunging areas with slots (grid covers). Some places had a slurry system with approximately </w:t>
      </w:r>
      <w:r w:rsidR="00D01D25">
        <w:t>two</w:t>
      </w:r>
      <w:r w:rsidRPr="004E370A">
        <w:t>-m</w:t>
      </w:r>
      <w:r w:rsidR="00383114">
        <w:t>eter</w:t>
      </w:r>
      <w:r w:rsidRPr="004E370A">
        <w:t xml:space="preserve"> wide slatted areas and a water flushing area. Due to operating cost and complexity, a settlement lagoon system has been abandoned. An electrically driven main transfer pump is now used to discharge the slurry into a large unlined pit at the edge of a woodland area.</w:t>
      </w:r>
    </w:p>
    <w:p w:rsidR="00F621DC" w:rsidRDefault="00F621DC" w:rsidP="00C31A5F">
      <w:pPr>
        <w:jc w:val="both"/>
      </w:pPr>
    </w:p>
    <w:p w:rsidR="00C31A5F" w:rsidRDefault="00C31A5F" w:rsidP="00C31A5F">
      <w:pPr>
        <w:jc w:val="both"/>
      </w:pPr>
      <w:r w:rsidRPr="004E370A">
        <w:t xml:space="preserve">At some of livestock farms visited for the </w:t>
      </w:r>
      <w:r>
        <w:t>assessment</w:t>
      </w:r>
      <w:r w:rsidRPr="004E370A">
        <w:t>, sto</w:t>
      </w:r>
      <w:r w:rsidR="00F621DC">
        <w:t xml:space="preserve">red waste is scrapped bi-weekly and </w:t>
      </w:r>
      <w:r w:rsidRPr="004E370A">
        <w:t xml:space="preserve">stored nearby. Where surfaces are earthen, the labor costs are high. Also, stored wastes, given manual operation, cannot be piled high, thereby requiring </w:t>
      </w:r>
      <w:r w:rsidR="00383114">
        <w:t xml:space="preserve">a </w:t>
      </w:r>
      <w:r w:rsidRPr="004E370A">
        <w:t>large storage area. Deep stored wastes also help reduce the impact of rainfall. The low height and lack of retaining structure however, provides large surface area for rainfall interception, thus increasing potential runoff and leaching of nutrients.</w:t>
      </w:r>
      <w:r w:rsidR="00F621DC">
        <w:t xml:space="preserve"> </w:t>
      </w:r>
      <w:r w:rsidRPr="004E370A">
        <w:t xml:space="preserve">At </w:t>
      </w:r>
      <w:r w:rsidR="00D01D25">
        <w:t xml:space="preserve">a </w:t>
      </w:r>
      <w:r w:rsidRPr="004E370A">
        <w:t xml:space="preserve">few </w:t>
      </w:r>
      <w:r w:rsidR="00F621DC" w:rsidRPr="004E370A">
        <w:t xml:space="preserve">cattle </w:t>
      </w:r>
      <w:r w:rsidR="00F621DC">
        <w:t>farms</w:t>
      </w:r>
      <w:r w:rsidR="00D01D25">
        <w:t>,</w:t>
      </w:r>
      <w:r w:rsidR="00F621DC">
        <w:t xml:space="preserve"> </w:t>
      </w:r>
      <w:r w:rsidRPr="004E370A">
        <w:t xml:space="preserve">the waste, dumped onto the platforms, is pushed into piles up to </w:t>
      </w:r>
      <w:r w:rsidR="00D01D25">
        <w:t xml:space="preserve">three </w:t>
      </w:r>
      <w:r w:rsidRPr="004E370A">
        <w:t>meter</w:t>
      </w:r>
      <w:r w:rsidR="00D01D25">
        <w:t>s</w:t>
      </w:r>
      <w:r w:rsidRPr="004E370A">
        <w:t xml:space="preserve"> high. Over a period of several months, this waste is spread and incorporated into the soil by plo</w:t>
      </w:r>
      <w:r w:rsidR="00D01D25">
        <w:t>w</w:t>
      </w:r>
      <w:r w:rsidRPr="004E370A">
        <w:t xml:space="preserve">ing during summer or spring. The method of spreading includes: (i) loading </w:t>
      </w:r>
      <w:r w:rsidR="00D01D25">
        <w:t xml:space="preserve">manure </w:t>
      </w:r>
      <w:r w:rsidRPr="004E370A">
        <w:t xml:space="preserve">into tipping </w:t>
      </w:r>
      <w:r>
        <w:t>trucks</w:t>
      </w:r>
      <w:r w:rsidR="00D01D25">
        <w:t>,</w:t>
      </w:r>
      <w:r w:rsidRPr="004E370A">
        <w:t xml:space="preserve"> dumping </w:t>
      </w:r>
      <w:r w:rsidR="00D01D25">
        <w:t xml:space="preserve">it </w:t>
      </w:r>
      <w:r w:rsidRPr="004E370A">
        <w:t xml:space="preserve">on the fields and spreading </w:t>
      </w:r>
      <w:r w:rsidR="00D01D25">
        <w:t xml:space="preserve">it </w:t>
      </w:r>
      <w:r w:rsidRPr="004E370A">
        <w:t>with a bulldozer or by hand labor; and (ii) some farms now</w:t>
      </w:r>
      <w:r w:rsidR="00D01D25">
        <w:t xml:space="preserve"> use </w:t>
      </w:r>
      <w:r w:rsidRPr="004E370A">
        <w:t xml:space="preserve">rusted manure spreaders inherited from Soviet era. </w:t>
      </w:r>
    </w:p>
    <w:p w:rsidR="00F621DC" w:rsidRPr="004E370A" w:rsidRDefault="00F621DC" w:rsidP="00C31A5F">
      <w:pPr>
        <w:jc w:val="both"/>
      </w:pPr>
    </w:p>
    <w:p w:rsidR="00F621DC" w:rsidRDefault="00C31A5F" w:rsidP="00C31A5F">
      <w:pPr>
        <w:jc w:val="both"/>
      </w:pPr>
      <w:r w:rsidRPr="004E370A">
        <w:t xml:space="preserve">Urine at some farms visited is intercepted by channels. It is usually collected from cattle (and horses). Urine and </w:t>
      </w:r>
      <w:r>
        <w:t>leach</w:t>
      </w:r>
      <w:r w:rsidRPr="004E370A">
        <w:t xml:space="preserve">ate from dung is collected from cattle and horses. Leaching action increases during the wet winter months when rainfall adds to the moisture. Providing impermeable walls and floors can reduce leaching and potential environmental contamination. The swine houses visited, however had no channels in the concrete yard and the liquid flows directly onto the bare earth. On most locations visited, the liquid waste is managed by allowing it to soak onto the earth. Thus, for swine, the effluents are not collected from the edge of the concrete yard areas, </w:t>
      </w:r>
      <w:r w:rsidR="00D01D25">
        <w:t>and</w:t>
      </w:r>
      <w:r w:rsidRPr="004E370A">
        <w:t xml:space="preserve"> swine urine disposal is not well managed and there is no containment of liquids. </w:t>
      </w:r>
    </w:p>
    <w:p w:rsidR="00D01D25" w:rsidRDefault="00D01D25" w:rsidP="00C31A5F">
      <w:pPr>
        <w:jc w:val="both"/>
      </w:pPr>
    </w:p>
    <w:p w:rsidR="00C31A5F" w:rsidRPr="004E370A" w:rsidRDefault="00C31A5F" w:rsidP="00C31A5F">
      <w:pPr>
        <w:jc w:val="both"/>
      </w:pPr>
      <w:r w:rsidRPr="004E370A">
        <w:t>Large Moldovan farms are utilizing the animal housing of former state farms and cooperatives and thus</w:t>
      </w:r>
      <w:r w:rsidR="00D01D25">
        <w:t>,</w:t>
      </w:r>
      <w:r w:rsidRPr="004E370A">
        <w:t xml:space="preserve"> facilities and practices used are relatively uniform. Cattle are housed in buildings with stalls and restrained with neckbands. The floors usually have a dung channel with automatic scrapers. These scrapers deliver the waste into a pit at the end of the building or into a trailer by </w:t>
      </w:r>
      <w:r w:rsidR="00D01D25">
        <w:t xml:space="preserve">an </w:t>
      </w:r>
      <w:r w:rsidRPr="004E370A">
        <w:t xml:space="preserve">elevator. The waste from the building is then taken by trailer and dumped at the farm waste platform. Some farms use earthen storage ponds and </w:t>
      </w:r>
      <w:r w:rsidR="00D01D25">
        <w:t xml:space="preserve">a </w:t>
      </w:r>
      <w:r w:rsidRPr="004E370A">
        <w:t xml:space="preserve">few have concrete in-ground or above-ground structures. During spring and summer and/or until field and climatic conditions permit, the manure is spread on land. Land application is limited, constrained by cropping patterns and climatic conditions—for example, </w:t>
      </w:r>
      <w:r w:rsidR="00D01D25">
        <w:t xml:space="preserve">the </w:t>
      </w:r>
      <w:r w:rsidRPr="004E370A">
        <w:t xml:space="preserve">ground is frozen between November and February and seedbed preparation occurs in spring. </w:t>
      </w:r>
    </w:p>
    <w:p w:rsidR="00C31A5F" w:rsidRDefault="00C31A5F" w:rsidP="00C31A5F">
      <w:pPr>
        <w:jc w:val="both"/>
      </w:pPr>
    </w:p>
    <w:p w:rsidR="00DC68B8" w:rsidRPr="00C31A5F" w:rsidRDefault="004B0EAA" w:rsidP="00DC68B8">
      <w:pPr>
        <w:rPr>
          <w:b/>
          <w:smallCaps/>
        </w:rPr>
      </w:pPr>
      <w:r>
        <w:rPr>
          <w:b/>
          <w:smallCaps/>
        </w:rPr>
        <w:t xml:space="preserve">Available Selected </w:t>
      </w:r>
      <w:r w:rsidR="00DC68B8">
        <w:rPr>
          <w:b/>
          <w:smallCaps/>
        </w:rPr>
        <w:t xml:space="preserve">Biodigester Technologies </w:t>
      </w:r>
    </w:p>
    <w:p w:rsidR="00DC68B8" w:rsidRDefault="00DC68B8" w:rsidP="00C31A5F">
      <w:pPr>
        <w:jc w:val="both"/>
        <w:rPr>
          <w:b/>
        </w:rPr>
      </w:pPr>
    </w:p>
    <w:p w:rsidR="00715799" w:rsidRDefault="00715799" w:rsidP="00715799">
      <w:pPr>
        <w:pStyle w:val="Default"/>
        <w:jc w:val="both"/>
        <w:rPr>
          <w:b/>
          <w:bCs/>
        </w:rPr>
      </w:pPr>
      <w:r w:rsidRPr="00715799">
        <w:rPr>
          <w:b/>
          <w:bCs/>
        </w:rPr>
        <w:t xml:space="preserve">Anaerobic Digestion </w:t>
      </w:r>
    </w:p>
    <w:p w:rsidR="008E7795" w:rsidRDefault="008E7795" w:rsidP="00715799">
      <w:pPr>
        <w:pStyle w:val="Default"/>
        <w:jc w:val="both"/>
        <w:rPr>
          <w:b/>
          <w:bCs/>
        </w:rPr>
      </w:pPr>
    </w:p>
    <w:p w:rsidR="008E7795" w:rsidRDefault="008E7795" w:rsidP="00715799">
      <w:pPr>
        <w:pStyle w:val="Default"/>
        <w:jc w:val="both"/>
        <w:rPr>
          <w:color w:val="auto"/>
        </w:rPr>
      </w:pPr>
      <w:r>
        <w:t xml:space="preserve">One of the biggest challenges that livestock farms face is managing manure and processing </w:t>
      </w:r>
      <w:r w:rsidRPr="00715799">
        <w:t xml:space="preserve">water in a way that controls odors and protects environmental quality. </w:t>
      </w:r>
      <w:r>
        <w:t>Anaerobic Digestion (</w:t>
      </w:r>
      <w:r w:rsidRPr="00715799">
        <w:t>AD</w:t>
      </w:r>
      <w:r>
        <w:t>)</w:t>
      </w:r>
      <w:r w:rsidRPr="00715799">
        <w:t xml:space="preserve"> of manure provides an effective answer; its environmental benefit far exceeds t</w:t>
      </w:r>
      <w:r>
        <w:t>hose provided by “conventional”</w:t>
      </w:r>
      <w:r w:rsidRPr="00715799">
        <w:t xml:space="preserve"> liquid and slurry </w:t>
      </w:r>
      <w:r w:rsidRPr="00715799">
        <w:rPr>
          <w:color w:val="auto"/>
        </w:rPr>
        <w:t>manure management systems (such as storage tanks, storage ponds, lagoons). These benefits include odor control, improved air and water quality, improved nutrient management flexibility, and the opportunity to produce h</w:t>
      </w:r>
      <w:r>
        <w:rPr>
          <w:color w:val="auto"/>
        </w:rPr>
        <w:t>eat and/or power. Li</w:t>
      </w:r>
      <w:r w:rsidRPr="00715799">
        <w:rPr>
          <w:color w:val="auto"/>
        </w:rPr>
        <w:t>vestock farms should consider anaerobic digestion if:</w:t>
      </w:r>
    </w:p>
    <w:p w:rsidR="008E7795" w:rsidRPr="00715799" w:rsidRDefault="008E7795" w:rsidP="008E7795">
      <w:pPr>
        <w:pStyle w:val="Default"/>
        <w:numPr>
          <w:ilvl w:val="0"/>
          <w:numId w:val="8"/>
        </w:numPr>
        <w:jc w:val="both"/>
        <w:rPr>
          <w:color w:val="auto"/>
        </w:rPr>
      </w:pPr>
      <w:r w:rsidRPr="00715799">
        <w:rPr>
          <w:color w:val="auto"/>
        </w:rPr>
        <w:t xml:space="preserve">Odor control is needed; </w:t>
      </w:r>
    </w:p>
    <w:p w:rsidR="008E7795" w:rsidRPr="00715799" w:rsidRDefault="008E7795" w:rsidP="008E7795">
      <w:pPr>
        <w:pStyle w:val="Default"/>
        <w:numPr>
          <w:ilvl w:val="0"/>
          <w:numId w:val="8"/>
        </w:numPr>
        <w:jc w:val="both"/>
        <w:rPr>
          <w:color w:val="auto"/>
        </w:rPr>
      </w:pPr>
      <w:r w:rsidRPr="00715799">
        <w:rPr>
          <w:color w:val="auto"/>
        </w:rPr>
        <w:t xml:space="preserve">Manure can be economically collected, and a year-round supply is assured; </w:t>
      </w:r>
    </w:p>
    <w:p w:rsidR="008E7795" w:rsidRPr="00715799" w:rsidRDefault="008E7795" w:rsidP="008E7795">
      <w:pPr>
        <w:pStyle w:val="Default"/>
        <w:numPr>
          <w:ilvl w:val="0"/>
          <w:numId w:val="8"/>
        </w:numPr>
        <w:jc w:val="both"/>
        <w:rPr>
          <w:color w:val="auto"/>
        </w:rPr>
      </w:pPr>
      <w:r w:rsidRPr="00715799">
        <w:rPr>
          <w:color w:val="auto"/>
        </w:rPr>
        <w:t xml:space="preserve">Adequate financing for high construction costs is available; </w:t>
      </w:r>
    </w:p>
    <w:p w:rsidR="008E7795" w:rsidRPr="00715799" w:rsidRDefault="008E7795" w:rsidP="008E7795">
      <w:pPr>
        <w:pStyle w:val="Default"/>
        <w:numPr>
          <w:ilvl w:val="0"/>
          <w:numId w:val="8"/>
        </w:numPr>
        <w:jc w:val="both"/>
        <w:rPr>
          <w:color w:val="auto"/>
        </w:rPr>
      </w:pPr>
      <w:r w:rsidRPr="00715799">
        <w:rPr>
          <w:color w:val="auto"/>
        </w:rPr>
        <w:t xml:space="preserve">Technical skills and interest for the system’s operation and maintenance are available; </w:t>
      </w:r>
    </w:p>
    <w:p w:rsidR="008E7795" w:rsidRPr="00715799" w:rsidRDefault="008E7795" w:rsidP="008E7795">
      <w:pPr>
        <w:pStyle w:val="Default"/>
        <w:numPr>
          <w:ilvl w:val="0"/>
          <w:numId w:val="8"/>
        </w:numPr>
        <w:jc w:val="both"/>
        <w:rPr>
          <w:color w:val="auto"/>
        </w:rPr>
      </w:pPr>
      <w:r w:rsidRPr="00715799">
        <w:rPr>
          <w:color w:val="auto"/>
        </w:rPr>
        <w:t xml:space="preserve">Adequate cropland for the nutrients exists; and, </w:t>
      </w:r>
    </w:p>
    <w:p w:rsidR="008E7795" w:rsidRPr="00715799" w:rsidRDefault="008E7795" w:rsidP="008E7795">
      <w:pPr>
        <w:pStyle w:val="Default"/>
        <w:numPr>
          <w:ilvl w:val="0"/>
          <w:numId w:val="8"/>
        </w:numPr>
        <w:jc w:val="both"/>
      </w:pPr>
      <w:r w:rsidRPr="00715799">
        <w:rPr>
          <w:color w:val="auto"/>
        </w:rPr>
        <w:t>The potential sale of excess electricity is profitable.</w:t>
      </w:r>
    </w:p>
    <w:p w:rsidR="008E7795" w:rsidRPr="00715799" w:rsidRDefault="008E7795" w:rsidP="00715799">
      <w:pPr>
        <w:pStyle w:val="Default"/>
        <w:jc w:val="both"/>
      </w:pPr>
    </w:p>
    <w:p w:rsidR="00715799" w:rsidRDefault="007D344A" w:rsidP="00715799">
      <w:pPr>
        <w:pStyle w:val="Default"/>
        <w:jc w:val="both"/>
        <w:rPr>
          <w:color w:val="auto"/>
          <w:sz w:val="22"/>
          <w:szCs w:val="22"/>
        </w:rPr>
      </w:pPr>
      <w:r>
        <w:rPr>
          <w:noProof/>
          <w:color w:val="auto"/>
          <w:sz w:val="22"/>
          <w:szCs w:val="22"/>
        </w:rPr>
        <w:drawing>
          <wp:inline distT="0" distB="0" distL="0" distR="0">
            <wp:extent cx="5724525" cy="2457450"/>
            <wp:effectExtent l="19050" t="0" r="9525"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724525" cy="2457450"/>
                    </a:xfrm>
                    <a:prstGeom prst="rect">
                      <a:avLst/>
                    </a:prstGeom>
                    <a:noFill/>
                    <a:ln w="9525">
                      <a:noFill/>
                      <a:miter lim="800000"/>
                      <a:headEnd/>
                      <a:tailEnd/>
                    </a:ln>
                  </pic:spPr>
                </pic:pic>
              </a:graphicData>
            </a:graphic>
          </wp:inline>
        </w:drawing>
      </w:r>
    </w:p>
    <w:p w:rsidR="00715799" w:rsidRPr="00715799" w:rsidRDefault="00715799" w:rsidP="00715799">
      <w:pPr>
        <w:pStyle w:val="Default"/>
        <w:rPr>
          <w:color w:val="auto"/>
          <w:sz w:val="20"/>
          <w:szCs w:val="20"/>
        </w:rPr>
      </w:pPr>
      <w:r w:rsidRPr="00715799">
        <w:rPr>
          <w:b/>
          <w:bCs/>
          <w:color w:val="auto"/>
          <w:sz w:val="20"/>
          <w:szCs w:val="20"/>
        </w:rPr>
        <w:t xml:space="preserve">Figure. Methane Production from Manure: Schematic Flow indicates the process Anaerobic Digestion Process </w:t>
      </w:r>
    </w:p>
    <w:p w:rsidR="00715799" w:rsidRPr="00715799" w:rsidRDefault="00715799" w:rsidP="00715799">
      <w:pPr>
        <w:pStyle w:val="Default"/>
        <w:rPr>
          <w:color w:val="auto"/>
          <w:sz w:val="20"/>
          <w:szCs w:val="20"/>
        </w:rPr>
      </w:pPr>
      <w:r w:rsidRPr="00715799">
        <w:rPr>
          <w:color w:val="auto"/>
          <w:sz w:val="20"/>
          <w:szCs w:val="20"/>
        </w:rPr>
        <w:t xml:space="preserve">Source: Michigan State, Extension Service, </w:t>
      </w:r>
      <w:r w:rsidRPr="00715799">
        <w:rPr>
          <w:color w:val="auto"/>
          <w:sz w:val="20"/>
          <w:szCs w:val="20"/>
          <w:u w:val="single"/>
        </w:rPr>
        <w:t>h</w:t>
      </w:r>
      <w:r>
        <w:rPr>
          <w:color w:val="auto"/>
          <w:sz w:val="20"/>
          <w:szCs w:val="20"/>
          <w:u w:val="single"/>
        </w:rPr>
        <w:t>ttp://web2.msue.msu.edu/manure/</w:t>
      </w:r>
      <w:r w:rsidRPr="00715799">
        <w:rPr>
          <w:color w:val="auto"/>
          <w:sz w:val="20"/>
          <w:szCs w:val="20"/>
          <w:u w:val="single"/>
        </w:rPr>
        <w:t>FinalAnaerobicDigestionFactsheet.pdf</w:t>
      </w:r>
    </w:p>
    <w:p w:rsidR="00715799" w:rsidRDefault="00715799" w:rsidP="00715799">
      <w:pPr>
        <w:pStyle w:val="Default"/>
        <w:jc w:val="both"/>
        <w:rPr>
          <w:color w:val="auto"/>
          <w:sz w:val="22"/>
          <w:szCs w:val="22"/>
        </w:rPr>
      </w:pPr>
    </w:p>
    <w:p w:rsidR="00715799" w:rsidRPr="00277765" w:rsidRDefault="00715799" w:rsidP="00715799">
      <w:pPr>
        <w:pStyle w:val="Default"/>
        <w:jc w:val="both"/>
        <w:rPr>
          <w:color w:val="auto"/>
        </w:rPr>
      </w:pPr>
      <w:r w:rsidRPr="00277765">
        <w:rPr>
          <w:color w:val="auto"/>
        </w:rPr>
        <w:t xml:space="preserve">A biodigester is a heated tank into which the manure and water slurry is directed. Oxygen is excluded to allow anaerobic bacteria to liquefy the volatile organic compounds in the mixture and then convert the resulting simple organic acids into a methane-rich biogas. Anaerobic conditions allow methane-producing bacteria to flourish while inhibiting those that produce foul odors. The undigested solid residue has not lost any nutrient value and is suitable for storage followed by land application, or for sale as compost or soil conditioner. The supernatant liquor is generally pathogen free and can be used for pasture irrigation without the drawbacks associated with raw effluent dispersal. </w:t>
      </w:r>
    </w:p>
    <w:p w:rsidR="00277765" w:rsidRPr="00277765" w:rsidRDefault="00277765" w:rsidP="00715799">
      <w:pPr>
        <w:pStyle w:val="Default"/>
        <w:jc w:val="both"/>
        <w:rPr>
          <w:color w:val="auto"/>
        </w:rPr>
      </w:pPr>
    </w:p>
    <w:p w:rsidR="00715799" w:rsidRPr="00277765" w:rsidRDefault="00715799" w:rsidP="00715799">
      <w:pPr>
        <w:pStyle w:val="Default"/>
        <w:jc w:val="both"/>
        <w:rPr>
          <w:color w:val="auto"/>
        </w:rPr>
      </w:pPr>
      <w:r w:rsidRPr="00277765">
        <w:rPr>
          <w:color w:val="auto"/>
        </w:rPr>
        <w:t xml:space="preserve">Anaerobic digestion does not significantly reduce waste volume, so the same amount of waste that enters the biodigester leaves it each day. The entry pipe can be closed to prevent detergents, medications and other contaminants entering the biodigester. The biodigester is usually heated to provide optimal conditions for bacterial growth, and maintained at pH 6.6 to 7.6. A proportion of the heat output of the cogeneration unit is fed to the biodigester to maintain optimum thermal conditions. </w:t>
      </w:r>
    </w:p>
    <w:p w:rsidR="00277765" w:rsidRPr="00277765" w:rsidRDefault="00277765" w:rsidP="00715799">
      <w:pPr>
        <w:pStyle w:val="Default"/>
        <w:jc w:val="both"/>
        <w:rPr>
          <w:color w:val="auto"/>
        </w:rPr>
      </w:pPr>
    </w:p>
    <w:p w:rsidR="00715799" w:rsidRDefault="00715799" w:rsidP="00715799">
      <w:pPr>
        <w:pStyle w:val="Default"/>
        <w:jc w:val="both"/>
        <w:rPr>
          <w:color w:val="auto"/>
        </w:rPr>
      </w:pPr>
      <w:r w:rsidRPr="00277765">
        <w:rPr>
          <w:color w:val="auto"/>
        </w:rPr>
        <w:t xml:space="preserve">Under AD, the dairy-shed wastes are fed into a biodigester system in which they will be converted into biogas in a process analogous to that occurring in the rumen (the first stomach of a cow) in which organic matter is broken down anaerobically by mixed microbial populations. The particular characteristics of methane, the simplest of the hydrocarbons, make it an excellent fuel for certain uses. With some equipment modifications to account for its lower energy content and other constituent components, biogas can be used in all energy-consuming applications designed for natural gas. The detailed box </w:t>
      </w:r>
      <w:r w:rsidR="00277765">
        <w:rPr>
          <w:color w:val="auto"/>
        </w:rPr>
        <w:t>below</w:t>
      </w:r>
      <w:r w:rsidRPr="00277765">
        <w:rPr>
          <w:color w:val="auto"/>
        </w:rPr>
        <w:t xml:space="preserve"> provides a checklist to help judge whether a digester will work in a specific location. </w:t>
      </w:r>
    </w:p>
    <w:p w:rsidR="003B574D" w:rsidRDefault="003B574D" w:rsidP="00715799">
      <w:pPr>
        <w:pStyle w:val="Default"/>
        <w:jc w:val="both"/>
        <w:rPr>
          <w:color w:val="auto"/>
        </w:rPr>
      </w:pPr>
    </w:p>
    <w:p w:rsidR="003B574D" w:rsidRDefault="003B574D" w:rsidP="00715799">
      <w:pPr>
        <w:pStyle w:val="Default"/>
        <w:jc w:val="both"/>
        <w:rPr>
          <w:color w:val="auto"/>
        </w:rPr>
      </w:pPr>
    </w:p>
    <w:p w:rsidR="003B574D" w:rsidRPr="00277765" w:rsidRDefault="003B574D" w:rsidP="00715799">
      <w:pPr>
        <w:pStyle w:val="Default"/>
        <w:jc w:val="both"/>
        <w:rPr>
          <w:color w:val="auto"/>
        </w:rPr>
      </w:pPr>
    </w:p>
    <w:p w:rsidR="008518B2" w:rsidRDefault="008518B2" w:rsidP="008518B2">
      <w:pPr>
        <w:pStyle w:val="Default"/>
        <w:jc w:val="center"/>
        <w:rPr>
          <w:sz w:val="23"/>
          <w:szCs w:val="23"/>
        </w:rPr>
      </w:pPr>
      <w:r>
        <w:rPr>
          <w:b/>
          <w:bCs/>
          <w:sz w:val="23"/>
          <w:szCs w:val="23"/>
        </w:rPr>
        <w:t xml:space="preserve">Will a Digester Work on My Farm? </w:t>
      </w:r>
    </w:p>
    <w:p w:rsidR="008518B2" w:rsidRDefault="008518B2" w:rsidP="008518B2">
      <w:pPr>
        <w:pStyle w:val="Default"/>
        <w:rPr>
          <w:sz w:val="20"/>
          <w:szCs w:val="20"/>
        </w:rPr>
      </w:pPr>
      <w:r>
        <w:rPr>
          <w:b/>
          <w:bCs/>
          <w:i/>
          <w:iCs/>
          <w:sz w:val="20"/>
          <w:szCs w:val="20"/>
        </w:rPr>
        <w:t xml:space="preserve">Five Criteria: </w:t>
      </w:r>
    </w:p>
    <w:p w:rsidR="008518B2" w:rsidRDefault="008518B2" w:rsidP="00EE1115">
      <w:pPr>
        <w:pStyle w:val="Default"/>
        <w:numPr>
          <w:ilvl w:val="0"/>
          <w:numId w:val="9"/>
        </w:numPr>
        <w:ind w:left="720" w:hanging="360"/>
        <w:rPr>
          <w:sz w:val="18"/>
          <w:szCs w:val="18"/>
        </w:rPr>
      </w:pPr>
      <w:r>
        <w:rPr>
          <w:b/>
          <w:bCs/>
          <w:i/>
          <w:iCs/>
          <w:sz w:val="18"/>
          <w:szCs w:val="18"/>
        </w:rPr>
        <w:t>“Large” confined animal facility</w:t>
      </w:r>
      <w:r>
        <w:rPr>
          <w:sz w:val="18"/>
          <w:szCs w:val="18"/>
        </w:rPr>
        <w:t xml:space="preserve">: At least 300 head of dairy cows/steers or 2,000 swine for most locations to be economically feasible and preferably confined. </w:t>
      </w:r>
    </w:p>
    <w:p w:rsidR="008518B2" w:rsidRDefault="008518B2" w:rsidP="00EE1115">
      <w:pPr>
        <w:pStyle w:val="Default"/>
        <w:numPr>
          <w:ilvl w:val="0"/>
          <w:numId w:val="9"/>
        </w:numPr>
        <w:ind w:left="720" w:hanging="360"/>
        <w:rPr>
          <w:sz w:val="18"/>
          <w:szCs w:val="18"/>
        </w:rPr>
      </w:pPr>
      <w:r>
        <w:rPr>
          <w:b/>
          <w:bCs/>
          <w:i/>
          <w:iCs/>
          <w:sz w:val="18"/>
          <w:szCs w:val="18"/>
        </w:rPr>
        <w:t>Year-round stable manure production and collection</w:t>
      </w:r>
      <w:r>
        <w:rPr>
          <w:sz w:val="18"/>
          <w:szCs w:val="18"/>
        </w:rPr>
        <w:t xml:space="preserve">. Regular “feeding” of digester is important to maintain methane-producing bacteria. </w:t>
      </w:r>
    </w:p>
    <w:p w:rsidR="008518B2" w:rsidRDefault="008518B2" w:rsidP="00EE1115">
      <w:pPr>
        <w:pStyle w:val="Default"/>
        <w:numPr>
          <w:ilvl w:val="0"/>
          <w:numId w:val="9"/>
        </w:numPr>
        <w:ind w:left="720" w:hanging="360"/>
        <w:rPr>
          <w:sz w:val="18"/>
          <w:szCs w:val="18"/>
        </w:rPr>
      </w:pPr>
      <w:r>
        <w:rPr>
          <w:b/>
          <w:bCs/>
          <w:i/>
          <w:iCs/>
          <w:sz w:val="18"/>
          <w:szCs w:val="18"/>
        </w:rPr>
        <w:t>Digester technology compatible with manure management strategy</w:t>
      </w:r>
      <w:r>
        <w:rPr>
          <w:sz w:val="18"/>
          <w:szCs w:val="18"/>
        </w:rPr>
        <w:t xml:space="preserve">. Digester technologies require manure to be managed as a liquid, slurry, or semi-solid; collected at one point; collected regularly; and free of large quantities of bedding and other materials (rocks, sand, straw, etc.). For instance, a water flush system is not compatible with a plug-flow digester. </w:t>
      </w:r>
    </w:p>
    <w:p w:rsidR="008518B2" w:rsidRDefault="008518B2" w:rsidP="00EE1115">
      <w:pPr>
        <w:pStyle w:val="Default"/>
        <w:numPr>
          <w:ilvl w:val="0"/>
          <w:numId w:val="9"/>
        </w:numPr>
        <w:ind w:left="720" w:hanging="360"/>
        <w:rPr>
          <w:sz w:val="18"/>
          <w:szCs w:val="18"/>
        </w:rPr>
      </w:pPr>
      <w:r>
        <w:rPr>
          <w:b/>
          <w:bCs/>
          <w:i/>
          <w:iCs/>
          <w:sz w:val="18"/>
          <w:szCs w:val="18"/>
        </w:rPr>
        <w:t>A use of energy recovered</w:t>
      </w:r>
      <w:r>
        <w:rPr>
          <w:sz w:val="18"/>
          <w:szCs w:val="18"/>
        </w:rPr>
        <w:t xml:space="preserve">. Can a generator be installed to produce electricity, and is the local utility willing to purchase electricity at an acceptable price? Is there another use for the electricity produced? Can the by-product residue be used on the farm (economically)? </w:t>
      </w:r>
    </w:p>
    <w:p w:rsidR="008518B2" w:rsidRDefault="008518B2" w:rsidP="00EE1115">
      <w:pPr>
        <w:pStyle w:val="Default"/>
        <w:numPr>
          <w:ilvl w:val="0"/>
          <w:numId w:val="9"/>
        </w:numPr>
        <w:ind w:left="720" w:hanging="360"/>
        <w:rPr>
          <w:sz w:val="18"/>
          <w:szCs w:val="18"/>
        </w:rPr>
      </w:pPr>
      <w:r>
        <w:rPr>
          <w:b/>
          <w:bCs/>
          <w:i/>
          <w:iCs/>
          <w:sz w:val="18"/>
          <w:szCs w:val="18"/>
        </w:rPr>
        <w:t xml:space="preserve">Availability of management skills on-farm, locally? </w:t>
      </w:r>
      <w:r>
        <w:rPr>
          <w:sz w:val="18"/>
          <w:szCs w:val="18"/>
        </w:rPr>
        <w:t xml:space="preserve">Digester operation requires a trained and interested (preferably owner) operator to provide </w:t>
      </w:r>
      <w:r>
        <w:rPr>
          <w:i/>
          <w:iCs/>
          <w:sz w:val="18"/>
          <w:szCs w:val="18"/>
        </w:rPr>
        <w:t xml:space="preserve">on-site </w:t>
      </w:r>
      <w:r>
        <w:rPr>
          <w:sz w:val="18"/>
          <w:szCs w:val="18"/>
        </w:rPr>
        <w:t xml:space="preserve">support and maintenance. </w:t>
      </w:r>
    </w:p>
    <w:p w:rsidR="008518B2" w:rsidRDefault="001165F6" w:rsidP="001165F6">
      <w:pPr>
        <w:pStyle w:val="Default"/>
        <w:rPr>
          <w:sz w:val="16"/>
          <w:szCs w:val="16"/>
          <w:u w:val="single"/>
        </w:rPr>
      </w:pPr>
      <w:r w:rsidRPr="001165F6">
        <w:rPr>
          <w:color w:val="auto"/>
          <w:sz w:val="20"/>
          <w:szCs w:val="20"/>
        </w:rPr>
        <w:t xml:space="preserve">Source: </w:t>
      </w:r>
      <w:hyperlink r:id="rId17" w:history="1">
        <w:r w:rsidR="00565A97" w:rsidRPr="00FD4B98">
          <w:rPr>
            <w:rStyle w:val="Hyperlink"/>
            <w:sz w:val="16"/>
            <w:szCs w:val="16"/>
          </w:rPr>
          <w:t>www.epa.gov/agSTAR</w:t>
        </w:r>
      </w:hyperlink>
    </w:p>
    <w:p w:rsidR="00565A97" w:rsidRPr="00565A97" w:rsidRDefault="00565A97" w:rsidP="001165F6">
      <w:pPr>
        <w:pStyle w:val="Default"/>
        <w:rPr>
          <w:u w:val="single"/>
        </w:rPr>
      </w:pPr>
    </w:p>
    <w:p w:rsidR="00565A97" w:rsidRPr="00565A97" w:rsidRDefault="00565A97" w:rsidP="00565A97">
      <w:pPr>
        <w:pStyle w:val="Default"/>
        <w:jc w:val="both"/>
        <w:rPr>
          <w:color w:val="auto"/>
        </w:rPr>
      </w:pPr>
      <w:r w:rsidRPr="00565A97">
        <w:rPr>
          <w:color w:val="auto"/>
        </w:rPr>
        <w:t xml:space="preserve">Anaerobic digestion is the breakdown of complex organic materials by microorganisms due to the absence of oxygen. The end products of the process are: methane (CH4), carbon dioxide (CO2), trace gases including hydrogen sulfide (H2S), and stabilized organic matter. The AD process destroys pathogens and weed seeds, and odors are reduced. Total nitrogen, phosphorus, and other minerals, remain largely unchanged. Although this process does occur in many existing manure storages, in most natural situations AD doesn't reach its natural completion, resulting in intermediate products that are quite odiferous. Numerous parameters influence biogas yields and efficiency, such as temperature, pH, alkalinity, volatile fatty acid concentration, homogeneity of the waste substrate, digester hydraulics and solids retention time, organic loading rate, and degree of mixing. </w:t>
      </w:r>
    </w:p>
    <w:p w:rsidR="00565A97" w:rsidRPr="00565A97" w:rsidRDefault="00565A97" w:rsidP="001165F6">
      <w:pPr>
        <w:pStyle w:val="Default"/>
        <w:rPr>
          <w:u w:val="single"/>
        </w:rPr>
      </w:pPr>
    </w:p>
    <w:p w:rsidR="00565A97" w:rsidRDefault="00E832EB" w:rsidP="001165F6">
      <w:pPr>
        <w:pStyle w:val="Default"/>
        <w:rPr>
          <w:color w:val="auto"/>
        </w:rPr>
      </w:pPr>
      <w:r w:rsidRPr="00E832EB">
        <w:rPr>
          <w:b/>
          <w:color w:val="auto"/>
        </w:rPr>
        <w:t>The Anaerobic Digestion Process</w:t>
      </w:r>
      <w:r w:rsidR="00056D55">
        <w:rPr>
          <w:rStyle w:val="FootnoteReference"/>
          <w:b/>
          <w:color w:val="auto"/>
        </w:rPr>
        <w:footnoteReference w:id="12"/>
      </w:r>
    </w:p>
    <w:p w:rsidR="00E832EB" w:rsidRDefault="00E832EB" w:rsidP="001165F6">
      <w:pPr>
        <w:pStyle w:val="Default"/>
        <w:rPr>
          <w:color w:val="auto"/>
        </w:rPr>
      </w:pPr>
    </w:p>
    <w:p w:rsidR="00E832EB" w:rsidRPr="00E832EB" w:rsidRDefault="00E832EB" w:rsidP="00E832EB">
      <w:pPr>
        <w:pStyle w:val="Default"/>
        <w:jc w:val="both"/>
        <w:rPr>
          <w:color w:val="auto"/>
        </w:rPr>
      </w:pPr>
      <w:r w:rsidRPr="00E832EB">
        <w:rPr>
          <w:color w:val="auto"/>
        </w:rPr>
        <w:t>The anaerobic digester digests the solids in the manure. Typical dairy manure entering the digester contains on average 12% total solids (TS)</w:t>
      </w:r>
      <w:r w:rsidR="00D01D25">
        <w:rPr>
          <w:color w:val="auto"/>
        </w:rPr>
        <w:t>,</w:t>
      </w:r>
      <w:r>
        <w:rPr>
          <w:rStyle w:val="FootnoteReference"/>
          <w:color w:val="auto"/>
        </w:rPr>
        <w:footnoteReference w:id="13"/>
      </w:r>
      <w:r w:rsidRPr="00E832EB">
        <w:rPr>
          <w:color w:val="auto"/>
        </w:rPr>
        <w:t xml:space="preserve"> which include volatile solids (VS) (typically 70% of the TS) and the remaining inorganic fraction. Typical solid separation of the effluent removes 4% of the solids. Proportions may, however, vary according to the type of technology and feedstock used for digestion. The AD process is the consequence of a series of metabolic interactions among various groups of microorganism</w:t>
      </w:r>
      <w:r w:rsidR="00452002">
        <w:rPr>
          <w:color w:val="auto"/>
        </w:rPr>
        <w:t>s</w:t>
      </w:r>
      <w:r w:rsidRPr="00E832EB">
        <w:rPr>
          <w:color w:val="auto"/>
        </w:rPr>
        <w:t>. The AD process</w:t>
      </w:r>
      <w:r w:rsidRPr="00E832EB">
        <w:rPr>
          <w:b/>
          <w:bCs/>
          <w:color w:val="auto"/>
        </w:rPr>
        <w:t xml:space="preserve"> </w:t>
      </w:r>
      <w:r w:rsidRPr="00E832EB">
        <w:rPr>
          <w:color w:val="auto"/>
        </w:rPr>
        <w:t>is executed in digesters that are maintained at stable temperature</w:t>
      </w:r>
      <w:r w:rsidR="00452002">
        <w:rPr>
          <w:color w:val="auto"/>
        </w:rPr>
        <w:t>s</w:t>
      </w:r>
      <w:r w:rsidRPr="00E832EB">
        <w:rPr>
          <w:color w:val="auto"/>
        </w:rPr>
        <w:t xml:space="preserve">, ranging from 300C–650C. Other parameters, discussed below, are also monitored and controlled to result in optimal digester operating levels. </w:t>
      </w:r>
    </w:p>
    <w:p w:rsidR="004B0EAA" w:rsidRDefault="004B0EAA" w:rsidP="00E832EB">
      <w:pPr>
        <w:pStyle w:val="Default"/>
        <w:jc w:val="both"/>
        <w:rPr>
          <w:color w:val="auto"/>
        </w:rPr>
      </w:pPr>
    </w:p>
    <w:p w:rsidR="00E832EB" w:rsidRDefault="00E832EB" w:rsidP="004B0EAA">
      <w:pPr>
        <w:pStyle w:val="Default"/>
        <w:jc w:val="both"/>
      </w:pPr>
      <w:r w:rsidRPr="004B0EAA">
        <w:rPr>
          <w:color w:val="auto"/>
        </w:rPr>
        <w:t xml:space="preserve">The AD process can also be divided into three </w:t>
      </w:r>
      <w:r w:rsidR="00F07682" w:rsidRPr="004B0EAA">
        <w:t>stages: waste digestion, gas recovery, and residue treatment. Waste digestion can be performed in a single stage reactor or a multi-stage version that separates the acetogenesis and methanogenesis stages in space.</w:t>
      </w:r>
      <w:r w:rsidR="004B0EAA">
        <w:rPr>
          <w:color w:val="auto"/>
        </w:rPr>
        <w:t xml:space="preserve"> </w:t>
      </w:r>
      <w:r w:rsidR="004B0EAA" w:rsidRPr="004B0EAA">
        <w:t>The rate at which the microorganisms grow is of utmost importance to the AD process, in particular the amount of gas generated. The digester’s operating parameters must be controlled in order to enhance the microbial activity to help increase the anaerobic degradation efficiency of the system. The Table below</w:t>
      </w:r>
      <w:r w:rsidR="004B0EAA" w:rsidRPr="004B0EAA">
        <w:rPr>
          <w:i/>
          <w:iCs/>
        </w:rPr>
        <w:t xml:space="preserve"> </w:t>
      </w:r>
      <w:r w:rsidR="004B0EAA" w:rsidRPr="004B0EAA">
        <w:t>highlights some of these variables.</w:t>
      </w:r>
    </w:p>
    <w:p w:rsidR="00B65BAB" w:rsidRDefault="00B65BAB" w:rsidP="004B0EAA">
      <w:pPr>
        <w:pStyle w:val="Default"/>
        <w:jc w:val="both"/>
      </w:pPr>
    </w:p>
    <w:p w:rsidR="004B0EAA" w:rsidRPr="004B0EAA" w:rsidRDefault="004B0EAA" w:rsidP="004B0EAA">
      <w:pPr>
        <w:pStyle w:val="Default"/>
        <w:jc w:val="both"/>
        <w:rPr>
          <w:color w:val="auto"/>
        </w:rPr>
      </w:pPr>
      <w:r>
        <w:rPr>
          <w:b/>
          <w:bCs/>
          <w:sz w:val="22"/>
          <w:szCs w:val="22"/>
        </w:rPr>
        <w:t>Biogas Operating Conditions for Anaerobic Digestion</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53"/>
        <w:gridCol w:w="2363"/>
      </w:tblGrid>
      <w:tr w:rsidR="004B0EAA" w:rsidTr="00B65BAB">
        <w:trPr>
          <w:trHeight w:val="133"/>
        </w:trPr>
        <w:tc>
          <w:tcPr>
            <w:tcW w:w="3753" w:type="dxa"/>
            <w:shd w:val="clear" w:color="auto" w:fill="808000"/>
          </w:tcPr>
          <w:p w:rsidR="004B0EAA" w:rsidRDefault="004B0EAA">
            <w:pPr>
              <w:pStyle w:val="Default"/>
              <w:jc w:val="center"/>
              <w:rPr>
                <w:sz w:val="20"/>
                <w:szCs w:val="20"/>
              </w:rPr>
            </w:pPr>
            <w:r>
              <w:rPr>
                <w:b/>
                <w:bCs/>
                <w:sz w:val="20"/>
                <w:szCs w:val="20"/>
              </w:rPr>
              <w:t xml:space="preserve">Operating Parameter </w:t>
            </w:r>
          </w:p>
        </w:tc>
        <w:tc>
          <w:tcPr>
            <w:tcW w:w="2363" w:type="dxa"/>
            <w:shd w:val="clear" w:color="auto" w:fill="808000"/>
          </w:tcPr>
          <w:p w:rsidR="004B0EAA" w:rsidRDefault="004B0EAA">
            <w:pPr>
              <w:pStyle w:val="Default"/>
              <w:jc w:val="center"/>
              <w:rPr>
                <w:sz w:val="20"/>
                <w:szCs w:val="20"/>
              </w:rPr>
            </w:pPr>
            <w:r>
              <w:rPr>
                <w:b/>
                <w:bCs/>
                <w:sz w:val="20"/>
                <w:szCs w:val="20"/>
              </w:rPr>
              <w:t xml:space="preserve">Typical Value </w:t>
            </w:r>
          </w:p>
        </w:tc>
      </w:tr>
      <w:tr w:rsidR="004B0EAA" w:rsidTr="00B65BAB">
        <w:trPr>
          <w:trHeight w:val="362"/>
        </w:trPr>
        <w:tc>
          <w:tcPr>
            <w:tcW w:w="3753" w:type="dxa"/>
            <w:shd w:val="clear" w:color="auto" w:fill="FFFFFF"/>
          </w:tcPr>
          <w:p w:rsidR="004B0EAA" w:rsidRDefault="004B0EAA">
            <w:pPr>
              <w:pStyle w:val="Default"/>
              <w:rPr>
                <w:sz w:val="20"/>
                <w:szCs w:val="20"/>
              </w:rPr>
            </w:pPr>
            <w:r>
              <w:rPr>
                <w:b/>
                <w:bCs/>
                <w:sz w:val="20"/>
                <w:szCs w:val="20"/>
              </w:rPr>
              <w:t xml:space="preserve">Temperature </w:t>
            </w:r>
          </w:p>
          <w:p w:rsidR="004B0EAA" w:rsidRDefault="004B0EAA">
            <w:pPr>
              <w:pStyle w:val="Default"/>
              <w:rPr>
                <w:sz w:val="20"/>
                <w:szCs w:val="20"/>
              </w:rPr>
            </w:pPr>
            <w:r>
              <w:rPr>
                <w:sz w:val="20"/>
                <w:szCs w:val="20"/>
              </w:rPr>
              <w:t xml:space="preserve">Mesophilic </w:t>
            </w:r>
          </w:p>
          <w:p w:rsidR="004B0EAA" w:rsidRDefault="004B0EAA">
            <w:pPr>
              <w:pStyle w:val="Default"/>
              <w:rPr>
                <w:sz w:val="20"/>
                <w:szCs w:val="20"/>
              </w:rPr>
            </w:pPr>
            <w:r>
              <w:rPr>
                <w:sz w:val="20"/>
                <w:szCs w:val="20"/>
              </w:rPr>
              <w:t xml:space="preserve">Thermophilic </w:t>
            </w:r>
          </w:p>
        </w:tc>
        <w:tc>
          <w:tcPr>
            <w:tcW w:w="2363" w:type="dxa"/>
          </w:tcPr>
          <w:p w:rsidR="004B0EAA" w:rsidRDefault="00452002">
            <w:pPr>
              <w:pStyle w:val="Default"/>
              <w:rPr>
                <w:sz w:val="20"/>
                <w:szCs w:val="20"/>
              </w:rPr>
            </w:pPr>
            <w:r>
              <w:rPr>
                <w:sz w:val="20"/>
                <w:szCs w:val="20"/>
              </w:rPr>
              <w:br/>
            </w:r>
            <w:r w:rsidR="004B0EAA">
              <w:rPr>
                <w:sz w:val="20"/>
                <w:szCs w:val="20"/>
              </w:rPr>
              <w:t>95</w:t>
            </w:r>
            <w:r w:rsidR="004B0EAA">
              <w:rPr>
                <w:sz w:val="13"/>
                <w:szCs w:val="13"/>
              </w:rPr>
              <w:t>0</w:t>
            </w:r>
            <w:r w:rsidR="004B0EAA">
              <w:rPr>
                <w:sz w:val="20"/>
                <w:szCs w:val="20"/>
              </w:rPr>
              <w:t>F (35</w:t>
            </w:r>
            <w:r w:rsidR="004B0EAA">
              <w:rPr>
                <w:sz w:val="13"/>
                <w:szCs w:val="13"/>
              </w:rPr>
              <w:t>0</w:t>
            </w:r>
            <w:r w:rsidR="004B0EAA">
              <w:rPr>
                <w:sz w:val="20"/>
                <w:szCs w:val="20"/>
              </w:rPr>
              <w:t>) - 130</w:t>
            </w:r>
            <w:r w:rsidR="004B0EAA">
              <w:rPr>
                <w:sz w:val="13"/>
                <w:szCs w:val="13"/>
              </w:rPr>
              <w:t>0</w:t>
            </w:r>
            <w:r w:rsidR="004B0EAA">
              <w:rPr>
                <w:sz w:val="20"/>
                <w:szCs w:val="20"/>
              </w:rPr>
              <w:t>F (54.4</w:t>
            </w:r>
            <w:r w:rsidR="004B0EAA">
              <w:rPr>
                <w:sz w:val="13"/>
                <w:szCs w:val="13"/>
              </w:rPr>
              <w:t>0</w:t>
            </w:r>
            <w:r w:rsidR="004B0EAA">
              <w:rPr>
                <w:sz w:val="20"/>
                <w:szCs w:val="20"/>
              </w:rPr>
              <w:t xml:space="preserve">C) </w:t>
            </w:r>
          </w:p>
        </w:tc>
      </w:tr>
      <w:tr w:rsidR="004B0EAA" w:rsidTr="00B65BAB">
        <w:trPr>
          <w:trHeight w:val="131"/>
        </w:trPr>
        <w:tc>
          <w:tcPr>
            <w:tcW w:w="3753" w:type="dxa"/>
            <w:shd w:val="clear" w:color="auto" w:fill="FFFFFF"/>
          </w:tcPr>
          <w:p w:rsidR="004B0EAA" w:rsidRDefault="004B0EAA">
            <w:pPr>
              <w:pStyle w:val="Default"/>
              <w:rPr>
                <w:sz w:val="20"/>
                <w:szCs w:val="20"/>
              </w:rPr>
            </w:pPr>
            <w:r>
              <w:rPr>
                <w:sz w:val="20"/>
                <w:szCs w:val="20"/>
              </w:rPr>
              <w:t xml:space="preserve">pH </w:t>
            </w:r>
          </w:p>
        </w:tc>
        <w:tc>
          <w:tcPr>
            <w:tcW w:w="2363" w:type="dxa"/>
          </w:tcPr>
          <w:p w:rsidR="004B0EAA" w:rsidRDefault="004B0EAA">
            <w:pPr>
              <w:pStyle w:val="Default"/>
              <w:rPr>
                <w:sz w:val="20"/>
                <w:szCs w:val="20"/>
              </w:rPr>
            </w:pPr>
            <w:r>
              <w:rPr>
                <w:sz w:val="20"/>
                <w:szCs w:val="20"/>
              </w:rPr>
              <w:t xml:space="preserve">7-8 </w:t>
            </w:r>
          </w:p>
        </w:tc>
      </w:tr>
      <w:tr w:rsidR="004B0EAA" w:rsidTr="00B65BAB">
        <w:trPr>
          <w:trHeight w:val="131"/>
        </w:trPr>
        <w:tc>
          <w:tcPr>
            <w:tcW w:w="3753" w:type="dxa"/>
            <w:shd w:val="clear" w:color="auto" w:fill="FFFFFF"/>
          </w:tcPr>
          <w:p w:rsidR="004B0EAA" w:rsidRDefault="004B0EAA">
            <w:pPr>
              <w:pStyle w:val="Default"/>
              <w:rPr>
                <w:sz w:val="20"/>
                <w:szCs w:val="20"/>
              </w:rPr>
            </w:pPr>
            <w:r>
              <w:rPr>
                <w:sz w:val="20"/>
                <w:szCs w:val="20"/>
              </w:rPr>
              <w:t xml:space="preserve">Alkalinity </w:t>
            </w:r>
          </w:p>
        </w:tc>
        <w:tc>
          <w:tcPr>
            <w:tcW w:w="2363" w:type="dxa"/>
          </w:tcPr>
          <w:p w:rsidR="004B0EAA" w:rsidRDefault="004B0EAA">
            <w:pPr>
              <w:pStyle w:val="Default"/>
              <w:rPr>
                <w:sz w:val="20"/>
                <w:szCs w:val="20"/>
              </w:rPr>
            </w:pPr>
            <w:r>
              <w:rPr>
                <w:sz w:val="20"/>
                <w:szCs w:val="20"/>
              </w:rPr>
              <w:t xml:space="preserve">2,500 mg/liter (minimum) </w:t>
            </w:r>
          </w:p>
        </w:tc>
      </w:tr>
      <w:tr w:rsidR="004B0EAA" w:rsidTr="00B65BAB">
        <w:trPr>
          <w:trHeight w:val="131"/>
        </w:trPr>
        <w:tc>
          <w:tcPr>
            <w:tcW w:w="3753" w:type="dxa"/>
            <w:shd w:val="clear" w:color="auto" w:fill="FFFFFF"/>
          </w:tcPr>
          <w:p w:rsidR="004B0EAA" w:rsidRDefault="004B0EAA">
            <w:pPr>
              <w:pStyle w:val="Default"/>
              <w:rPr>
                <w:sz w:val="20"/>
                <w:szCs w:val="20"/>
              </w:rPr>
            </w:pPr>
            <w:r>
              <w:rPr>
                <w:sz w:val="20"/>
                <w:szCs w:val="20"/>
              </w:rPr>
              <w:t xml:space="preserve">Retention time </w:t>
            </w:r>
          </w:p>
        </w:tc>
        <w:tc>
          <w:tcPr>
            <w:tcW w:w="2363" w:type="dxa"/>
          </w:tcPr>
          <w:p w:rsidR="004B0EAA" w:rsidRDefault="004B0EAA">
            <w:pPr>
              <w:pStyle w:val="Default"/>
              <w:rPr>
                <w:sz w:val="20"/>
                <w:szCs w:val="20"/>
              </w:rPr>
            </w:pPr>
            <w:r>
              <w:rPr>
                <w:sz w:val="20"/>
                <w:szCs w:val="20"/>
              </w:rPr>
              <w:t xml:space="preserve">10 – 30 days </w:t>
            </w:r>
          </w:p>
        </w:tc>
      </w:tr>
      <w:tr w:rsidR="004B0EAA" w:rsidTr="00B65BAB">
        <w:trPr>
          <w:trHeight w:val="141"/>
        </w:trPr>
        <w:tc>
          <w:tcPr>
            <w:tcW w:w="3753" w:type="dxa"/>
            <w:shd w:val="clear" w:color="auto" w:fill="FFFFFF"/>
          </w:tcPr>
          <w:p w:rsidR="004B0EAA" w:rsidRDefault="004B0EAA">
            <w:pPr>
              <w:pStyle w:val="Default"/>
              <w:rPr>
                <w:sz w:val="20"/>
                <w:szCs w:val="20"/>
              </w:rPr>
            </w:pPr>
            <w:r>
              <w:rPr>
                <w:sz w:val="20"/>
                <w:szCs w:val="20"/>
              </w:rPr>
              <w:t xml:space="preserve">Loading Rate </w:t>
            </w:r>
          </w:p>
        </w:tc>
        <w:tc>
          <w:tcPr>
            <w:tcW w:w="2363" w:type="dxa"/>
          </w:tcPr>
          <w:p w:rsidR="004B0EAA" w:rsidRDefault="004B0EAA">
            <w:pPr>
              <w:pStyle w:val="Default"/>
              <w:rPr>
                <w:sz w:val="20"/>
                <w:szCs w:val="20"/>
              </w:rPr>
            </w:pPr>
            <w:r>
              <w:rPr>
                <w:sz w:val="20"/>
                <w:szCs w:val="20"/>
              </w:rPr>
              <w:t>0.15 – 0.35 lb VS/ft</w:t>
            </w:r>
            <w:r>
              <w:rPr>
                <w:sz w:val="13"/>
                <w:szCs w:val="13"/>
              </w:rPr>
              <w:t>3</w:t>
            </w:r>
            <w:r>
              <w:rPr>
                <w:sz w:val="20"/>
                <w:szCs w:val="20"/>
              </w:rPr>
              <w:t xml:space="preserve">/day </w:t>
            </w:r>
          </w:p>
        </w:tc>
      </w:tr>
      <w:tr w:rsidR="004B0EAA" w:rsidTr="00B65BAB">
        <w:trPr>
          <w:trHeight w:val="141"/>
        </w:trPr>
        <w:tc>
          <w:tcPr>
            <w:tcW w:w="3753" w:type="dxa"/>
            <w:shd w:val="clear" w:color="auto" w:fill="FFFFFF"/>
          </w:tcPr>
          <w:p w:rsidR="004B0EAA" w:rsidRDefault="004B0EAA">
            <w:pPr>
              <w:pStyle w:val="Default"/>
              <w:rPr>
                <w:sz w:val="20"/>
                <w:szCs w:val="20"/>
              </w:rPr>
            </w:pPr>
            <w:r>
              <w:rPr>
                <w:sz w:val="20"/>
                <w:szCs w:val="20"/>
              </w:rPr>
              <w:t xml:space="preserve">Biogas yield </w:t>
            </w:r>
          </w:p>
        </w:tc>
        <w:tc>
          <w:tcPr>
            <w:tcW w:w="2363" w:type="dxa"/>
          </w:tcPr>
          <w:p w:rsidR="004B0EAA" w:rsidRDefault="004B0EAA">
            <w:pPr>
              <w:pStyle w:val="Default"/>
              <w:rPr>
                <w:sz w:val="20"/>
                <w:szCs w:val="20"/>
              </w:rPr>
            </w:pPr>
            <w:r>
              <w:rPr>
                <w:sz w:val="20"/>
                <w:szCs w:val="20"/>
              </w:rPr>
              <w:t>3 – 8 ft</w:t>
            </w:r>
            <w:r>
              <w:rPr>
                <w:sz w:val="13"/>
                <w:szCs w:val="13"/>
              </w:rPr>
              <w:t>3</w:t>
            </w:r>
            <w:r>
              <w:rPr>
                <w:sz w:val="20"/>
                <w:szCs w:val="20"/>
              </w:rPr>
              <w:t xml:space="preserve">/lb VS </w:t>
            </w:r>
          </w:p>
        </w:tc>
      </w:tr>
      <w:tr w:rsidR="004B0EAA" w:rsidTr="00B65BAB">
        <w:trPr>
          <w:trHeight w:val="131"/>
        </w:trPr>
        <w:tc>
          <w:tcPr>
            <w:tcW w:w="3753" w:type="dxa"/>
            <w:shd w:val="clear" w:color="auto" w:fill="FFFFFF"/>
          </w:tcPr>
          <w:p w:rsidR="004B0EAA" w:rsidRDefault="004B0EAA">
            <w:pPr>
              <w:pStyle w:val="Default"/>
              <w:rPr>
                <w:sz w:val="20"/>
                <w:szCs w:val="20"/>
              </w:rPr>
            </w:pPr>
            <w:r>
              <w:rPr>
                <w:sz w:val="20"/>
                <w:szCs w:val="20"/>
              </w:rPr>
              <w:t xml:space="preserve">Methane content </w:t>
            </w:r>
          </w:p>
        </w:tc>
        <w:tc>
          <w:tcPr>
            <w:tcW w:w="2363" w:type="dxa"/>
          </w:tcPr>
          <w:p w:rsidR="004B0EAA" w:rsidRDefault="004B0EAA">
            <w:pPr>
              <w:pStyle w:val="Default"/>
              <w:rPr>
                <w:sz w:val="20"/>
                <w:szCs w:val="20"/>
              </w:rPr>
            </w:pPr>
            <w:r>
              <w:rPr>
                <w:sz w:val="20"/>
                <w:szCs w:val="20"/>
              </w:rPr>
              <w:t xml:space="preserve">60 – 70% </w:t>
            </w:r>
          </w:p>
        </w:tc>
      </w:tr>
      <w:tr w:rsidR="004B0EAA" w:rsidTr="00B65BAB">
        <w:trPr>
          <w:trHeight w:val="141"/>
        </w:trPr>
        <w:tc>
          <w:tcPr>
            <w:tcW w:w="3753" w:type="dxa"/>
            <w:shd w:val="clear" w:color="auto" w:fill="FFFFFF"/>
          </w:tcPr>
          <w:p w:rsidR="004B0EAA" w:rsidRDefault="004B0EAA">
            <w:pPr>
              <w:pStyle w:val="Default"/>
              <w:rPr>
                <w:sz w:val="20"/>
                <w:szCs w:val="20"/>
              </w:rPr>
            </w:pPr>
            <w:r>
              <w:rPr>
                <w:sz w:val="20"/>
                <w:szCs w:val="20"/>
              </w:rPr>
              <w:t xml:space="preserve">Calorific Value </w:t>
            </w:r>
          </w:p>
        </w:tc>
        <w:tc>
          <w:tcPr>
            <w:tcW w:w="2363" w:type="dxa"/>
          </w:tcPr>
          <w:p w:rsidR="004B0EAA" w:rsidRDefault="004B0EAA">
            <w:pPr>
              <w:pStyle w:val="Default"/>
              <w:rPr>
                <w:sz w:val="13"/>
                <w:szCs w:val="13"/>
              </w:rPr>
            </w:pPr>
            <w:r>
              <w:rPr>
                <w:sz w:val="20"/>
                <w:szCs w:val="20"/>
              </w:rPr>
              <w:t>17 – 25 MJ/m</w:t>
            </w:r>
            <w:r>
              <w:rPr>
                <w:sz w:val="13"/>
                <w:szCs w:val="13"/>
              </w:rPr>
              <w:t xml:space="preserve">3 </w:t>
            </w:r>
          </w:p>
        </w:tc>
      </w:tr>
    </w:tbl>
    <w:p w:rsidR="004B0EAA" w:rsidRDefault="004B0EAA" w:rsidP="00C31A5F">
      <w:pPr>
        <w:jc w:val="both"/>
        <w:rPr>
          <w:b/>
        </w:rPr>
      </w:pPr>
    </w:p>
    <w:p w:rsidR="00C31A5F" w:rsidRPr="00844D4F" w:rsidRDefault="00C31A5F" w:rsidP="00C31A5F">
      <w:pPr>
        <w:jc w:val="both"/>
        <w:rPr>
          <w:b/>
        </w:rPr>
      </w:pPr>
      <w:r w:rsidRPr="00844D4F">
        <w:rPr>
          <w:b/>
        </w:rPr>
        <w:t>Types of Bio</w:t>
      </w:r>
      <w:r w:rsidR="005E6BFB">
        <w:rPr>
          <w:b/>
        </w:rPr>
        <w:t>d</w:t>
      </w:r>
      <w:r w:rsidRPr="00844D4F">
        <w:rPr>
          <w:b/>
        </w:rPr>
        <w:t>igesters</w:t>
      </w:r>
    </w:p>
    <w:p w:rsidR="00DC68B8" w:rsidRDefault="00DC68B8" w:rsidP="00C31A5F">
      <w:pPr>
        <w:jc w:val="both"/>
      </w:pPr>
    </w:p>
    <w:p w:rsidR="00A37121" w:rsidRDefault="002431C0" w:rsidP="00C31A5F">
      <w:pPr>
        <w:jc w:val="both"/>
      </w:pPr>
      <w:r>
        <w:t xml:space="preserve">In general, </w:t>
      </w:r>
      <w:r w:rsidR="00056D55">
        <w:t>an</w:t>
      </w:r>
      <w:r w:rsidR="00C31A5F" w:rsidRPr="004E370A">
        <w:t xml:space="preserve"> array of digester types have been developed and placed in operation in a number of countries. While construction methods are numerous, the fundamental properties of construction need to be air- and watertight.</w:t>
      </w:r>
      <w:r w:rsidR="00A37121">
        <w:t xml:space="preserve"> While more </w:t>
      </w:r>
      <w:r w:rsidR="00C31A5F" w:rsidRPr="004E370A">
        <w:t xml:space="preserve">than 100 plant designs can be </w:t>
      </w:r>
      <w:r w:rsidR="00A37121">
        <w:t xml:space="preserve">found in Europe, three types of biodigesters can be found most commonly: </w:t>
      </w:r>
      <w:r w:rsidR="00C31A5F" w:rsidRPr="004E370A">
        <w:t xml:space="preserve">Plug-flow, </w:t>
      </w:r>
      <w:r w:rsidR="00A37121">
        <w:t>Complete Mix and Covered Lagoons</w:t>
      </w:r>
      <w:r w:rsidR="00C31A5F" w:rsidRPr="004E370A">
        <w:t xml:space="preserve">. </w:t>
      </w:r>
      <w:r w:rsidR="00A37121">
        <w:t>These three types have been reviewed</w:t>
      </w:r>
      <w:r w:rsidR="00452002">
        <w:t>, as</w:t>
      </w:r>
      <w:r w:rsidR="00A37121">
        <w:t xml:space="preserve"> detail</w:t>
      </w:r>
      <w:r w:rsidR="00452002">
        <w:t>ed</w:t>
      </w:r>
      <w:r w:rsidR="00A37121">
        <w:t xml:space="preserve"> below</w:t>
      </w:r>
      <w:r w:rsidR="00610B71">
        <w:t xml:space="preserve"> as the most likely for transfer of technology in Moldova</w:t>
      </w:r>
      <w:r w:rsidR="00A37121">
        <w:t xml:space="preserve">. </w:t>
      </w:r>
    </w:p>
    <w:p w:rsidR="00A37121" w:rsidRDefault="00A37121" w:rsidP="00C31A5F">
      <w:pPr>
        <w:jc w:val="both"/>
      </w:pPr>
    </w:p>
    <w:p w:rsidR="00610B71" w:rsidRDefault="00610B71" w:rsidP="00C31A5F">
      <w:pPr>
        <w:jc w:val="both"/>
      </w:pPr>
      <w:r>
        <w:t>The s</w:t>
      </w:r>
      <w:r w:rsidR="00C31A5F" w:rsidRPr="004E370A">
        <w:t>election of a particular digester technology is based on the type of farm (i.e.</w:t>
      </w:r>
      <w:r w:rsidR="00452002">
        <w:t>,</w:t>
      </w:r>
      <w:r w:rsidR="00C31A5F" w:rsidRPr="004E370A">
        <w:t xml:space="preserve"> number of sites generating manure), site operation (continuous flow, others), climate, manure collection method employed, and amount of water usage (water takes space, produces no methane). Location is also a factor in defining digester design. </w:t>
      </w:r>
      <w:r>
        <w:t>In climates with cold winters, u</w:t>
      </w:r>
      <w:r w:rsidR="00C31A5F" w:rsidRPr="004E370A">
        <w:t xml:space="preserve">sually plug flow or modified plug-flow designs that are heated, </w:t>
      </w:r>
      <w:r>
        <w:t xml:space="preserve">are used. In warmer climates, </w:t>
      </w:r>
      <w:r w:rsidR="00C31A5F" w:rsidRPr="004E370A">
        <w:t xml:space="preserve">covered lagoons </w:t>
      </w:r>
      <w:r>
        <w:t>or modified plug-flow digesters are used more often.</w:t>
      </w:r>
      <w:r w:rsidR="00C31A5F" w:rsidRPr="004E370A">
        <w:t xml:space="preserve"> The following</w:t>
      </w:r>
      <w:r w:rsidR="00C31A5F">
        <w:t xml:space="preserve"> </w:t>
      </w:r>
      <w:r w:rsidR="001511CA">
        <w:t>t</w:t>
      </w:r>
      <w:r w:rsidR="00C31A5F">
        <w:t>able</w:t>
      </w:r>
      <w:r w:rsidR="00C31A5F" w:rsidRPr="004E370A">
        <w:t xml:space="preserve"> provides a </w:t>
      </w:r>
      <w:r w:rsidR="001511CA">
        <w:t>summary</w:t>
      </w:r>
      <w:r w:rsidR="00C31A5F" w:rsidRPr="004E370A">
        <w:t xml:space="preserve"> of key types </w:t>
      </w:r>
      <w:r w:rsidR="001511CA">
        <w:t xml:space="preserve">of digesters </w:t>
      </w:r>
      <w:r w:rsidR="00C31A5F" w:rsidRPr="004E370A">
        <w:t xml:space="preserve">and their characteristics. </w:t>
      </w:r>
      <w:r w:rsidR="001511CA">
        <w:t>Further</w:t>
      </w:r>
      <w:r w:rsidR="002D0D33">
        <w:t xml:space="preserve"> details are </w:t>
      </w:r>
      <w:r w:rsidR="001511CA">
        <w:t xml:space="preserve">also </w:t>
      </w:r>
      <w:r w:rsidR="002D0D33">
        <w:t xml:space="preserve">provided below on Complete Mix and Plug-flow biodigesters, which are estimated to be more appropriate types of biodigesters for Moldova due to climatic conditions (relatively cold winters). </w:t>
      </w:r>
    </w:p>
    <w:p w:rsidR="00F27D4D" w:rsidRPr="00610B71" w:rsidRDefault="00F27D4D" w:rsidP="00C31A5F">
      <w:pPr>
        <w:jc w:val="both"/>
        <w:rPr>
          <w:iCs/>
        </w:rPr>
      </w:pPr>
    </w:p>
    <w:p w:rsidR="00C31A5F" w:rsidRPr="00284749" w:rsidRDefault="00C31A5F" w:rsidP="00C31A5F">
      <w:pPr>
        <w:jc w:val="both"/>
        <w:rPr>
          <w:b/>
        </w:rPr>
      </w:pPr>
      <w:r w:rsidRPr="00284749">
        <w:rPr>
          <w:b/>
          <w:iCs/>
        </w:rPr>
        <w:t>Characteristics of Digester Types</w:t>
      </w:r>
    </w:p>
    <w:tbl>
      <w:tblPr>
        <w:tblW w:w="8104" w:type="dxa"/>
        <w:tblBorders>
          <w:top w:val="single" w:sz="8" w:space="0" w:color="000000"/>
          <w:left w:val="single" w:sz="8" w:space="0" w:color="000000"/>
          <w:bottom w:val="single" w:sz="8" w:space="0" w:color="000000"/>
          <w:right w:val="single" w:sz="8" w:space="0" w:color="000000"/>
        </w:tblBorders>
        <w:tblLayout w:type="fixed"/>
        <w:tblLook w:val="0000"/>
      </w:tblPr>
      <w:tblGrid>
        <w:gridCol w:w="2981"/>
        <w:gridCol w:w="1897"/>
        <w:gridCol w:w="1613"/>
        <w:gridCol w:w="1613"/>
      </w:tblGrid>
      <w:tr w:rsidR="00C0103E" w:rsidRPr="00B40D92" w:rsidTr="00C0103E">
        <w:trPr>
          <w:trHeight w:val="248"/>
        </w:trPr>
        <w:tc>
          <w:tcPr>
            <w:tcW w:w="2981" w:type="dxa"/>
            <w:tcBorders>
              <w:top w:val="single" w:sz="8" w:space="0" w:color="000000"/>
              <w:bottom w:val="single" w:sz="8" w:space="0" w:color="000000"/>
              <w:right w:val="single" w:sz="8" w:space="0" w:color="FFFFFF"/>
            </w:tcBorders>
            <w:shd w:val="clear" w:color="auto" w:fill="808000"/>
          </w:tcPr>
          <w:p w:rsidR="00C0103E" w:rsidRPr="00B40D92" w:rsidRDefault="00C0103E" w:rsidP="00FA5E38">
            <w:pPr>
              <w:jc w:val="both"/>
              <w:rPr>
                <w:sz w:val="20"/>
                <w:szCs w:val="20"/>
              </w:rPr>
            </w:pPr>
            <w:r w:rsidRPr="00B40D92">
              <w:rPr>
                <w:b/>
                <w:bCs/>
                <w:sz w:val="20"/>
                <w:szCs w:val="20"/>
              </w:rPr>
              <w:t xml:space="preserve">Characteristics </w:t>
            </w:r>
          </w:p>
        </w:tc>
        <w:tc>
          <w:tcPr>
            <w:tcW w:w="1897" w:type="dxa"/>
            <w:tcBorders>
              <w:top w:val="single" w:sz="8" w:space="0" w:color="000000"/>
              <w:left w:val="single" w:sz="8" w:space="0" w:color="FFFFFF"/>
              <w:bottom w:val="single" w:sz="8" w:space="0" w:color="000000"/>
              <w:right w:val="single" w:sz="8" w:space="0" w:color="FFFFFF"/>
            </w:tcBorders>
            <w:shd w:val="clear" w:color="auto" w:fill="808000"/>
          </w:tcPr>
          <w:p w:rsidR="00C0103E" w:rsidRPr="00B40D92" w:rsidRDefault="00C0103E" w:rsidP="00FA5E38">
            <w:pPr>
              <w:jc w:val="both"/>
              <w:rPr>
                <w:sz w:val="20"/>
                <w:szCs w:val="20"/>
              </w:rPr>
            </w:pPr>
            <w:r>
              <w:rPr>
                <w:b/>
                <w:bCs/>
                <w:sz w:val="20"/>
                <w:szCs w:val="20"/>
              </w:rPr>
              <w:t>Complete Mix</w:t>
            </w:r>
            <w:r w:rsidRPr="00B40D92">
              <w:rPr>
                <w:b/>
                <w:bCs/>
                <w:sz w:val="20"/>
                <w:szCs w:val="20"/>
              </w:rPr>
              <w:t xml:space="preserve"> </w:t>
            </w:r>
          </w:p>
        </w:tc>
        <w:tc>
          <w:tcPr>
            <w:tcW w:w="1613" w:type="dxa"/>
            <w:tcBorders>
              <w:top w:val="single" w:sz="8" w:space="0" w:color="000000"/>
              <w:left w:val="single" w:sz="8" w:space="0" w:color="FFFFFF"/>
              <w:bottom w:val="single" w:sz="8" w:space="0" w:color="000000"/>
              <w:right w:val="single" w:sz="8" w:space="0" w:color="FFFFFF"/>
            </w:tcBorders>
            <w:shd w:val="clear" w:color="auto" w:fill="808000"/>
          </w:tcPr>
          <w:p w:rsidR="00C0103E" w:rsidRPr="00B40D92" w:rsidRDefault="00C0103E" w:rsidP="00FA5E38">
            <w:pPr>
              <w:jc w:val="both"/>
              <w:rPr>
                <w:sz w:val="20"/>
                <w:szCs w:val="20"/>
              </w:rPr>
            </w:pPr>
            <w:r w:rsidRPr="00B40D92">
              <w:rPr>
                <w:b/>
                <w:bCs/>
                <w:sz w:val="20"/>
                <w:szCs w:val="20"/>
              </w:rPr>
              <w:t xml:space="preserve">Plug-flow </w:t>
            </w:r>
          </w:p>
        </w:tc>
        <w:tc>
          <w:tcPr>
            <w:tcW w:w="1613" w:type="dxa"/>
            <w:tcBorders>
              <w:top w:val="single" w:sz="8" w:space="0" w:color="000000"/>
              <w:left w:val="single" w:sz="8" w:space="0" w:color="FFFFFF"/>
              <w:bottom w:val="single" w:sz="8" w:space="0" w:color="000000"/>
              <w:right w:val="single" w:sz="8" w:space="0" w:color="FFFFFF"/>
            </w:tcBorders>
            <w:shd w:val="clear" w:color="auto" w:fill="808000"/>
          </w:tcPr>
          <w:p w:rsidR="00C0103E" w:rsidRPr="00B40D92" w:rsidRDefault="00C0103E" w:rsidP="00FA5E38">
            <w:pPr>
              <w:jc w:val="both"/>
              <w:rPr>
                <w:sz w:val="20"/>
                <w:szCs w:val="20"/>
              </w:rPr>
            </w:pPr>
            <w:r w:rsidRPr="00B40D92">
              <w:rPr>
                <w:b/>
                <w:bCs/>
                <w:sz w:val="20"/>
                <w:szCs w:val="20"/>
              </w:rPr>
              <w:t xml:space="preserve">Covered Lagoon </w:t>
            </w:r>
          </w:p>
        </w:tc>
      </w:tr>
      <w:tr w:rsidR="00C0103E" w:rsidRPr="00B40D92" w:rsidTr="00C0103E">
        <w:trPr>
          <w:trHeight w:val="808"/>
        </w:trPr>
        <w:tc>
          <w:tcPr>
            <w:tcW w:w="2981" w:type="dxa"/>
            <w:tcBorders>
              <w:top w:val="single" w:sz="8" w:space="0" w:color="000000"/>
              <w:bottom w:val="single" w:sz="8" w:space="0" w:color="000000"/>
              <w:right w:val="single" w:sz="8" w:space="0" w:color="000000"/>
            </w:tcBorders>
            <w:shd w:val="clear" w:color="auto" w:fill="FFFFFF"/>
          </w:tcPr>
          <w:p w:rsidR="00C0103E" w:rsidRPr="00B40D92" w:rsidRDefault="00C0103E" w:rsidP="00FA5E38">
            <w:pPr>
              <w:jc w:val="both"/>
              <w:rPr>
                <w:sz w:val="20"/>
                <w:szCs w:val="20"/>
              </w:rPr>
            </w:pPr>
            <w:r w:rsidRPr="00B40D92">
              <w:rPr>
                <w:sz w:val="20"/>
                <w:szCs w:val="20"/>
              </w:rPr>
              <w:t xml:space="preserve">Digestion Vessel </w:t>
            </w:r>
          </w:p>
        </w:tc>
        <w:tc>
          <w:tcPr>
            <w:tcW w:w="1897"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Rectangular or Round, In or Above-ground Tank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Rectangular in-ground Tank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Deep Lagoon </w:t>
            </w:r>
          </w:p>
        </w:tc>
      </w:tr>
      <w:tr w:rsidR="00C0103E" w:rsidRPr="00B40D92" w:rsidTr="00C0103E">
        <w:trPr>
          <w:trHeight w:val="131"/>
        </w:trPr>
        <w:tc>
          <w:tcPr>
            <w:tcW w:w="2981" w:type="dxa"/>
            <w:tcBorders>
              <w:top w:val="single" w:sz="8" w:space="0" w:color="000000"/>
              <w:bottom w:val="single" w:sz="8" w:space="0" w:color="000000"/>
              <w:right w:val="single" w:sz="8" w:space="0" w:color="000000"/>
            </w:tcBorders>
            <w:shd w:val="clear" w:color="auto" w:fill="FFFFFF"/>
          </w:tcPr>
          <w:p w:rsidR="00C0103E" w:rsidRPr="00B40D92" w:rsidRDefault="00C0103E" w:rsidP="00FA5E38">
            <w:pPr>
              <w:jc w:val="both"/>
              <w:rPr>
                <w:sz w:val="20"/>
                <w:szCs w:val="20"/>
              </w:rPr>
            </w:pPr>
            <w:r w:rsidRPr="00B40D92">
              <w:rPr>
                <w:sz w:val="20"/>
                <w:szCs w:val="20"/>
              </w:rPr>
              <w:t xml:space="preserve">Technology Level </w:t>
            </w:r>
          </w:p>
        </w:tc>
        <w:tc>
          <w:tcPr>
            <w:tcW w:w="1897"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Medium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Low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Low </w:t>
            </w:r>
          </w:p>
        </w:tc>
      </w:tr>
      <w:tr w:rsidR="00C0103E" w:rsidRPr="00B40D92" w:rsidTr="00C0103E">
        <w:trPr>
          <w:trHeight w:val="131"/>
        </w:trPr>
        <w:tc>
          <w:tcPr>
            <w:tcW w:w="2981" w:type="dxa"/>
            <w:tcBorders>
              <w:top w:val="single" w:sz="8" w:space="0" w:color="000000"/>
              <w:bottom w:val="single" w:sz="8" w:space="0" w:color="000000"/>
              <w:right w:val="single" w:sz="8" w:space="0" w:color="000000"/>
            </w:tcBorders>
            <w:shd w:val="clear" w:color="auto" w:fill="FFFFFF"/>
          </w:tcPr>
          <w:p w:rsidR="00C0103E" w:rsidRPr="00B40D92" w:rsidRDefault="00C0103E" w:rsidP="00FA5E38">
            <w:pPr>
              <w:jc w:val="both"/>
              <w:rPr>
                <w:sz w:val="20"/>
                <w:szCs w:val="20"/>
              </w:rPr>
            </w:pPr>
            <w:r w:rsidRPr="00B40D92">
              <w:rPr>
                <w:sz w:val="20"/>
                <w:szCs w:val="20"/>
              </w:rPr>
              <w:t xml:space="preserve">Supplemental Heat </w:t>
            </w:r>
          </w:p>
        </w:tc>
        <w:tc>
          <w:tcPr>
            <w:tcW w:w="1897"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Yes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Yes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No </w:t>
            </w:r>
          </w:p>
        </w:tc>
      </w:tr>
      <w:tr w:rsidR="00C0103E" w:rsidRPr="00B40D92" w:rsidTr="00C0103E">
        <w:trPr>
          <w:trHeight w:val="131"/>
        </w:trPr>
        <w:tc>
          <w:tcPr>
            <w:tcW w:w="2981" w:type="dxa"/>
            <w:tcBorders>
              <w:top w:val="single" w:sz="8" w:space="0" w:color="000000"/>
              <w:bottom w:val="single" w:sz="8" w:space="0" w:color="000000"/>
              <w:right w:val="single" w:sz="8" w:space="0" w:color="000000"/>
            </w:tcBorders>
            <w:shd w:val="clear" w:color="auto" w:fill="FFFFFF"/>
          </w:tcPr>
          <w:p w:rsidR="00C0103E" w:rsidRPr="00B40D92" w:rsidRDefault="00C0103E" w:rsidP="00FA5E38">
            <w:pPr>
              <w:jc w:val="both"/>
              <w:rPr>
                <w:sz w:val="20"/>
                <w:szCs w:val="20"/>
              </w:rPr>
            </w:pPr>
            <w:r w:rsidRPr="00B40D92">
              <w:rPr>
                <w:sz w:val="20"/>
                <w:szCs w:val="20"/>
              </w:rPr>
              <w:t xml:space="preserve">Total Solids </w:t>
            </w:r>
          </w:p>
        </w:tc>
        <w:tc>
          <w:tcPr>
            <w:tcW w:w="1897"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3% - 10%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11% – 13%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½ % - 3% </w:t>
            </w:r>
          </w:p>
        </w:tc>
      </w:tr>
      <w:tr w:rsidR="00C0103E" w:rsidRPr="00B40D92" w:rsidTr="00C0103E">
        <w:trPr>
          <w:trHeight w:val="131"/>
        </w:trPr>
        <w:tc>
          <w:tcPr>
            <w:tcW w:w="2981" w:type="dxa"/>
            <w:tcBorders>
              <w:top w:val="single" w:sz="8" w:space="0" w:color="000000"/>
              <w:bottom w:val="single" w:sz="8" w:space="0" w:color="000000"/>
              <w:right w:val="single" w:sz="8" w:space="0" w:color="000000"/>
            </w:tcBorders>
            <w:shd w:val="clear" w:color="auto" w:fill="FFFFFF"/>
          </w:tcPr>
          <w:p w:rsidR="00C0103E" w:rsidRPr="00B40D92" w:rsidRDefault="00C0103E" w:rsidP="00FA5E38">
            <w:pPr>
              <w:jc w:val="both"/>
              <w:rPr>
                <w:sz w:val="20"/>
                <w:szCs w:val="20"/>
              </w:rPr>
            </w:pPr>
            <w:r w:rsidRPr="00B40D92">
              <w:rPr>
                <w:sz w:val="20"/>
                <w:szCs w:val="20"/>
              </w:rPr>
              <w:t xml:space="preserve">Solids Characteristics </w:t>
            </w:r>
          </w:p>
        </w:tc>
        <w:tc>
          <w:tcPr>
            <w:tcW w:w="1897" w:type="dxa"/>
            <w:tcBorders>
              <w:top w:val="single" w:sz="8" w:space="0" w:color="000000"/>
              <w:left w:val="single" w:sz="8" w:space="0" w:color="000000"/>
              <w:bottom w:val="single" w:sz="8" w:space="0" w:color="000000"/>
              <w:right w:val="single" w:sz="8" w:space="0" w:color="000000"/>
            </w:tcBorders>
          </w:tcPr>
          <w:p w:rsidR="00C0103E" w:rsidRPr="00B40D92" w:rsidRDefault="000B1412" w:rsidP="00FA5E38">
            <w:pPr>
              <w:jc w:val="both"/>
              <w:rPr>
                <w:sz w:val="20"/>
                <w:szCs w:val="20"/>
              </w:rPr>
            </w:pPr>
            <w:r>
              <w:rPr>
                <w:sz w:val="20"/>
                <w:szCs w:val="20"/>
              </w:rPr>
              <w:t>Coa</w:t>
            </w:r>
            <w:r w:rsidR="00C0103E" w:rsidRPr="00B40D92">
              <w:rPr>
                <w:sz w:val="20"/>
                <w:szCs w:val="20"/>
              </w:rPr>
              <w:t xml:space="preserve">rse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0B1412" w:rsidP="00FA5E38">
            <w:pPr>
              <w:jc w:val="both"/>
              <w:rPr>
                <w:sz w:val="20"/>
                <w:szCs w:val="20"/>
              </w:rPr>
            </w:pPr>
            <w:r>
              <w:rPr>
                <w:sz w:val="20"/>
                <w:szCs w:val="20"/>
              </w:rPr>
              <w:t>Coa</w:t>
            </w:r>
            <w:r w:rsidR="00C0103E" w:rsidRPr="00B40D92">
              <w:rPr>
                <w:sz w:val="20"/>
                <w:szCs w:val="20"/>
              </w:rPr>
              <w:t xml:space="preserve">rse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Fine </w:t>
            </w:r>
          </w:p>
        </w:tc>
      </w:tr>
      <w:tr w:rsidR="00C0103E" w:rsidRPr="00B40D92" w:rsidTr="00C0103E">
        <w:trPr>
          <w:trHeight w:val="131"/>
        </w:trPr>
        <w:tc>
          <w:tcPr>
            <w:tcW w:w="2981" w:type="dxa"/>
            <w:tcBorders>
              <w:top w:val="single" w:sz="8" w:space="0" w:color="000000"/>
              <w:bottom w:val="single" w:sz="8" w:space="0" w:color="000000"/>
              <w:right w:val="single" w:sz="8" w:space="0" w:color="000000"/>
            </w:tcBorders>
            <w:shd w:val="clear" w:color="auto" w:fill="FFFFFF"/>
          </w:tcPr>
          <w:p w:rsidR="00C0103E" w:rsidRPr="00B40D92" w:rsidRDefault="00C0103E" w:rsidP="00FA5E38">
            <w:pPr>
              <w:jc w:val="both"/>
              <w:rPr>
                <w:sz w:val="20"/>
                <w:szCs w:val="20"/>
              </w:rPr>
            </w:pPr>
            <w:r w:rsidRPr="00B40D92">
              <w:rPr>
                <w:sz w:val="20"/>
                <w:szCs w:val="20"/>
              </w:rPr>
              <w:t xml:space="preserve">Retention Time (days) </w:t>
            </w:r>
          </w:p>
        </w:tc>
        <w:tc>
          <w:tcPr>
            <w:tcW w:w="1897"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15 or more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15 or more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40 to 60 </w:t>
            </w:r>
          </w:p>
        </w:tc>
      </w:tr>
      <w:tr w:rsidR="00C0103E" w:rsidRPr="00B40D92" w:rsidTr="00C0103E">
        <w:trPr>
          <w:trHeight w:val="131"/>
        </w:trPr>
        <w:tc>
          <w:tcPr>
            <w:tcW w:w="2981" w:type="dxa"/>
            <w:tcBorders>
              <w:top w:val="single" w:sz="8" w:space="0" w:color="000000"/>
              <w:bottom w:val="single" w:sz="8" w:space="0" w:color="000000"/>
              <w:right w:val="single" w:sz="8" w:space="0" w:color="000000"/>
            </w:tcBorders>
            <w:shd w:val="clear" w:color="auto" w:fill="FFFFFF"/>
          </w:tcPr>
          <w:p w:rsidR="00C0103E" w:rsidRPr="00B40D92" w:rsidRDefault="00C0103E" w:rsidP="00FA5E38">
            <w:pPr>
              <w:jc w:val="both"/>
              <w:rPr>
                <w:sz w:val="20"/>
                <w:szCs w:val="20"/>
              </w:rPr>
            </w:pPr>
            <w:r w:rsidRPr="00B40D92">
              <w:rPr>
                <w:sz w:val="20"/>
                <w:szCs w:val="20"/>
              </w:rPr>
              <w:t xml:space="preserve">Farm Type </w:t>
            </w:r>
          </w:p>
        </w:tc>
        <w:tc>
          <w:tcPr>
            <w:tcW w:w="1897"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Pr>
                <w:sz w:val="20"/>
                <w:szCs w:val="20"/>
              </w:rPr>
              <w:t>Cattle, Pig</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Pr>
                <w:sz w:val="20"/>
                <w:szCs w:val="20"/>
              </w:rPr>
              <w:t>Cattle</w:t>
            </w:r>
            <w:r w:rsidRPr="00B40D92">
              <w:rPr>
                <w:sz w:val="20"/>
                <w:szCs w:val="20"/>
              </w:rPr>
              <w:t xml:space="preserve"> only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C0103E">
            <w:pPr>
              <w:jc w:val="both"/>
              <w:rPr>
                <w:sz w:val="20"/>
                <w:szCs w:val="20"/>
              </w:rPr>
            </w:pPr>
            <w:r>
              <w:rPr>
                <w:sz w:val="20"/>
                <w:szCs w:val="20"/>
              </w:rPr>
              <w:t>Cattle, Pig</w:t>
            </w:r>
          </w:p>
        </w:tc>
      </w:tr>
      <w:tr w:rsidR="00C0103E" w:rsidRPr="00B40D92" w:rsidTr="00C0103E">
        <w:trPr>
          <w:trHeight w:val="547"/>
        </w:trPr>
        <w:tc>
          <w:tcPr>
            <w:tcW w:w="2981" w:type="dxa"/>
            <w:tcBorders>
              <w:top w:val="single" w:sz="8" w:space="0" w:color="000000"/>
              <w:bottom w:val="single" w:sz="8" w:space="0" w:color="000000"/>
              <w:right w:val="single" w:sz="8" w:space="0" w:color="000000"/>
            </w:tcBorders>
            <w:shd w:val="clear" w:color="auto" w:fill="FFFFFF"/>
          </w:tcPr>
          <w:p w:rsidR="00C0103E" w:rsidRPr="00B40D92" w:rsidRDefault="00C0103E" w:rsidP="00FA5E38">
            <w:pPr>
              <w:jc w:val="both"/>
              <w:rPr>
                <w:sz w:val="20"/>
                <w:szCs w:val="20"/>
              </w:rPr>
            </w:pPr>
            <w:r w:rsidRPr="00B40D92">
              <w:rPr>
                <w:sz w:val="20"/>
                <w:szCs w:val="20"/>
              </w:rPr>
              <w:t xml:space="preserve">Optimal Climate </w:t>
            </w:r>
          </w:p>
        </w:tc>
        <w:tc>
          <w:tcPr>
            <w:tcW w:w="1897"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All climates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C0103E" w:rsidP="00FA5E38">
            <w:pPr>
              <w:jc w:val="both"/>
              <w:rPr>
                <w:sz w:val="20"/>
                <w:szCs w:val="20"/>
              </w:rPr>
            </w:pPr>
            <w:r w:rsidRPr="00B40D92">
              <w:rPr>
                <w:sz w:val="20"/>
                <w:szCs w:val="20"/>
              </w:rPr>
              <w:t xml:space="preserve">All climates </w:t>
            </w:r>
          </w:p>
        </w:tc>
        <w:tc>
          <w:tcPr>
            <w:tcW w:w="1613" w:type="dxa"/>
            <w:tcBorders>
              <w:top w:val="single" w:sz="8" w:space="0" w:color="000000"/>
              <w:left w:val="single" w:sz="8" w:space="0" w:color="000000"/>
              <w:bottom w:val="single" w:sz="8" w:space="0" w:color="000000"/>
              <w:right w:val="single" w:sz="8" w:space="0" w:color="000000"/>
            </w:tcBorders>
          </w:tcPr>
          <w:p w:rsidR="00C0103E" w:rsidRPr="00B40D92" w:rsidRDefault="000B1412" w:rsidP="00FA5E38">
            <w:pPr>
              <w:jc w:val="both"/>
              <w:rPr>
                <w:sz w:val="20"/>
                <w:szCs w:val="20"/>
              </w:rPr>
            </w:pPr>
            <w:r>
              <w:rPr>
                <w:sz w:val="20"/>
                <w:szCs w:val="20"/>
              </w:rPr>
              <w:t>Temperate and warm</w:t>
            </w:r>
          </w:p>
        </w:tc>
      </w:tr>
    </w:tbl>
    <w:p w:rsidR="00C31A5F" w:rsidRPr="004E370A" w:rsidRDefault="00C31A5F" w:rsidP="00C31A5F">
      <w:pPr>
        <w:jc w:val="both"/>
      </w:pPr>
    </w:p>
    <w:p w:rsidR="00C31A5F" w:rsidRPr="00284749" w:rsidRDefault="00C31A5F" w:rsidP="000B1412">
      <w:pPr>
        <w:pStyle w:val="Default"/>
        <w:jc w:val="both"/>
        <w:rPr>
          <w:u w:val="single"/>
        </w:rPr>
      </w:pPr>
      <w:r w:rsidRPr="00284749">
        <w:rPr>
          <w:bCs/>
          <w:u w:val="single"/>
        </w:rPr>
        <w:t xml:space="preserve">Plug-Flow Digester </w:t>
      </w:r>
    </w:p>
    <w:p w:rsidR="00C31A5F" w:rsidRPr="004E370A" w:rsidRDefault="00C31A5F" w:rsidP="00C31A5F">
      <w:pPr>
        <w:pStyle w:val="Default"/>
        <w:jc w:val="both"/>
      </w:pPr>
    </w:p>
    <w:p w:rsidR="00C31A5F" w:rsidRPr="004E370A" w:rsidRDefault="00C31A5F" w:rsidP="00C31A5F">
      <w:pPr>
        <w:jc w:val="both"/>
      </w:pPr>
      <w:r w:rsidRPr="004E370A">
        <w:t>The plug-flow digester is the most appropriate system for cow manure collected by scraping, and containing a solid concentration of 11 to 14</w:t>
      </w:r>
      <w:r w:rsidR="001511CA">
        <w:t>%</w:t>
      </w:r>
      <w:r w:rsidRPr="004E370A">
        <w:t>. Plug-flow digesters have a long narrow tank with a rigid or flexible cover. The size of the plug-flow system is determined by the size of the daily “plug” of manure.</w:t>
      </w:r>
      <w:r w:rsidR="004B23F2">
        <w:t xml:space="preserve"> </w:t>
      </w:r>
      <w:r w:rsidRPr="004E370A">
        <w:t xml:space="preserve">As the manure progresses through the trough, it decomposes and produces methane that is trapped in the expandable cover. To protect the flexible cover and maintain optimal temperatures, some plug-flow digesters are enclosed in simple greenhouses or insulated with a fiberglass blanket. Another design modification uses a vertical shape with a conical bottom for sand-laden manure. </w:t>
      </w:r>
    </w:p>
    <w:p w:rsidR="004B23F2" w:rsidRDefault="004B23F2" w:rsidP="00C31A5F">
      <w:pPr>
        <w:jc w:val="both"/>
      </w:pPr>
    </w:p>
    <w:p w:rsidR="004B23F2" w:rsidRDefault="00C31A5F" w:rsidP="00C31A5F">
      <w:pPr>
        <w:jc w:val="both"/>
      </w:pPr>
      <w:r w:rsidRPr="004E370A">
        <w:t xml:space="preserve">The digester tank is heated and often built </w:t>
      </w:r>
      <w:r>
        <w:t>partially under</w:t>
      </w:r>
      <w:r w:rsidRPr="004E370A">
        <w:t xml:space="preserve">ground to reduce heat loss. With a herd of 500 cows, this system on average, requires about 45 minutes of routine operation per day—the time required depends on the herd size and other factors including: system inspection, mixing and pumping manure into the digester twice a day, and checking and recording gauges to measure biogas and electricity output. Plug-flow digesters must be cleaned periodically due to build up of materials that restrict volume and efficiency. Typical time between cleaning averages </w:t>
      </w:r>
      <w:r w:rsidR="001511CA">
        <w:t>eight to ten</w:t>
      </w:r>
      <w:r w:rsidRPr="004E370A">
        <w:t xml:space="preserve"> years. It is common to find as much as 40</w:t>
      </w:r>
      <w:r w:rsidR="001511CA">
        <w:t>%</w:t>
      </w:r>
      <w:r w:rsidRPr="004E370A">
        <w:t xml:space="preserve"> of the digester rendered ineffective at this time. The symptoms of plugging are reduced VS and biogas producti</w:t>
      </w:r>
      <w:r w:rsidR="004B23F2">
        <w:t>on.</w:t>
      </w:r>
    </w:p>
    <w:p w:rsidR="00C31A5F" w:rsidRPr="004E370A" w:rsidRDefault="00C31A5F" w:rsidP="00C31A5F">
      <w:pPr>
        <w:jc w:val="both"/>
      </w:pPr>
      <w:r w:rsidRPr="004E370A">
        <w:t xml:space="preserve"> </w:t>
      </w:r>
    </w:p>
    <w:p w:rsidR="00C31A5F" w:rsidRPr="004E370A" w:rsidRDefault="00C31A5F" w:rsidP="00C31A5F">
      <w:pPr>
        <w:jc w:val="both"/>
      </w:pPr>
      <w:r w:rsidRPr="004E370A">
        <w:t>A plug-flow system, however, is not appropriate for manure with lower solid concentration</w:t>
      </w:r>
      <w:r w:rsidR="001511CA">
        <w:t>s</w:t>
      </w:r>
      <w:r w:rsidRPr="004E370A">
        <w:t xml:space="preserve">, such as swine manure or dairy manure, collected through a flush system since such influents are poorly digested due to gradual settling to the bottom of the tank. </w:t>
      </w:r>
    </w:p>
    <w:p w:rsidR="004B23F2" w:rsidRDefault="00C31A5F" w:rsidP="004B23F2">
      <w:pPr>
        <w:jc w:val="both"/>
      </w:pPr>
      <w:r w:rsidRPr="004E370A">
        <w:t xml:space="preserve">Under optimal conditions, the plug passes completely through the digester in 15 or more days. This system has few moving parts and other than occasional piping problems, requires minimal maintenance. Plug-flow systems need constant volume, flow through, controlled temperatures designed to maximize biological treatment, methane production, and odor control as part of methane recovery. </w:t>
      </w:r>
    </w:p>
    <w:p w:rsidR="004B23F2" w:rsidRDefault="004B23F2" w:rsidP="004B23F2">
      <w:pPr>
        <w:jc w:val="both"/>
      </w:pPr>
    </w:p>
    <w:p w:rsidR="00C31A5F" w:rsidRPr="00284749" w:rsidRDefault="004B23F2" w:rsidP="004B23F2">
      <w:pPr>
        <w:jc w:val="both"/>
        <w:rPr>
          <w:u w:val="single"/>
        </w:rPr>
      </w:pPr>
      <w:r>
        <w:rPr>
          <w:bCs/>
          <w:u w:val="single"/>
        </w:rPr>
        <w:t>Complete Mix</w:t>
      </w:r>
      <w:r w:rsidR="00C31A5F" w:rsidRPr="00284749">
        <w:rPr>
          <w:bCs/>
          <w:u w:val="single"/>
        </w:rPr>
        <w:t xml:space="preserve"> Digester </w:t>
      </w:r>
    </w:p>
    <w:p w:rsidR="004B23F2" w:rsidRDefault="004B23F2" w:rsidP="00C31A5F">
      <w:pPr>
        <w:jc w:val="both"/>
      </w:pPr>
    </w:p>
    <w:p w:rsidR="004B23F2" w:rsidRDefault="004B23F2" w:rsidP="00C31A5F">
      <w:pPr>
        <w:jc w:val="both"/>
      </w:pPr>
      <w:r>
        <w:t>A complete mix</w:t>
      </w:r>
      <w:r w:rsidR="00C31A5F" w:rsidRPr="004E370A">
        <w:t xml:space="preserve"> digester is a tank, above or below ground, in which the contents are continuously mixed and heated. However, it has often been found that continuous mechanical operation leads to significantly increased maintenance and ope</w:t>
      </w:r>
      <w:r>
        <w:t>rational costs. Thus, complete mix</w:t>
      </w:r>
      <w:r w:rsidR="00C31A5F" w:rsidRPr="004E370A">
        <w:t xml:space="preserve"> digesters are often operated intermittently. They are frequently chosen for their smaller footprint, cleaner overall design, and somewhat improved gas production over plug-flow and covered lagoon systems. </w:t>
      </w:r>
      <w:r>
        <w:t>A complete mix</w:t>
      </w:r>
      <w:r w:rsidR="00C31A5F" w:rsidRPr="004E370A">
        <w:t xml:space="preserve"> digester is constructed of either reinforced concrete or steel, with a mechanical, hydraulic or gas mixing system to keep the solids in suspension, which accelerates the digestion process. </w:t>
      </w:r>
    </w:p>
    <w:p w:rsidR="004B23F2" w:rsidRDefault="004B23F2" w:rsidP="00C31A5F">
      <w:pPr>
        <w:jc w:val="both"/>
      </w:pPr>
    </w:p>
    <w:p w:rsidR="00C31A5F" w:rsidRPr="004E370A" w:rsidRDefault="004B23F2" w:rsidP="00C31A5F">
      <w:pPr>
        <w:jc w:val="both"/>
      </w:pPr>
      <w:r>
        <w:t>Complete mix</w:t>
      </w:r>
      <w:r w:rsidR="00C31A5F" w:rsidRPr="004E370A">
        <w:t xml:space="preserve"> reactors can have gas-holding covers, or more expensive floating covers. The digester is used for manure containing </w:t>
      </w:r>
      <w:r w:rsidR="00C31A5F" w:rsidRPr="004E370A">
        <w:rPr>
          <w:i/>
          <w:iCs/>
        </w:rPr>
        <w:t>2</w:t>
      </w:r>
      <w:r w:rsidR="001511CA">
        <w:rPr>
          <w:i/>
          <w:iCs/>
        </w:rPr>
        <w:t xml:space="preserve"> to </w:t>
      </w:r>
      <w:r w:rsidR="00C31A5F" w:rsidRPr="004E370A">
        <w:rPr>
          <w:i/>
          <w:iCs/>
        </w:rPr>
        <w:t>10</w:t>
      </w:r>
      <w:r w:rsidR="001511CA">
        <w:rPr>
          <w:i/>
          <w:iCs/>
        </w:rPr>
        <w:t>%</w:t>
      </w:r>
      <w:r w:rsidR="00C31A5F" w:rsidRPr="004E370A">
        <w:rPr>
          <w:i/>
          <w:iCs/>
        </w:rPr>
        <w:t xml:space="preserve"> solids</w:t>
      </w:r>
      <w:r w:rsidR="00C31A5F" w:rsidRPr="004E370A">
        <w:t xml:space="preserve">, which includes dairy manure or swine manure collected by a flush system. These digesters are expensive to construct and cost more than covered lagoon digesters to operate and maintain. This is primarily due to the costs associated with mixing, especially if sand, silt, and floating materials are present in the waste stream. Also, excessive water addition to the manure increases the digester size requirements and the cost of construction and operation, without proportionate increase in benefits. </w:t>
      </w:r>
    </w:p>
    <w:p w:rsidR="004B23F2" w:rsidRDefault="004B23F2" w:rsidP="00C31A5F">
      <w:pPr>
        <w:jc w:val="both"/>
      </w:pPr>
    </w:p>
    <w:p w:rsidR="00C31A5F" w:rsidRDefault="004B23F2" w:rsidP="00C31A5F">
      <w:pPr>
        <w:jc w:val="both"/>
      </w:pPr>
      <w:r>
        <w:t>Complete mix</w:t>
      </w:r>
      <w:r w:rsidR="00C31A5F" w:rsidRPr="004E370A">
        <w:t xml:space="preserve"> digesters generally have higher capital costs and operating and maintenance (O&amp;M) requirements than plug-flow and covered lagoon digesters. This</w:t>
      </w:r>
      <w:r>
        <w:t xml:space="preserve"> will generally limit complete mix</w:t>
      </w:r>
      <w:r w:rsidR="00C31A5F" w:rsidRPr="004E370A">
        <w:t xml:space="preserve"> digester applications to very large farms or centralized facilities, or to farms having waste streams with total solid (TS) concentrations too low for slurry and plug-flow digestion and to locations where the climate is too cold to economically justify covering an anaerobic lagoon. Like plug flow systems, there are several variations</w:t>
      </w:r>
      <w:r>
        <w:t>/modifications to the complete mix</w:t>
      </w:r>
      <w:r w:rsidR="00C31A5F" w:rsidRPr="004E370A">
        <w:t xml:space="preserve"> approach. The variations (hybrids) typically incorporate techniques or technological approaches that are very similar to conventional wastewater treatment processes. These generally involve some form of solids concentration step that is either mechanical or gravity based. </w:t>
      </w:r>
    </w:p>
    <w:p w:rsidR="00F80783" w:rsidRDefault="00F80783" w:rsidP="00C31A5F">
      <w:pPr>
        <w:jc w:val="both"/>
      </w:pPr>
    </w:p>
    <w:p w:rsidR="00F80783" w:rsidRDefault="00F80783" w:rsidP="00C31A5F">
      <w:pPr>
        <w:jc w:val="both"/>
      </w:pPr>
    </w:p>
    <w:p w:rsidR="00F80783" w:rsidRPr="00DC68B8" w:rsidRDefault="00F80783" w:rsidP="00F80783">
      <w:pPr>
        <w:ind w:left="360"/>
        <w:jc w:val="right"/>
        <w:rPr>
          <w:b/>
          <w:smallCaps/>
        </w:rPr>
      </w:pPr>
      <w:r>
        <w:br w:type="page"/>
      </w:r>
      <w:r>
        <w:rPr>
          <w:b/>
          <w:smallCaps/>
        </w:rPr>
        <w:t>Annex 6</w:t>
      </w:r>
    </w:p>
    <w:p w:rsidR="00F80783" w:rsidRPr="00DC68B8" w:rsidRDefault="00F80783" w:rsidP="00F80783">
      <w:pPr>
        <w:ind w:left="360"/>
        <w:jc w:val="center"/>
        <w:rPr>
          <w:b/>
          <w:smallCaps/>
        </w:rPr>
      </w:pPr>
      <w:r w:rsidRPr="00DC68B8">
        <w:rPr>
          <w:b/>
          <w:smallCaps/>
        </w:rPr>
        <w:t>biogas generation from animal manure pilot project</w:t>
      </w:r>
    </w:p>
    <w:p w:rsidR="00F80783" w:rsidRPr="00DC68B8" w:rsidRDefault="00F80783" w:rsidP="00F80783">
      <w:pPr>
        <w:ind w:left="360"/>
        <w:jc w:val="center"/>
        <w:rPr>
          <w:b/>
          <w:smallCaps/>
        </w:rPr>
      </w:pPr>
      <w:r w:rsidRPr="00DC68B8">
        <w:rPr>
          <w:b/>
          <w:smallCaps/>
        </w:rPr>
        <w:t xml:space="preserve">Annex </w:t>
      </w:r>
      <w:r>
        <w:rPr>
          <w:b/>
          <w:smallCaps/>
        </w:rPr>
        <w:t>6</w:t>
      </w:r>
      <w:r w:rsidRPr="00DC68B8">
        <w:rPr>
          <w:b/>
          <w:smallCaps/>
        </w:rPr>
        <w:t xml:space="preserve">: </w:t>
      </w:r>
      <w:r w:rsidR="00654D83">
        <w:rPr>
          <w:b/>
          <w:smallCaps/>
        </w:rPr>
        <w:t xml:space="preserve">Procurement and </w:t>
      </w:r>
      <w:r>
        <w:rPr>
          <w:b/>
          <w:smallCaps/>
        </w:rPr>
        <w:t xml:space="preserve">Financial Management </w:t>
      </w:r>
    </w:p>
    <w:p w:rsidR="00F80783" w:rsidRDefault="00F80783" w:rsidP="00C31A5F">
      <w:pPr>
        <w:jc w:val="both"/>
      </w:pPr>
    </w:p>
    <w:p w:rsidR="00654D83" w:rsidRPr="00654D83" w:rsidRDefault="00FD57B1" w:rsidP="00654D83">
      <w:pPr>
        <w:jc w:val="both"/>
      </w:pPr>
      <w:r w:rsidRPr="00654D83">
        <w:t xml:space="preserve">The fiduciary responsibilities under the project will be carried out by the Water Supply and Sanitation Project Implementation Unit (WSS PIU or PIU) under the Ministry of Environment. </w:t>
      </w:r>
      <w:r w:rsidR="00654D83" w:rsidRPr="00654D83">
        <w:t xml:space="preserve">The PIU was established through Government decision No. 986 of August 11, 2003 with the objective to manage and monitor the implementation process of projects in water supply and sanitation field. It is a separate legal entity, non-commercial, non-profit, administratively and financially autonomous. The PIU functions in accordance with the legislation of the Republic of Moldova, its Regulation, as well as relevant norms and standards of international financial institutions. </w:t>
      </w:r>
    </w:p>
    <w:p w:rsidR="00654D83" w:rsidRPr="00654D83" w:rsidRDefault="00654D83" w:rsidP="00654D83">
      <w:pPr>
        <w:jc w:val="both"/>
      </w:pPr>
    </w:p>
    <w:p w:rsidR="00FD57B1" w:rsidRDefault="00FD57B1" w:rsidP="00654D83">
      <w:pPr>
        <w:jc w:val="both"/>
      </w:pPr>
      <w:r w:rsidRPr="00654D83">
        <w:t xml:space="preserve">The World Bank’s </w:t>
      </w:r>
      <w:r w:rsidR="00654D83" w:rsidRPr="00654D83">
        <w:t xml:space="preserve">Procurement Specialist and </w:t>
      </w:r>
      <w:r w:rsidRPr="00654D83">
        <w:t>Financial Management Specialist assessed</w:t>
      </w:r>
      <w:r>
        <w:t xml:space="preserve"> the adequacy of the WSS PIU respective staff for their respective functions. </w:t>
      </w:r>
      <w:r w:rsidR="008865A3">
        <w:t xml:space="preserve">Both the </w:t>
      </w:r>
      <w:r w:rsidR="00654D83">
        <w:t xml:space="preserve">Procurement AND </w:t>
      </w:r>
      <w:r w:rsidR="008865A3">
        <w:t>Financial Management functions were found adequate for the purposes of the Biogas Generation from Animal M</w:t>
      </w:r>
      <w:r w:rsidR="008865A3" w:rsidRPr="008865A3">
        <w:t xml:space="preserve">anure </w:t>
      </w:r>
      <w:r w:rsidR="008865A3">
        <w:t xml:space="preserve">Project. </w:t>
      </w:r>
    </w:p>
    <w:p w:rsidR="00654D83" w:rsidRDefault="00654D83" w:rsidP="00FD57B1">
      <w:pPr>
        <w:jc w:val="both"/>
      </w:pPr>
    </w:p>
    <w:p w:rsidR="00654D83" w:rsidRPr="00654D83" w:rsidRDefault="00654D83" w:rsidP="00FD57B1">
      <w:pPr>
        <w:jc w:val="both"/>
        <w:rPr>
          <w:b/>
        </w:rPr>
      </w:pPr>
      <w:r w:rsidRPr="00654D83">
        <w:rPr>
          <w:b/>
        </w:rPr>
        <w:t>PROCUREMENT</w:t>
      </w:r>
    </w:p>
    <w:p w:rsidR="00654D83" w:rsidRPr="00B26F78" w:rsidRDefault="00654D83" w:rsidP="00654D83">
      <w:pPr>
        <w:pStyle w:val="ListParagraph"/>
        <w:rPr>
          <w:b/>
        </w:rPr>
      </w:pPr>
    </w:p>
    <w:p w:rsidR="00654D83" w:rsidRPr="000503F7" w:rsidRDefault="00654D83" w:rsidP="00654D83">
      <w:pPr>
        <w:jc w:val="both"/>
      </w:pPr>
      <w:r w:rsidRPr="0064650C">
        <w:t xml:space="preserve">The </w:t>
      </w:r>
      <w:r>
        <w:t xml:space="preserve">governing law in the area of public procurement in Moldova is the </w:t>
      </w:r>
      <w:r w:rsidRPr="0064650C">
        <w:t xml:space="preserve">Law on Public Procurement (PPL) No. 96-XVI of April 13, 2007. </w:t>
      </w:r>
      <w:r>
        <w:t>Based on</w:t>
      </w:r>
      <w:r w:rsidRPr="0064650C">
        <w:t xml:space="preserve"> the recent Country Procurement Assessment Review (CPAR) dated June 2010, the PPL helped to bring Moldova’s public procurement system closer to the EU system. </w:t>
      </w:r>
      <w:r>
        <w:t xml:space="preserve">The positive aspects include decentralization of procurement function to spending entities, a greater degree of separation of responsibilities within public procurement, and increased transparency. </w:t>
      </w:r>
      <w:r w:rsidRPr="0064650C">
        <w:t>The PPL covers the procurement of goods, works, services as well as consultancy services and it applies to all public sector entities and other legal entities governed by public law, though it also provides some exceptions that are reasonable and generally in line with international practices. It also clearly provides the types of procurement methods that may be used for public procurement. While the PPL provides a good basis for the public procurement system and properly draws the legal framework for a reasonably sound public procurement system, there</w:t>
      </w:r>
      <w:r>
        <w:t xml:space="preserve"> are still areas that need to be improved. One of the major deficiencies is that many of the regulations referred to in the Law are not yet ready. Some of the regulations and sample bidding documents currently in use are not fully </w:t>
      </w:r>
      <w:r w:rsidRPr="00C251A1">
        <w:t>consistent with the current PPL. As a result of the CPAR, the public procurement system in Moldova is assessed as moderate risk.</w:t>
      </w:r>
      <w:r>
        <w:t xml:space="preserve"> Procurement of Works with estimated cost below $1 mln and goods with estimated cost below $200,000 can be done using NCB procedure subject to application of NCB conditions, as established for procurement in the framework of the Bank financed projects. </w:t>
      </w:r>
    </w:p>
    <w:p w:rsidR="00654D83" w:rsidRDefault="00654D83" w:rsidP="00654D83">
      <w:pPr>
        <w:pStyle w:val="ListParagraph"/>
        <w:spacing w:after="200" w:line="276" w:lineRule="auto"/>
        <w:ind w:left="0"/>
        <w:rPr>
          <w:b/>
        </w:rPr>
      </w:pPr>
    </w:p>
    <w:p w:rsidR="00654D83" w:rsidRDefault="00654D83" w:rsidP="00654D83">
      <w:pPr>
        <w:pStyle w:val="ListParagraph"/>
        <w:spacing w:after="200" w:line="276" w:lineRule="auto"/>
        <w:ind w:left="0"/>
        <w:jc w:val="both"/>
        <w:rPr>
          <w:b/>
        </w:rPr>
      </w:pPr>
      <w:r w:rsidRPr="00825DF0">
        <w:rPr>
          <w:b/>
        </w:rPr>
        <w:t>PIU Procurement Capacity</w:t>
      </w:r>
    </w:p>
    <w:p w:rsidR="00654D83" w:rsidRDefault="00654D83" w:rsidP="00654D83">
      <w:pPr>
        <w:pStyle w:val="ListParagraph"/>
        <w:spacing w:after="200" w:line="276" w:lineRule="auto"/>
        <w:ind w:left="0"/>
        <w:jc w:val="both"/>
        <w:rPr>
          <w:b/>
        </w:rPr>
      </w:pPr>
    </w:p>
    <w:p w:rsidR="00654D83" w:rsidRDefault="00654D83" w:rsidP="00654D83">
      <w:pPr>
        <w:pStyle w:val="ListParagraph"/>
        <w:spacing w:after="200"/>
        <w:ind w:left="0"/>
        <w:jc w:val="both"/>
      </w:pPr>
      <w:r w:rsidRPr="00825DF0">
        <w:rPr>
          <w:b/>
        </w:rPr>
        <w:t>Organization and Functions</w:t>
      </w:r>
      <w:r>
        <w:rPr>
          <w:b/>
        </w:rPr>
        <w:t xml:space="preserve">. </w:t>
      </w:r>
      <w:r>
        <w:t xml:space="preserve">The PIU is managed by a Director and a Steering Committee. The latter is authorized to take any decisions related to the activity of the PIU which are beyond the Director’s competence. Formally the PIU does not report to the Minister of Environment, however all the actions related to procurement and project implementation are coordinated with the Minister. There is a Working Group which is responsible for the evaluation of bids, expressions of interest and proposals. The composition of the Working Group does not change, irrespective of the nature of the procurement and includes a representative of the Ministry of Environment, an engineer and directors of regional water supply institutions. The decision of the Working Group is then examined by the Tender Committee which is chaired by the Minister of Environment and includes representatives of the Ministry of Finance, Ministry of Economy and Ministry of Environment.  The functions of these two committees are however not clearly defined and therefore lately the evaluation of consultant’s proposals is done directly by the Tender Committee. </w:t>
      </w:r>
    </w:p>
    <w:p w:rsidR="00654D83" w:rsidRDefault="00654D83" w:rsidP="00654D83">
      <w:pPr>
        <w:pStyle w:val="ListParagraph"/>
        <w:spacing w:after="200"/>
        <w:ind w:left="0"/>
        <w:jc w:val="both"/>
      </w:pPr>
    </w:p>
    <w:p w:rsidR="00654D83" w:rsidRDefault="00654D83" w:rsidP="00654D83">
      <w:pPr>
        <w:pStyle w:val="ListParagraph"/>
        <w:spacing w:after="200"/>
        <w:ind w:left="0"/>
        <w:jc w:val="both"/>
      </w:pPr>
      <w:r w:rsidRPr="00226B16">
        <w:rPr>
          <w:b/>
        </w:rPr>
        <w:t>Control Systems</w:t>
      </w:r>
      <w:r>
        <w:rPr>
          <w:b/>
        </w:rPr>
        <w:t xml:space="preserve">. </w:t>
      </w:r>
      <w:r>
        <w:t xml:space="preserve">The PIU activity is audited on annual basis by an external auditor hired competitively following the procurement procedures of the relevant international organizations. </w:t>
      </w:r>
    </w:p>
    <w:p w:rsidR="00654D83" w:rsidRDefault="00654D83" w:rsidP="00654D83">
      <w:pPr>
        <w:jc w:val="both"/>
      </w:pPr>
      <w:r w:rsidRPr="00226B16">
        <w:rPr>
          <w:b/>
        </w:rPr>
        <w:t>Staffing</w:t>
      </w:r>
      <w:r>
        <w:rPr>
          <w:b/>
        </w:rPr>
        <w:t xml:space="preserve">. </w:t>
      </w:r>
      <w:r>
        <w:t xml:space="preserve">The PIU is staffed with a Director, a Financial Management Specialist, a Procurement Specialist, an Engineer, an Accountant, a part-time Water Quality Specialist and an Assistant. The Procurement Specialist received a one week on the job training in Bank procurement procedures in June 2008. It is recommended to further strengthen the existing capacity of the procurement staff, appropriate training in procurement of works, goods and selection of consultants is recommended. </w:t>
      </w:r>
    </w:p>
    <w:p w:rsidR="00654D83" w:rsidRDefault="00654D83" w:rsidP="00654D83">
      <w:pPr>
        <w:rPr>
          <w:b/>
        </w:rPr>
      </w:pPr>
    </w:p>
    <w:p w:rsidR="00654D83" w:rsidRDefault="00654D83" w:rsidP="00654D83">
      <w:pPr>
        <w:jc w:val="both"/>
      </w:pPr>
      <w:r w:rsidRPr="00E82D4D">
        <w:rPr>
          <w:b/>
        </w:rPr>
        <w:t>Record-keeping and filing system</w:t>
      </w:r>
      <w:r>
        <w:rPr>
          <w:b/>
        </w:rPr>
        <w:t xml:space="preserve">. </w:t>
      </w:r>
      <w:r>
        <w:t xml:space="preserve">The PIU has been established in the premises of the Ministry of Environment. The procurement files are kept in the room where the Procurement Specialist sits. The PIU has a safe which is placed in the Accounting Unit. As part of this assessment, two folders (QCBS and ICB) were checked and generally found in good order. Under the proposed project, the PIU will continue to maintain written records of all stages of procurement, including minutes of public bid openings, bid evaluation reports, bids submitted by bidders, including correspondence with the bidders. </w:t>
      </w:r>
    </w:p>
    <w:p w:rsidR="00654D83" w:rsidRDefault="00654D83" w:rsidP="00654D83">
      <w:pPr>
        <w:jc w:val="both"/>
      </w:pPr>
    </w:p>
    <w:p w:rsidR="00654D83" w:rsidRDefault="00654D83" w:rsidP="00654D83">
      <w:pPr>
        <w:jc w:val="both"/>
      </w:pPr>
      <w:r w:rsidRPr="00EA3EA1">
        <w:rPr>
          <w:b/>
        </w:rPr>
        <w:t>Procurement Experience</w:t>
      </w:r>
      <w:r>
        <w:rPr>
          <w:b/>
        </w:rPr>
        <w:t xml:space="preserve">. </w:t>
      </w:r>
      <w:r>
        <w:t>Currently the PIU implements the following Bank-financed operations: GEF Environment Infrastructure Project (closing in December 2011); National Water Supply and Sanitation Project (closing in June 2013); and EC Co-Financing TF Moldova Regional Development and Social Protection Project (closing in June 2011). Most of the procurement activities under these projects have been already conducted and there are few large ones to be finalized this year. Therefore it is expected that the PIU will be able to carry out the fiduciary tasks under the proposed project on top of their current responsibilities without compromising the quality of work due to heavy workload. The PIU staff have substantial experience in conducting procurement of different nature (including ICB and QCBS), scope and value, including procurement of various goods, works and services. However the PIU has less experience in conducting small-value procurement, specifically applying Shopping procedure. The PIU has also limited experience in procuring training services and services related to awareness raising which are the major activities under the Capacity Building Components of the proposed project.</w:t>
      </w:r>
    </w:p>
    <w:p w:rsidR="00654D83" w:rsidRDefault="00654D83" w:rsidP="00654D83">
      <w:pPr>
        <w:pStyle w:val="ListParagraph"/>
        <w:spacing w:after="200" w:line="276" w:lineRule="auto"/>
        <w:ind w:left="0"/>
        <w:rPr>
          <w:b/>
        </w:rPr>
      </w:pPr>
      <w:r w:rsidRPr="00336E74">
        <w:rPr>
          <w:b/>
        </w:rPr>
        <w:t>Risk</w:t>
      </w:r>
      <w:r>
        <w:rPr>
          <w:b/>
        </w:rPr>
        <w:t>s</w:t>
      </w:r>
      <w:r w:rsidRPr="00336E74">
        <w:rPr>
          <w:b/>
        </w:rPr>
        <w:t xml:space="preserve"> Analysis</w:t>
      </w:r>
      <w:r w:rsidR="00410BE9">
        <w:rPr>
          <w:b/>
        </w:rPr>
        <w:t xml:space="preserve"> and Action Plan to Address Such R</w:t>
      </w:r>
      <w:r>
        <w:rPr>
          <w:b/>
        </w:rPr>
        <w:t>isks</w:t>
      </w:r>
    </w:p>
    <w:p w:rsidR="00654D83" w:rsidRDefault="00654D83" w:rsidP="00654D83">
      <w:r>
        <w:t xml:space="preserve">Given that the PIU has already successfully carried out fiduciary responsibilities for a number of Bank financed operations, the overall project risk for procurement was assessed as “moderate” and “low” after mitigation. </w:t>
      </w:r>
    </w:p>
    <w:p w:rsidR="00654D83" w:rsidRDefault="00654D83" w:rsidP="00654D83"/>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4"/>
        <w:gridCol w:w="1043"/>
        <w:gridCol w:w="3278"/>
        <w:gridCol w:w="1017"/>
      </w:tblGrid>
      <w:tr w:rsidR="00654D83" w:rsidRPr="00654D83" w:rsidTr="00654D83">
        <w:tc>
          <w:tcPr>
            <w:tcW w:w="3528" w:type="dxa"/>
          </w:tcPr>
          <w:p w:rsidR="00654D83" w:rsidRPr="00185187" w:rsidRDefault="00185187" w:rsidP="00185187">
            <w:pPr>
              <w:jc w:val="center"/>
              <w:rPr>
                <w:b/>
                <w:bCs/>
                <w:i/>
                <w:caps/>
              </w:rPr>
            </w:pPr>
            <w:r w:rsidRPr="00185187">
              <w:rPr>
                <w:b/>
                <w:bCs/>
                <w:i/>
              </w:rPr>
              <w:t>Description of risk</w:t>
            </w:r>
          </w:p>
        </w:tc>
        <w:tc>
          <w:tcPr>
            <w:tcW w:w="1079" w:type="dxa"/>
          </w:tcPr>
          <w:p w:rsidR="00654D83" w:rsidRPr="00654D83" w:rsidRDefault="00185187" w:rsidP="00185187">
            <w:pPr>
              <w:jc w:val="center"/>
              <w:rPr>
                <w:b/>
                <w:bCs/>
                <w:i/>
                <w:caps/>
              </w:rPr>
            </w:pPr>
            <w:r w:rsidRPr="00654D83">
              <w:rPr>
                <w:b/>
                <w:bCs/>
                <w:i/>
              </w:rPr>
              <w:t>Rating of risk</w:t>
            </w:r>
          </w:p>
        </w:tc>
        <w:tc>
          <w:tcPr>
            <w:tcW w:w="3659" w:type="dxa"/>
          </w:tcPr>
          <w:p w:rsidR="00654D83" w:rsidRPr="00654D83" w:rsidRDefault="00185187" w:rsidP="00185187">
            <w:pPr>
              <w:jc w:val="center"/>
              <w:rPr>
                <w:b/>
                <w:bCs/>
                <w:i/>
                <w:caps/>
              </w:rPr>
            </w:pPr>
            <w:r w:rsidRPr="00654D83">
              <w:rPr>
                <w:b/>
                <w:bCs/>
                <w:i/>
              </w:rPr>
              <w:t>Mitigating measure</w:t>
            </w:r>
          </w:p>
        </w:tc>
        <w:tc>
          <w:tcPr>
            <w:tcW w:w="950" w:type="dxa"/>
          </w:tcPr>
          <w:p w:rsidR="00654D83" w:rsidRPr="00654D83" w:rsidRDefault="00185187" w:rsidP="00185187">
            <w:pPr>
              <w:jc w:val="center"/>
              <w:rPr>
                <w:b/>
                <w:bCs/>
                <w:i/>
                <w:caps/>
              </w:rPr>
            </w:pPr>
            <w:r w:rsidRPr="00654D83">
              <w:rPr>
                <w:b/>
                <w:bCs/>
                <w:i/>
              </w:rPr>
              <w:t>Rating of residual risk</w:t>
            </w:r>
          </w:p>
        </w:tc>
      </w:tr>
      <w:tr w:rsidR="00654D83" w:rsidTr="00654D83">
        <w:tc>
          <w:tcPr>
            <w:tcW w:w="3528" w:type="dxa"/>
          </w:tcPr>
          <w:p w:rsidR="00654D83" w:rsidRPr="0051494A" w:rsidRDefault="00185187" w:rsidP="007613ED">
            <w:pPr>
              <w:rPr>
                <w:bCs/>
                <w:caps/>
                <w:sz w:val="22"/>
                <w:szCs w:val="22"/>
              </w:rPr>
            </w:pPr>
            <w:r w:rsidRPr="0051494A">
              <w:rPr>
                <w:bCs/>
                <w:sz w:val="22"/>
                <w:szCs w:val="22"/>
              </w:rPr>
              <w:t xml:space="preserve">Two </w:t>
            </w:r>
            <w:r w:rsidR="007613ED">
              <w:rPr>
                <w:bCs/>
                <w:sz w:val="22"/>
                <w:szCs w:val="22"/>
              </w:rPr>
              <w:t>C</w:t>
            </w:r>
            <w:r w:rsidRPr="0051494A">
              <w:rPr>
                <w:bCs/>
                <w:sz w:val="22"/>
                <w:szCs w:val="22"/>
              </w:rPr>
              <w:t>ommittees are responsible for evaluation of bids and proposals</w:t>
            </w:r>
            <w:r w:rsidR="007613ED">
              <w:rPr>
                <w:bCs/>
                <w:sz w:val="22"/>
                <w:szCs w:val="22"/>
              </w:rPr>
              <w:t>. The responsibilities of each C</w:t>
            </w:r>
            <w:r w:rsidRPr="0051494A">
              <w:rPr>
                <w:bCs/>
                <w:sz w:val="22"/>
                <w:szCs w:val="22"/>
              </w:rPr>
              <w:t>ommittee are not clearly defined. The composition of the working group is the same, irrespective of the nature of the procurement. Such structure might cause delays</w:t>
            </w:r>
            <w:r w:rsidR="00654D83" w:rsidRPr="0051494A">
              <w:rPr>
                <w:bCs/>
                <w:caps/>
                <w:sz w:val="22"/>
                <w:szCs w:val="22"/>
              </w:rPr>
              <w:t xml:space="preserve"> </w:t>
            </w:r>
            <w:r w:rsidRPr="0051494A">
              <w:rPr>
                <w:bCs/>
                <w:sz w:val="22"/>
                <w:szCs w:val="22"/>
              </w:rPr>
              <w:t>to the procurement process</w:t>
            </w:r>
            <w:r w:rsidR="00654D83" w:rsidRPr="0051494A">
              <w:rPr>
                <w:bCs/>
                <w:caps/>
                <w:sz w:val="22"/>
                <w:szCs w:val="22"/>
              </w:rPr>
              <w:t xml:space="preserve">.   </w:t>
            </w:r>
          </w:p>
        </w:tc>
        <w:tc>
          <w:tcPr>
            <w:tcW w:w="1079" w:type="dxa"/>
          </w:tcPr>
          <w:p w:rsidR="00654D83" w:rsidRPr="0051494A" w:rsidRDefault="00654D83" w:rsidP="00654D83">
            <w:pPr>
              <w:jc w:val="center"/>
              <w:rPr>
                <w:bCs/>
                <w:caps/>
                <w:sz w:val="22"/>
                <w:szCs w:val="22"/>
              </w:rPr>
            </w:pPr>
            <w:r w:rsidRPr="0051494A">
              <w:rPr>
                <w:bCs/>
                <w:caps/>
                <w:sz w:val="22"/>
                <w:szCs w:val="22"/>
              </w:rPr>
              <w:t>M</w:t>
            </w:r>
          </w:p>
        </w:tc>
        <w:tc>
          <w:tcPr>
            <w:tcW w:w="3659" w:type="dxa"/>
          </w:tcPr>
          <w:p w:rsidR="00654D83" w:rsidRPr="0051494A" w:rsidRDefault="007613ED" w:rsidP="007613ED">
            <w:pPr>
              <w:rPr>
                <w:bCs/>
                <w:caps/>
                <w:sz w:val="22"/>
                <w:szCs w:val="22"/>
              </w:rPr>
            </w:pPr>
            <w:r>
              <w:rPr>
                <w:bCs/>
                <w:sz w:val="22"/>
                <w:szCs w:val="22"/>
              </w:rPr>
              <w:t>It is suggested to have one E</w:t>
            </w:r>
            <w:r w:rsidR="00185187" w:rsidRPr="0051494A">
              <w:rPr>
                <w:bCs/>
                <w:sz w:val="22"/>
                <w:szCs w:val="22"/>
              </w:rPr>
              <w:t xml:space="preserve">valuation </w:t>
            </w:r>
            <w:r>
              <w:rPr>
                <w:bCs/>
                <w:sz w:val="22"/>
                <w:szCs w:val="22"/>
              </w:rPr>
              <w:t>C</w:t>
            </w:r>
            <w:r w:rsidR="00185187" w:rsidRPr="0051494A">
              <w:rPr>
                <w:bCs/>
                <w:sz w:val="22"/>
                <w:szCs w:val="22"/>
              </w:rPr>
              <w:t>ommittee, which would be chai</w:t>
            </w:r>
            <w:r>
              <w:rPr>
                <w:bCs/>
                <w:sz w:val="22"/>
                <w:szCs w:val="22"/>
              </w:rPr>
              <w:t>red by the Minister of E</w:t>
            </w:r>
            <w:r w:rsidR="00185187" w:rsidRPr="0051494A">
              <w:rPr>
                <w:bCs/>
                <w:sz w:val="22"/>
                <w:szCs w:val="22"/>
              </w:rPr>
              <w:t xml:space="preserve">nvironment and would </w:t>
            </w:r>
            <w:r>
              <w:rPr>
                <w:bCs/>
                <w:sz w:val="22"/>
                <w:szCs w:val="22"/>
              </w:rPr>
              <w:t>include representatives of the Ministry of Finance and Ministry of Economy. Other members of the C</w:t>
            </w:r>
            <w:r w:rsidR="00185187" w:rsidRPr="0051494A">
              <w:rPr>
                <w:bCs/>
                <w:sz w:val="22"/>
                <w:szCs w:val="22"/>
              </w:rPr>
              <w:t xml:space="preserve">ommittee will be included depending on the nature and scope of the procurement to be made. </w:t>
            </w:r>
          </w:p>
        </w:tc>
        <w:tc>
          <w:tcPr>
            <w:tcW w:w="950" w:type="dxa"/>
          </w:tcPr>
          <w:p w:rsidR="00654D83" w:rsidRPr="0051494A" w:rsidRDefault="00654D83" w:rsidP="00654D83">
            <w:pPr>
              <w:jc w:val="center"/>
              <w:rPr>
                <w:bCs/>
                <w:caps/>
                <w:sz w:val="22"/>
                <w:szCs w:val="22"/>
              </w:rPr>
            </w:pPr>
            <w:r w:rsidRPr="0051494A">
              <w:rPr>
                <w:bCs/>
                <w:caps/>
                <w:sz w:val="22"/>
                <w:szCs w:val="22"/>
              </w:rPr>
              <w:t>L</w:t>
            </w:r>
          </w:p>
        </w:tc>
      </w:tr>
      <w:tr w:rsidR="00654D83" w:rsidTr="00654D83">
        <w:tc>
          <w:tcPr>
            <w:tcW w:w="3528" w:type="dxa"/>
          </w:tcPr>
          <w:p w:rsidR="00654D83" w:rsidRPr="0051494A" w:rsidRDefault="007613ED" w:rsidP="00B51978">
            <w:pPr>
              <w:rPr>
                <w:bCs/>
                <w:caps/>
                <w:sz w:val="22"/>
                <w:szCs w:val="22"/>
              </w:rPr>
            </w:pPr>
            <w:r>
              <w:rPr>
                <w:bCs/>
                <w:sz w:val="22"/>
                <w:szCs w:val="22"/>
              </w:rPr>
              <w:t>PIU</w:t>
            </w:r>
            <w:r w:rsidR="00185187" w:rsidRPr="0051494A">
              <w:rPr>
                <w:bCs/>
                <w:sz w:val="22"/>
                <w:szCs w:val="22"/>
              </w:rPr>
              <w:t xml:space="preserve"> has limited experience in conducting small-value procurement and procurement of training services and services related to awareness raising activities</w:t>
            </w:r>
          </w:p>
        </w:tc>
        <w:tc>
          <w:tcPr>
            <w:tcW w:w="1079" w:type="dxa"/>
          </w:tcPr>
          <w:p w:rsidR="00654D83" w:rsidRPr="0051494A" w:rsidRDefault="00654D83" w:rsidP="00654D83">
            <w:pPr>
              <w:jc w:val="center"/>
              <w:rPr>
                <w:bCs/>
                <w:caps/>
                <w:sz w:val="22"/>
                <w:szCs w:val="22"/>
              </w:rPr>
            </w:pPr>
            <w:r w:rsidRPr="0051494A">
              <w:rPr>
                <w:bCs/>
                <w:caps/>
                <w:sz w:val="22"/>
                <w:szCs w:val="22"/>
              </w:rPr>
              <w:t>M</w:t>
            </w:r>
          </w:p>
        </w:tc>
        <w:tc>
          <w:tcPr>
            <w:tcW w:w="3659" w:type="dxa"/>
          </w:tcPr>
          <w:p w:rsidR="00654D83" w:rsidRPr="0051494A" w:rsidRDefault="00185187" w:rsidP="007613ED">
            <w:pPr>
              <w:rPr>
                <w:bCs/>
                <w:caps/>
                <w:sz w:val="22"/>
                <w:szCs w:val="22"/>
              </w:rPr>
            </w:pPr>
            <w:r w:rsidRPr="0051494A">
              <w:rPr>
                <w:bCs/>
                <w:sz w:val="22"/>
                <w:szCs w:val="22"/>
              </w:rPr>
              <w:t xml:space="preserve">A good communication channel will be established between the </w:t>
            </w:r>
            <w:r w:rsidR="007613ED">
              <w:rPr>
                <w:bCs/>
                <w:sz w:val="22"/>
                <w:szCs w:val="22"/>
              </w:rPr>
              <w:t>PIU</w:t>
            </w:r>
            <w:r w:rsidRPr="0051494A">
              <w:rPr>
                <w:bCs/>
                <w:sz w:val="22"/>
                <w:szCs w:val="22"/>
              </w:rPr>
              <w:t xml:space="preserve"> staff and the bank procurement staff assigned to the proposed project to ensure that such procurements ar</w:t>
            </w:r>
            <w:r w:rsidR="007613ED">
              <w:rPr>
                <w:bCs/>
                <w:sz w:val="22"/>
                <w:szCs w:val="22"/>
              </w:rPr>
              <w:t>e carried out in line with the B</w:t>
            </w:r>
            <w:r w:rsidRPr="0051494A">
              <w:rPr>
                <w:bCs/>
                <w:sz w:val="22"/>
                <w:szCs w:val="22"/>
              </w:rPr>
              <w:t>ank</w:t>
            </w:r>
            <w:r w:rsidR="007613ED">
              <w:rPr>
                <w:bCs/>
                <w:sz w:val="22"/>
                <w:szCs w:val="22"/>
              </w:rPr>
              <w:t>’s</w:t>
            </w:r>
            <w:r w:rsidRPr="0051494A">
              <w:rPr>
                <w:bCs/>
                <w:sz w:val="22"/>
                <w:szCs w:val="22"/>
              </w:rPr>
              <w:t xml:space="preserve"> guidelines. </w:t>
            </w:r>
            <w:r w:rsidR="007613ED">
              <w:rPr>
                <w:bCs/>
                <w:sz w:val="22"/>
                <w:szCs w:val="22"/>
              </w:rPr>
              <w:t>PIU</w:t>
            </w:r>
            <w:r w:rsidRPr="0051494A">
              <w:rPr>
                <w:bCs/>
                <w:sz w:val="22"/>
                <w:szCs w:val="22"/>
              </w:rPr>
              <w:t xml:space="preserve"> staff will also seek advice and guidance of procu</w:t>
            </w:r>
            <w:r w:rsidR="007613ED">
              <w:rPr>
                <w:bCs/>
                <w:sz w:val="22"/>
                <w:szCs w:val="22"/>
              </w:rPr>
              <w:t>rement consultants under other B</w:t>
            </w:r>
            <w:r w:rsidRPr="0051494A">
              <w:rPr>
                <w:bCs/>
                <w:sz w:val="22"/>
                <w:szCs w:val="22"/>
              </w:rPr>
              <w:t>ank-financed operations, especially in identifying potential suppliers</w:t>
            </w:r>
            <w:r w:rsidR="00654D83" w:rsidRPr="0051494A">
              <w:rPr>
                <w:bCs/>
                <w:caps/>
                <w:sz w:val="22"/>
                <w:szCs w:val="22"/>
              </w:rPr>
              <w:t xml:space="preserve">. </w:t>
            </w:r>
          </w:p>
        </w:tc>
        <w:tc>
          <w:tcPr>
            <w:tcW w:w="950" w:type="dxa"/>
          </w:tcPr>
          <w:p w:rsidR="00654D83" w:rsidRPr="0051494A" w:rsidRDefault="00654D83" w:rsidP="00654D83">
            <w:pPr>
              <w:jc w:val="center"/>
              <w:rPr>
                <w:bCs/>
                <w:caps/>
                <w:sz w:val="22"/>
                <w:szCs w:val="22"/>
              </w:rPr>
            </w:pPr>
            <w:r w:rsidRPr="0051494A">
              <w:rPr>
                <w:bCs/>
                <w:caps/>
                <w:sz w:val="22"/>
                <w:szCs w:val="22"/>
              </w:rPr>
              <w:t>L</w:t>
            </w:r>
          </w:p>
        </w:tc>
      </w:tr>
      <w:tr w:rsidR="00654D83" w:rsidTr="00654D83">
        <w:tc>
          <w:tcPr>
            <w:tcW w:w="3528" w:type="dxa"/>
          </w:tcPr>
          <w:p w:rsidR="00654D83" w:rsidRPr="0051494A" w:rsidRDefault="007613ED" w:rsidP="00B51978">
            <w:pPr>
              <w:rPr>
                <w:bCs/>
                <w:caps/>
                <w:sz w:val="22"/>
                <w:szCs w:val="22"/>
              </w:rPr>
            </w:pPr>
            <w:r>
              <w:rPr>
                <w:bCs/>
                <w:sz w:val="22"/>
                <w:szCs w:val="22"/>
              </w:rPr>
              <w:t>The Procurement S</w:t>
            </w:r>
            <w:r w:rsidR="00185187" w:rsidRPr="0051494A">
              <w:rPr>
                <w:bCs/>
                <w:sz w:val="22"/>
                <w:szCs w:val="22"/>
              </w:rPr>
              <w:t>pecialist received a one week on the job tr</w:t>
            </w:r>
            <w:r>
              <w:rPr>
                <w:bCs/>
                <w:sz w:val="22"/>
                <w:szCs w:val="22"/>
              </w:rPr>
              <w:t>aining in Bank procurement procedures in J</w:t>
            </w:r>
            <w:r w:rsidR="00185187" w:rsidRPr="0051494A">
              <w:rPr>
                <w:bCs/>
                <w:sz w:val="22"/>
                <w:szCs w:val="22"/>
              </w:rPr>
              <w:t>une 2008</w:t>
            </w:r>
            <w:r w:rsidR="00654D83" w:rsidRPr="0051494A">
              <w:rPr>
                <w:bCs/>
                <w:caps/>
                <w:sz w:val="22"/>
                <w:szCs w:val="22"/>
              </w:rPr>
              <w:t>.</w:t>
            </w:r>
          </w:p>
        </w:tc>
        <w:tc>
          <w:tcPr>
            <w:tcW w:w="1079" w:type="dxa"/>
          </w:tcPr>
          <w:p w:rsidR="00654D83" w:rsidRPr="0051494A" w:rsidRDefault="00654D83" w:rsidP="00654D83">
            <w:pPr>
              <w:jc w:val="center"/>
              <w:rPr>
                <w:bCs/>
                <w:caps/>
                <w:sz w:val="22"/>
                <w:szCs w:val="22"/>
              </w:rPr>
            </w:pPr>
            <w:r w:rsidRPr="0051494A">
              <w:rPr>
                <w:bCs/>
                <w:caps/>
                <w:sz w:val="22"/>
                <w:szCs w:val="22"/>
              </w:rPr>
              <w:t>M</w:t>
            </w:r>
          </w:p>
        </w:tc>
        <w:tc>
          <w:tcPr>
            <w:tcW w:w="3659" w:type="dxa"/>
          </w:tcPr>
          <w:p w:rsidR="00654D83" w:rsidRPr="0051494A" w:rsidRDefault="00185187" w:rsidP="00B51978">
            <w:pPr>
              <w:rPr>
                <w:bCs/>
                <w:caps/>
                <w:sz w:val="22"/>
                <w:szCs w:val="22"/>
              </w:rPr>
            </w:pPr>
            <w:r w:rsidRPr="0051494A">
              <w:rPr>
                <w:bCs/>
                <w:sz w:val="22"/>
                <w:szCs w:val="22"/>
              </w:rPr>
              <w:t>To strengthen the existing capacity of the procurement staff, appropriate training in procurement of works, goods and selection of consultants is recommended</w:t>
            </w:r>
            <w:r w:rsidR="00654D83" w:rsidRPr="0051494A">
              <w:rPr>
                <w:bCs/>
                <w:caps/>
                <w:sz w:val="22"/>
                <w:szCs w:val="22"/>
              </w:rPr>
              <w:t>.</w:t>
            </w:r>
          </w:p>
        </w:tc>
        <w:tc>
          <w:tcPr>
            <w:tcW w:w="950" w:type="dxa"/>
          </w:tcPr>
          <w:p w:rsidR="00654D83" w:rsidRPr="0051494A" w:rsidRDefault="00654D83" w:rsidP="00654D83">
            <w:pPr>
              <w:jc w:val="center"/>
              <w:rPr>
                <w:bCs/>
                <w:caps/>
                <w:sz w:val="22"/>
                <w:szCs w:val="22"/>
              </w:rPr>
            </w:pPr>
            <w:r w:rsidRPr="0051494A">
              <w:rPr>
                <w:bCs/>
                <w:caps/>
                <w:sz w:val="22"/>
                <w:szCs w:val="22"/>
              </w:rPr>
              <w:t>L</w:t>
            </w:r>
          </w:p>
        </w:tc>
      </w:tr>
    </w:tbl>
    <w:p w:rsidR="00654D83" w:rsidRDefault="00654D83" w:rsidP="00654D83"/>
    <w:p w:rsidR="00654D83" w:rsidRDefault="00654D83" w:rsidP="00654D83">
      <w:pPr>
        <w:ind w:left="360"/>
        <w:rPr>
          <w:b/>
        </w:rPr>
      </w:pPr>
      <w:r>
        <w:rPr>
          <w:b/>
        </w:rPr>
        <w:t xml:space="preserve"> </w:t>
      </w:r>
    </w:p>
    <w:p w:rsidR="00654D83" w:rsidRDefault="00654D83" w:rsidP="00146669">
      <w:pPr>
        <w:pStyle w:val="ListParagraph"/>
        <w:spacing w:after="200" w:line="276" w:lineRule="auto"/>
        <w:ind w:left="0"/>
        <w:rPr>
          <w:b/>
        </w:rPr>
      </w:pPr>
      <w:r>
        <w:rPr>
          <w:b/>
        </w:rPr>
        <w:t>Thresholds for Procurement Methods</w:t>
      </w:r>
    </w:p>
    <w:p w:rsidR="00654D83" w:rsidRDefault="00654D83" w:rsidP="008A780E">
      <w:pPr>
        <w:pStyle w:val="ListParagraph"/>
        <w:ind w:left="0"/>
        <w:jc w:val="both"/>
      </w:pPr>
    </w:p>
    <w:p w:rsidR="00654D83" w:rsidRDefault="00654D83" w:rsidP="00146669">
      <w:pPr>
        <w:pStyle w:val="ListParagraph"/>
        <w:numPr>
          <w:ilvl w:val="0"/>
          <w:numId w:val="18"/>
        </w:numPr>
        <w:spacing w:after="200"/>
        <w:ind w:left="720"/>
        <w:jc w:val="both"/>
      </w:pPr>
      <w:r w:rsidRPr="00C251A1">
        <w:rPr>
          <w:b/>
        </w:rPr>
        <w:t>Works:</w:t>
      </w:r>
      <w:r w:rsidR="00146669">
        <w:t xml:space="preserve"> Works estimated to cost US$</w:t>
      </w:r>
      <w:r>
        <w:t>1 mil</w:t>
      </w:r>
      <w:r w:rsidR="00146669">
        <w:t>lion</w:t>
      </w:r>
      <w:r>
        <w:t xml:space="preserve"> and </w:t>
      </w:r>
      <w:r w:rsidR="00146669">
        <w:t>above</w:t>
      </w:r>
      <w:r>
        <w:t xml:space="preserve"> will be procured through ICB. Works </w:t>
      </w:r>
      <w:r w:rsidR="00146669">
        <w:t>estimated to cost less than US$</w:t>
      </w:r>
      <w:r>
        <w:t>1 mil</w:t>
      </w:r>
      <w:r w:rsidR="00146669">
        <w:t>lion</w:t>
      </w:r>
      <w:r>
        <w:t xml:space="preserve"> may be procured through NCB and works estimated to cost less than </w:t>
      </w:r>
      <w:r w:rsidR="00146669">
        <w:t>US</w:t>
      </w:r>
      <w:r>
        <w:t xml:space="preserve">$100,000 may be procured using </w:t>
      </w:r>
      <w:r w:rsidR="00146669">
        <w:t>shopping procedures.</w:t>
      </w:r>
    </w:p>
    <w:p w:rsidR="00146669" w:rsidRDefault="00146669" w:rsidP="00146669">
      <w:pPr>
        <w:pStyle w:val="ListParagraph"/>
        <w:spacing w:after="200"/>
        <w:jc w:val="both"/>
      </w:pPr>
    </w:p>
    <w:p w:rsidR="00654D83" w:rsidRDefault="00654D83" w:rsidP="00146669">
      <w:pPr>
        <w:pStyle w:val="ListParagraph"/>
        <w:numPr>
          <w:ilvl w:val="0"/>
          <w:numId w:val="18"/>
        </w:numPr>
        <w:spacing w:after="200"/>
        <w:ind w:left="720"/>
        <w:jc w:val="both"/>
      </w:pPr>
      <w:r w:rsidRPr="00C251A1">
        <w:rPr>
          <w:b/>
        </w:rPr>
        <w:t>Goods</w:t>
      </w:r>
      <w:r>
        <w:t>: Goods and e</w:t>
      </w:r>
      <w:r w:rsidR="00146669">
        <w:t>quipment estimated to cost US$</w:t>
      </w:r>
      <w:r>
        <w:t xml:space="preserve">200,000 and more will be procured through ICB. Goods </w:t>
      </w:r>
      <w:r w:rsidR="00146669">
        <w:t>estimated to cost less than US$</w:t>
      </w:r>
      <w:r>
        <w:t>200,000 will be procured through NCB and goods estimated to cost</w:t>
      </w:r>
      <w:r w:rsidR="00146669">
        <w:t xml:space="preserve"> less than US$</w:t>
      </w:r>
      <w:r>
        <w:t xml:space="preserve">100,000 may be procured using shopping procedures. The latter will be conducted on the basis of a minimum of three written quotations obtained. </w:t>
      </w:r>
    </w:p>
    <w:p w:rsidR="00146669" w:rsidRDefault="00146669" w:rsidP="00146669">
      <w:pPr>
        <w:pStyle w:val="ListParagraph"/>
        <w:spacing w:after="200"/>
        <w:ind w:left="0"/>
        <w:jc w:val="both"/>
      </w:pPr>
    </w:p>
    <w:p w:rsidR="00654D83" w:rsidRDefault="00654D83" w:rsidP="00146669">
      <w:pPr>
        <w:pStyle w:val="ListParagraph"/>
        <w:numPr>
          <w:ilvl w:val="0"/>
          <w:numId w:val="18"/>
        </w:numPr>
        <w:spacing w:after="200"/>
        <w:ind w:left="720"/>
      </w:pPr>
      <w:r>
        <w:rPr>
          <w:b/>
        </w:rPr>
        <w:t>Consultant Services and Training</w:t>
      </w:r>
      <w:r w:rsidRPr="00C251A1">
        <w:t>:</w:t>
      </w:r>
      <w:r>
        <w:t xml:space="preserve"> Consulting services under the project will be procured in accordance with the current version of Bank’s Consultant Guidelines and by using the standard RFP and contract formats. </w:t>
      </w:r>
    </w:p>
    <w:p w:rsidR="00654D83" w:rsidRDefault="00654D83" w:rsidP="00654D83">
      <w:pPr>
        <w:pStyle w:val="ListParagraph"/>
        <w:ind w:left="1080"/>
      </w:pPr>
    </w:p>
    <w:p w:rsidR="00654D83" w:rsidRPr="00C22FB3" w:rsidRDefault="00654D83" w:rsidP="00146669">
      <w:pPr>
        <w:pStyle w:val="ListParagraph"/>
        <w:spacing w:after="200" w:line="276" w:lineRule="auto"/>
        <w:ind w:left="0"/>
        <w:rPr>
          <w:b/>
        </w:rPr>
      </w:pPr>
      <w:r w:rsidRPr="00C22FB3">
        <w:rPr>
          <w:b/>
        </w:rPr>
        <w:t>Prior Review Thresholds</w:t>
      </w:r>
    </w:p>
    <w:p w:rsidR="00654D83" w:rsidRDefault="00654D83" w:rsidP="00B00C27">
      <w:r>
        <w:t>The prior review thresholds are proposed as follows:</w:t>
      </w:r>
    </w:p>
    <w:p w:rsidR="00654D83" w:rsidRPr="00B00C27" w:rsidRDefault="00654D83" w:rsidP="00B00C27">
      <w:pPr>
        <w:pStyle w:val="ListParagraph"/>
        <w:numPr>
          <w:ilvl w:val="0"/>
          <w:numId w:val="19"/>
        </w:numPr>
        <w:spacing w:after="200"/>
      </w:pPr>
      <w:r w:rsidRPr="00B00C27">
        <w:t>All ICB contract and first two NCB contracts for goods and works;</w:t>
      </w:r>
    </w:p>
    <w:p w:rsidR="00654D83" w:rsidRPr="00B00C27" w:rsidRDefault="00654D83" w:rsidP="00B00C27">
      <w:pPr>
        <w:pStyle w:val="ListParagraph"/>
        <w:numPr>
          <w:ilvl w:val="0"/>
          <w:numId w:val="19"/>
        </w:numPr>
        <w:spacing w:after="200"/>
      </w:pPr>
      <w:r w:rsidRPr="00B00C27">
        <w:t>First two Shopping contracts;</w:t>
      </w:r>
    </w:p>
    <w:p w:rsidR="00654D83" w:rsidRPr="00B00C27" w:rsidRDefault="00654D83" w:rsidP="00B00C27">
      <w:pPr>
        <w:pStyle w:val="ListParagraph"/>
        <w:numPr>
          <w:ilvl w:val="0"/>
          <w:numId w:val="19"/>
        </w:numPr>
        <w:spacing w:after="200"/>
      </w:pPr>
      <w:r w:rsidRPr="00B00C27">
        <w:t>All Direct Contracting</w:t>
      </w:r>
      <w:r w:rsidR="00EF3966">
        <w:t xml:space="preserve"> </w:t>
      </w:r>
      <w:r w:rsidR="00EF3966" w:rsidRPr="00EF3966">
        <w:t>for goods, works and technical services</w:t>
      </w:r>
      <w:r w:rsidRPr="00B00C27">
        <w:t>;</w:t>
      </w:r>
    </w:p>
    <w:p w:rsidR="00654D83" w:rsidRPr="00B00C27" w:rsidRDefault="00654D83" w:rsidP="00B00C27">
      <w:pPr>
        <w:pStyle w:val="ListParagraph"/>
        <w:numPr>
          <w:ilvl w:val="0"/>
          <w:numId w:val="19"/>
        </w:numPr>
        <w:spacing w:after="200"/>
      </w:pPr>
      <w:r w:rsidRPr="00B00C27">
        <w:t>All contracts with consulting firms estimated to cost US$100,000 or more;</w:t>
      </w:r>
    </w:p>
    <w:p w:rsidR="00654D83" w:rsidRPr="00B00C27" w:rsidRDefault="00B00C27" w:rsidP="00B00C27">
      <w:pPr>
        <w:pStyle w:val="ListParagraph"/>
        <w:numPr>
          <w:ilvl w:val="0"/>
          <w:numId w:val="19"/>
        </w:numPr>
        <w:spacing w:after="200"/>
      </w:pPr>
      <w:r>
        <w:rPr>
          <w:color w:val="000000"/>
        </w:rPr>
        <w:t>Two</w:t>
      </w:r>
      <w:r w:rsidR="00654D83" w:rsidRPr="00B00C27">
        <w:rPr>
          <w:color w:val="000000"/>
        </w:rPr>
        <w:t xml:space="preserve"> first contracts with consulting firms for each method;</w:t>
      </w:r>
    </w:p>
    <w:p w:rsidR="00654D83" w:rsidRPr="00B00C27" w:rsidRDefault="00654D83" w:rsidP="00B00C27">
      <w:pPr>
        <w:pStyle w:val="ListParagraph"/>
        <w:numPr>
          <w:ilvl w:val="0"/>
          <w:numId w:val="19"/>
        </w:numPr>
        <w:spacing w:after="200"/>
      </w:pPr>
      <w:r w:rsidRPr="00B00C27">
        <w:rPr>
          <w:color w:val="000000"/>
        </w:rPr>
        <w:t>Al</w:t>
      </w:r>
      <w:r w:rsidR="00B00C27">
        <w:rPr>
          <w:color w:val="000000"/>
        </w:rPr>
        <w:t xml:space="preserve">l </w:t>
      </w:r>
      <w:r w:rsidR="00EF3966">
        <w:rPr>
          <w:color w:val="000000"/>
        </w:rPr>
        <w:t xml:space="preserve">single source (for firms) </w:t>
      </w:r>
      <w:r w:rsidR="00B00C27">
        <w:rPr>
          <w:color w:val="000000"/>
        </w:rPr>
        <w:t xml:space="preserve">and </w:t>
      </w:r>
      <w:r w:rsidR="00EF3966">
        <w:rPr>
          <w:color w:val="000000"/>
        </w:rPr>
        <w:t>sole</w:t>
      </w:r>
      <w:r w:rsidR="00B00C27">
        <w:rPr>
          <w:color w:val="000000"/>
        </w:rPr>
        <w:t xml:space="preserve"> source</w:t>
      </w:r>
      <w:r w:rsidRPr="00B00C27">
        <w:rPr>
          <w:color w:val="000000"/>
        </w:rPr>
        <w:t xml:space="preserve"> </w:t>
      </w:r>
      <w:r w:rsidR="00EF3966">
        <w:rPr>
          <w:color w:val="000000"/>
        </w:rPr>
        <w:t xml:space="preserve">(for individuals) </w:t>
      </w:r>
      <w:r w:rsidRPr="00B00C27">
        <w:rPr>
          <w:color w:val="000000"/>
        </w:rPr>
        <w:t>selections;</w:t>
      </w:r>
    </w:p>
    <w:p w:rsidR="00654D83" w:rsidRPr="00B00C27" w:rsidRDefault="00654D83" w:rsidP="00B00C27">
      <w:pPr>
        <w:pStyle w:val="ListParagraph"/>
        <w:numPr>
          <w:ilvl w:val="0"/>
          <w:numId w:val="19"/>
        </w:numPr>
        <w:spacing w:after="200"/>
      </w:pPr>
      <w:r w:rsidRPr="00B00C27">
        <w:t xml:space="preserve"> All contracts with individual co</w:t>
      </w:r>
      <w:r w:rsidR="00B00C27">
        <w:t>nsultants estimated to cost US$</w:t>
      </w:r>
      <w:r w:rsidRPr="00B00C27">
        <w:t>50,000 or more;</w:t>
      </w:r>
    </w:p>
    <w:p w:rsidR="00654D83" w:rsidRPr="00B00C27" w:rsidRDefault="00654D83" w:rsidP="00B00C27">
      <w:pPr>
        <w:pStyle w:val="ListParagraph"/>
        <w:numPr>
          <w:ilvl w:val="0"/>
          <w:numId w:val="19"/>
        </w:numPr>
        <w:spacing w:after="200"/>
      </w:pPr>
      <w:r w:rsidRPr="00B00C27">
        <w:t xml:space="preserve">Terms of Reference for all consultant contracts with consulting firms and Terms of Reference of individuals irrespective of their cost. </w:t>
      </w:r>
    </w:p>
    <w:p w:rsidR="00654D83" w:rsidRDefault="00654D83" w:rsidP="00654D83">
      <w:pPr>
        <w:pStyle w:val="ListParagraph"/>
        <w:rPr>
          <w:b/>
        </w:rPr>
      </w:pPr>
    </w:p>
    <w:p w:rsidR="00654D83" w:rsidRDefault="00654D83" w:rsidP="00B00C27">
      <w:pPr>
        <w:pStyle w:val="ListParagraph"/>
        <w:spacing w:after="200" w:line="276" w:lineRule="auto"/>
        <w:ind w:left="0"/>
        <w:rPr>
          <w:b/>
        </w:rPr>
      </w:pPr>
      <w:r w:rsidRPr="00C22FB3">
        <w:rPr>
          <w:b/>
        </w:rPr>
        <w:t>Post review ratio</w:t>
      </w:r>
    </w:p>
    <w:p w:rsidR="00654D83" w:rsidRDefault="00654D83" w:rsidP="00B00C27">
      <w:pPr>
        <w:jc w:val="both"/>
      </w:pPr>
      <w:r>
        <w:t xml:space="preserve">Contracts not subject to Bank’s prior review will be post-reviewed by Bank’s supervision visits and/or during regular post-reviews by PAS on sampling basis. Given the risk rating, every 1 in 10 contracts will be post-reviewed. The Bank Procurement Specialist will conduct post-reviews once a year. </w:t>
      </w:r>
    </w:p>
    <w:p w:rsidR="00654D83" w:rsidRDefault="00654D83" w:rsidP="00FD57B1">
      <w:pPr>
        <w:jc w:val="both"/>
      </w:pPr>
    </w:p>
    <w:p w:rsidR="008865A3" w:rsidRDefault="008865A3" w:rsidP="00FD57B1">
      <w:pPr>
        <w:jc w:val="both"/>
      </w:pPr>
    </w:p>
    <w:p w:rsidR="00FD57B1" w:rsidRPr="00FD57B1" w:rsidRDefault="00FD57B1" w:rsidP="00FD57B1">
      <w:pPr>
        <w:jc w:val="both"/>
        <w:rPr>
          <w:b/>
        </w:rPr>
      </w:pPr>
      <w:r>
        <w:rPr>
          <w:b/>
        </w:rPr>
        <w:t>FINANCIAL MANAGEMENT</w:t>
      </w:r>
    </w:p>
    <w:p w:rsidR="00FD32D3" w:rsidRPr="00FD57B1" w:rsidRDefault="00FD32D3" w:rsidP="00FD57B1">
      <w:pPr>
        <w:ind w:left="360"/>
        <w:jc w:val="both"/>
        <w:rPr>
          <w:b/>
        </w:rPr>
      </w:pPr>
    </w:p>
    <w:p w:rsidR="00FD57B1" w:rsidRPr="00FD57B1" w:rsidRDefault="00FD57B1" w:rsidP="00FD57B1">
      <w:pPr>
        <w:pStyle w:val="ListParagraph"/>
        <w:ind w:left="0"/>
        <w:jc w:val="both"/>
        <w:rPr>
          <w:color w:val="000000"/>
        </w:rPr>
      </w:pPr>
      <w:r w:rsidRPr="00FD57B1">
        <w:rPr>
          <w:color w:val="000000"/>
        </w:rPr>
        <w:t>The Bank</w:t>
      </w:r>
      <w:r>
        <w:rPr>
          <w:color w:val="000000"/>
        </w:rPr>
        <w:t>’s Financial Management Specialist (FMS)</w:t>
      </w:r>
      <w:r w:rsidRPr="00FD57B1">
        <w:rPr>
          <w:color w:val="000000"/>
        </w:rPr>
        <w:t xml:space="preserve"> assessed the adequacy of financial management arrangements for the proposed Biogas generation from animal manure project.</w:t>
      </w:r>
      <w:r>
        <w:rPr>
          <w:color w:val="000000"/>
        </w:rPr>
        <w:t xml:space="preserve"> </w:t>
      </w:r>
      <w:r w:rsidRPr="00FD57B1">
        <w:t xml:space="preserve">During the FM assessment the following areas of the project financial management were reviewed: project accounting and reporting arrangements, staffing, internal control procedures, planning and budgeting, counterpart funding, financial manual and external audits. </w:t>
      </w:r>
      <w:r w:rsidRPr="008865A3">
        <w:t>The existing financial management capacity and arrangements within the PIU are acceptable for the proposed project.</w:t>
      </w:r>
      <w:r w:rsidRPr="00FD57B1">
        <w:t xml:space="preserve"> </w:t>
      </w:r>
    </w:p>
    <w:p w:rsidR="00FD57B1" w:rsidRPr="00FD57B1" w:rsidRDefault="00FD57B1" w:rsidP="00FD57B1">
      <w:pPr>
        <w:pStyle w:val="ListParagraph"/>
        <w:jc w:val="both"/>
      </w:pPr>
    </w:p>
    <w:p w:rsidR="00FD57B1" w:rsidRPr="00FD57B1" w:rsidRDefault="00FD57B1" w:rsidP="00FD57B1">
      <w:pPr>
        <w:pStyle w:val="StyleJustified"/>
        <w:numPr>
          <w:ilvl w:val="0"/>
          <w:numId w:val="0"/>
        </w:numPr>
        <w:spacing w:before="120"/>
        <w:rPr>
          <w:b/>
          <w:szCs w:val="24"/>
        </w:rPr>
      </w:pPr>
      <w:r w:rsidRPr="00FD57B1">
        <w:rPr>
          <w:b/>
          <w:szCs w:val="24"/>
        </w:rPr>
        <w:t>Implementation Arrangements</w:t>
      </w:r>
    </w:p>
    <w:p w:rsidR="00FD57B1" w:rsidRPr="00FD57B1" w:rsidRDefault="00FD57B1" w:rsidP="00FD57B1">
      <w:pPr>
        <w:autoSpaceDE w:val="0"/>
        <w:autoSpaceDN w:val="0"/>
        <w:adjustRightInd w:val="0"/>
        <w:jc w:val="both"/>
        <w:rPr>
          <w:b/>
          <w:i/>
          <w:color w:val="000000"/>
        </w:rPr>
      </w:pPr>
    </w:p>
    <w:p w:rsidR="00FD57B1" w:rsidRPr="00FD57B1" w:rsidRDefault="00FD57B1" w:rsidP="00FD57B1">
      <w:pPr>
        <w:jc w:val="both"/>
        <w:rPr>
          <w:color w:val="000000"/>
        </w:rPr>
      </w:pPr>
      <w:r w:rsidRPr="00FD57B1">
        <w:rPr>
          <w:color w:val="000000"/>
        </w:rPr>
        <w:t xml:space="preserve">The </w:t>
      </w:r>
      <w:r>
        <w:rPr>
          <w:color w:val="000000"/>
        </w:rPr>
        <w:t>WSS</w:t>
      </w:r>
      <w:r w:rsidRPr="00FD57B1">
        <w:rPr>
          <w:color w:val="000000"/>
        </w:rPr>
        <w:t xml:space="preserve"> PIU under the Ministry of Environment will perform </w:t>
      </w:r>
      <w:r>
        <w:t xml:space="preserve">procurement and </w:t>
      </w:r>
      <w:r w:rsidRPr="00FD57B1">
        <w:t xml:space="preserve">financial management. It is a </w:t>
      </w:r>
      <w:r w:rsidRPr="00FD57B1">
        <w:rPr>
          <w:bCs/>
          <w:snapToGrid w:val="0"/>
          <w:color w:val="000000"/>
        </w:rPr>
        <w:t>separate legal entity created in accordance with the Order of the Government to implement the projects in the water and utilities sector</w:t>
      </w:r>
      <w:r w:rsidRPr="00FD57B1">
        <w:rPr>
          <w:color w:val="000000"/>
        </w:rPr>
        <w:t xml:space="preserve">. Its activity is </w:t>
      </w:r>
      <w:r w:rsidRPr="00FD57B1">
        <w:rPr>
          <w:bCs/>
          <w:snapToGrid w:val="0"/>
          <w:color w:val="000000"/>
        </w:rPr>
        <w:t>coordinated by the Ministry of Environment and the Unit reports directly to the Minister.</w:t>
      </w:r>
      <w:r>
        <w:rPr>
          <w:bCs/>
          <w:snapToGrid w:val="0"/>
          <w:color w:val="000000"/>
        </w:rPr>
        <w:t xml:space="preserve"> </w:t>
      </w:r>
      <w:r w:rsidRPr="00FD57B1">
        <w:rPr>
          <w:color w:val="000000"/>
        </w:rPr>
        <w:t>The PIU is governed by a Steering Committee, represented by the Ministry of Finance, Ministry of Economy, State Chancellery, Institute of Ecology and Geography, and Ecologist Movement of Moldova.</w:t>
      </w:r>
      <w:r>
        <w:rPr>
          <w:color w:val="000000"/>
        </w:rPr>
        <w:t xml:space="preserve"> </w:t>
      </w:r>
      <w:r w:rsidRPr="00FD57B1">
        <w:rPr>
          <w:color w:val="000000"/>
        </w:rPr>
        <w:t xml:space="preserve">The PIU has previous experience in the implementation of the World Bank-financed projects. They successfully implemented the Pilot Water Supply and Sanitation Project (P074469) during 2003 – 2008 and now are in charge of </w:t>
      </w:r>
      <w:r>
        <w:rPr>
          <w:color w:val="000000"/>
        </w:rPr>
        <w:t xml:space="preserve">the </w:t>
      </w:r>
      <w:r w:rsidRPr="00FD57B1">
        <w:rPr>
          <w:color w:val="000000"/>
        </w:rPr>
        <w:t xml:space="preserve">second project in this field.  In addition, the PIU is administering the Environmental Infrastructure Project (P074139). </w:t>
      </w:r>
    </w:p>
    <w:p w:rsidR="00FD57B1" w:rsidRPr="00FD57B1" w:rsidRDefault="00FD57B1" w:rsidP="00FD57B1">
      <w:pPr>
        <w:autoSpaceDE w:val="0"/>
        <w:autoSpaceDN w:val="0"/>
        <w:adjustRightInd w:val="0"/>
        <w:jc w:val="both"/>
        <w:rPr>
          <w:color w:val="000000"/>
        </w:rPr>
      </w:pPr>
    </w:p>
    <w:p w:rsidR="00FD57B1" w:rsidRDefault="00FD57B1" w:rsidP="00FD57B1">
      <w:pPr>
        <w:autoSpaceDE w:val="0"/>
        <w:autoSpaceDN w:val="0"/>
        <w:adjustRightInd w:val="0"/>
        <w:jc w:val="both"/>
        <w:rPr>
          <w:color w:val="000000"/>
        </w:rPr>
      </w:pPr>
      <w:r w:rsidRPr="00FD57B1">
        <w:rPr>
          <w:color w:val="000000"/>
        </w:rPr>
        <w:t xml:space="preserve">The audit reports for the projects managed by the PIU had always contained unqualified audit opinion on the project financial statements. There was one internal control issue mentioned in the management letter and it referred to inaccurate application of eligibility percentage for other incremental costs of the PIU. The PIU addressed this issue, and </w:t>
      </w:r>
      <w:r w:rsidR="008865A3">
        <w:rPr>
          <w:color w:val="000000"/>
        </w:rPr>
        <w:t>refunded the</w:t>
      </w:r>
      <w:r w:rsidRPr="00FD57B1">
        <w:rPr>
          <w:color w:val="000000"/>
        </w:rPr>
        <w:t xml:space="preserve"> overcompensated op</w:t>
      </w:r>
      <w:r w:rsidR="008865A3">
        <w:rPr>
          <w:color w:val="000000"/>
        </w:rPr>
        <w:t>erating costs (US$ 992)</w:t>
      </w:r>
      <w:r w:rsidRPr="00FD57B1">
        <w:rPr>
          <w:color w:val="000000"/>
        </w:rPr>
        <w:t>.</w:t>
      </w:r>
      <w:r>
        <w:rPr>
          <w:color w:val="000000"/>
        </w:rPr>
        <w:t xml:space="preserve"> </w:t>
      </w:r>
      <w:r w:rsidRPr="00FD57B1">
        <w:rPr>
          <w:color w:val="000000"/>
        </w:rPr>
        <w:t xml:space="preserve">The interim unaudited financial reports were always received on time and deemed to be acceptable. </w:t>
      </w:r>
    </w:p>
    <w:p w:rsidR="00FD57B1" w:rsidRDefault="00FD57B1" w:rsidP="00FD57B1">
      <w:pPr>
        <w:autoSpaceDE w:val="0"/>
        <w:autoSpaceDN w:val="0"/>
        <w:adjustRightInd w:val="0"/>
        <w:jc w:val="both"/>
        <w:rPr>
          <w:color w:val="000000"/>
        </w:rPr>
      </w:pPr>
    </w:p>
    <w:p w:rsidR="00FD57B1" w:rsidRPr="00FD57B1" w:rsidRDefault="00FD57B1" w:rsidP="00FD57B1">
      <w:pPr>
        <w:autoSpaceDE w:val="0"/>
        <w:autoSpaceDN w:val="0"/>
        <w:adjustRightInd w:val="0"/>
        <w:jc w:val="both"/>
        <w:rPr>
          <w:color w:val="000000"/>
        </w:rPr>
      </w:pPr>
      <w:r w:rsidRPr="00FD57B1">
        <w:t xml:space="preserve">Previously, the project implementation suffered from the changes in the project management and it resulted </w:t>
      </w:r>
      <w:r w:rsidR="00097DDF">
        <w:t xml:space="preserve">in </w:t>
      </w:r>
      <w:r w:rsidRPr="00FD57B1">
        <w:t xml:space="preserve">suspension of activities. </w:t>
      </w:r>
      <w:r w:rsidRPr="00FD57B1">
        <w:rPr>
          <w:color w:val="000000"/>
        </w:rPr>
        <w:t xml:space="preserve">After the organizational changes </w:t>
      </w:r>
      <w:r w:rsidR="00097DDF">
        <w:rPr>
          <w:color w:val="000000"/>
        </w:rPr>
        <w:t>at</w:t>
      </w:r>
      <w:r w:rsidRPr="00FD57B1">
        <w:rPr>
          <w:color w:val="000000"/>
        </w:rPr>
        <w:t xml:space="preserve"> the governmental level and the PIU transfer to the M</w:t>
      </w:r>
      <w:r w:rsidR="00097DDF">
        <w:rPr>
          <w:color w:val="000000"/>
        </w:rPr>
        <w:t xml:space="preserve">inistry of </w:t>
      </w:r>
      <w:r w:rsidRPr="00FD57B1">
        <w:rPr>
          <w:color w:val="000000"/>
        </w:rPr>
        <w:t>E</w:t>
      </w:r>
      <w:r w:rsidR="00097DDF">
        <w:rPr>
          <w:color w:val="000000"/>
        </w:rPr>
        <w:t>nvironment</w:t>
      </w:r>
      <w:r w:rsidRPr="00FD57B1">
        <w:rPr>
          <w:color w:val="000000"/>
        </w:rPr>
        <w:t>, the PIU’s Director was dismissed by Apele Moldovei</w:t>
      </w:r>
      <w:r w:rsidRPr="00FD57B1">
        <w:rPr>
          <w:rStyle w:val="FootnoteReference"/>
          <w:color w:val="000000"/>
        </w:rPr>
        <w:footnoteReference w:id="14"/>
      </w:r>
      <w:r w:rsidRPr="00FD57B1">
        <w:rPr>
          <w:color w:val="000000"/>
        </w:rPr>
        <w:t xml:space="preserve"> in August 2009 for the alleged failure to satisfy the requirements of the Court of Accounts report (the details of this report are given below</w:t>
      </w:r>
      <w:r w:rsidR="00861CBB">
        <w:rPr>
          <w:color w:val="000000"/>
        </w:rPr>
        <w:t xml:space="preserve"> in section on internal controls and internal audit</w:t>
      </w:r>
      <w:r w:rsidRPr="00FD57B1">
        <w:rPr>
          <w:color w:val="000000"/>
        </w:rPr>
        <w:t xml:space="preserve">). </w:t>
      </w:r>
      <w:r w:rsidRPr="00FD57B1">
        <w:t>As a result, the PIU could not submit the withdrawal applications to the Bank documenting the expenditure incurred on a regular basis (at least quarterly), as required by the Bank disbursement department, and this situation did not allow the PIU staff to fully address action points agreed during the FM supervisions</w:t>
      </w:r>
      <w:r w:rsidRPr="00FD57B1">
        <w:rPr>
          <w:color w:val="000000"/>
        </w:rPr>
        <w:t>. In late November 2009, the Director was re</w:t>
      </w:r>
      <w:r w:rsidR="00097DDF">
        <w:rPr>
          <w:color w:val="000000"/>
        </w:rPr>
        <w:t>in</w:t>
      </w:r>
      <w:r w:rsidRPr="00FD57B1">
        <w:rPr>
          <w:color w:val="000000"/>
        </w:rPr>
        <w:t>stated in her position and the project re-started its activities.</w:t>
      </w:r>
      <w:r w:rsidRPr="00FD57B1">
        <w:t xml:space="preserve"> </w:t>
      </w:r>
      <w:r w:rsidRPr="00FD57B1">
        <w:rPr>
          <w:u w:val="single"/>
        </w:rPr>
        <w:t>No issues have been</w:t>
      </w:r>
      <w:r>
        <w:rPr>
          <w:u w:val="single"/>
        </w:rPr>
        <w:t xml:space="preserve"> noted</w:t>
      </w:r>
      <w:r w:rsidRPr="00FD57B1">
        <w:rPr>
          <w:u w:val="single"/>
        </w:rPr>
        <w:t xml:space="preserve"> since then</w:t>
      </w:r>
      <w:r w:rsidRPr="00FD57B1">
        <w:t>.</w:t>
      </w:r>
    </w:p>
    <w:p w:rsidR="00FD57B1" w:rsidRDefault="00FD57B1" w:rsidP="00FD57B1">
      <w:pPr>
        <w:jc w:val="both"/>
      </w:pPr>
    </w:p>
    <w:p w:rsidR="00FD57B1" w:rsidRDefault="00FD57B1" w:rsidP="00FD57B1">
      <w:pPr>
        <w:jc w:val="both"/>
      </w:pPr>
      <w:r w:rsidRPr="00FD57B1">
        <w:t xml:space="preserve">The risk associated with the </w:t>
      </w:r>
      <w:r w:rsidR="00951D9A">
        <w:t>fiduciary</w:t>
      </w:r>
      <w:r w:rsidRPr="00FD57B1">
        <w:t xml:space="preserve"> entity is high before mitigation measures, due to the possible political interventions affecting the structure, management and staff of the PIU. All changes to the structure and staffing affecting the project implementation arrangements will be monitored by IDA. </w:t>
      </w:r>
    </w:p>
    <w:p w:rsidR="00E51BFE" w:rsidRPr="00FD57B1" w:rsidRDefault="00E51BFE" w:rsidP="00FD57B1">
      <w:pPr>
        <w:jc w:val="both"/>
        <w:rPr>
          <w:b/>
        </w:rPr>
      </w:pPr>
    </w:p>
    <w:p w:rsidR="00FD57B1" w:rsidRDefault="00FD57B1" w:rsidP="00FD57B1">
      <w:pPr>
        <w:jc w:val="both"/>
      </w:pPr>
      <w:r w:rsidRPr="00FD57B1">
        <w:rPr>
          <w:b/>
        </w:rPr>
        <w:t>Action Plan</w:t>
      </w:r>
    </w:p>
    <w:p w:rsidR="00FD57B1" w:rsidRDefault="00FD57B1" w:rsidP="00FD57B1">
      <w:pPr>
        <w:jc w:val="both"/>
      </w:pPr>
    </w:p>
    <w:p w:rsidR="00FD57B1" w:rsidRPr="00FD57B1" w:rsidRDefault="00FD57B1" w:rsidP="00FD57B1">
      <w:pPr>
        <w:jc w:val="both"/>
      </w:pPr>
      <w:r w:rsidRPr="00FD57B1">
        <w:t>The financial management arrangements of the Project are generally acceptable for the proposed project. However, one action is necessary to be taken after the project effectiveness, as stated below</w:t>
      </w:r>
      <w:r w:rsidRPr="00FD57B1">
        <w:rPr>
          <w:color w:val="000000"/>
        </w:rPr>
        <w:t>:</w:t>
      </w:r>
    </w:p>
    <w:p w:rsidR="00FD57B1" w:rsidRPr="00FD57B1" w:rsidRDefault="00FD57B1" w:rsidP="00FD57B1">
      <w:pPr>
        <w:autoSpaceDE w:val="0"/>
        <w:autoSpaceDN w:val="0"/>
        <w:adjustRightInd w:val="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070"/>
        <w:gridCol w:w="2520"/>
      </w:tblGrid>
      <w:tr w:rsidR="00FD57B1" w:rsidRPr="00FD57B1" w:rsidTr="00B51978">
        <w:tc>
          <w:tcPr>
            <w:tcW w:w="4068" w:type="dxa"/>
          </w:tcPr>
          <w:p w:rsidR="00FD57B1" w:rsidRPr="00FD57B1" w:rsidRDefault="00FD57B1" w:rsidP="00FD57B1">
            <w:pPr>
              <w:pStyle w:val="Outline"/>
              <w:spacing w:before="120"/>
              <w:jc w:val="both"/>
              <w:rPr>
                <w:b/>
                <w:kern w:val="0"/>
                <w:szCs w:val="24"/>
              </w:rPr>
            </w:pPr>
            <w:r w:rsidRPr="00FD57B1">
              <w:rPr>
                <w:b/>
                <w:kern w:val="0"/>
                <w:szCs w:val="24"/>
              </w:rPr>
              <w:t>Action</w:t>
            </w:r>
          </w:p>
        </w:tc>
        <w:tc>
          <w:tcPr>
            <w:tcW w:w="2070" w:type="dxa"/>
          </w:tcPr>
          <w:p w:rsidR="00FD57B1" w:rsidRPr="00FD57B1" w:rsidRDefault="00FD57B1" w:rsidP="00FD57B1">
            <w:pPr>
              <w:pStyle w:val="Outline"/>
              <w:spacing w:before="120"/>
              <w:jc w:val="both"/>
              <w:rPr>
                <w:b/>
                <w:kern w:val="0"/>
                <w:szCs w:val="24"/>
              </w:rPr>
            </w:pPr>
            <w:r w:rsidRPr="00FD57B1">
              <w:rPr>
                <w:b/>
                <w:kern w:val="0"/>
                <w:szCs w:val="24"/>
              </w:rPr>
              <w:t>Responsibility</w:t>
            </w:r>
          </w:p>
        </w:tc>
        <w:tc>
          <w:tcPr>
            <w:tcW w:w="2520" w:type="dxa"/>
          </w:tcPr>
          <w:p w:rsidR="00FD57B1" w:rsidRPr="00FD57B1" w:rsidRDefault="00FD57B1" w:rsidP="00FD57B1">
            <w:pPr>
              <w:pStyle w:val="Outline"/>
              <w:spacing w:before="120"/>
              <w:jc w:val="both"/>
              <w:rPr>
                <w:b/>
                <w:kern w:val="0"/>
                <w:szCs w:val="24"/>
              </w:rPr>
            </w:pPr>
            <w:r w:rsidRPr="00FD57B1">
              <w:rPr>
                <w:b/>
                <w:kern w:val="0"/>
                <w:szCs w:val="24"/>
              </w:rPr>
              <w:t>Deadline</w:t>
            </w:r>
          </w:p>
        </w:tc>
      </w:tr>
      <w:tr w:rsidR="00FD57B1" w:rsidRPr="00FD57B1" w:rsidTr="00B51978">
        <w:tc>
          <w:tcPr>
            <w:tcW w:w="4068" w:type="dxa"/>
          </w:tcPr>
          <w:p w:rsidR="00FD57B1" w:rsidRPr="00FD57B1" w:rsidRDefault="00FD57B1" w:rsidP="00FD57B1">
            <w:pPr>
              <w:autoSpaceDE w:val="0"/>
              <w:autoSpaceDN w:val="0"/>
              <w:adjustRightInd w:val="0"/>
              <w:spacing w:before="120"/>
              <w:jc w:val="both"/>
            </w:pPr>
            <w:r w:rsidRPr="00FD57B1">
              <w:t xml:space="preserve">To develop and adopt FM manual with detailed description </w:t>
            </w:r>
            <w:r w:rsidRPr="00FD57B1">
              <w:rPr>
                <w:color w:val="000000"/>
              </w:rPr>
              <w:t>of accounting, budgeting, internal controls, reporting and auditing arrangements to be used in the project, including the description of the procedures to be adopted or monitoring the cash /in-kind contribution from Go</w:t>
            </w:r>
            <w:r>
              <w:rPr>
                <w:color w:val="000000"/>
              </w:rPr>
              <w:t>M</w:t>
            </w:r>
            <w:r w:rsidRPr="00FD57B1">
              <w:rPr>
                <w:color w:val="000000"/>
              </w:rPr>
              <w:t xml:space="preserve"> and private sector.</w:t>
            </w:r>
          </w:p>
          <w:p w:rsidR="00FD57B1" w:rsidRPr="00FD57B1" w:rsidRDefault="00FD57B1" w:rsidP="00FD57B1">
            <w:pPr>
              <w:jc w:val="both"/>
            </w:pPr>
            <w:r w:rsidRPr="00FD57B1">
              <w:rPr>
                <w:color w:val="000000"/>
              </w:rPr>
              <w:t>The FM manual will include reporting formats and draft TORs for audit of project financial statements.</w:t>
            </w:r>
          </w:p>
        </w:tc>
        <w:tc>
          <w:tcPr>
            <w:tcW w:w="2070" w:type="dxa"/>
          </w:tcPr>
          <w:p w:rsidR="00FD57B1" w:rsidRPr="00FD57B1" w:rsidRDefault="00FD57B1" w:rsidP="00FD57B1">
            <w:pPr>
              <w:pStyle w:val="Outline"/>
              <w:spacing w:before="120"/>
              <w:jc w:val="both"/>
              <w:rPr>
                <w:kern w:val="0"/>
                <w:szCs w:val="24"/>
              </w:rPr>
            </w:pPr>
            <w:r w:rsidRPr="00FD57B1">
              <w:rPr>
                <w:kern w:val="0"/>
                <w:szCs w:val="24"/>
              </w:rPr>
              <w:t>PIU and CFU</w:t>
            </w:r>
          </w:p>
        </w:tc>
        <w:tc>
          <w:tcPr>
            <w:tcW w:w="2520" w:type="dxa"/>
          </w:tcPr>
          <w:p w:rsidR="00FD57B1" w:rsidRPr="00FD57B1" w:rsidRDefault="00FD57B1" w:rsidP="00FD57B1">
            <w:pPr>
              <w:pStyle w:val="Outline"/>
              <w:spacing w:before="120"/>
              <w:jc w:val="both"/>
              <w:rPr>
                <w:kern w:val="0"/>
                <w:szCs w:val="24"/>
              </w:rPr>
            </w:pPr>
            <w:r w:rsidRPr="00FD57B1">
              <w:rPr>
                <w:kern w:val="0"/>
                <w:szCs w:val="24"/>
              </w:rPr>
              <w:t>After the project becomes effective</w:t>
            </w:r>
          </w:p>
        </w:tc>
      </w:tr>
    </w:tbl>
    <w:p w:rsidR="00FD57B1" w:rsidRPr="00FD57B1" w:rsidRDefault="00FD57B1" w:rsidP="00FD57B1">
      <w:pPr>
        <w:jc w:val="both"/>
      </w:pPr>
    </w:p>
    <w:p w:rsidR="00FD57B1" w:rsidRPr="00FD57B1" w:rsidRDefault="00FD57B1" w:rsidP="00FD57B1">
      <w:pPr>
        <w:autoSpaceDE w:val="0"/>
        <w:autoSpaceDN w:val="0"/>
        <w:adjustRightInd w:val="0"/>
        <w:jc w:val="both"/>
        <w:rPr>
          <w:b/>
          <w:color w:val="000000"/>
        </w:rPr>
      </w:pPr>
      <w:r w:rsidRPr="00FD57B1">
        <w:rPr>
          <w:b/>
          <w:color w:val="000000"/>
        </w:rPr>
        <w:t>Proposed FM arrangements</w:t>
      </w:r>
    </w:p>
    <w:p w:rsidR="00FD57B1" w:rsidRPr="00FD57B1" w:rsidRDefault="00FD57B1" w:rsidP="00FD57B1">
      <w:pPr>
        <w:jc w:val="both"/>
        <w:rPr>
          <w:b/>
        </w:rPr>
      </w:pPr>
    </w:p>
    <w:p w:rsidR="00FD57B1" w:rsidRPr="00FD57B1" w:rsidRDefault="00FD57B1" w:rsidP="00FD57B1">
      <w:pPr>
        <w:jc w:val="both"/>
      </w:pPr>
      <w:r w:rsidRPr="00FD57B1">
        <w:rPr>
          <w:b/>
          <w:i/>
        </w:rPr>
        <w:t>Planning and Budgeting</w:t>
      </w:r>
      <w:r w:rsidR="005E4A94">
        <w:t xml:space="preserve">. </w:t>
      </w:r>
      <w:r w:rsidRPr="00FD57B1">
        <w:t>Currently, the PIU prepares an annual plan for the project based on procurement plan, which is sent for approval to the Ministry of Environment and Ministry of Finance.  The PIU financial officer monitors that the expenditure does not exceed the allocation/budget for the period (quarter/year). The annual budgets are also continuously monitored through interim reporting.</w:t>
      </w:r>
      <w:r w:rsidR="00097DDF">
        <w:t xml:space="preserve"> </w:t>
      </w:r>
      <w:r w:rsidRPr="00FD57B1">
        <w:t>The annual approved budgets are made public on the web-page of the Ministry of Financ</w:t>
      </w:r>
      <w:r w:rsidR="00097DDF">
        <w:t xml:space="preserve">e and in the official gazette. </w:t>
      </w:r>
      <w:r w:rsidRPr="00FD57B1">
        <w:t>The project budget will be included as a separate line in the state budget.</w:t>
      </w:r>
      <w:r w:rsidR="00097DDF">
        <w:t xml:space="preserve"> </w:t>
      </w:r>
      <w:r w:rsidRPr="00FD57B1">
        <w:t>There were no issues regarding budgeting in the current project and similar arrangements will be used for the proposed project.</w:t>
      </w:r>
    </w:p>
    <w:p w:rsidR="00FD57B1" w:rsidRPr="00FD57B1" w:rsidRDefault="00FD57B1" w:rsidP="00FD57B1">
      <w:pPr>
        <w:jc w:val="both"/>
      </w:pPr>
    </w:p>
    <w:p w:rsidR="00FD57B1" w:rsidRPr="00FD57B1" w:rsidRDefault="00FD57B1" w:rsidP="00FD57B1">
      <w:pPr>
        <w:jc w:val="both"/>
      </w:pPr>
      <w:r w:rsidRPr="00FD57B1">
        <w:rPr>
          <w:b/>
          <w:i/>
        </w:rPr>
        <w:t>Accounting System</w:t>
      </w:r>
      <w:r w:rsidR="005E4A94">
        <w:rPr>
          <w:b/>
          <w:i/>
        </w:rPr>
        <w:t>.</w:t>
      </w:r>
      <w:r w:rsidR="005E4A94">
        <w:t xml:space="preserve"> </w:t>
      </w:r>
      <w:r w:rsidRPr="00FD57B1">
        <w:t xml:space="preserve">The PIU has in place the accounting software 1C, which is widely used in Moldova. This software </w:t>
      </w:r>
      <w:r w:rsidRPr="00FD57B1">
        <w:rPr>
          <w:color w:val="000000"/>
        </w:rPr>
        <w:t>used for Moldovan statutory accounting and reporting as well as projects accounting and reporting for the W</w:t>
      </w:r>
      <w:r>
        <w:rPr>
          <w:color w:val="000000"/>
        </w:rPr>
        <w:t xml:space="preserve">orld </w:t>
      </w:r>
      <w:r w:rsidRPr="00FD57B1">
        <w:rPr>
          <w:color w:val="000000"/>
        </w:rPr>
        <w:t>B</w:t>
      </w:r>
      <w:r>
        <w:rPr>
          <w:color w:val="000000"/>
        </w:rPr>
        <w:t>ank</w:t>
      </w:r>
      <w:r>
        <w:t xml:space="preserve">. </w:t>
      </w:r>
      <w:r w:rsidRPr="00FD57B1">
        <w:t>It is able to produce reliable interim financial reports (IFRs) and Statements of Expenditures. The access to the system is protected by passwords. This system will be adjusted to incorporate the new project.</w:t>
      </w:r>
    </w:p>
    <w:p w:rsidR="00FD57B1" w:rsidRPr="00FD57B1" w:rsidRDefault="00FD57B1" w:rsidP="00FD57B1">
      <w:pPr>
        <w:jc w:val="both"/>
        <w:rPr>
          <w:b/>
        </w:rPr>
      </w:pPr>
    </w:p>
    <w:p w:rsidR="00097DDF" w:rsidRDefault="00FD57B1" w:rsidP="00097DDF">
      <w:pPr>
        <w:jc w:val="both"/>
      </w:pPr>
      <w:r w:rsidRPr="00FD57B1">
        <w:rPr>
          <w:b/>
          <w:i/>
        </w:rPr>
        <w:t>Accounting Staffing</w:t>
      </w:r>
      <w:r w:rsidR="005E4A94">
        <w:rPr>
          <w:b/>
          <w:i/>
        </w:rPr>
        <w:t>.</w:t>
      </w:r>
      <w:r w:rsidR="005E4A94">
        <w:t xml:space="preserve"> </w:t>
      </w:r>
      <w:r w:rsidRPr="00FD57B1">
        <w:t xml:space="preserve">The PIU is currently staffed with six persons. The </w:t>
      </w:r>
      <w:r w:rsidRPr="00FD57B1">
        <w:rPr>
          <w:color w:val="000000"/>
        </w:rPr>
        <w:t>financial management and accounting functions are covered by the financial specialist and the accountant.</w:t>
      </w:r>
      <w:r>
        <w:rPr>
          <w:color w:val="000000"/>
        </w:rPr>
        <w:t xml:space="preserve"> </w:t>
      </w:r>
      <w:r w:rsidRPr="00FD57B1">
        <w:rPr>
          <w:color w:val="000000"/>
        </w:rPr>
        <w:t>The financial specialist has been working with W</w:t>
      </w:r>
      <w:r>
        <w:rPr>
          <w:color w:val="000000"/>
        </w:rPr>
        <w:t xml:space="preserve">orld </w:t>
      </w:r>
      <w:r w:rsidRPr="00FD57B1">
        <w:rPr>
          <w:color w:val="000000"/>
        </w:rPr>
        <w:t>B</w:t>
      </w:r>
      <w:r>
        <w:rPr>
          <w:color w:val="000000"/>
        </w:rPr>
        <w:t>ank</w:t>
      </w:r>
      <w:r w:rsidRPr="00FD57B1">
        <w:rPr>
          <w:color w:val="000000"/>
        </w:rPr>
        <w:t xml:space="preserve"> financed projects since 1999 and is quite experienced</w:t>
      </w:r>
      <w:r w:rsidRPr="00FD57B1">
        <w:t xml:space="preserve">. </w:t>
      </w:r>
    </w:p>
    <w:p w:rsidR="00097DDF" w:rsidRDefault="00097DDF" w:rsidP="00097DDF">
      <w:pPr>
        <w:jc w:val="both"/>
      </w:pPr>
    </w:p>
    <w:p w:rsidR="00FD57B1" w:rsidRPr="00FD57B1" w:rsidRDefault="00FD57B1" w:rsidP="00097DDF">
      <w:pPr>
        <w:jc w:val="both"/>
      </w:pPr>
      <w:r w:rsidRPr="00FD57B1">
        <w:t>The Project’s accounting books and records will be maintained by the PIU on a modified accrual basis and presented in Moldovan Lei (MDL) with the exception of the books and records of the D</w:t>
      </w:r>
      <w:r w:rsidR="00097DDF">
        <w:t xml:space="preserve">esignated </w:t>
      </w:r>
      <w:r w:rsidRPr="00FD57B1">
        <w:t>A</w:t>
      </w:r>
      <w:r w:rsidR="00097DDF">
        <w:t>ccount</w:t>
      </w:r>
      <w:r w:rsidRPr="00FD57B1">
        <w:t xml:space="preserve"> which will be maintained in the currency of the </w:t>
      </w:r>
      <w:r w:rsidR="00097DDF">
        <w:t xml:space="preserve">grant </w:t>
      </w:r>
      <w:r w:rsidRPr="00FD57B1">
        <w:t xml:space="preserve">and in MDL. Accounting policies and procedures of the Project will be reflected </w:t>
      </w:r>
      <w:r w:rsidR="00097DDF">
        <w:t>in the Financial Manual</w:t>
      </w:r>
      <w:r w:rsidRPr="00FD57B1">
        <w:t>. Accounting policies will include the following major assumptions: (i) modified accrual accounting as the basis for recording transactions; (ii) reporting should be done in MDL and in the currency of the DA; and (iii) the cash method based project IFRs should be prepared covering all the project activities.</w:t>
      </w:r>
    </w:p>
    <w:p w:rsidR="00FD57B1" w:rsidRPr="00FD57B1" w:rsidRDefault="00FD57B1" w:rsidP="00FD57B1">
      <w:pPr>
        <w:jc w:val="both"/>
        <w:rPr>
          <w:b/>
        </w:rPr>
      </w:pPr>
    </w:p>
    <w:p w:rsidR="00861CBB" w:rsidRDefault="00FD57B1" w:rsidP="005E4A94">
      <w:pPr>
        <w:jc w:val="both"/>
        <w:rPr>
          <w:bCs/>
          <w:color w:val="000000"/>
        </w:rPr>
      </w:pPr>
      <w:r w:rsidRPr="00FD57B1">
        <w:rPr>
          <w:b/>
          <w:i/>
        </w:rPr>
        <w:t>Internal Control and Internal Audit</w:t>
      </w:r>
      <w:r w:rsidR="005E4A94">
        <w:rPr>
          <w:b/>
          <w:i/>
        </w:rPr>
        <w:t>.</w:t>
      </w:r>
      <w:r w:rsidR="005E4A94">
        <w:t xml:space="preserve"> </w:t>
      </w:r>
      <w:r w:rsidRPr="00FD57B1">
        <w:rPr>
          <w:color w:val="000000"/>
        </w:rPr>
        <w:t>The PIU has adequate internal controls, including regular reconciliation of bank accounts, adequate segregation of duties and performs monthly reconciliation of disbursement summaries of the World Bank with proje</w:t>
      </w:r>
      <w:r w:rsidR="00645C97">
        <w:rPr>
          <w:color w:val="000000"/>
        </w:rPr>
        <w:t xml:space="preserve">ct accounting records.  The PIU </w:t>
      </w:r>
      <w:r w:rsidRPr="00FD57B1">
        <w:rPr>
          <w:color w:val="000000"/>
        </w:rPr>
        <w:t>uses a comprehensive set of accounting policies and internal control procedures in accordance with the legislation and the project</w:t>
      </w:r>
      <w:r w:rsidR="00645C97">
        <w:rPr>
          <w:color w:val="000000"/>
        </w:rPr>
        <w:t>’</w:t>
      </w:r>
      <w:r w:rsidRPr="00FD57B1">
        <w:rPr>
          <w:color w:val="000000"/>
        </w:rPr>
        <w:t>s financial management manual.</w:t>
      </w:r>
      <w:r w:rsidR="00861CBB">
        <w:rPr>
          <w:bCs/>
          <w:color w:val="000000"/>
        </w:rPr>
        <w:t xml:space="preserve"> </w:t>
      </w:r>
    </w:p>
    <w:p w:rsidR="00861CBB" w:rsidRDefault="00861CBB" w:rsidP="00FD57B1">
      <w:pPr>
        <w:autoSpaceDE w:val="0"/>
        <w:autoSpaceDN w:val="0"/>
        <w:adjustRightInd w:val="0"/>
        <w:jc w:val="both"/>
        <w:rPr>
          <w:bCs/>
          <w:color w:val="000000"/>
        </w:rPr>
      </w:pPr>
    </w:p>
    <w:p w:rsidR="00FD57B1" w:rsidRPr="005E4A94" w:rsidRDefault="00FD57B1" w:rsidP="005E4A94">
      <w:pPr>
        <w:autoSpaceDE w:val="0"/>
        <w:autoSpaceDN w:val="0"/>
        <w:adjustRightInd w:val="0"/>
        <w:jc w:val="both"/>
        <w:rPr>
          <w:bCs/>
          <w:color w:val="000000"/>
        </w:rPr>
      </w:pPr>
      <w:r w:rsidRPr="00FD57B1">
        <w:rPr>
          <w:bCs/>
          <w:snapToGrid w:val="0"/>
          <w:color w:val="000000"/>
        </w:rPr>
        <w:t>Control over</w:t>
      </w:r>
      <w:r w:rsidR="00861CBB">
        <w:rPr>
          <w:bCs/>
          <w:snapToGrid w:val="0"/>
          <w:color w:val="000000"/>
        </w:rPr>
        <w:t xml:space="preserve"> the</w:t>
      </w:r>
      <w:r w:rsidRPr="00FD57B1">
        <w:rPr>
          <w:bCs/>
          <w:snapToGrid w:val="0"/>
          <w:color w:val="000000"/>
        </w:rPr>
        <w:t xml:space="preserve"> physical receipts of goods and works and payments is performed through: (i) civil works quality and quantity are certified by independent supervision consultants; (ii) the statements of completed civil works or invoices for goods which are submitted along with request for payment are signed and verified (quantity and quality) by the representatives of beneficiary, PIU engineer, PIU financial specialist, and project director. All payment documents are authorized by the PIU financial specialist and director</w:t>
      </w:r>
      <w:r w:rsidRPr="00FD57B1">
        <w:rPr>
          <w:color w:val="000000"/>
        </w:rPr>
        <w:t>. Given the fact that only fiduciary staff will be in charge of new project, a new Manual will be developed, which would reflect the a</w:t>
      </w:r>
      <w:r w:rsidRPr="00FD57B1">
        <w:t>ccounting policies and procedures of the Project</w:t>
      </w:r>
      <w:r w:rsidRPr="00FD57B1">
        <w:rPr>
          <w:color w:val="000000"/>
        </w:rPr>
        <w:t>. The Manual will be developed jointly with CFU.</w:t>
      </w:r>
    </w:p>
    <w:p w:rsidR="00FD57B1" w:rsidRPr="00FD57B1" w:rsidRDefault="00FD57B1" w:rsidP="00FD57B1">
      <w:pPr>
        <w:autoSpaceDE w:val="0"/>
        <w:autoSpaceDN w:val="0"/>
        <w:adjustRightInd w:val="0"/>
        <w:jc w:val="both"/>
      </w:pPr>
    </w:p>
    <w:p w:rsidR="00FD57B1" w:rsidRPr="00FD57B1" w:rsidRDefault="00FD57B1" w:rsidP="00FD57B1">
      <w:pPr>
        <w:autoSpaceDE w:val="0"/>
        <w:autoSpaceDN w:val="0"/>
        <w:adjustRightInd w:val="0"/>
        <w:jc w:val="both"/>
      </w:pPr>
      <w:r w:rsidRPr="00FD57B1">
        <w:t xml:space="preserve">There is no </w:t>
      </w:r>
      <w:r w:rsidRPr="00FD57B1">
        <w:rPr>
          <w:i/>
        </w:rPr>
        <w:t>internal audit department</w:t>
      </w:r>
      <w:r w:rsidRPr="00FD57B1">
        <w:t>/specialist in PIU, which is appropriate, given the size of the Unit. However, the Court of Account</w:t>
      </w:r>
      <w:r w:rsidR="00861CBB">
        <w:t>s (CoA)</w:t>
      </w:r>
      <w:r w:rsidRPr="00FD57B1">
        <w:t xml:space="preserve">, which is </w:t>
      </w:r>
      <w:r w:rsidR="00861CBB">
        <w:t xml:space="preserve">the </w:t>
      </w:r>
      <w:r w:rsidRPr="00FD57B1">
        <w:t>Supreme Audit Institution in the Republic of Moldova, performed an inspection</w:t>
      </w:r>
      <w:r w:rsidRPr="00FD57B1">
        <w:rPr>
          <w:rStyle w:val="FootnoteReference"/>
        </w:rPr>
        <w:footnoteReference w:id="15"/>
      </w:r>
      <w:r w:rsidRPr="00FD57B1">
        <w:t xml:space="preserve"> on use of credit funds under </w:t>
      </w:r>
      <w:r w:rsidR="00861CBB">
        <w:t xml:space="preserve">the </w:t>
      </w:r>
      <w:r w:rsidRPr="00FD57B1">
        <w:t>Pilot Water Supply and Sanitation Project. This inspection covered the period from 2003 to 2008 and stated a number of issues related to</w:t>
      </w:r>
      <w:r w:rsidRPr="00FD57B1">
        <w:rPr>
          <w:color w:val="000000"/>
        </w:rPr>
        <w:t xml:space="preserve"> the control systems of the project participants and implementing agency Apel</w:t>
      </w:r>
      <w:r w:rsidR="00861CBB">
        <w:rPr>
          <w:color w:val="000000"/>
        </w:rPr>
        <w:t>e Moldovei</w:t>
      </w:r>
      <w:r w:rsidRPr="00FD57B1">
        <w:rPr>
          <w:color w:val="000000"/>
        </w:rPr>
        <w:t xml:space="preserve"> (</w:t>
      </w:r>
      <w:r w:rsidR="00861CBB">
        <w:rPr>
          <w:color w:val="000000"/>
        </w:rPr>
        <w:t xml:space="preserve">such as </w:t>
      </w:r>
      <w:r w:rsidRPr="00FD57B1">
        <w:rPr>
          <w:color w:val="000000"/>
        </w:rPr>
        <w:t>ineligible or undocumented expenditures, and weaknesses in the procurement systems and quality of services and works). The CoA decision was to inform the Government about the results of the control. It also referred one particular case in Cahul for investigation by the Moldova Anti-Corruption Center in addition to requesting the implementing agency A</w:t>
      </w:r>
      <w:r w:rsidR="00861CBB">
        <w:rPr>
          <w:color w:val="000000"/>
        </w:rPr>
        <w:t xml:space="preserve">pele </w:t>
      </w:r>
      <w:r w:rsidRPr="00FD57B1">
        <w:rPr>
          <w:color w:val="000000"/>
        </w:rPr>
        <w:t>M</w:t>
      </w:r>
      <w:r w:rsidR="00861CBB">
        <w:rPr>
          <w:color w:val="000000"/>
        </w:rPr>
        <w:t>oldovei</w:t>
      </w:r>
      <w:r w:rsidRPr="00FD57B1">
        <w:rPr>
          <w:color w:val="000000"/>
        </w:rPr>
        <w:t xml:space="preserve"> and the participating water supply entities to address the issues stated in its report. The PIU submitted the supporting documents to </w:t>
      </w:r>
      <w:r w:rsidR="00861CBB" w:rsidRPr="00861CBB">
        <w:rPr>
          <w:color w:val="000000"/>
        </w:rPr>
        <w:t>Apele Moldovei</w:t>
      </w:r>
      <w:r w:rsidRPr="00FD57B1">
        <w:rPr>
          <w:color w:val="000000"/>
        </w:rPr>
        <w:t xml:space="preserve"> and </w:t>
      </w:r>
      <w:r w:rsidR="00861CBB">
        <w:rPr>
          <w:color w:val="000000"/>
        </w:rPr>
        <w:t xml:space="preserve">the CoA and </w:t>
      </w:r>
      <w:r w:rsidRPr="00FD57B1">
        <w:rPr>
          <w:color w:val="000000"/>
        </w:rPr>
        <w:t>address</w:t>
      </w:r>
      <w:r w:rsidR="00861CBB">
        <w:rPr>
          <w:color w:val="000000"/>
        </w:rPr>
        <w:t>ed</w:t>
      </w:r>
      <w:r w:rsidRPr="00FD57B1">
        <w:rPr>
          <w:color w:val="000000"/>
        </w:rPr>
        <w:t xml:space="preserve"> the issues identified in the report. </w:t>
      </w:r>
    </w:p>
    <w:p w:rsidR="00FD57B1" w:rsidRPr="00FD57B1" w:rsidRDefault="00FD57B1" w:rsidP="00FD57B1">
      <w:pPr>
        <w:jc w:val="both"/>
      </w:pPr>
    </w:p>
    <w:p w:rsidR="00FD57B1" w:rsidRPr="00FD57B1" w:rsidRDefault="00FD57B1" w:rsidP="005E4A94">
      <w:pPr>
        <w:jc w:val="both"/>
      </w:pPr>
      <w:r w:rsidRPr="00FD57B1">
        <w:rPr>
          <w:b/>
          <w:i/>
        </w:rPr>
        <w:t>Reporting and Monitoring</w:t>
      </w:r>
      <w:r w:rsidR="005E4A94">
        <w:rPr>
          <w:b/>
          <w:i/>
        </w:rPr>
        <w:t>.</w:t>
      </w:r>
      <w:r w:rsidR="005E4A94">
        <w:t xml:space="preserve"> </w:t>
      </w:r>
      <w:r w:rsidRPr="00FD57B1">
        <w:rPr>
          <w:color w:val="000000"/>
        </w:rPr>
        <w:t>Currently the PIU prepares and submits</w:t>
      </w:r>
      <w:r w:rsidR="00861CBB">
        <w:rPr>
          <w:color w:val="000000"/>
        </w:rPr>
        <w:t xml:space="preserve"> quarterly FMRs. </w:t>
      </w:r>
      <w:r w:rsidRPr="00FD57B1">
        <w:t xml:space="preserve">These reports were acceptable. For </w:t>
      </w:r>
      <w:r w:rsidR="005E4A94">
        <w:t xml:space="preserve">the </w:t>
      </w:r>
      <w:r w:rsidRPr="00FD57B1">
        <w:t>new project</w:t>
      </w:r>
      <w:r w:rsidR="005E4A94">
        <w:t>,</w:t>
      </w:r>
      <w:r w:rsidRPr="00FD57B1">
        <w:t xml:space="preserve"> the IFRs format will be agreed on and they will be submitted to IDA within 45 days after the end of calendar semester.</w:t>
      </w:r>
    </w:p>
    <w:p w:rsidR="00FD57B1" w:rsidRPr="00FD57B1" w:rsidRDefault="00FD57B1" w:rsidP="00FD57B1">
      <w:pPr>
        <w:jc w:val="both"/>
      </w:pPr>
    </w:p>
    <w:p w:rsidR="00FD57B1" w:rsidRPr="00FD57B1" w:rsidRDefault="00FD57B1" w:rsidP="005E4A94">
      <w:pPr>
        <w:spacing w:before="120"/>
        <w:jc w:val="both"/>
        <w:rPr>
          <w:color w:val="000000"/>
        </w:rPr>
      </w:pPr>
      <w:r w:rsidRPr="00FD57B1">
        <w:rPr>
          <w:b/>
          <w:i/>
        </w:rPr>
        <w:t>Funds Flow and Disbursement Arrangements</w:t>
      </w:r>
      <w:r w:rsidR="005E4A94">
        <w:rPr>
          <w:b/>
          <w:i/>
        </w:rPr>
        <w:t>.</w:t>
      </w:r>
      <w:r w:rsidR="005E4A94">
        <w:t xml:space="preserve"> </w:t>
      </w:r>
      <w:r w:rsidRPr="00FD57B1">
        <w:t xml:space="preserve">The PIU maintains separate bank accounts for all its projects: for NWSSP the account is opened in the Treasury through the BC Banca de Economii SA, and for GEF Project – in Moldindconbank, a commercial bank.  </w:t>
      </w:r>
      <w:r w:rsidRPr="00FD57B1">
        <w:rPr>
          <w:color w:val="000000"/>
        </w:rPr>
        <w:t>Both banks are included in the current list (website) of the authorized/licensed banks of the Republic of Moldova. The PIU did not have any problems with payments with either bank so far.</w:t>
      </w:r>
      <w:r w:rsidR="00861CBB">
        <w:rPr>
          <w:color w:val="000000"/>
        </w:rPr>
        <w:t xml:space="preserve"> </w:t>
      </w:r>
      <w:r w:rsidRPr="00FD57B1">
        <w:rPr>
          <w:color w:val="000000"/>
        </w:rPr>
        <w:t xml:space="preserve">The new project will use the same fund flow and disbursement arrangements as under the previous project (traditional disbursement techniques / SOEs &amp; SSs).  The </w:t>
      </w:r>
      <w:r w:rsidR="00861CBB">
        <w:rPr>
          <w:color w:val="000000"/>
        </w:rPr>
        <w:t xml:space="preserve">decision regarding the location of the </w:t>
      </w:r>
      <w:r w:rsidRPr="00FD57B1">
        <w:rPr>
          <w:color w:val="000000"/>
        </w:rPr>
        <w:t xml:space="preserve">designated account in US$ and transit MDL account will be </w:t>
      </w:r>
      <w:r w:rsidR="00861CBB">
        <w:rPr>
          <w:color w:val="000000"/>
        </w:rPr>
        <w:t>made before the start of the project implementation. The arrang</w:t>
      </w:r>
      <w:r w:rsidR="005E4A94">
        <w:rPr>
          <w:color w:val="000000"/>
        </w:rPr>
        <w:t>ement will be acceptab</w:t>
      </w:r>
      <w:r w:rsidR="00861CBB">
        <w:rPr>
          <w:color w:val="000000"/>
        </w:rPr>
        <w:t xml:space="preserve">le to IDA. </w:t>
      </w:r>
    </w:p>
    <w:p w:rsidR="00FD57B1" w:rsidRPr="00FD57B1" w:rsidRDefault="00FD57B1" w:rsidP="00FD57B1">
      <w:pPr>
        <w:autoSpaceDE w:val="0"/>
        <w:autoSpaceDN w:val="0"/>
        <w:adjustRightInd w:val="0"/>
        <w:jc w:val="both"/>
      </w:pPr>
    </w:p>
    <w:p w:rsidR="00FD57B1" w:rsidRPr="00FD57B1" w:rsidRDefault="00FD57B1" w:rsidP="00FD57B1">
      <w:pPr>
        <w:jc w:val="both"/>
      </w:pPr>
      <w:r w:rsidRPr="00FD57B1">
        <w:t>The PIU has access to the client connection and performs regular reconciliation of funds disbursed.</w:t>
      </w:r>
      <w:r w:rsidR="00861CBB">
        <w:t xml:space="preserve"> C</w:t>
      </w:r>
      <w:r w:rsidRPr="00FD57B1">
        <w:t xml:space="preserve">o-financing and counterpart funding: cash and in-kind co-financing is expected for this project. </w:t>
      </w:r>
    </w:p>
    <w:p w:rsidR="00FD57B1" w:rsidRPr="00FD57B1" w:rsidRDefault="00FD57B1" w:rsidP="00FD57B1">
      <w:pPr>
        <w:jc w:val="both"/>
      </w:pPr>
    </w:p>
    <w:p w:rsidR="00FD57B1" w:rsidRDefault="00FD57B1" w:rsidP="00FD57B1">
      <w:pPr>
        <w:jc w:val="both"/>
        <w:rPr>
          <w:color w:val="000000"/>
        </w:rPr>
      </w:pPr>
      <w:r w:rsidRPr="00FD57B1">
        <w:rPr>
          <w:b/>
          <w:i/>
        </w:rPr>
        <w:t>External Audit</w:t>
      </w:r>
      <w:r w:rsidR="005E4A94">
        <w:rPr>
          <w:b/>
          <w:i/>
        </w:rPr>
        <w:t>.</w:t>
      </w:r>
      <w:r w:rsidR="005E4A94">
        <w:t xml:space="preserve"> </w:t>
      </w:r>
      <w:r w:rsidRPr="00FD57B1">
        <w:t xml:space="preserve">The PIU activity is subject to annual audit. The audits were performed </w:t>
      </w:r>
      <w:r w:rsidR="00F452B5">
        <w:t xml:space="preserve">by </w:t>
      </w:r>
      <w:r w:rsidRPr="00FD57B1">
        <w:t>auditors acceptable to the Bank and on ag</w:t>
      </w:r>
      <w:r w:rsidR="00CD521F">
        <w:t>reed TO</w:t>
      </w:r>
      <w:r w:rsidRPr="00FD57B1">
        <w:t xml:space="preserve">Rs. The auditors issued unqualified audit opinion on the project financial statements. </w:t>
      </w:r>
      <w:r w:rsidRPr="00FD57B1">
        <w:rPr>
          <w:color w:val="000000"/>
        </w:rPr>
        <w:t xml:space="preserve">There was one internal control issue </w:t>
      </w:r>
      <w:r w:rsidR="00CD521F">
        <w:rPr>
          <w:color w:val="000000"/>
        </w:rPr>
        <w:t>(mentioned above in the Implementation A</w:t>
      </w:r>
      <w:r w:rsidR="00F452B5">
        <w:rPr>
          <w:color w:val="000000"/>
        </w:rPr>
        <w:t xml:space="preserve">rrangements Section), which has </w:t>
      </w:r>
      <w:r w:rsidR="00CD521F">
        <w:rPr>
          <w:color w:val="000000"/>
        </w:rPr>
        <w:t xml:space="preserve">been satisfactorily resolved. </w:t>
      </w:r>
    </w:p>
    <w:p w:rsidR="00CD521F" w:rsidRPr="00FD57B1" w:rsidRDefault="00CD521F" w:rsidP="00FD57B1">
      <w:pPr>
        <w:jc w:val="both"/>
      </w:pPr>
    </w:p>
    <w:p w:rsidR="00FD57B1" w:rsidRPr="00FD57B1" w:rsidRDefault="00FD57B1" w:rsidP="00FD57B1">
      <w:pPr>
        <w:jc w:val="both"/>
      </w:pPr>
      <w:r w:rsidRPr="00FD57B1">
        <w:t xml:space="preserve">The proposed project will be audited </w:t>
      </w:r>
      <w:r w:rsidR="00CD521F">
        <w:t xml:space="preserve">using </w:t>
      </w:r>
      <w:r w:rsidRPr="00FD57B1">
        <w:t xml:space="preserve">standard Bank TOR by independent auditors acceptable to the World Bank. Three annual audits </w:t>
      </w:r>
      <w:r w:rsidR="00F452B5">
        <w:t>have been</w:t>
      </w:r>
      <w:r w:rsidRPr="00FD57B1">
        <w:t xml:space="preserve"> budgeted for the project. However, given the small </w:t>
      </w:r>
      <w:r w:rsidR="00F452B5">
        <w:t>size of the project two audits may</w:t>
      </w:r>
      <w:r w:rsidRPr="00FD57B1">
        <w:t xml:space="preserve"> be enough and the PIU should seek for audit waiver once the implementation is progressing.</w:t>
      </w:r>
    </w:p>
    <w:p w:rsidR="00FD57B1" w:rsidRPr="00FD57B1" w:rsidRDefault="00FD57B1" w:rsidP="00FD57B1">
      <w:pPr>
        <w:jc w:val="both"/>
        <w:rPr>
          <w:b/>
        </w:rPr>
      </w:pPr>
    </w:p>
    <w:p w:rsidR="00FD57B1" w:rsidRPr="00FD57B1" w:rsidRDefault="00FD57B1" w:rsidP="00FD57B1">
      <w:pPr>
        <w:jc w:val="both"/>
      </w:pPr>
      <w:r w:rsidRPr="00FD57B1">
        <w:rPr>
          <w:b/>
        </w:rPr>
        <w:t>Supervision Plan</w:t>
      </w:r>
    </w:p>
    <w:p w:rsidR="00FD57B1" w:rsidRPr="00FD57B1" w:rsidRDefault="00FD57B1" w:rsidP="00FD57B1">
      <w:pPr>
        <w:jc w:val="both"/>
        <w:rPr>
          <w:color w:val="000000"/>
        </w:rPr>
      </w:pPr>
    </w:p>
    <w:p w:rsidR="00FD57B1" w:rsidRPr="00FD57B1" w:rsidRDefault="00FD57B1" w:rsidP="00FD57B1">
      <w:pPr>
        <w:jc w:val="both"/>
      </w:pPr>
      <w:r w:rsidRPr="00FD57B1">
        <w:t xml:space="preserve">During </w:t>
      </w:r>
      <w:r w:rsidR="00951B7B">
        <w:t xml:space="preserve">the </w:t>
      </w:r>
      <w:r w:rsidRPr="00FD57B1">
        <w:t xml:space="preserve">project implementation, IDA will </w:t>
      </w:r>
      <w:r w:rsidRPr="00FD57B1">
        <w:rPr>
          <w:color w:val="000000"/>
        </w:rPr>
        <w:t>supervise</w:t>
      </w:r>
      <w:r w:rsidRPr="00FD57B1">
        <w:t xml:space="preserve"> the project’s financial management arrangements in the following ways: </w:t>
      </w:r>
      <w:r w:rsidRPr="00FD57B1">
        <w:rPr>
          <w:i/>
        </w:rPr>
        <w:t xml:space="preserve">(a) </w:t>
      </w:r>
      <w:r w:rsidRPr="00FD57B1">
        <w:t>review the project’s semi-annual interim financial reports as well as the project’s annual audited financial statements and auditor’s management letter</w:t>
      </w:r>
      <w:r w:rsidRPr="00FD57B1">
        <w:rPr>
          <w:color w:val="000000"/>
        </w:rPr>
        <w:t xml:space="preserve">, remedial </w:t>
      </w:r>
      <w:r w:rsidRPr="00FD57B1">
        <w:t>actions</w:t>
      </w:r>
      <w:r w:rsidRPr="00FD57B1">
        <w:rPr>
          <w:color w:val="000000"/>
        </w:rPr>
        <w:t xml:space="preserve"> recommended in the auditor’s Management Letters; </w:t>
      </w:r>
      <w:r w:rsidRPr="00FD57B1">
        <w:rPr>
          <w:i/>
        </w:rPr>
        <w:t xml:space="preserve">(b) </w:t>
      </w:r>
      <w:r w:rsidRPr="00FD57B1">
        <w:t xml:space="preserve">during IDA’s on-site supervision missions, review the following key areas: </w:t>
      </w:r>
      <w:r w:rsidRPr="00FD57B1">
        <w:rPr>
          <w:i/>
        </w:rPr>
        <w:t xml:space="preserve">(i) </w:t>
      </w:r>
      <w:r w:rsidRPr="00FD57B1">
        <w:rPr>
          <w:color w:val="000000"/>
        </w:rPr>
        <w:t xml:space="preserve">project accounting and internal control systems; </w:t>
      </w:r>
      <w:r w:rsidRPr="00FD57B1">
        <w:rPr>
          <w:i/>
        </w:rPr>
        <w:t>(ii)</w:t>
      </w:r>
      <w:r w:rsidRPr="00FD57B1">
        <w:rPr>
          <w:color w:val="000000"/>
        </w:rPr>
        <w:t xml:space="preserve"> budgeting and financial planning arrangements; </w:t>
      </w:r>
      <w:r w:rsidRPr="00FD57B1">
        <w:rPr>
          <w:i/>
        </w:rPr>
        <w:t>(iii)</w:t>
      </w:r>
      <w:r w:rsidRPr="00FD57B1">
        <w:rPr>
          <w:color w:val="000000"/>
        </w:rPr>
        <w:t xml:space="preserve"> disbursement management and financial flows, including counterpart funds, as applicable; and </w:t>
      </w:r>
      <w:r w:rsidRPr="00FD57B1">
        <w:rPr>
          <w:i/>
        </w:rPr>
        <w:t>(iv)</w:t>
      </w:r>
      <w:r w:rsidRPr="00FD57B1">
        <w:rPr>
          <w:color w:val="000000"/>
        </w:rPr>
        <w:t xml:space="preserve"> any</w:t>
      </w:r>
      <w:r w:rsidRPr="00FD57B1">
        <w:t xml:space="preserve"> incidences of corrupt practices involving project resources; and </w:t>
      </w:r>
      <w:r w:rsidRPr="00951B7B">
        <w:rPr>
          <w:i/>
        </w:rPr>
        <w:t>(c)</w:t>
      </w:r>
      <w:r w:rsidRPr="00FD57B1">
        <w:t xml:space="preserve"> joint financial management and procurement contract post reviews will be conducted once per year</w:t>
      </w:r>
      <w:r w:rsidRPr="00FD57B1">
        <w:rPr>
          <w:color w:val="000000"/>
        </w:rPr>
        <w:t xml:space="preserve">. In addition, </w:t>
      </w:r>
      <w:r w:rsidRPr="00FD57B1">
        <w:t xml:space="preserve">on-going support will be provided as needs arise. </w:t>
      </w:r>
    </w:p>
    <w:p w:rsidR="00FD32D3" w:rsidRDefault="00FD32D3" w:rsidP="00FD57B1">
      <w:pPr>
        <w:rPr>
          <w:b/>
        </w:rPr>
      </w:pPr>
    </w:p>
    <w:p w:rsidR="00F80783" w:rsidRPr="00DC68B8" w:rsidRDefault="00F80783" w:rsidP="00A64E02">
      <w:pPr>
        <w:jc w:val="right"/>
        <w:rPr>
          <w:b/>
          <w:smallCaps/>
        </w:rPr>
      </w:pPr>
      <w:r w:rsidRPr="00315777">
        <w:rPr>
          <w:b/>
        </w:rPr>
        <w:br w:type="page"/>
      </w:r>
      <w:r>
        <w:rPr>
          <w:b/>
          <w:smallCaps/>
        </w:rPr>
        <w:t>Annex 7</w:t>
      </w:r>
    </w:p>
    <w:p w:rsidR="00F80783" w:rsidRPr="00DC68B8" w:rsidRDefault="00F80783" w:rsidP="00F80783">
      <w:pPr>
        <w:ind w:left="360"/>
        <w:jc w:val="center"/>
        <w:rPr>
          <w:b/>
          <w:smallCaps/>
        </w:rPr>
      </w:pPr>
      <w:r w:rsidRPr="00DC68B8">
        <w:rPr>
          <w:b/>
          <w:smallCaps/>
        </w:rPr>
        <w:t>biogas generation from animal manure pilot project</w:t>
      </w:r>
    </w:p>
    <w:p w:rsidR="00F80783" w:rsidRPr="00DC68B8" w:rsidRDefault="00F80783" w:rsidP="00F80783">
      <w:pPr>
        <w:ind w:left="360"/>
        <w:jc w:val="center"/>
        <w:rPr>
          <w:b/>
          <w:smallCaps/>
        </w:rPr>
      </w:pPr>
      <w:r>
        <w:rPr>
          <w:b/>
          <w:smallCaps/>
        </w:rPr>
        <w:t>Annex 7: Environmental</w:t>
      </w:r>
      <w:r w:rsidR="00B314FB">
        <w:rPr>
          <w:b/>
          <w:smallCaps/>
        </w:rPr>
        <w:t xml:space="preserve"> and Social</w:t>
      </w:r>
      <w:r>
        <w:rPr>
          <w:b/>
          <w:smallCaps/>
        </w:rPr>
        <w:t xml:space="preserve"> Safeguards Assessment</w:t>
      </w:r>
    </w:p>
    <w:p w:rsidR="00F80783" w:rsidRDefault="00F80783" w:rsidP="00C31A5F">
      <w:pPr>
        <w:jc w:val="both"/>
      </w:pPr>
    </w:p>
    <w:p w:rsidR="00B314FB" w:rsidRPr="00B314FB" w:rsidRDefault="00B314FB" w:rsidP="00B314FB">
      <w:pPr>
        <w:jc w:val="both"/>
        <w:rPr>
          <w:color w:val="000000"/>
        </w:rPr>
      </w:pPr>
      <w:r w:rsidRPr="00B314FB">
        <w:rPr>
          <w:b/>
          <w:i/>
        </w:rPr>
        <w:t>Purpose of Environmental Management Plan.</w:t>
      </w:r>
      <w:r w:rsidRPr="00B314FB">
        <w:rPr>
          <w:b/>
        </w:rPr>
        <w:t xml:space="preserve"> </w:t>
      </w:r>
      <w:r w:rsidRPr="00B314FB">
        <w:rPr>
          <w:color w:val="000000"/>
        </w:rPr>
        <w:t>The purpose of the Environmental Management Plan (EMP) is to provide an outline of the mitigation measures that will be implemented to manage potential negative environmental impacts associated with the project implementation along with the necessary monitoring activities. The proposed EMP is not site-specific</w:t>
      </w:r>
      <w:r w:rsidRPr="00B314FB">
        <w:rPr>
          <w:bCs/>
        </w:rPr>
        <w:t xml:space="preserve"> and will be updated as needed during project implementation when the details about the specific farms/sites where the two pilot biodigesters will be installed and certain technical design details will become known. </w:t>
      </w:r>
    </w:p>
    <w:p w:rsidR="00B314FB" w:rsidRPr="00B314FB" w:rsidRDefault="00B314FB" w:rsidP="00B314FB">
      <w:pPr>
        <w:autoSpaceDE w:val="0"/>
        <w:autoSpaceDN w:val="0"/>
        <w:adjustRightInd w:val="0"/>
        <w:spacing w:line="240" w:lineRule="atLeast"/>
        <w:jc w:val="both"/>
        <w:rPr>
          <w:b/>
        </w:rPr>
      </w:pPr>
    </w:p>
    <w:p w:rsidR="00B314FB" w:rsidRPr="00B314FB" w:rsidRDefault="00B314FB" w:rsidP="00B314FB">
      <w:pPr>
        <w:jc w:val="both"/>
        <w:rPr>
          <w:b/>
          <w:bCs/>
          <w:color w:val="000000"/>
          <w:spacing w:val="-1"/>
        </w:rPr>
      </w:pPr>
      <w:r w:rsidRPr="00B314FB">
        <w:rPr>
          <w:b/>
          <w:bCs/>
          <w:i/>
        </w:rPr>
        <w:t xml:space="preserve">Project Objective. </w:t>
      </w:r>
      <w:r w:rsidRPr="00B314FB">
        <w:t>The objective of the project is to pilot use of animal manure for on-farm biogas and electricity generation through introduction of an innovative, environmentally friendly technology. The project will provide an integrated approach to piloting the use of biogas and will contribute to the reduction of climate change effects and of water resource pollution, bringing benefits to the farming sector through improved manure management practices and to the energy sector through the introduction of environmentally friendly energy installations</w:t>
      </w:r>
      <w:r w:rsidR="001D3422">
        <w:t>.</w:t>
      </w:r>
    </w:p>
    <w:p w:rsidR="00B314FB" w:rsidRPr="00B314FB" w:rsidRDefault="00B314FB" w:rsidP="00B314FB">
      <w:pPr>
        <w:autoSpaceDE w:val="0"/>
        <w:autoSpaceDN w:val="0"/>
        <w:adjustRightInd w:val="0"/>
        <w:spacing w:line="240" w:lineRule="atLeast"/>
        <w:jc w:val="both"/>
        <w:rPr>
          <w:b/>
        </w:rPr>
      </w:pPr>
    </w:p>
    <w:p w:rsidR="00B314FB" w:rsidRPr="00B314FB" w:rsidRDefault="00B314FB" w:rsidP="00B314FB">
      <w:pPr>
        <w:jc w:val="both"/>
      </w:pPr>
      <w:r>
        <w:rPr>
          <w:b/>
          <w:i/>
        </w:rPr>
        <w:t>Project D</w:t>
      </w:r>
      <w:r w:rsidRPr="00B314FB">
        <w:rPr>
          <w:b/>
          <w:i/>
        </w:rPr>
        <w:t>escription.</w:t>
      </w:r>
      <w:r w:rsidRPr="00B314FB">
        <w:t xml:space="preserve"> The Biogas Generation f</w:t>
      </w:r>
      <w:r w:rsidR="001D3422">
        <w:t>r</w:t>
      </w:r>
      <w:r w:rsidRPr="00B314FB">
        <w:t>om Animal Manure Pilot Project (he</w:t>
      </w:r>
      <w:r>
        <w:t>reafter: BGAMP) consists of four</w:t>
      </w:r>
      <w:r w:rsidRPr="00B314FB">
        <w:t xml:space="preserve"> components. </w:t>
      </w:r>
      <w:r w:rsidRPr="00B314FB">
        <w:rPr>
          <w:i/>
          <w:color w:val="000000"/>
        </w:rPr>
        <w:t>Component 1: Enabling legislative and policy environment</w:t>
      </w:r>
      <w:r w:rsidRPr="00B314FB">
        <w:rPr>
          <w:color w:val="000000"/>
        </w:rPr>
        <w:t xml:space="preserve"> includes: (i) certification and licensing of biodigesters for use in Moldova and (ii) cooperation with the country’s energy regulator to allow smaller electricity producers </w:t>
      </w:r>
      <w:r w:rsidR="001D3422">
        <w:rPr>
          <w:color w:val="000000"/>
        </w:rPr>
        <w:t xml:space="preserve">to </w:t>
      </w:r>
      <w:r w:rsidRPr="00B314FB">
        <w:rPr>
          <w:color w:val="000000"/>
        </w:rPr>
        <w:t xml:space="preserve">sell surplus electricity into the national grid. </w:t>
      </w:r>
      <w:r w:rsidRPr="00B314FB">
        <w:rPr>
          <w:i/>
          <w:color w:val="000000"/>
        </w:rPr>
        <w:t xml:space="preserve">Component 2: </w:t>
      </w:r>
      <w:r w:rsidRPr="00B314FB">
        <w:rPr>
          <w:i/>
          <w:noProof/>
        </w:rPr>
        <w:t xml:space="preserve">Technical assistance, capacity building and awareness raising on sound animal waste management, and animal manure-based biodigester and electricity generation technologies </w:t>
      </w:r>
      <w:r w:rsidRPr="00B314FB">
        <w:rPr>
          <w:noProof/>
        </w:rPr>
        <w:t>will contribute t</w:t>
      </w:r>
      <w:r w:rsidRPr="00B314FB">
        <w:rPr>
          <w:color w:val="000000"/>
        </w:rPr>
        <w:t xml:space="preserve">o promotion of sound animal manure management practices and mainstreaming of the use of biodigester technologies, the activities will include </w:t>
      </w:r>
      <w:r w:rsidRPr="00B314FB">
        <w:t>capacity-building</w:t>
      </w:r>
      <w:r>
        <w:t xml:space="preserve">; as well as </w:t>
      </w:r>
      <w:r w:rsidRPr="00B314FB">
        <w:rPr>
          <w:color w:val="000000"/>
        </w:rPr>
        <w:t xml:space="preserve">will assist local producers with knowledge transfer and capacity building in various biodigester and co-generation equipment technologies to reduce the investment cost. </w:t>
      </w:r>
      <w:r>
        <w:rPr>
          <w:i/>
          <w:color w:val="000000"/>
        </w:rPr>
        <w:t>Component 3</w:t>
      </w:r>
      <w:r w:rsidRPr="00B314FB">
        <w:rPr>
          <w:i/>
          <w:color w:val="000000"/>
        </w:rPr>
        <w:t xml:space="preserve">: Biodigester Investment Grants </w:t>
      </w:r>
      <w:r w:rsidRPr="00B314FB">
        <w:rPr>
          <w:color w:val="000000"/>
        </w:rPr>
        <w:t xml:space="preserve">which will test and implement pilot biodigester technologies on livestock farms where the small carbon emission reductions prevent them from obtaining co-financing investments from carbon benefits. </w:t>
      </w:r>
      <w:r w:rsidRPr="00B314FB">
        <w:t xml:space="preserve">Under this component it is proposed to support installation of biodigesters on two livestock farms. </w:t>
      </w:r>
      <w:r w:rsidRPr="00B314FB">
        <w:rPr>
          <w:i/>
        </w:rPr>
        <w:t xml:space="preserve">Component </w:t>
      </w:r>
      <w:r>
        <w:rPr>
          <w:i/>
        </w:rPr>
        <w:t>4</w:t>
      </w:r>
      <w:r w:rsidRPr="00B314FB">
        <w:rPr>
          <w:i/>
        </w:rPr>
        <w:t xml:space="preserve">: </w:t>
      </w:r>
      <w:r w:rsidRPr="00B314FB">
        <w:t xml:space="preserve">Project Management and Safeguards. </w:t>
      </w:r>
    </w:p>
    <w:p w:rsidR="00B314FB" w:rsidRPr="00B314FB" w:rsidRDefault="00B314FB" w:rsidP="00B314FB">
      <w:pPr>
        <w:autoSpaceDE w:val="0"/>
        <w:autoSpaceDN w:val="0"/>
        <w:adjustRightInd w:val="0"/>
        <w:rPr>
          <w:b/>
        </w:rPr>
      </w:pPr>
    </w:p>
    <w:p w:rsidR="00B314FB" w:rsidRPr="00B314FB" w:rsidRDefault="00B314FB" w:rsidP="00B314FB">
      <w:pPr>
        <w:jc w:val="both"/>
        <w:rPr>
          <w:iCs/>
        </w:rPr>
      </w:pPr>
      <w:r w:rsidRPr="00B314FB">
        <w:rPr>
          <w:b/>
          <w:i/>
        </w:rPr>
        <w:t>Location.</w:t>
      </w:r>
      <w:r w:rsidRPr="00B314FB">
        <w:t xml:space="preserve"> While the TA activities will cover the whole country, t</w:t>
      </w:r>
      <w:r w:rsidRPr="00B314FB">
        <w:rPr>
          <w:iCs/>
        </w:rPr>
        <w:t>he location for installation of the two pilot biodigesters will be determined during the project implementation.</w:t>
      </w:r>
    </w:p>
    <w:p w:rsidR="00B314FB" w:rsidRPr="00B314FB" w:rsidRDefault="00B314FB" w:rsidP="00B314FB">
      <w:pPr>
        <w:autoSpaceDE w:val="0"/>
        <w:autoSpaceDN w:val="0"/>
        <w:adjustRightInd w:val="0"/>
        <w:jc w:val="both"/>
        <w:rPr>
          <w:rFonts w:eastAsia="MS Mincho"/>
          <w:color w:val="000000"/>
          <w:lang w:eastAsia="ja-JP"/>
        </w:rPr>
      </w:pPr>
    </w:p>
    <w:p w:rsidR="00B314FB" w:rsidRPr="00B314FB" w:rsidRDefault="00B314FB" w:rsidP="00B314FB">
      <w:pPr>
        <w:jc w:val="both"/>
      </w:pPr>
      <w:r>
        <w:rPr>
          <w:b/>
          <w:i/>
        </w:rPr>
        <w:t>Project C</w:t>
      </w:r>
      <w:r w:rsidRPr="00B314FB">
        <w:rPr>
          <w:b/>
          <w:i/>
        </w:rPr>
        <w:t>ategory.</w:t>
      </w:r>
      <w:r w:rsidRPr="00B314FB">
        <w:t xml:space="preserve"> While most of the proposed activities will not have any impact on the environment, the project might have some adverse impacts related to biodigester construction and operation. </w:t>
      </w:r>
      <w:r w:rsidR="001D3422">
        <w:t xml:space="preserve">As such, </w:t>
      </w:r>
      <w:r w:rsidRPr="00B314FB">
        <w:t xml:space="preserve">the proposed project is considered as </w:t>
      </w:r>
      <w:r w:rsidR="001D3422">
        <w:t xml:space="preserve">a </w:t>
      </w:r>
      <w:r w:rsidRPr="00B314FB">
        <w:t>“low risk Category B” project, for which a simple EMP is required.</w:t>
      </w:r>
    </w:p>
    <w:p w:rsidR="00B314FB" w:rsidRPr="00B314FB" w:rsidRDefault="00B314FB" w:rsidP="00B314FB">
      <w:pPr>
        <w:pStyle w:val="ListBullet"/>
        <w:rPr>
          <w:sz w:val="24"/>
          <w:szCs w:val="24"/>
        </w:rPr>
      </w:pPr>
    </w:p>
    <w:p w:rsidR="00B314FB" w:rsidRPr="00B314FB" w:rsidRDefault="00B314FB" w:rsidP="00B314FB">
      <w:pPr>
        <w:tabs>
          <w:tab w:val="left" w:pos="990"/>
        </w:tabs>
        <w:jc w:val="both"/>
        <w:rPr>
          <w:iCs/>
        </w:rPr>
      </w:pPr>
      <w:r w:rsidRPr="00B314FB">
        <w:rPr>
          <w:b/>
          <w:i/>
        </w:rPr>
        <w:t>Moldovan</w:t>
      </w:r>
      <w:r w:rsidRPr="00B314FB">
        <w:t xml:space="preserve"> </w:t>
      </w:r>
      <w:r w:rsidRPr="00B314FB">
        <w:rPr>
          <w:b/>
          <w:i/>
        </w:rPr>
        <w:t xml:space="preserve">Regulatory framework for EA. </w:t>
      </w:r>
      <w:r w:rsidRPr="00B314FB">
        <w:t xml:space="preserve"> Moldova has </w:t>
      </w:r>
      <w:r w:rsidRPr="00B314FB">
        <w:rPr>
          <w:iCs/>
        </w:rPr>
        <w:t>in place a well developed EA system, environmental legal instruments and technical standards which will be applied for Project implementation. The national EA regulatory framework is generally in line with World Bank EA requirements. Furthermore, Moldova has a good record in implementing projects for various infrastructure projects which comply with W</w:t>
      </w:r>
      <w:r w:rsidR="001D3422">
        <w:rPr>
          <w:iCs/>
        </w:rPr>
        <w:t xml:space="preserve">orld </w:t>
      </w:r>
      <w:r w:rsidRPr="00B314FB">
        <w:rPr>
          <w:iCs/>
        </w:rPr>
        <w:t>B</w:t>
      </w:r>
      <w:r w:rsidR="001D3422">
        <w:rPr>
          <w:iCs/>
        </w:rPr>
        <w:t>ank</w:t>
      </w:r>
      <w:r w:rsidRPr="00B314FB">
        <w:rPr>
          <w:iCs/>
        </w:rPr>
        <w:t xml:space="preserve"> and National EA rules and procedures. </w:t>
      </w:r>
    </w:p>
    <w:p w:rsidR="00B314FB" w:rsidRPr="00B314FB" w:rsidRDefault="00B314FB" w:rsidP="00B314FB">
      <w:pPr>
        <w:pStyle w:val="BodyText3"/>
        <w:spacing w:after="0"/>
        <w:jc w:val="both"/>
        <w:rPr>
          <w:b/>
          <w:i/>
          <w:sz w:val="24"/>
          <w:szCs w:val="24"/>
        </w:rPr>
      </w:pPr>
    </w:p>
    <w:p w:rsidR="00B314FB" w:rsidRPr="00B314FB" w:rsidRDefault="00B314FB" w:rsidP="00B314FB">
      <w:pPr>
        <w:jc w:val="both"/>
        <w:rPr>
          <w:b/>
        </w:rPr>
      </w:pPr>
      <w:r w:rsidRPr="00B314FB">
        <w:rPr>
          <w:b/>
          <w:i/>
        </w:rPr>
        <w:t>Institutional framework and capacities to perform safeguards.</w:t>
      </w:r>
      <w:r w:rsidRPr="00B314FB">
        <w:rPr>
          <w:b/>
        </w:rPr>
        <w:t xml:space="preserve"> </w:t>
      </w:r>
      <w:r w:rsidRPr="00B314FB">
        <w:t xml:space="preserve">The implementation of project environmental safeguards will be done by the existing Project Management Team (PMT) under the Ministry of Environment (MOE). The PMT has an assigned staff member with such responsibilities, and adequate experience, as the PMT is currently implementing the full-size GEF POPs Stockpiles Management and Destruction Project, which is a Category A project. The results of implementation of the GEF POPs </w:t>
      </w:r>
      <w:r w:rsidR="001D3422">
        <w:t>P</w:t>
      </w:r>
      <w:r w:rsidRPr="00B314FB">
        <w:t>roject</w:t>
      </w:r>
      <w:r w:rsidR="001D3422">
        <w:t>’s</w:t>
      </w:r>
      <w:r w:rsidRPr="00B314FB">
        <w:t xml:space="preserve"> environmental safeguards are considered very positive. The Project will support additional information dissemination and training activities to ensure the environmental requirements and the EMP provisions would be fully implemented.</w:t>
      </w:r>
    </w:p>
    <w:p w:rsidR="00B314FB" w:rsidRPr="00B314FB" w:rsidRDefault="00B314FB" w:rsidP="00B314FB">
      <w:pPr>
        <w:tabs>
          <w:tab w:val="left" w:pos="990"/>
        </w:tabs>
        <w:jc w:val="both"/>
      </w:pPr>
    </w:p>
    <w:p w:rsidR="00B314FB" w:rsidRPr="00B314FB" w:rsidRDefault="00B314FB" w:rsidP="00B314FB">
      <w:pPr>
        <w:pStyle w:val="BodyText3"/>
        <w:spacing w:after="0"/>
        <w:jc w:val="both"/>
        <w:rPr>
          <w:color w:val="000000"/>
          <w:sz w:val="24"/>
          <w:szCs w:val="24"/>
        </w:rPr>
      </w:pPr>
      <w:r w:rsidRPr="00B314FB">
        <w:rPr>
          <w:b/>
          <w:i/>
          <w:sz w:val="24"/>
          <w:szCs w:val="24"/>
        </w:rPr>
        <w:t xml:space="preserve">Environmental Guidelines. </w:t>
      </w:r>
      <w:r w:rsidR="00AF14D4">
        <w:rPr>
          <w:bCs/>
          <w:sz w:val="24"/>
          <w:szCs w:val="24"/>
        </w:rPr>
        <w:t>Environmental Guidelines</w:t>
      </w:r>
      <w:r w:rsidRPr="00B314FB">
        <w:rPr>
          <w:bCs/>
          <w:sz w:val="24"/>
          <w:szCs w:val="24"/>
        </w:rPr>
        <w:t xml:space="preserve"> include: </w:t>
      </w:r>
      <w:r w:rsidRPr="00B314FB">
        <w:rPr>
          <w:sz w:val="24"/>
          <w:szCs w:val="24"/>
        </w:rPr>
        <w:t>(i)</w:t>
      </w:r>
      <w:r w:rsidRPr="00B314FB">
        <w:rPr>
          <w:bCs/>
          <w:sz w:val="24"/>
          <w:szCs w:val="24"/>
        </w:rPr>
        <w:t xml:space="preserve"> procedures for environmental site assessment and baseline analysis; (ii) potential environmental and social impacts of the</w:t>
      </w:r>
      <w:r w:rsidRPr="00B314FB">
        <w:rPr>
          <w:color w:val="000000"/>
          <w:sz w:val="24"/>
          <w:szCs w:val="24"/>
        </w:rPr>
        <w:t xml:space="preserve"> construction of biodigesters and their operation; (iii) mitigation measures; and (iv) monitoring activities. </w:t>
      </w:r>
    </w:p>
    <w:p w:rsidR="00B314FB" w:rsidRPr="00B314FB" w:rsidRDefault="00B314FB" w:rsidP="00B314FB">
      <w:pPr>
        <w:tabs>
          <w:tab w:val="left" w:pos="990"/>
        </w:tabs>
        <w:jc w:val="both"/>
      </w:pPr>
    </w:p>
    <w:p w:rsidR="00B314FB" w:rsidRPr="00AF14D4" w:rsidRDefault="00B314FB" w:rsidP="00B314FB">
      <w:pPr>
        <w:jc w:val="both"/>
      </w:pPr>
      <w:r w:rsidRPr="00B314FB">
        <w:rPr>
          <w:b/>
          <w:i/>
        </w:rPr>
        <w:t>Potential environmental impacts.</w:t>
      </w:r>
      <w:r w:rsidRPr="00B314FB">
        <w:t xml:space="preserve"> </w:t>
      </w:r>
      <w:r w:rsidRPr="00B314FB">
        <w:rPr>
          <w:color w:val="000000"/>
          <w:spacing w:val="-3"/>
        </w:rPr>
        <w:t xml:space="preserve">Although most </w:t>
      </w:r>
      <w:r w:rsidR="001D3422">
        <w:rPr>
          <w:color w:val="000000"/>
          <w:spacing w:val="-3"/>
        </w:rPr>
        <w:t>b</w:t>
      </w:r>
      <w:r w:rsidRPr="00B314FB">
        <w:rPr>
          <w:color w:val="000000"/>
          <w:spacing w:val="-3"/>
        </w:rPr>
        <w:t xml:space="preserve">iogas </w:t>
      </w:r>
      <w:r w:rsidRPr="00B314FB">
        <w:rPr>
          <w:color w:val="000000"/>
          <w:spacing w:val="-2"/>
        </w:rPr>
        <w:t xml:space="preserve">renewable energy technologies are environmentally sound, all of them can have </w:t>
      </w:r>
      <w:r w:rsidRPr="00B314FB">
        <w:rPr>
          <w:color w:val="000000"/>
        </w:rPr>
        <w:t>negative impacts on the environment if poorly planned and implemented.</w:t>
      </w:r>
      <w:r w:rsidRPr="00B314FB">
        <w:rPr>
          <w:color w:val="000000"/>
          <w:spacing w:val="-3"/>
        </w:rPr>
        <w:t xml:space="preserve"> </w:t>
      </w:r>
      <w:r w:rsidRPr="00B314FB">
        <w:t xml:space="preserve">Possible adverse environmental impacts related to construction activities are the following: (a) </w:t>
      </w:r>
      <w:r w:rsidR="001D3422">
        <w:t>d</w:t>
      </w:r>
      <w:r w:rsidRPr="00B314FB">
        <w:t xml:space="preserve">ust and noise due to construction activities; (b) </w:t>
      </w:r>
      <w:r w:rsidR="001D3422">
        <w:t>d</w:t>
      </w:r>
      <w:r w:rsidRPr="00B314FB">
        <w:t xml:space="preserve">umping of construction wastes, accidental spillage of machine oil, </w:t>
      </w:r>
      <w:r w:rsidRPr="00AF14D4">
        <w:t xml:space="preserve">lubricants, etc.  During </w:t>
      </w:r>
      <w:r w:rsidR="001D3422">
        <w:t xml:space="preserve">the </w:t>
      </w:r>
      <w:r w:rsidRPr="00AF14D4">
        <w:t>operation phase</w:t>
      </w:r>
      <w:r w:rsidR="001D3422">
        <w:t>,</w:t>
      </w:r>
      <w:r w:rsidRPr="00AF14D4">
        <w:t xml:space="preserve"> potential impacts are associated with air, soil and water pollution. All </w:t>
      </w:r>
      <w:r w:rsidR="001D3422">
        <w:t xml:space="preserve">of </w:t>
      </w:r>
      <w:r w:rsidRPr="00AF14D4">
        <w:t xml:space="preserve">these impacts are expected to be easily mitigated through good project design, adherence </w:t>
      </w:r>
      <w:r w:rsidR="001D3422">
        <w:t>to</w:t>
      </w:r>
      <w:r w:rsidRPr="00AF14D4">
        <w:t xml:space="preserve"> </w:t>
      </w:r>
      <w:r w:rsidR="003B574D">
        <w:t xml:space="preserve">the appropriate design and operation of the biodigester installations, </w:t>
      </w:r>
      <w:r w:rsidRPr="00AF14D4">
        <w:t>and implementation practices.</w:t>
      </w:r>
    </w:p>
    <w:p w:rsidR="00AF14D4" w:rsidRPr="00AF14D4" w:rsidRDefault="00AF14D4" w:rsidP="00B314FB">
      <w:pPr>
        <w:jc w:val="both"/>
      </w:pPr>
    </w:p>
    <w:p w:rsidR="00AF14D4" w:rsidRPr="00AF14D4" w:rsidRDefault="00AF14D4" w:rsidP="00B314FB">
      <w:pPr>
        <w:jc w:val="both"/>
      </w:pPr>
      <w:r w:rsidRPr="00AF14D4">
        <w:rPr>
          <w:b/>
          <w:bCs/>
          <w:i/>
          <w:iCs/>
        </w:rPr>
        <w:t>Potential social impacts</w:t>
      </w:r>
      <w:r w:rsidRPr="00AF14D4">
        <w:rPr>
          <w:bCs/>
          <w:iCs/>
        </w:rPr>
        <w:t xml:space="preserve">. </w:t>
      </w:r>
      <w:r w:rsidRPr="00AF14D4">
        <w:t>The project does not entail any direct negative social risks as its implementation does not presume any job losses/ resettlement issues. On the contrary, the project will create additional employment and respectively on-farm net income and income in localities.</w:t>
      </w:r>
    </w:p>
    <w:p w:rsidR="00B314FB" w:rsidRPr="00AF14D4" w:rsidRDefault="00B314FB" w:rsidP="00B314FB">
      <w:pPr>
        <w:jc w:val="both"/>
      </w:pPr>
    </w:p>
    <w:p w:rsidR="00B314FB" w:rsidRPr="00B314FB" w:rsidRDefault="00B314FB" w:rsidP="00B314FB">
      <w:pPr>
        <w:shd w:val="clear" w:color="auto" w:fill="FFFFFF"/>
        <w:jc w:val="both"/>
        <w:rPr>
          <w:color w:val="000000"/>
        </w:rPr>
      </w:pPr>
      <w:r w:rsidRPr="00AF14D4">
        <w:rPr>
          <w:b/>
          <w:i/>
          <w:iCs/>
          <w:color w:val="000000"/>
        </w:rPr>
        <w:t xml:space="preserve">Mitigation measures. </w:t>
      </w:r>
      <w:r w:rsidRPr="00AF14D4">
        <w:rPr>
          <w:iCs/>
          <w:color w:val="000000"/>
        </w:rPr>
        <w:t>M</w:t>
      </w:r>
      <w:r w:rsidRPr="00AF14D4">
        <w:rPr>
          <w:color w:val="000000"/>
        </w:rPr>
        <w:t xml:space="preserve">itigation measures during </w:t>
      </w:r>
      <w:r w:rsidR="000160E5">
        <w:rPr>
          <w:color w:val="000000"/>
        </w:rPr>
        <w:t xml:space="preserve">the </w:t>
      </w:r>
      <w:r w:rsidRPr="00AF14D4">
        <w:rPr>
          <w:color w:val="000000"/>
        </w:rPr>
        <w:t xml:space="preserve">construction phase will relate mainly to appropriate construction waste handling and dust and noise prevention. Mitigation measures during </w:t>
      </w:r>
      <w:r w:rsidR="000160E5">
        <w:rPr>
          <w:color w:val="000000"/>
        </w:rPr>
        <w:t xml:space="preserve">the </w:t>
      </w:r>
      <w:r w:rsidRPr="00AF14D4">
        <w:rPr>
          <w:color w:val="000000"/>
        </w:rPr>
        <w:t>operation phase will be directed mainly at the prevention of soil and groundwater</w:t>
      </w:r>
      <w:r w:rsidRPr="00B314FB">
        <w:rPr>
          <w:color w:val="000000"/>
        </w:rPr>
        <w:t xml:space="preserve"> pollution linked to temporary manure storage capacities and </w:t>
      </w:r>
      <w:r w:rsidR="000160E5">
        <w:rPr>
          <w:color w:val="000000"/>
        </w:rPr>
        <w:t xml:space="preserve">the </w:t>
      </w:r>
      <w:r w:rsidRPr="00B314FB">
        <w:rPr>
          <w:color w:val="000000"/>
        </w:rPr>
        <w:t>bio</w:t>
      </w:r>
      <w:r w:rsidR="005E6BFB">
        <w:rPr>
          <w:color w:val="000000"/>
        </w:rPr>
        <w:t>d</w:t>
      </w:r>
      <w:r w:rsidRPr="00B314FB">
        <w:rPr>
          <w:color w:val="000000"/>
        </w:rPr>
        <w:t xml:space="preserve">igester’s loading tank, prevention of air pollution </w:t>
      </w:r>
      <w:r w:rsidR="000160E5">
        <w:rPr>
          <w:color w:val="000000"/>
        </w:rPr>
        <w:t>from</w:t>
      </w:r>
      <w:r w:rsidRPr="00B314FB">
        <w:rPr>
          <w:color w:val="000000"/>
        </w:rPr>
        <w:t xml:space="preserve"> methane emitting fr</w:t>
      </w:r>
      <w:r w:rsidR="000160E5">
        <w:rPr>
          <w:color w:val="000000"/>
        </w:rPr>
        <w:t>o</w:t>
      </w:r>
      <w:r w:rsidRPr="00B314FB">
        <w:rPr>
          <w:color w:val="000000"/>
        </w:rPr>
        <w:t>m manure storage facilities and biogas storage system</w:t>
      </w:r>
      <w:r w:rsidR="000160E5">
        <w:rPr>
          <w:color w:val="000000"/>
        </w:rPr>
        <w:t>s</w:t>
      </w:r>
      <w:r w:rsidRPr="00B314FB">
        <w:rPr>
          <w:color w:val="000000"/>
        </w:rPr>
        <w:t xml:space="preserve">, </w:t>
      </w:r>
      <w:r w:rsidR="000160E5">
        <w:rPr>
          <w:color w:val="000000"/>
        </w:rPr>
        <w:t xml:space="preserve">and </w:t>
      </w:r>
      <w:r w:rsidRPr="00B314FB">
        <w:rPr>
          <w:color w:val="000000"/>
        </w:rPr>
        <w:t xml:space="preserve">from raw gas leakages, </w:t>
      </w:r>
      <w:r w:rsidR="000160E5">
        <w:rPr>
          <w:color w:val="000000"/>
        </w:rPr>
        <w:t xml:space="preserve">as well as </w:t>
      </w:r>
      <w:r w:rsidRPr="00B314FB">
        <w:rPr>
          <w:color w:val="000000"/>
        </w:rPr>
        <w:t xml:space="preserve">occupational safety. </w:t>
      </w:r>
    </w:p>
    <w:p w:rsidR="00B314FB" w:rsidRPr="00B314FB" w:rsidRDefault="00B314FB" w:rsidP="00B314FB">
      <w:pPr>
        <w:shd w:val="clear" w:color="auto" w:fill="FFFFFF"/>
        <w:jc w:val="both"/>
        <w:rPr>
          <w:iCs/>
          <w:color w:val="000000"/>
        </w:rPr>
      </w:pPr>
    </w:p>
    <w:p w:rsidR="00B314FB" w:rsidRPr="00B314FB" w:rsidRDefault="00B314FB" w:rsidP="00B314FB">
      <w:pPr>
        <w:shd w:val="clear" w:color="auto" w:fill="FFFFFF"/>
        <w:jc w:val="both"/>
      </w:pPr>
      <w:r w:rsidRPr="00B314FB">
        <w:rPr>
          <w:b/>
          <w:i/>
          <w:iCs/>
          <w:color w:val="000000"/>
        </w:rPr>
        <w:t xml:space="preserve">Monitoring. </w:t>
      </w:r>
      <w:r w:rsidRPr="00B314FB">
        <w:rPr>
          <w:iCs/>
          <w:color w:val="000000"/>
        </w:rPr>
        <w:t>The monitoring section of the E</w:t>
      </w:r>
      <w:r w:rsidR="00AF14D4">
        <w:rPr>
          <w:iCs/>
          <w:color w:val="000000"/>
        </w:rPr>
        <w:t xml:space="preserve">nvironmental </w:t>
      </w:r>
      <w:r w:rsidRPr="00B314FB">
        <w:rPr>
          <w:iCs/>
          <w:color w:val="000000"/>
        </w:rPr>
        <w:t>G</w:t>
      </w:r>
      <w:r w:rsidR="00AF14D4">
        <w:rPr>
          <w:iCs/>
          <w:color w:val="000000"/>
        </w:rPr>
        <w:t>uidelines</w:t>
      </w:r>
      <w:r w:rsidRPr="00B314FB">
        <w:rPr>
          <w:iCs/>
          <w:color w:val="000000"/>
        </w:rPr>
        <w:t xml:space="preserve"> </w:t>
      </w:r>
      <w:r w:rsidR="000160E5">
        <w:rPr>
          <w:iCs/>
          <w:color w:val="000000"/>
        </w:rPr>
        <w:t xml:space="preserve">(EG) </w:t>
      </w:r>
      <w:r w:rsidRPr="00B314FB">
        <w:t xml:space="preserve">provides information on parameters that have to be monitored, monitoring frequency, institutional responsibilities, etc. both during construction and operational phases of </w:t>
      </w:r>
      <w:r w:rsidR="000160E5">
        <w:t xml:space="preserve">the </w:t>
      </w:r>
      <w:r w:rsidRPr="00B314FB">
        <w:t xml:space="preserve">projects’ implementation to (i) ensure early detection of conditions that need particular mitigation measures, and (ii) furnish information on the progress and results of mitigation. The EG provides also </w:t>
      </w:r>
      <w:r w:rsidR="000160E5">
        <w:t xml:space="preserve">a </w:t>
      </w:r>
      <w:r w:rsidRPr="00B314FB">
        <w:t xml:space="preserve">tentative Monitoring Plan (presented in Annex 6) as well as </w:t>
      </w:r>
      <w:r w:rsidR="000160E5">
        <w:t xml:space="preserve">a </w:t>
      </w:r>
      <w:r w:rsidRPr="00B314FB">
        <w:t>monitoring implementation schedule and reporting</w:t>
      </w:r>
      <w:r w:rsidR="000160E5">
        <w:t xml:space="preserve"> arrangements</w:t>
      </w:r>
      <w:r w:rsidRPr="00B314FB">
        <w:t xml:space="preserve">. </w:t>
      </w:r>
    </w:p>
    <w:p w:rsidR="00AF14D4" w:rsidRDefault="00AF14D4" w:rsidP="00B314FB">
      <w:pPr>
        <w:jc w:val="both"/>
        <w:rPr>
          <w:b/>
          <w:i/>
        </w:rPr>
      </w:pPr>
    </w:p>
    <w:p w:rsidR="00B314FB" w:rsidRPr="00B314FB" w:rsidRDefault="00B314FB" w:rsidP="00B314FB">
      <w:pPr>
        <w:jc w:val="both"/>
        <w:rPr>
          <w:b/>
        </w:rPr>
      </w:pPr>
      <w:r w:rsidRPr="00B314FB">
        <w:rPr>
          <w:b/>
          <w:i/>
        </w:rPr>
        <w:t>EMP disclosure and consultation</w:t>
      </w:r>
      <w:r w:rsidRPr="00B314FB">
        <w:t xml:space="preserve">. EMP disclosure occurred on March 1, 2010 through </w:t>
      </w:r>
      <w:r w:rsidR="00D07517">
        <w:t xml:space="preserve">an </w:t>
      </w:r>
      <w:r w:rsidRPr="00B314FB">
        <w:t>EMP Summary posting on the PMT office website (</w:t>
      </w:r>
      <w:hyperlink r:id="rId18" w:history="1">
        <w:r w:rsidRPr="00B314FB">
          <w:rPr>
            <w:rStyle w:val="Hyperlink"/>
          </w:rPr>
          <w:t>www.molodvapops.md</w:t>
        </w:r>
      </w:hyperlink>
      <w:r w:rsidRPr="00B314FB">
        <w:t xml:space="preserve">). </w:t>
      </w:r>
      <w:r w:rsidR="00D07517">
        <w:t>A c</w:t>
      </w:r>
      <w:r w:rsidRPr="00B314FB">
        <w:t>onsultation meeting took place on March 9, 2010 at MOE’s premises. At the consultation meeting</w:t>
      </w:r>
      <w:r w:rsidR="00D07517">
        <w:t>,</w:t>
      </w:r>
      <w:r w:rsidRPr="00B314FB">
        <w:t xml:space="preserve"> representatives f</w:t>
      </w:r>
      <w:r w:rsidR="00D07517">
        <w:t>rom</w:t>
      </w:r>
      <w:r w:rsidRPr="00B314FB">
        <w:t xml:space="preserve"> the PMT and CFU Offices, Ministry of Environment, Ministry of Agriculture and Food Industry, State Ecological Inspectorate and NGOs</w:t>
      </w:r>
      <w:r w:rsidR="00D07517">
        <w:t xml:space="preserve"> were present</w:t>
      </w:r>
      <w:r w:rsidRPr="00B314FB">
        <w:t>. During the consultation, the Client informed the public about the project, EG, potential impacts which may by generated by project activities, measures to be taken to prevent/ mitigate potential impacts and monitoring activities. The participants agreed with the EMP provisions.</w:t>
      </w:r>
    </w:p>
    <w:p w:rsidR="00B314FB" w:rsidRDefault="00B314FB" w:rsidP="00C31A5F">
      <w:pPr>
        <w:jc w:val="both"/>
      </w:pPr>
    </w:p>
    <w:p w:rsidR="00857AD1" w:rsidRDefault="00F80783" w:rsidP="003A2861">
      <w:pPr>
        <w:ind w:left="360"/>
        <w:jc w:val="right"/>
        <w:rPr>
          <w:bCs/>
        </w:rPr>
      </w:pPr>
      <w:r>
        <w:br w:type="page"/>
      </w:r>
      <w:r w:rsidRPr="00DC68B8">
        <w:rPr>
          <w:b/>
          <w:smallCaps/>
        </w:rPr>
        <w:t xml:space="preserve"> </w:t>
      </w:r>
    </w:p>
    <w:p w:rsidR="00857AD1" w:rsidRDefault="00857AD1" w:rsidP="00857AD1">
      <w:pPr>
        <w:pStyle w:val="Heading4"/>
        <w:rPr>
          <w:rFonts w:ascii="Times New Roman" w:hAnsi="Times New Roman"/>
          <w:bCs/>
        </w:rPr>
      </w:pPr>
      <w:r>
        <w:rPr>
          <w:rFonts w:ascii="Times New Roman" w:hAnsi="Times New Roman"/>
          <w:bCs/>
        </w:rPr>
        <w:t>Part III – Response to Reviews</w:t>
      </w:r>
    </w:p>
    <w:p w:rsidR="00F80783" w:rsidRDefault="00F80783" w:rsidP="00C31A5F">
      <w:pPr>
        <w:jc w:val="both"/>
      </w:pPr>
    </w:p>
    <w:p w:rsidR="00F80783" w:rsidRPr="00DC68B8" w:rsidRDefault="003A2861" w:rsidP="00F80783">
      <w:pPr>
        <w:ind w:left="360"/>
        <w:jc w:val="right"/>
        <w:rPr>
          <w:b/>
          <w:smallCaps/>
        </w:rPr>
      </w:pPr>
      <w:r>
        <w:rPr>
          <w:b/>
          <w:smallCaps/>
        </w:rPr>
        <w:t>Annex 8</w:t>
      </w:r>
    </w:p>
    <w:p w:rsidR="00F80783" w:rsidRPr="00DC68B8" w:rsidRDefault="00F80783" w:rsidP="00F80783">
      <w:pPr>
        <w:ind w:left="360"/>
        <w:jc w:val="center"/>
        <w:rPr>
          <w:b/>
          <w:smallCaps/>
        </w:rPr>
      </w:pPr>
      <w:r w:rsidRPr="00DC68B8">
        <w:rPr>
          <w:b/>
          <w:smallCaps/>
        </w:rPr>
        <w:t>biogas generation from animal manure pilot project</w:t>
      </w:r>
    </w:p>
    <w:p w:rsidR="00F80783" w:rsidRPr="00DC68B8" w:rsidRDefault="003A2861" w:rsidP="00F80783">
      <w:pPr>
        <w:ind w:left="360"/>
        <w:jc w:val="center"/>
        <w:rPr>
          <w:b/>
          <w:smallCaps/>
        </w:rPr>
      </w:pPr>
      <w:r>
        <w:rPr>
          <w:b/>
          <w:smallCaps/>
        </w:rPr>
        <w:t>Annex 8</w:t>
      </w:r>
      <w:r w:rsidR="00F80783" w:rsidRPr="00DC68B8">
        <w:rPr>
          <w:b/>
          <w:smallCaps/>
        </w:rPr>
        <w:t xml:space="preserve">: </w:t>
      </w:r>
      <w:r w:rsidR="00F80783">
        <w:rPr>
          <w:b/>
          <w:smallCaps/>
        </w:rPr>
        <w:t>responses to Comments</w:t>
      </w:r>
      <w:r w:rsidR="00857AD1">
        <w:rPr>
          <w:b/>
          <w:smallCaps/>
        </w:rPr>
        <w:t xml:space="preserve"> from GEF Secretariat</w:t>
      </w:r>
    </w:p>
    <w:p w:rsidR="00F80783" w:rsidRDefault="00F80783" w:rsidP="00C31A5F">
      <w:pPr>
        <w:jc w:val="both"/>
      </w:pPr>
    </w:p>
    <w:p w:rsidR="003A2861" w:rsidRPr="003A2861" w:rsidRDefault="003A2861" w:rsidP="003A2861">
      <w:pPr>
        <w:ind w:left="360"/>
        <w:jc w:val="both"/>
      </w:pPr>
      <w:r w:rsidRPr="003A2861">
        <w:t>The</w:t>
      </w:r>
      <w:r>
        <w:t xml:space="preserve"> comments raised in the GEFSEC Review S</w:t>
      </w:r>
      <w:r w:rsidRPr="003A2861">
        <w:t xml:space="preserve">heet of </w:t>
      </w:r>
      <w:r w:rsidR="00B34C30">
        <w:t>December 28, 2009</w:t>
      </w:r>
      <w:r w:rsidRPr="003A2861">
        <w:t xml:space="preserve">, were addressed and have been accounted for </w:t>
      </w:r>
      <w:r w:rsidR="00D07517">
        <w:t xml:space="preserve">in the </w:t>
      </w:r>
      <w:r w:rsidRPr="003A2861">
        <w:t xml:space="preserve">Project Brief and its annexes. GEFSEC comments (in italics) and how they have been addressed are detailed below: </w:t>
      </w:r>
    </w:p>
    <w:p w:rsidR="005C3D51" w:rsidRDefault="005C3D51" w:rsidP="005C3D51">
      <w:pPr>
        <w:jc w:val="both"/>
        <w:rPr>
          <w:sz w:val="23"/>
        </w:rPr>
      </w:pPr>
    </w:p>
    <w:p w:rsidR="005C3D51" w:rsidRDefault="00FB1B9B" w:rsidP="00FB1B9B">
      <w:pPr>
        <w:pBdr>
          <w:top w:val="single" w:sz="4" w:space="1" w:color="auto"/>
          <w:left w:val="single" w:sz="4" w:space="4" w:color="auto"/>
          <w:bottom w:val="single" w:sz="4" w:space="1" w:color="auto"/>
          <w:right w:val="single" w:sz="4" w:space="4" w:color="auto"/>
        </w:pBdr>
        <w:ind w:left="360"/>
        <w:jc w:val="both"/>
        <w:rPr>
          <w:i/>
          <w:iCs/>
          <w:sz w:val="23"/>
        </w:rPr>
      </w:pPr>
      <w:r>
        <w:rPr>
          <w:i/>
          <w:iCs/>
          <w:sz w:val="23"/>
        </w:rPr>
        <w:t>Comment 1: Project Design</w:t>
      </w:r>
      <w:r w:rsidR="005C3D51">
        <w:rPr>
          <w:sz w:val="23"/>
        </w:rPr>
        <w:t>:</w:t>
      </w:r>
      <w:r>
        <w:rPr>
          <w:sz w:val="23"/>
        </w:rPr>
        <w:t xml:space="preserve"> </w:t>
      </w:r>
      <w:r>
        <w:rPr>
          <w:i/>
          <w:iCs/>
          <w:sz w:val="23"/>
        </w:rPr>
        <w:t>Will the project provide tangible global environmental benefits?</w:t>
      </w:r>
    </w:p>
    <w:p w:rsidR="00FB1B9B" w:rsidRDefault="00FB1B9B" w:rsidP="00FB1B9B">
      <w:pPr>
        <w:pBdr>
          <w:top w:val="single" w:sz="4" w:space="1" w:color="auto"/>
          <w:left w:val="single" w:sz="4" w:space="4" w:color="auto"/>
          <w:bottom w:val="single" w:sz="4" w:space="1" w:color="auto"/>
          <w:right w:val="single" w:sz="4" w:space="4" w:color="auto"/>
        </w:pBdr>
        <w:ind w:left="360"/>
        <w:jc w:val="both"/>
        <w:rPr>
          <w:i/>
          <w:iCs/>
          <w:sz w:val="23"/>
        </w:rPr>
      </w:pPr>
    </w:p>
    <w:p w:rsidR="005C3D51" w:rsidRPr="00202D95" w:rsidRDefault="005C3D51" w:rsidP="005C3D51">
      <w:pPr>
        <w:pBdr>
          <w:top w:val="single" w:sz="4" w:space="1" w:color="auto"/>
          <w:left w:val="single" w:sz="4" w:space="4" w:color="auto"/>
          <w:bottom w:val="single" w:sz="4" w:space="1" w:color="auto"/>
          <w:right w:val="single" w:sz="4" w:space="4" w:color="auto"/>
        </w:pBdr>
        <w:autoSpaceDE w:val="0"/>
        <w:autoSpaceDN w:val="0"/>
        <w:adjustRightInd w:val="0"/>
        <w:ind w:left="360"/>
        <w:jc w:val="both"/>
        <w:rPr>
          <w:sz w:val="23"/>
        </w:rPr>
      </w:pPr>
      <w:r>
        <w:rPr>
          <w:sz w:val="23"/>
        </w:rPr>
        <w:t>Response</w:t>
      </w:r>
      <w:r>
        <w:rPr>
          <w:i/>
          <w:iCs/>
          <w:sz w:val="23"/>
        </w:rPr>
        <w:t xml:space="preserve">: </w:t>
      </w:r>
      <w:r w:rsidR="00202D95">
        <w:rPr>
          <w:iCs/>
          <w:sz w:val="23"/>
        </w:rPr>
        <w:t>The project is expected to contribute to greenhouse gas emission reductions and improve the global and local air quality. As a result of project activities, the CO</w:t>
      </w:r>
      <w:r w:rsidR="00202D95" w:rsidRPr="00202D95">
        <w:rPr>
          <w:iCs/>
          <w:sz w:val="23"/>
          <w:vertAlign w:val="subscript"/>
        </w:rPr>
        <w:t>2</w:t>
      </w:r>
      <w:r w:rsidR="00202D95">
        <w:rPr>
          <w:iCs/>
          <w:sz w:val="23"/>
        </w:rPr>
        <w:t xml:space="preserve"> emission reductions are expected to reach 326 t/CO</w:t>
      </w:r>
      <w:r w:rsidR="00202D95" w:rsidRPr="00202D95">
        <w:rPr>
          <w:iCs/>
          <w:sz w:val="23"/>
          <w:vertAlign w:val="subscript"/>
        </w:rPr>
        <w:t>2</w:t>
      </w:r>
      <w:r w:rsidR="00202D95">
        <w:rPr>
          <w:iCs/>
          <w:sz w:val="23"/>
        </w:rPr>
        <w:t xml:space="preserve"> per site. Thi</w:t>
      </w:r>
      <w:r w:rsidR="00D07517">
        <w:rPr>
          <w:iCs/>
          <w:sz w:val="23"/>
        </w:rPr>
        <w:t>s</w:t>
      </w:r>
      <w:r w:rsidR="00202D95">
        <w:rPr>
          <w:iCs/>
          <w:sz w:val="23"/>
        </w:rPr>
        <w:t xml:space="preserve"> has been reflected in the monitoring framework. </w:t>
      </w:r>
    </w:p>
    <w:p w:rsidR="00FB1B9B" w:rsidRDefault="00FB1B9B" w:rsidP="00FB1B9B">
      <w:pPr>
        <w:jc w:val="both"/>
        <w:rPr>
          <w:sz w:val="23"/>
        </w:rPr>
      </w:pPr>
    </w:p>
    <w:p w:rsidR="00FB1B9B" w:rsidRDefault="00610F23" w:rsidP="00FB1B9B">
      <w:pPr>
        <w:pBdr>
          <w:top w:val="single" w:sz="4" w:space="1" w:color="auto"/>
          <w:left w:val="single" w:sz="4" w:space="4" w:color="auto"/>
          <w:bottom w:val="single" w:sz="4" w:space="1" w:color="auto"/>
          <w:right w:val="single" w:sz="4" w:space="4" w:color="auto"/>
        </w:pBdr>
        <w:ind w:left="360"/>
        <w:jc w:val="both"/>
        <w:rPr>
          <w:i/>
          <w:iCs/>
          <w:sz w:val="23"/>
        </w:rPr>
      </w:pPr>
      <w:r>
        <w:rPr>
          <w:i/>
          <w:iCs/>
          <w:sz w:val="23"/>
        </w:rPr>
        <w:t>Comment 2</w:t>
      </w:r>
      <w:r w:rsidR="00FB1B9B">
        <w:rPr>
          <w:i/>
          <w:iCs/>
          <w:sz w:val="23"/>
        </w:rPr>
        <w:t>: Project Design</w:t>
      </w:r>
      <w:r w:rsidR="00FB1B9B">
        <w:rPr>
          <w:sz w:val="23"/>
        </w:rPr>
        <w:t xml:space="preserve">: </w:t>
      </w:r>
      <w:r>
        <w:rPr>
          <w:i/>
          <w:iCs/>
          <w:sz w:val="23"/>
        </w:rPr>
        <w:t>Please provide technical information on the biodigesters to be demonstrated.</w:t>
      </w:r>
    </w:p>
    <w:p w:rsidR="00FB1B9B" w:rsidRDefault="00FB1B9B" w:rsidP="00FB1B9B">
      <w:pPr>
        <w:pBdr>
          <w:top w:val="single" w:sz="4" w:space="1" w:color="auto"/>
          <w:left w:val="single" w:sz="4" w:space="4" w:color="auto"/>
          <w:bottom w:val="single" w:sz="4" w:space="1" w:color="auto"/>
          <w:right w:val="single" w:sz="4" w:space="4" w:color="auto"/>
        </w:pBdr>
        <w:ind w:left="360"/>
        <w:jc w:val="both"/>
        <w:rPr>
          <w:i/>
          <w:iCs/>
          <w:sz w:val="23"/>
        </w:rPr>
      </w:pPr>
    </w:p>
    <w:p w:rsidR="00FB1B9B" w:rsidRPr="00202D95" w:rsidRDefault="00FB1B9B" w:rsidP="00FB1B9B">
      <w:pPr>
        <w:pBdr>
          <w:top w:val="single" w:sz="4" w:space="1" w:color="auto"/>
          <w:left w:val="single" w:sz="4" w:space="4" w:color="auto"/>
          <w:bottom w:val="single" w:sz="4" w:space="1" w:color="auto"/>
          <w:right w:val="single" w:sz="4" w:space="4" w:color="auto"/>
        </w:pBdr>
        <w:autoSpaceDE w:val="0"/>
        <w:autoSpaceDN w:val="0"/>
        <w:adjustRightInd w:val="0"/>
        <w:ind w:left="360"/>
        <w:jc w:val="both"/>
        <w:rPr>
          <w:sz w:val="23"/>
        </w:rPr>
      </w:pPr>
      <w:r>
        <w:rPr>
          <w:sz w:val="23"/>
        </w:rPr>
        <w:t>Response</w:t>
      </w:r>
      <w:r>
        <w:rPr>
          <w:i/>
          <w:iCs/>
          <w:sz w:val="23"/>
        </w:rPr>
        <w:t xml:space="preserve">: </w:t>
      </w:r>
      <w:r w:rsidR="00202D95">
        <w:rPr>
          <w:iCs/>
          <w:sz w:val="23"/>
        </w:rPr>
        <w:t xml:space="preserve">The specific type of biodigesters will be selected, together with the mobilized international consultants, based on the specific climatic, economic and on-farm operational conditions. Annex 5 provides an overview of the most widely used biodigester technology options. </w:t>
      </w:r>
    </w:p>
    <w:p w:rsidR="00FB1B9B" w:rsidRDefault="00FB1B9B" w:rsidP="00FB1B9B">
      <w:pPr>
        <w:jc w:val="both"/>
        <w:rPr>
          <w:sz w:val="23"/>
        </w:rPr>
      </w:pPr>
    </w:p>
    <w:p w:rsidR="00FB1B9B" w:rsidRDefault="00610F23" w:rsidP="00FB1B9B">
      <w:pPr>
        <w:pBdr>
          <w:top w:val="single" w:sz="4" w:space="1" w:color="auto"/>
          <w:left w:val="single" w:sz="4" w:space="4" w:color="auto"/>
          <w:bottom w:val="single" w:sz="4" w:space="1" w:color="auto"/>
          <w:right w:val="single" w:sz="4" w:space="4" w:color="auto"/>
        </w:pBdr>
        <w:ind w:left="360"/>
        <w:jc w:val="both"/>
        <w:rPr>
          <w:i/>
          <w:iCs/>
          <w:sz w:val="23"/>
        </w:rPr>
      </w:pPr>
      <w:r>
        <w:rPr>
          <w:i/>
          <w:iCs/>
          <w:sz w:val="23"/>
        </w:rPr>
        <w:t>Comment 3</w:t>
      </w:r>
      <w:r w:rsidR="00FB1B9B">
        <w:rPr>
          <w:i/>
          <w:iCs/>
          <w:sz w:val="23"/>
        </w:rPr>
        <w:t>: Project Design</w:t>
      </w:r>
      <w:r w:rsidR="00FB1B9B">
        <w:rPr>
          <w:sz w:val="23"/>
        </w:rPr>
        <w:t xml:space="preserve">: </w:t>
      </w:r>
      <w:r>
        <w:rPr>
          <w:i/>
          <w:iCs/>
          <w:sz w:val="23"/>
        </w:rPr>
        <w:t>Please provide information on the use of waste heat resulting from electrification of biogas.</w:t>
      </w:r>
    </w:p>
    <w:p w:rsidR="00FB1B9B" w:rsidRDefault="00FB1B9B" w:rsidP="00FB1B9B">
      <w:pPr>
        <w:pBdr>
          <w:top w:val="single" w:sz="4" w:space="1" w:color="auto"/>
          <w:left w:val="single" w:sz="4" w:space="4" w:color="auto"/>
          <w:bottom w:val="single" w:sz="4" w:space="1" w:color="auto"/>
          <w:right w:val="single" w:sz="4" w:space="4" w:color="auto"/>
        </w:pBdr>
        <w:ind w:left="360"/>
        <w:jc w:val="both"/>
        <w:rPr>
          <w:i/>
          <w:iCs/>
          <w:sz w:val="23"/>
        </w:rPr>
      </w:pPr>
    </w:p>
    <w:p w:rsidR="00FB1B9B" w:rsidRPr="00964650" w:rsidRDefault="00FB1B9B" w:rsidP="00FB1B9B">
      <w:pPr>
        <w:pBdr>
          <w:top w:val="single" w:sz="4" w:space="1" w:color="auto"/>
          <w:left w:val="single" w:sz="4" w:space="4" w:color="auto"/>
          <w:bottom w:val="single" w:sz="4" w:space="1" w:color="auto"/>
          <w:right w:val="single" w:sz="4" w:space="4" w:color="auto"/>
        </w:pBdr>
        <w:autoSpaceDE w:val="0"/>
        <w:autoSpaceDN w:val="0"/>
        <w:adjustRightInd w:val="0"/>
        <w:ind w:left="360"/>
        <w:jc w:val="both"/>
        <w:rPr>
          <w:sz w:val="23"/>
        </w:rPr>
      </w:pPr>
      <w:r>
        <w:rPr>
          <w:sz w:val="23"/>
        </w:rPr>
        <w:t>Response</w:t>
      </w:r>
      <w:r>
        <w:rPr>
          <w:i/>
          <w:iCs/>
          <w:sz w:val="23"/>
        </w:rPr>
        <w:t xml:space="preserve">: </w:t>
      </w:r>
      <w:r w:rsidR="00964650">
        <w:rPr>
          <w:iCs/>
          <w:sz w:val="23"/>
        </w:rPr>
        <w:t xml:space="preserve">The heat resulting from electrification of biogas will be used by the farms, as the farms have need both for heat and electricity. </w:t>
      </w:r>
    </w:p>
    <w:p w:rsidR="00FB1B9B" w:rsidRDefault="00FB1B9B" w:rsidP="003A2861">
      <w:pPr>
        <w:ind w:left="360"/>
        <w:jc w:val="both"/>
      </w:pPr>
    </w:p>
    <w:p w:rsidR="00610F23" w:rsidRDefault="00610F23" w:rsidP="00610F23">
      <w:pPr>
        <w:pBdr>
          <w:top w:val="single" w:sz="4" w:space="1" w:color="auto"/>
          <w:left w:val="single" w:sz="4" w:space="4" w:color="auto"/>
          <w:bottom w:val="single" w:sz="4" w:space="1" w:color="auto"/>
          <w:right w:val="single" w:sz="4" w:space="4" w:color="auto"/>
        </w:pBdr>
        <w:ind w:left="360"/>
        <w:jc w:val="both"/>
        <w:rPr>
          <w:i/>
          <w:iCs/>
          <w:sz w:val="23"/>
        </w:rPr>
      </w:pPr>
      <w:r>
        <w:rPr>
          <w:i/>
          <w:iCs/>
          <w:sz w:val="23"/>
        </w:rPr>
        <w:t>Comment 4: Project Design</w:t>
      </w:r>
      <w:r>
        <w:rPr>
          <w:sz w:val="23"/>
        </w:rPr>
        <w:t xml:space="preserve">: </w:t>
      </w:r>
      <w:r>
        <w:rPr>
          <w:i/>
          <w:iCs/>
          <w:sz w:val="23"/>
        </w:rPr>
        <w:t>Please provide measurable targets in the project framework.</w:t>
      </w:r>
    </w:p>
    <w:p w:rsidR="00610F23" w:rsidRDefault="00610F23" w:rsidP="00610F23">
      <w:pPr>
        <w:pBdr>
          <w:top w:val="single" w:sz="4" w:space="1" w:color="auto"/>
          <w:left w:val="single" w:sz="4" w:space="4" w:color="auto"/>
          <w:bottom w:val="single" w:sz="4" w:space="1" w:color="auto"/>
          <w:right w:val="single" w:sz="4" w:space="4" w:color="auto"/>
        </w:pBdr>
        <w:ind w:left="360"/>
        <w:jc w:val="both"/>
        <w:rPr>
          <w:i/>
          <w:iCs/>
          <w:sz w:val="23"/>
        </w:rPr>
      </w:pPr>
    </w:p>
    <w:p w:rsidR="00610F23" w:rsidRPr="00FF6702" w:rsidRDefault="00610F23" w:rsidP="00610F23">
      <w:pPr>
        <w:pBdr>
          <w:top w:val="single" w:sz="4" w:space="1" w:color="auto"/>
          <w:left w:val="single" w:sz="4" w:space="4" w:color="auto"/>
          <w:bottom w:val="single" w:sz="4" w:space="1" w:color="auto"/>
          <w:right w:val="single" w:sz="4" w:space="4" w:color="auto"/>
        </w:pBdr>
        <w:autoSpaceDE w:val="0"/>
        <w:autoSpaceDN w:val="0"/>
        <w:adjustRightInd w:val="0"/>
        <w:ind w:left="360"/>
        <w:jc w:val="both"/>
        <w:rPr>
          <w:sz w:val="23"/>
        </w:rPr>
      </w:pPr>
      <w:r>
        <w:rPr>
          <w:sz w:val="23"/>
        </w:rPr>
        <w:t>Response</w:t>
      </w:r>
      <w:r>
        <w:rPr>
          <w:i/>
          <w:iCs/>
          <w:sz w:val="23"/>
        </w:rPr>
        <w:t xml:space="preserve">: </w:t>
      </w:r>
      <w:r w:rsidR="00FF6702">
        <w:rPr>
          <w:iCs/>
          <w:sz w:val="23"/>
        </w:rPr>
        <w:t xml:space="preserve">Measurable targets </w:t>
      </w:r>
      <w:r w:rsidR="00D07517">
        <w:rPr>
          <w:iCs/>
          <w:sz w:val="23"/>
        </w:rPr>
        <w:t xml:space="preserve">are </w:t>
      </w:r>
      <w:r w:rsidR="00FF6702">
        <w:rPr>
          <w:iCs/>
          <w:sz w:val="23"/>
        </w:rPr>
        <w:t>provided in the project monitoring framework</w:t>
      </w:r>
      <w:r w:rsidR="00D07517">
        <w:rPr>
          <w:iCs/>
          <w:sz w:val="23"/>
        </w:rPr>
        <w:t xml:space="preserve"> in</w:t>
      </w:r>
      <w:r w:rsidR="00FF6702">
        <w:rPr>
          <w:iCs/>
          <w:sz w:val="23"/>
        </w:rPr>
        <w:t xml:space="preserve"> Annex 1.</w:t>
      </w:r>
    </w:p>
    <w:p w:rsidR="00610F23" w:rsidRDefault="00610F23" w:rsidP="00610F23">
      <w:pPr>
        <w:jc w:val="both"/>
        <w:rPr>
          <w:sz w:val="23"/>
        </w:rPr>
      </w:pPr>
    </w:p>
    <w:p w:rsidR="00610F23" w:rsidRDefault="00610F23" w:rsidP="00610F23">
      <w:pPr>
        <w:pBdr>
          <w:top w:val="single" w:sz="4" w:space="1" w:color="auto"/>
          <w:left w:val="single" w:sz="4" w:space="4" w:color="auto"/>
          <w:bottom w:val="single" w:sz="4" w:space="1" w:color="auto"/>
          <w:right w:val="single" w:sz="4" w:space="4" w:color="auto"/>
        </w:pBdr>
        <w:ind w:left="360"/>
        <w:jc w:val="both"/>
        <w:rPr>
          <w:i/>
          <w:iCs/>
          <w:sz w:val="23"/>
        </w:rPr>
      </w:pPr>
      <w:r>
        <w:rPr>
          <w:i/>
          <w:iCs/>
          <w:sz w:val="23"/>
        </w:rPr>
        <w:t>Comment 5: Project Design</w:t>
      </w:r>
      <w:r>
        <w:rPr>
          <w:sz w:val="23"/>
        </w:rPr>
        <w:t xml:space="preserve">: </w:t>
      </w:r>
      <w:r>
        <w:rPr>
          <w:i/>
          <w:iCs/>
          <w:sz w:val="23"/>
        </w:rPr>
        <w:t xml:space="preserve">Please provide more information about the actual provisions of the law and its gaps that the project will cover. </w:t>
      </w:r>
    </w:p>
    <w:p w:rsidR="00610F23" w:rsidRDefault="00610F23" w:rsidP="00610F23">
      <w:pPr>
        <w:pBdr>
          <w:top w:val="single" w:sz="4" w:space="1" w:color="auto"/>
          <w:left w:val="single" w:sz="4" w:space="4" w:color="auto"/>
          <w:bottom w:val="single" w:sz="4" w:space="1" w:color="auto"/>
          <w:right w:val="single" w:sz="4" w:space="4" w:color="auto"/>
        </w:pBdr>
        <w:ind w:left="360"/>
        <w:jc w:val="both"/>
        <w:rPr>
          <w:i/>
          <w:iCs/>
          <w:sz w:val="23"/>
        </w:rPr>
      </w:pPr>
    </w:p>
    <w:p w:rsidR="00610F23" w:rsidRPr="00856E1E" w:rsidRDefault="00610F23" w:rsidP="00610F23">
      <w:pPr>
        <w:pBdr>
          <w:top w:val="single" w:sz="4" w:space="1" w:color="auto"/>
          <w:left w:val="single" w:sz="4" w:space="4" w:color="auto"/>
          <w:bottom w:val="single" w:sz="4" w:space="1" w:color="auto"/>
          <w:right w:val="single" w:sz="4" w:space="4" w:color="auto"/>
        </w:pBdr>
        <w:autoSpaceDE w:val="0"/>
        <w:autoSpaceDN w:val="0"/>
        <w:adjustRightInd w:val="0"/>
        <w:ind w:left="360"/>
        <w:jc w:val="both"/>
        <w:rPr>
          <w:sz w:val="23"/>
        </w:rPr>
      </w:pPr>
      <w:r>
        <w:rPr>
          <w:sz w:val="23"/>
        </w:rPr>
        <w:t>Response</w:t>
      </w:r>
      <w:r>
        <w:rPr>
          <w:i/>
          <w:iCs/>
          <w:sz w:val="23"/>
        </w:rPr>
        <w:t xml:space="preserve">: </w:t>
      </w:r>
      <w:r w:rsidR="00856E1E">
        <w:rPr>
          <w:iCs/>
          <w:sz w:val="23"/>
        </w:rPr>
        <w:t xml:space="preserve">The project will not be concerned with providing amendments to the law, </w:t>
      </w:r>
      <w:r w:rsidR="00DB6487">
        <w:rPr>
          <w:iCs/>
          <w:sz w:val="23"/>
        </w:rPr>
        <w:t xml:space="preserve">but </w:t>
      </w:r>
      <w:r w:rsidR="00856E1E">
        <w:rPr>
          <w:iCs/>
          <w:sz w:val="23"/>
        </w:rPr>
        <w:t xml:space="preserve">rather support </w:t>
      </w:r>
      <w:r w:rsidR="00DB6487">
        <w:rPr>
          <w:iCs/>
          <w:sz w:val="23"/>
        </w:rPr>
        <w:t xml:space="preserve">the </w:t>
      </w:r>
      <w:r w:rsidR="00856E1E">
        <w:rPr>
          <w:iCs/>
          <w:sz w:val="23"/>
        </w:rPr>
        <w:t xml:space="preserve">renewable energy options set forth by the law. However, the existing law is not supported by an action plan, budget, etc., which would provide for effective implementation of the law. The project supports introduction of new biodigester technology in Moldova. </w:t>
      </w:r>
      <w:r w:rsidR="00FD0D67">
        <w:rPr>
          <w:iCs/>
          <w:sz w:val="23"/>
        </w:rPr>
        <w:t xml:space="preserve">Therefore, under the project, measures will be taken to license use of this new technology in Moldova, in order to increase the uptake of the technology. This will contribute towards implementation of the law, which sets forth that, by 2020, 20% of energy in Moldova should be coming from renewable sources. </w:t>
      </w:r>
    </w:p>
    <w:p w:rsidR="00610F23" w:rsidRDefault="00610F23" w:rsidP="00610F23">
      <w:pPr>
        <w:jc w:val="both"/>
        <w:rPr>
          <w:sz w:val="23"/>
        </w:rPr>
      </w:pPr>
    </w:p>
    <w:p w:rsidR="00532E0E" w:rsidRDefault="00532E0E" w:rsidP="00532E0E">
      <w:pPr>
        <w:pBdr>
          <w:top w:val="single" w:sz="4" w:space="1" w:color="auto"/>
          <w:left w:val="single" w:sz="4" w:space="4" w:color="auto"/>
          <w:bottom w:val="single" w:sz="4" w:space="1" w:color="auto"/>
          <w:right w:val="single" w:sz="4" w:space="4" w:color="auto"/>
        </w:pBdr>
        <w:ind w:left="360"/>
        <w:jc w:val="both"/>
        <w:rPr>
          <w:i/>
          <w:iCs/>
          <w:sz w:val="23"/>
        </w:rPr>
      </w:pPr>
      <w:r>
        <w:rPr>
          <w:i/>
          <w:iCs/>
          <w:sz w:val="23"/>
        </w:rPr>
        <w:t xml:space="preserve">Comment </w:t>
      </w:r>
      <w:r w:rsidR="00F63C16">
        <w:rPr>
          <w:i/>
          <w:iCs/>
          <w:sz w:val="23"/>
        </w:rPr>
        <w:t>6</w:t>
      </w:r>
      <w:r>
        <w:rPr>
          <w:i/>
          <w:iCs/>
          <w:sz w:val="23"/>
        </w:rPr>
        <w:t>: Project Design</w:t>
      </w:r>
      <w:r>
        <w:rPr>
          <w:sz w:val="23"/>
        </w:rPr>
        <w:t xml:space="preserve">: </w:t>
      </w:r>
      <w:r w:rsidRPr="00532E0E">
        <w:rPr>
          <w:i/>
          <w:sz w:val="23"/>
        </w:rPr>
        <w:t>Please assess the risk of lack of technical and financial capacity of local industry for production of biodigesters.</w:t>
      </w:r>
      <w:r>
        <w:rPr>
          <w:sz w:val="23"/>
        </w:rPr>
        <w:t xml:space="preserve"> </w:t>
      </w:r>
    </w:p>
    <w:p w:rsidR="00532E0E" w:rsidRDefault="00532E0E" w:rsidP="00532E0E">
      <w:pPr>
        <w:pBdr>
          <w:top w:val="single" w:sz="4" w:space="1" w:color="auto"/>
          <w:left w:val="single" w:sz="4" w:space="4" w:color="auto"/>
          <w:bottom w:val="single" w:sz="4" w:space="1" w:color="auto"/>
          <w:right w:val="single" w:sz="4" w:space="4" w:color="auto"/>
        </w:pBdr>
        <w:ind w:left="360"/>
        <w:jc w:val="both"/>
        <w:rPr>
          <w:i/>
          <w:iCs/>
          <w:sz w:val="23"/>
        </w:rPr>
      </w:pPr>
    </w:p>
    <w:p w:rsidR="00532E0E" w:rsidRPr="00F3130C" w:rsidRDefault="00532E0E" w:rsidP="00532E0E">
      <w:pPr>
        <w:pBdr>
          <w:top w:val="single" w:sz="4" w:space="1" w:color="auto"/>
          <w:left w:val="single" w:sz="4" w:space="4" w:color="auto"/>
          <w:bottom w:val="single" w:sz="4" w:space="1" w:color="auto"/>
          <w:right w:val="single" w:sz="4" w:space="4" w:color="auto"/>
        </w:pBdr>
        <w:autoSpaceDE w:val="0"/>
        <w:autoSpaceDN w:val="0"/>
        <w:adjustRightInd w:val="0"/>
        <w:ind w:left="360"/>
        <w:jc w:val="both"/>
        <w:rPr>
          <w:sz w:val="23"/>
        </w:rPr>
      </w:pPr>
      <w:r>
        <w:rPr>
          <w:sz w:val="23"/>
        </w:rPr>
        <w:t>Response</w:t>
      </w:r>
      <w:r w:rsidRPr="00F3130C">
        <w:rPr>
          <w:iCs/>
          <w:sz w:val="23"/>
        </w:rPr>
        <w:t xml:space="preserve">: </w:t>
      </w:r>
      <w:r w:rsidR="00F3130C" w:rsidRPr="00F3130C">
        <w:rPr>
          <w:iCs/>
          <w:sz w:val="23"/>
        </w:rPr>
        <w:t>Comment addressed. The risk</w:t>
      </w:r>
      <w:r w:rsidR="00F3130C">
        <w:rPr>
          <w:iCs/>
          <w:sz w:val="23"/>
        </w:rPr>
        <w:t xml:space="preserve"> has been assessed as “Medium”. However, some of the </w:t>
      </w:r>
      <w:r w:rsidR="00F3130C">
        <w:rPr>
          <w:bCs/>
          <w:sz w:val="22"/>
          <w:szCs w:val="22"/>
        </w:rPr>
        <w:t>potential local producers of boilers have started the process of obtaining information and knowledge on this new technology through linkages with similar companies in Western and Central Europe. The project will further build the capacity of the local boiler producers by bringing in international expertise and (if justified) organizing a study tour to a country with a well developed biodigester industry.</w:t>
      </w:r>
    </w:p>
    <w:p w:rsidR="00532E0E" w:rsidRDefault="00532E0E" w:rsidP="00532E0E">
      <w:pPr>
        <w:jc w:val="both"/>
        <w:rPr>
          <w:sz w:val="23"/>
        </w:rPr>
      </w:pPr>
    </w:p>
    <w:p w:rsidR="00532E0E" w:rsidRDefault="00532E0E" w:rsidP="00532E0E">
      <w:pPr>
        <w:pBdr>
          <w:top w:val="single" w:sz="4" w:space="1" w:color="auto"/>
          <w:left w:val="single" w:sz="4" w:space="4" w:color="auto"/>
          <w:bottom w:val="single" w:sz="4" w:space="1" w:color="auto"/>
          <w:right w:val="single" w:sz="4" w:space="4" w:color="auto"/>
        </w:pBdr>
        <w:ind w:left="360"/>
        <w:jc w:val="both"/>
        <w:rPr>
          <w:i/>
          <w:iCs/>
          <w:sz w:val="23"/>
        </w:rPr>
      </w:pPr>
      <w:r>
        <w:rPr>
          <w:i/>
          <w:iCs/>
          <w:sz w:val="23"/>
        </w:rPr>
        <w:t>Comment</w:t>
      </w:r>
      <w:r w:rsidR="00F63C16">
        <w:rPr>
          <w:i/>
          <w:iCs/>
          <w:sz w:val="23"/>
        </w:rPr>
        <w:t xml:space="preserve"> 7</w:t>
      </w:r>
      <w:r>
        <w:rPr>
          <w:i/>
          <w:iCs/>
          <w:sz w:val="23"/>
        </w:rPr>
        <w:t xml:space="preserve">: </w:t>
      </w:r>
      <w:r w:rsidR="001A1174">
        <w:rPr>
          <w:i/>
          <w:iCs/>
          <w:sz w:val="23"/>
        </w:rPr>
        <w:t>Recommendations at PIF</w:t>
      </w:r>
      <w:r>
        <w:rPr>
          <w:sz w:val="23"/>
        </w:rPr>
        <w:t xml:space="preserve">: </w:t>
      </w:r>
      <w:r>
        <w:rPr>
          <w:i/>
          <w:iCs/>
          <w:sz w:val="23"/>
        </w:rPr>
        <w:t>Please</w:t>
      </w:r>
      <w:r w:rsidR="001A1174">
        <w:rPr>
          <w:i/>
          <w:iCs/>
          <w:sz w:val="23"/>
        </w:rPr>
        <w:t xml:space="preserve"> describe clearly the situation on regulations for the sale of electricity into the grid of such smaller producers and how they deviate from “the grid”</w:t>
      </w:r>
      <w:r>
        <w:rPr>
          <w:i/>
          <w:iCs/>
          <w:sz w:val="23"/>
        </w:rPr>
        <w:t>.</w:t>
      </w:r>
    </w:p>
    <w:p w:rsidR="00532E0E" w:rsidRDefault="00532E0E" w:rsidP="00532E0E">
      <w:pPr>
        <w:pBdr>
          <w:top w:val="single" w:sz="4" w:space="1" w:color="auto"/>
          <w:left w:val="single" w:sz="4" w:space="4" w:color="auto"/>
          <w:bottom w:val="single" w:sz="4" w:space="1" w:color="auto"/>
          <w:right w:val="single" w:sz="4" w:space="4" w:color="auto"/>
        </w:pBdr>
        <w:ind w:left="360"/>
        <w:jc w:val="both"/>
        <w:rPr>
          <w:iCs/>
          <w:sz w:val="23"/>
        </w:rPr>
      </w:pPr>
    </w:p>
    <w:p w:rsidR="00CA74D0" w:rsidRPr="00CA74D0" w:rsidRDefault="00CA74D0" w:rsidP="00532E0E">
      <w:pPr>
        <w:pBdr>
          <w:top w:val="single" w:sz="4" w:space="1" w:color="auto"/>
          <w:left w:val="single" w:sz="4" w:space="4" w:color="auto"/>
          <w:bottom w:val="single" w:sz="4" w:space="1" w:color="auto"/>
          <w:right w:val="single" w:sz="4" w:space="4" w:color="auto"/>
        </w:pBdr>
        <w:ind w:left="360"/>
        <w:jc w:val="both"/>
        <w:rPr>
          <w:iCs/>
          <w:sz w:val="23"/>
        </w:rPr>
      </w:pPr>
      <w:r>
        <w:rPr>
          <w:iCs/>
          <w:sz w:val="23"/>
        </w:rPr>
        <w:t xml:space="preserve">Response: The existing legislation provides that energy suppliers willing to sell energy into the grid should be able to provide </w:t>
      </w:r>
      <w:r w:rsidR="00D07517">
        <w:rPr>
          <w:iCs/>
          <w:sz w:val="23"/>
        </w:rPr>
        <w:t xml:space="preserve">at a </w:t>
      </w:r>
      <w:r>
        <w:rPr>
          <w:iCs/>
          <w:sz w:val="23"/>
        </w:rPr>
        <w:t xml:space="preserve">minimum 10kW/h. </w:t>
      </w:r>
      <w:r w:rsidR="0074153D">
        <w:rPr>
          <w:iCs/>
          <w:sz w:val="23"/>
        </w:rPr>
        <w:t xml:space="preserve">In order to promote uptake of the new biodigester technology, allowing smaller producers/sellers </w:t>
      </w:r>
      <w:r w:rsidR="00D07517">
        <w:rPr>
          <w:iCs/>
          <w:sz w:val="23"/>
        </w:rPr>
        <w:t xml:space="preserve">to </w:t>
      </w:r>
      <w:r w:rsidR="0074153D">
        <w:rPr>
          <w:iCs/>
          <w:sz w:val="23"/>
        </w:rPr>
        <w:t xml:space="preserve">sell energy into the grid, for instance, through consolidation of their energy output could have a positive impact on the biodigester technology adoption rate. Therefore, the </w:t>
      </w:r>
      <w:r>
        <w:rPr>
          <w:iCs/>
          <w:sz w:val="23"/>
        </w:rPr>
        <w:t xml:space="preserve">project will cooperate with the </w:t>
      </w:r>
      <w:r w:rsidRPr="00072985">
        <w:rPr>
          <w:color w:val="000000"/>
        </w:rPr>
        <w:t xml:space="preserve">country’s energy regulator to </w:t>
      </w:r>
      <w:r>
        <w:rPr>
          <w:color w:val="000000"/>
        </w:rPr>
        <w:t>review options for</w:t>
      </w:r>
      <w:r w:rsidRPr="00CA74D0">
        <w:rPr>
          <w:color w:val="000000"/>
        </w:rPr>
        <w:t xml:space="preserve"> </w:t>
      </w:r>
      <w:r w:rsidRPr="00072985">
        <w:rPr>
          <w:color w:val="000000"/>
        </w:rPr>
        <w:t>allow</w:t>
      </w:r>
      <w:r>
        <w:rPr>
          <w:color w:val="000000"/>
        </w:rPr>
        <w:t>ing</w:t>
      </w:r>
      <w:r w:rsidRPr="00072985">
        <w:rPr>
          <w:color w:val="000000"/>
        </w:rPr>
        <w:t xml:space="preserve"> smaller electricity producers </w:t>
      </w:r>
      <w:r w:rsidR="00D07517">
        <w:rPr>
          <w:color w:val="000000"/>
        </w:rPr>
        <w:t xml:space="preserve">to </w:t>
      </w:r>
      <w:r w:rsidRPr="00072985">
        <w:rPr>
          <w:color w:val="000000"/>
        </w:rPr>
        <w:t>sell surplus electricity into the national grid.</w:t>
      </w:r>
    </w:p>
    <w:p w:rsidR="00532E0E" w:rsidRPr="003A2861" w:rsidRDefault="00532E0E" w:rsidP="00532E0E">
      <w:pPr>
        <w:ind w:left="360"/>
        <w:jc w:val="both"/>
      </w:pPr>
    </w:p>
    <w:p w:rsidR="009060A3" w:rsidRDefault="00270F28" w:rsidP="009060A3">
      <w:pPr>
        <w:pBdr>
          <w:top w:val="single" w:sz="4" w:space="1" w:color="auto"/>
          <w:left w:val="single" w:sz="4" w:space="4" w:color="auto"/>
          <w:bottom w:val="single" w:sz="4" w:space="1" w:color="auto"/>
          <w:right w:val="single" w:sz="4" w:space="4" w:color="auto"/>
        </w:pBdr>
        <w:ind w:left="360"/>
        <w:jc w:val="both"/>
        <w:rPr>
          <w:i/>
          <w:iCs/>
          <w:sz w:val="23"/>
        </w:rPr>
      </w:pPr>
      <w:r>
        <w:rPr>
          <w:i/>
          <w:iCs/>
          <w:sz w:val="23"/>
        </w:rPr>
        <w:t xml:space="preserve">Comment 8: </w:t>
      </w:r>
      <w:r w:rsidR="009060A3">
        <w:rPr>
          <w:i/>
          <w:iCs/>
          <w:sz w:val="23"/>
        </w:rPr>
        <w:t>Recommendations at PIF</w:t>
      </w:r>
      <w:r w:rsidR="009060A3">
        <w:rPr>
          <w:sz w:val="23"/>
        </w:rPr>
        <w:t xml:space="preserve">: </w:t>
      </w:r>
      <w:r w:rsidR="009060A3">
        <w:rPr>
          <w:i/>
          <w:iCs/>
          <w:sz w:val="23"/>
        </w:rPr>
        <w:t xml:space="preserve">Please provide reasoning (or adopt the objectives appropriately), why the project will provide a legal framework for one type of RE only, and not e.g. solve the issue for the whole independent power producer sector at once, which is considered more cost effective. </w:t>
      </w:r>
    </w:p>
    <w:p w:rsidR="009060A3" w:rsidRDefault="009060A3" w:rsidP="009060A3">
      <w:pPr>
        <w:pBdr>
          <w:top w:val="single" w:sz="4" w:space="1" w:color="auto"/>
          <w:left w:val="single" w:sz="4" w:space="4" w:color="auto"/>
          <w:bottom w:val="single" w:sz="4" w:space="1" w:color="auto"/>
          <w:right w:val="single" w:sz="4" w:space="4" w:color="auto"/>
        </w:pBdr>
        <w:ind w:left="360"/>
        <w:jc w:val="both"/>
        <w:rPr>
          <w:i/>
          <w:iCs/>
          <w:sz w:val="23"/>
        </w:rPr>
      </w:pPr>
    </w:p>
    <w:p w:rsidR="00270F28" w:rsidRPr="00DB6487" w:rsidRDefault="00270F28" w:rsidP="00270F28">
      <w:pPr>
        <w:pBdr>
          <w:top w:val="single" w:sz="4" w:space="1" w:color="auto"/>
          <w:left w:val="single" w:sz="4" w:space="4" w:color="auto"/>
          <w:bottom w:val="single" w:sz="4" w:space="1" w:color="auto"/>
          <w:right w:val="single" w:sz="4" w:space="4" w:color="auto"/>
        </w:pBdr>
        <w:autoSpaceDE w:val="0"/>
        <w:autoSpaceDN w:val="0"/>
        <w:adjustRightInd w:val="0"/>
        <w:ind w:left="360"/>
        <w:jc w:val="both"/>
        <w:rPr>
          <w:sz w:val="23"/>
        </w:rPr>
      </w:pPr>
      <w:r>
        <w:rPr>
          <w:sz w:val="23"/>
        </w:rPr>
        <w:t>Response</w:t>
      </w:r>
      <w:r>
        <w:rPr>
          <w:i/>
          <w:iCs/>
          <w:sz w:val="23"/>
        </w:rPr>
        <w:t xml:space="preserve">: </w:t>
      </w:r>
      <w:r w:rsidR="00DB6487">
        <w:rPr>
          <w:iCs/>
          <w:sz w:val="23"/>
        </w:rPr>
        <w:t>As mentioned above in response to comment 5, the project will not be concerned with providing amendments to the law, but rather support the renewable energy options set forth by the law. The project supports introduction of one type of renewable energy, which is biodigester technology. Therefore, under the project, measures will be taken to en</w:t>
      </w:r>
      <w:r w:rsidR="00D07517">
        <w:rPr>
          <w:iCs/>
          <w:sz w:val="23"/>
        </w:rPr>
        <w:t>s</w:t>
      </w:r>
      <w:r w:rsidR="00DB6487">
        <w:rPr>
          <w:iCs/>
          <w:sz w:val="23"/>
        </w:rPr>
        <w:t xml:space="preserve">ure </w:t>
      </w:r>
      <w:r w:rsidR="00D07517">
        <w:rPr>
          <w:iCs/>
          <w:sz w:val="23"/>
        </w:rPr>
        <w:t>a</w:t>
      </w:r>
      <w:r w:rsidR="00DB6487">
        <w:rPr>
          <w:iCs/>
          <w:sz w:val="23"/>
        </w:rPr>
        <w:t xml:space="preserve"> legal framework for use of this new technology in Moldova.</w:t>
      </w:r>
    </w:p>
    <w:p w:rsidR="00270F28" w:rsidRPr="003A2861" w:rsidRDefault="00270F28" w:rsidP="00270F28">
      <w:pPr>
        <w:ind w:left="360"/>
        <w:jc w:val="both"/>
      </w:pPr>
    </w:p>
    <w:p w:rsidR="009060A3" w:rsidRDefault="009060A3" w:rsidP="009060A3">
      <w:pPr>
        <w:pBdr>
          <w:top w:val="single" w:sz="4" w:space="1" w:color="auto"/>
          <w:left w:val="single" w:sz="4" w:space="4" w:color="auto"/>
          <w:bottom w:val="single" w:sz="4" w:space="1" w:color="auto"/>
          <w:right w:val="single" w:sz="4" w:space="4" w:color="auto"/>
        </w:pBdr>
        <w:ind w:left="360"/>
        <w:jc w:val="both"/>
        <w:rPr>
          <w:i/>
          <w:iCs/>
          <w:sz w:val="23"/>
        </w:rPr>
      </w:pPr>
      <w:r>
        <w:rPr>
          <w:i/>
          <w:iCs/>
          <w:sz w:val="23"/>
        </w:rPr>
        <w:t>Comment 9: Recommendations at PIF</w:t>
      </w:r>
      <w:r>
        <w:rPr>
          <w:sz w:val="23"/>
        </w:rPr>
        <w:t xml:space="preserve">: </w:t>
      </w:r>
      <w:r>
        <w:rPr>
          <w:i/>
          <w:iCs/>
          <w:sz w:val="23"/>
        </w:rPr>
        <w:t xml:space="preserve">Please provide a detailed assessment of the global environmental benefits. </w:t>
      </w:r>
    </w:p>
    <w:p w:rsidR="00D26AF1" w:rsidRDefault="00D26AF1" w:rsidP="009060A3">
      <w:pPr>
        <w:pBdr>
          <w:top w:val="single" w:sz="4" w:space="1" w:color="auto"/>
          <w:left w:val="single" w:sz="4" w:space="4" w:color="auto"/>
          <w:bottom w:val="single" w:sz="4" w:space="1" w:color="auto"/>
          <w:right w:val="single" w:sz="4" w:space="4" w:color="auto"/>
        </w:pBdr>
        <w:ind w:left="360"/>
        <w:jc w:val="both"/>
        <w:rPr>
          <w:i/>
          <w:iCs/>
          <w:sz w:val="23"/>
        </w:rPr>
      </w:pPr>
    </w:p>
    <w:p w:rsidR="009060A3" w:rsidRPr="00D26AF1" w:rsidRDefault="00D26AF1" w:rsidP="009060A3">
      <w:pPr>
        <w:pBdr>
          <w:top w:val="single" w:sz="4" w:space="1" w:color="auto"/>
          <w:left w:val="single" w:sz="4" w:space="4" w:color="auto"/>
          <w:bottom w:val="single" w:sz="4" w:space="1" w:color="auto"/>
          <w:right w:val="single" w:sz="4" w:space="4" w:color="auto"/>
        </w:pBdr>
        <w:ind w:left="360"/>
        <w:jc w:val="both"/>
        <w:rPr>
          <w:iCs/>
          <w:sz w:val="23"/>
        </w:rPr>
      </w:pPr>
      <w:r w:rsidRPr="00D26AF1">
        <w:rPr>
          <w:iCs/>
          <w:sz w:val="23"/>
        </w:rPr>
        <w:t xml:space="preserve">Response: </w:t>
      </w:r>
      <w:r>
        <w:rPr>
          <w:iCs/>
          <w:sz w:val="23"/>
        </w:rPr>
        <w:t xml:space="preserve">The Global Environmental Objective of the project </w:t>
      </w:r>
      <w:r w:rsidR="00DD2ABF" w:rsidRPr="00DD2ABF">
        <w:rPr>
          <w:iCs/>
          <w:sz w:val="23"/>
        </w:rPr>
        <w:t xml:space="preserve">is to contribute to the reduction of GHG emissions through the adoption of on-grid renewable energy supplies. </w:t>
      </w:r>
      <w:r w:rsidR="007D7266">
        <w:t xml:space="preserve">Therefore, the project will measure the reduction of GHGs and volume of electricity (in kW/hrs) generated as a result of implementation of the pilot biodigesters. </w:t>
      </w:r>
    </w:p>
    <w:p w:rsidR="00EB7860" w:rsidRDefault="00EB7860">
      <w:pPr>
        <w:ind w:left="360"/>
        <w:jc w:val="center"/>
        <w:rPr>
          <w:sz w:val="16"/>
        </w:rPr>
      </w:pPr>
    </w:p>
    <w:p w:rsidR="00DB3AE8" w:rsidRDefault="00DB3AE8">
      <w:pPr>
        <w:ind w:left="360"/>
        <w:jc w:val="center"/>
        <w:rPr>
          <w:sz w:val="16"/>
        </w:rPr>
      </w:pPr>
    </w:p>
    <w:p w:rsidR="00DB3AE8" w:rsidRDefault="00DB3AE8">
      <w:pPr>
        <w:ind w:left="360"/>
        <w:jc w:val="center"/>
        <w:rPr>
          <w:sz w:val="16"/>
        </w:rPr>
      </w:pPr>
    </w:p>
    <w:p w:rsidR="00DB3AE8" w:rsidRDefault="00DB3AE8">
      <w:pPr>
        <w:ind w:left="360"/>
        <w:jc w:val="center"/>
        <w:rPr>
          <w:sz w:val="16"/>
        </w:rPr>
      </w:pPr>
    </w:p>
    <w:p w:rsidR="00DB3AE8" w:rsidRPr="00DB3AE8" w:rsidRDefault="00DB3AE8" w:rsidP="00DB3AE8">
      <w:pPr>
        <w:ind w:left="360"/>
      </w:pPr>
      <w:r w:rsidRPr="00DB3AE8">
        <w:rPr>
          <w:b/>
        </w:rPr>
        <w:t>Comments from GEF Secretariat (in italic) to the Project Brief and responses to them</w:t>
      </w:r>
      <w:r w:rsidRPr="00DB3AE8">
        <w:t xml:space="preserve">: </w:t>
      </w:r>
      <w:r w:rsidRPr="00DB3AE8">
        <w:br/>
      </w:r>
    </w:p>
    <w:p w:rsidR="00DB3AE8" w:rsidRPr="00DB3AE8" w:rsidRDefault="00DB3AE8" w:rsidP="00DB3AE8">
      <w:pPr>
        <w:ind w:left="360"/>
        <w:rPr>
          <w:sz w:val="16"/>
        </w:rPr>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rPr>
          <w:i/>
        </w:rPr>
      </w:pPr>
      <w:r w:rsidRPr="00DB3AE8">
        <w:rPr>
          <w:i/>
        </w:rPr>
        <w:t>Comment 1: Please recalculate the direct and indirect project benefits including both, the emission reductions coming from the reduction/prevention of CH4, and from the saved electricity.</w:t>
      </w: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pPr>
      <w:r w:rsidRPr="00DB3AE8">
        <w:t>Response</w:t>
      </w:r>
      <w:r w:rsidR="008A76F7">
        <w:t>:</w:t>
      </w:r>
      <w:r w:rsidRPr="00DB3AE8">
        <w:t xml:space="preserve"> Comment addressed. Full explanation of the calculation </w:t>
      </w:r>
      <w:r w:rsidR="008A76F7">
        <w:t xml:space="preserve">is </w:t>
      </w:r>
      <w:r w:rsidRPr="00DB3AE8">
        <w:t xml:space="preserve">available in the Project Brief. </w:t>
      </w:r>
      <w:r w:rsidRPr="00DB3AE8">
        <w:rPr>
          <w:b/>
        </w:rPr>
        <w:t>Direct Benefits</w:t>
      </w:r>
      <w:r w:rsidRPr="00DB3AE8">
        <w:t>: It is estimated that both cattle farms participating in the biodigester pilot will reduce CO</w:t>
      </w:r>
      <w:r w:rsidRPr="00DB3AE8">
        <w:rPr>
          <w:vertAlign w:val="subscript"/>
        </w:rPr>
        <w:t>2</w:t>
      </w:r>
      <w:r w:rsidRPr="00DB3AE8">
        <w:t xml:space="preserve"> emission by approximately 103,130 tons during the 20 year life of the investment (51,565 t/ CO</w:t>
      </w:r>
      <w:r w:rsidRPr="00DB3AE8">
        <w:rPr>
          <w:vertAlign w:val="subscript"/>
        </w:rPr>
        <w:t>2</w:t>
      </w:r>
      <w:r w:rsidRPr="00DB3AE8">
        <w:t xml:space="preserve"> from each farm), of which 49,2652 t/ CO</w:t>
      </w:r>
      <w:r w:rsidRPr="00DB3AE8">
        <w:rPr>
          <w:vertAlign w:val="subscript"/>
        </w:rPr>
        <w:t>2</w:t>
      </w:r>
      <w:r w:rsidRPr="00DB3AE8">
        <w:t xml:space="preserve"> will be from use of biodigesters and 2,300 t/ CO</w:t>
      </w:r>
      <w:r w:rsidRPr="00DB3AE8">
        <w:rPr>
          <w:vertAlign w:val="subscript"/>
        </w:rPr>
        <w:t>2</w:t>
      </w:r>
      <w:r w:rsidRPr="00DB3AE8">
        <w:t xml:space="preserve"> from the sale of electricity into the grid.</w:t>
      </w: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pPr>
      <w:r w:rsidRPr="00DB3AE8">
        <w:rPr>
          <w:b/>
        </w:rPr>
        <w:t>Indirect Benefits</w:t>
      </w:r>
      <w:r w:rsidRPr="00DB3AE8">
        <w:t>. It is estimated that the indirect benefits will amount to 2,154,600 t/CO</w:t>
      </w:r>
      <w:r w:rsidRPr="00DB3AE8">
        <w:rPr>
          <w:vertAlign w:val="subscript"/>
        </w:rPr>
        <w:t xml:space="preserve">2, </w:t>
      </w:r>
      <w:r w:rsidRPr="00DB3AE8">
        <w:t xml:space="preserve">given the expectation that at least 40 farms will replicate the technology during the next 5 </w:t>
      </w:r>
      <w:r w:rsidR="00AB5AD4">
        <w:t>to</w:t>
      </w:r>
      <w:r w:rsidRPr="00DB3AE8">
        <w:t xml:space="preserve"> 7 years. Including over the useful lifetime of the biodigester, the CO</w:t>
      </w:r>
      <w:r w:rsidRPr="00DB3AE8">
        <w:rPr>
          <w:vertAlign w:val="subscript"/>
        </w:rPr>
        <w:t>2</w:t>
      </w:r>
      <w:r w:rsidRPr="00DB3AE8">
        <w:t xml:space="preserve"> equivalent of emission reductions resulting from methane capture in the 40 farms will amount to 1,970,600 tons of CO</w:t>
      </w:r>
      <w:r w:rsidRPr="00DB3AE8">
        <w:rPr>
          <w:vertAlign w:val="subscript"/>
        </w:rPr>
        <w:t>2</w:t>
      </w:r>
      <w:r w:rsidRPr="00DB3AE8">
        <w:t xml:space="preserve">; and emission reductions from the replacement of electricity into the grid on the 40 farms will amount to </w:t>
      </w:r>
      <w:r w:rsidR="00AB5AD4">
        <w:t xml:space="preserve">an </w:t>
      </w:r>
      <w:r w:rsidRPr="00DB3AE8">
        <w:t>additional 184,000 t/CO</w:t>
      </w:r>
      <w:r w:rsidRPr="00DB3AE8">
        <w:rPr>
          <w:vertAlign w:val="subscript"/>
        </w:rPr>
        <w:t>2</w:t>
      </w:r>
      <w:r w:rsidRPr="00DB3AE8">
        <w:t xml:space="preserve">. </w:t>
      </w:r>
    </w:p>
    <w:p w:rsidR="00DB3AE8" w:rsidRPr="00DB3AE8" w:rsidRDefault="00DB3AE8" w:rsidP="00DB3AE8">
      <w:pPr>
        <w:ind w:left="360"/>
        <w:rPr>
          <w:sz w:val="16"/>
        </w:rPr>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rPr>
          <w:i/>
          <w:iCs/>
        </w:rPr>
      </w:pPr>
      <w:r w:rsidRPr="00DB3AE8">
        <w:rPr>
          <w:i/>
          <w:iCs/>
        </w:rPr>
        <w:t>Comment 2: Project Design</w:t>
      </w:r>
      <w:r w:rsidRPr="00DB3AE8">
        <w:t xml:space="preserve">: </w:t>
      </w:r>
      <w:r w:rsidRPr="00DB3AE8">
        <w:rPr>
          <w:i/>
        </w:rPr>
        <w:t>Is there room for further feasibility studies for replication of efforts within the TA component 2?</w:t>
      </w:r>
      <w:r w:rsidRPr="00DB3AE8">
        <w:t xml:space="preserve"> </w:t>
      </w: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rPr>
          <w:i/>
          <w:iCs/>
        </w:rPr>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pPr>
      <w:r w:rsidRPr="00DB3AE8">
        <w:t>Response</w:t>
      </w:r>
      <w:r w:rsidRPr="00DB3AE8">
        <w:rPr>
          <w:iCs/>
        </w:rPr>
        <w:t xml:space="preserve">: Comment addressed. A feasibility </w:t>
      </w:r>
      <w:r w:rsidRPr="008A76F7">
        <w:rPr>
          <w:iCs/>
        </w:rPr>
        <w:t xml:space="preserve">study </w:t>
      </w:r>
      <w:r w:rsidR="004E1B80" w:rsidRPr="008A76F7">
        <w:rPr>
          <w:iCs/>
        </w:rPr>
        <w:t>to replicate and expand the use</w:t>
      </w:r>
      <w:r w:rsidRPr="00DB3AE8">
        <w:rPr>
          <w:iCs/>
        </w:rPr>
        <w:t xml:space="preserve"> of biodigester technology in the country’s animal farms (livestock, pigs and poultry) has been included under the component.</w:t>
      </w:r>
    </w:p>
    <w:p w:rsidR="00DB3AE8" w:rsidRPr="00DB3AE8" w:rsidRDefault="00DB3AE8" w:rsidP="00DB3AE8">
      <w:pPr>
        <w:ind w:left="360"/>
        <w:rPr>
          <w:sz w:val="16"/>
        </w:rPr>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rPr>
          <w:i/>
          <w:iCs/>
        </w:rPr>
      </w:pPr>
      <w:r w:rsidRPr="00DB3AE8">
        <w:rPr>
          <w:i/>
          <w:iCs/>
        </w:rPr>
        <w:t>Comment 3: Project Design</w:t>
      </w:r>
      <w:r w:rsidRPr="00DB3AE8">
        <w:t xml:space="preserve">: </w:t>
      </w:r>
      <w:r w:rsidRPr="00DB3AE8">
        <w:rPr>
          <w:i/>
        </w:rPr>
        <w:t>The investment cost of $320,000 per pilot farm as stated in Table 3 of the MSP brief and the specific cost per electrical capacity is considered not to be in relation to typical investment costs for the technology in the region (e.g. www.big-east.eu). Please explain or amend.</w:t>
      </w: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rPr>
          <w:iCs/>
        </w:rPr>
      </w:pPr>
      <w:r w:rsidRPr="00DB3AE8">
        <w:t>Response</w:t>
      </w:r>
      <w:r w:rsidRPr="00DB3AE8">
        <w:rPr>
          <w:iCs/>
        </w:rPr>
        <w:t>: Comment addressed. The cost of the investment is estimated lower than the turn-key installations available in the Western Europe. The cost of the investment has been assumed, taking into account the following cost-reduction measures: some of the construction work will be performed by the participating farmers/producers, biodigesters (or their parts) will be locally produced, and simple but sound construction materials and processes will be used.</w:t>
      </w:r>
    </w:p>
    <w:p w:rsidR="00DB3AE8" w:rsidRPr="00DB3AE8" w:rsidRDefault="00DB3AE8" w:rsidP="00DB3AE8">
      <w:pPr>
        <w:ind w:left="360"/>
        <w:rPr>
          <w:sz w:val="16"/>
        </w:rPr>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rPr>
          <w:i/>
        </w:rPr>
      </w:pPr>
      <w:r w:rsidRPr="00DB3AE8">
        <w:rPr>
          <w:i/>
          <w:iCs/>
        </w:rPr>
        <w:t>Comment 4: Project Design</w:t>
      </w:r>
      <w:r w:rsidRPr="00DB3AE8">
        <w:t xml:space="preserve">: </w:t>
      </w:r>
      <w:r w:rsidRPr="00DB3AE8">
        <w:rPr>
          <w:i/>
        </w:rPr>
        <w:t>Please provide facts and figures for the replication potential (e.g. number of farms in the range of 400+ cattle) within the indicated target group for the GEF project.</w:t>
      </w: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pPr>
    </w:p>
    <w:p w:rsidR="00DB3AE8" w:rsidRPr="008129D2" w:rsidRDefault="00DB3AE8" w:rsidP="00DB3AE8">
      <w:pPr>
        <w:pBdr>
          <w:top w:val="single" w:sz="4" w:space="1" w:color="auto"/>
          <w:left w:val="single" w:sz="4" w:space="4" w:color="auto"/>
          <w:bottom w:val="single" w:sz="4" w:space="1" w:color="auto"/>
          <w:right w:val="single" w:sz="4" w:space="4" w:color="auto"/>
        </w:pBdr>
        <w:ind w:left="360"/>
        <w:jc w:val="both"/>
        <w:rPr>
          <w:iCs/>
          <w:lang w:val="en-GB"/>
        </w:rPr>
      </w:pPr>
      <w:r w:rsidRPr="00DB3AE8">
        <w:t>Response</w:t>
      </w:r>
      <w:r w:rsidRPr="00DB3AE8">
        <w:rPr>
          <w:iCs/>
        </w:rPr>
        <w:t xml:space="preserve">: Comment addressed. </w:t>
      </w:r>
      <w:r w:rsidRPr="008129D2">
        <w:rPr>
          <w:iCs/>
          <w:lang w:val="en-GB"/>
        </w:rPr>
        <w:t xml:space="preserve">Replication potential </w:t>
      </w:r>
      <w:r w:rsidRPr="008129D2">
        <w:rPr>
          <w:iCs/>
        </w:rPr>
        <w:t>over the next 5</w:t>
      </w:r>
      <w:r w:rsidR="00AB5AD4" w:rsidRPr="008129D2">
        <w:rPr>
          <w:iCs/>
        </w:rPr>
        <w:t xml:space="preserve"> to </w:t>
      </w:r>
      <w:r w:rsidRPr="008129D2">
        <w:rPr>
          <w:iCs/>
        </w:rPr>
        <w:t>7 years is estimated at 40</w:t>
      </w:r>
      <w:r w:rsidR="00AB5AD4" w:rsidRPr="008129D2">
        <w:rPr>
          <w:iCs/>
        </w:rPr>
        <w:t xml:space="preserve"> to </w:t>
      </w:r>
      <w:r w:rsidRPr="008129D2">
        <w:rPr>
          <w:iCs/>
        </w:rPr>
        <w:t>50 farms</w:t>
      </w:r>
      <w:r w:rsidRPr="008129D2">
        <w:rPr>
          <w:iCs/>
          <w:lang w:val="en-GB"/>
        </w:rPr>
        <w:t xml:space="preserve">. Based on statistical data for 2008, Moldova has approx. 440 registered animal farms, including 130 specializing </w:t>
      </w:r>
      <w:r w:rsidR="00AB5AD4" w:rsidRPr="008129D2">
        <w:rPr>
          <w:iCs/>
          <w:lang w:val="en-GB"/>
        </w:rPr>
        <w:t>i</w:t>
      </w:r>
      <w:r w:rsidRPr="008129D2">
        <w:rPr>
          <w:iCs/>
          <w:lang w:val="en-GB"/>
        </w:rPr>
        <w:t xml:space="preserve">n cattle production. Of those, approx. 20 farms have 400 cattle or more, which, according to the project team’s calculation, is the minimum farm size necessary for exploiting the full economic and technical potential of a biodigester. The interest of these larger producers in biodigesters, although cautioned by the novelty of the technology, is significant. At the same time, it is expected that the biodigesters installed on the pilot cattle farms, in combination with the information campaign carried out by the project, will also generate interest among swine and poultry producers, which account for another approximately 330 farms (some farms are mixed cattle and swine farms). With the local engineers and biodigester manufacturers trained, it is expected to be relatively easy to introduce biodigester technologies suitable for these types of farms. It is expected that at least 20% of the swine and poultry farms will be interested and financially capable (including </w:t>
      </w:r>
      <w:r w:rsidRPr="008129D2">
        <w:rPr>
          <w:iCs/>
        </w:rPr>
        <w:t xml:space="preserve">own funds, borrowing form a financial intermediary, as well as replication using a carbon finance project) </w:t>
      </w:r>
      <w:r w:rsidRPr="008129D2">
        <w:rPr>
          <w:iCs/>
          <w:lang w:val="en-GB"/>
        </w:rPr>
        <w:t>to install biodigesters. In addition, Moldova will serve as a demonstration for other countries in the region. While most of the study tours and information exchange trips are currently undertaken in Western Europe, Moldova could serve as an alternative example for farmers and animal producers in other countries interested in biodigester technologies.</w:t>
      </w:r>
    </w:p>
    <w:p w:rsidR="00DB3AE8" w:rsidRPr="008129D2" w:rsidRDefault="00DB3AE8" w:rsidP="00DB3AE8">
      <w:pPr>
        <w:ind w:left="360"/>
        <w:rPr>
          <w:sz w:val="16"/>
        </w:rPr>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rPr>
          <w:i/>
        </w:rPr>
      </w:pPr>
      <w:r w:rsidRPr="00DB3AE8">
        <w:rPr>
          <w:i/>
          <w:iCs/>
        </w:rPr>
        <w:t>Comment 5: Project Design</w:t>
      </w:r>
      <w:r w:rsidRPr="00DB3AE8">
        <w:t xml:space="preserve">: </w:t>
      </w:r>
      <w:r w:rsidRPr="00DB3AE8">
        <w:rPr>
          <w:i/>
        </w:rPr>
        <w:t>Please elaborate on the feasibility and replication potential for the larger farms by using carbon finance resources for replication.</w:t>
      </w: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rPr>
          <w:iCs/>
          <w:u w:val="single"/>
        </w:rPr>
      </w:pPr>
      <w:r w:rsidRPr="00DB3AE8">
        <w:t>Response</w:t>
      </w:r>
      <w:r w:rsidRPr="00DB3AE8">
        <w:rPr>
          <w:iCs/>
        </w:rPr>
        <w:t xml:space="preserve">: Comment addressed. </w:t>
      </w:r>
      <w:r w:rsidRPr="008129D2">
        <w:rPr>
          <w:iCs/>
          <w:lang w:val="en-GB"/>
        </w:rPr>
        <w:t xml:space="preserve">One of the ways of encouraging replication of the demonstration results under the GEF grant is expected to be carbon finance. The payments from the sale of emission reductions will serve as a grant component in the future investments in the technology. Based on the team’s analysis, carbon payments: (i) improve the financial feasibility of the investments by increasing the IRR two-fold or three-fold, compared to the project without the carbon payments; (ii) reduce the repayment period, thus allowing the farmers to achieve financial sustainability; and (iii) serve as a security for the lending institutions in cases where the animal producers will have to borrow. While a parallel carbon finance project was planned in parallel to this GEF grant for the purposes of scaling up the technology, the carbon finance project is expected to be prepared once the technology has been made available in the country. At least 40 farms (all types of animals) have contacted the CFU seeking participation in the carbon finance project. However, caution due to novelty of the technology and effects of the economic crisis have not permitted the carbon finance project to be launched.  </w:t>
      </w:r>
    </w:p>
    <w:p w:rsidR="00DB3AE8" w:rsidRPr="00DB3AE8" w:rsidRDefault="00DB3AE8" w:rsidP="00DB3AE8">
      <w:pPr>
        <w:ind w:left="360"/>
        <w:rPr>
          <w:sz w:val="16"/>
        </w:rPr>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rPr>
          <w:i/>
        </w:rPr>
      </w:pPr>
      <w:r w:rsidRPr="00DB3AE8">
        <w:rPr>
          <w:i/>
          <w:iCs/>
        </w:rPr>
        <w:t>Comment 6: Project Design</w:t>
      </w:r>
      <w:r w:rsidRPr="00DB3AE8">
        <w:t xml:space="preserve">: </w:t>
      </w:r>
      <w:r w:rsidRPr="00DB3AE8">
        <w:rPr>
          <w:i/>
        </w:rPr>
        <w:t>Please elaborate more on the development of enabling legislation for encouraging the supply of RE to the grid, including facts on the envisaged compensation structure.</w:t>
      </w: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pPr>
      <w:r w:rsidRPr="00DB3AE8">
        <w:t>Response</w:t>
      </w:r>
      <w:r w:rsidRPr="00DB3AE8">
        <w:rPr>
          <w:iCs/>
        </w:rPr>
        <w:t xml:space="preserve">: Comment addressed. The detailed terms and conditions of the support to small producers are not available at this stage. Under the project, international expertise will be hired to review the feasibility (technical, economic and financial) of working with small suppliers. The specific terms and conditions of the </w:t>
      </w:r>
      <w:r w:rsidRPr="00DB3AE8">
        <w:rPr>
          <w:iCs/>
          <w:u w:val="single"/>
        </w:rPr>
        <w:t xml:space="preserve">sale of energy into the grid and compensation will follow on from the results of the review. </w:t>
      </w:r>
    </w:p>
    <w:p w:rsidR="00DB3AE8" w:rsidRPr="00DB3AE8" w:rsidRDefault="00DB3AE8" w:rsidP="00DB3AE8">
      <w:pPr>
        <w:ind w:left="360"/>
        <w:rPr>
          <w:sz w:val="16"/>
        </w:rPr>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rPr>
          <w:i/>
        </w:rPr>
      </w:pPr>
      <w:r w:rsidRPr="00DB3AE8">
        <w:rPr>
          <w:i/>
          <w:iCs/>
        </w:rPr>
        <w:t>Comment 7: Major Risks</w:t>
      </w:r>
      <w:r w:rsidRPr="00DB3AE8">
        <w:t xml:space="preserve">: </w:t>
      </w:r>
      <w:r w:rsidRPr="00DB3AE8">
        <w:rPr>
          <w:i/>
        </w:rPr>
        <w:t>What measures will the project undertake to ensure that not only those installations supported by the project will be financially viable?</w:t>
      </w: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rPr>
          <w:i/>
        </w:rPr>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pPr>
      <w:r w:rsidRPr="00DB3AE8">
        <w:t>Response</w:t>
      </w:r>
      <w:r w:rsidRPr="00DB3AE8">
        <w:rPr>
          <w:iCs/>
        </w:rPr>
        <w:t xml:space="preserve">: Comment addressed. The risk of the project supporting financially unviable biogas installations is low. </w:t>
      </w:r>
      <w:r w:rsidRPr="00DB3AE8">
        <w:rPr>
          <w:bCs/>
          <w:iCs/>
        </w:rPr>
        <w:t xml:space="preserve">The project will have </w:t>
      </w:r>
      <w:r w:rsidR="004E1B80" w:rsidRPr="005D338F">
        <w:rPr>
          <w:bCs/>
          <w:iCs/>
        </w:rPr>
        <w:t>a</w:t>
      </w:r>
      <w:r w:rsidR="00DE5876">
        <w:rPr>
          <w:bCs/>
          <w:iCs/>
        </w:rPr>
        <w:t xml:space="preserve">n established </w:t>
      </w:r>
      <w:r w:rsidR="004E1B80" w:rsidRPr="005D338F">
        <w:rPr>
          <w:bCs/>
          <w:iCs/>
        </w:rPr>
        <w:t>process of selectin</w:t>
      </w:r>
      <w:r w:rsidR="00DE5876">
        <w:rPr>
          <w:bCs/>
          <w:iCs/>
        </w:rPr>
        <w:t>g</w:t>
      </w:r>
      <w:r w:rsidRPr="00DB3AE8">
        <w:rPr>
          <w:bCs/>
          <w:iCs/>
        </w:rPr>
        <w:t xml:space="preserve"> of participating farms for the two biodigester demonstration sites. The required minimum number of animals, ability to raise own capital or to borrow, as well as capacity to ensure proper operation of the biodigester for the duration of its useful life will be among the selection criteria for the participating farms.</w:t>
      </w:r>
    </w:p>
    <w:p w:rsidR="00DB3AE8" w:rsidRPr="00DB3AE8" w:rsidRDefault="00DB3AE8" w:rsidP="00DB3AE8">
      <w:pPr>
        <w:ind w:left="360"/>
        <w:rPr>
          <w:sz w:val="16"/>
        </w:rPr>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rPr>
          <w:i/>
        </w:rPr>
      </w:pPr>
      <w:r w:rsidRPr="00DB3AE8">
        <w:rPr>
          <w:i/>
          <w:iCs/>
        </w:rPr>
        <w:t>Comment 8: Project Management</w:t>
      </w:r>
      <w:r w:rsidRPr="00DB3AE8">
        <w:t xml:space="preserve">: </w:t>
      </w:r>
      <w:r w:rsidRPr="00DB3AE8">
        <w:rPr>
          <w:i/>
        </w:rPr>
        <w:t>The project duration is given as 3 years, the estimated person weeks for the project manager and the technical supervisor are result to only 2.5 years. Please clarify.</w:t>
      </w: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rPr>
          <w:i/>
        </w:rPr>
      </w:pPr>
    </w:p>
    <w:p w:rsidR="00DB3AE8" w:rsidRPr="00DB3AE8" w:rsidRDefault="00DB3AE8" w:rsidP="00DB3AE8">
      <w:pPr>
        <w:pBdr>
          <w:top w:val="single" w:sz="4" w:space="1" w:color="auto"/>
          <w:left w:val="single" w:sz="4" w:space="4" w:color="auto"/>
          <w:bottom w:val="single" w:sz="4" w:space="1" w:color="auto"/>
          <w:right w:val="single" w:sz="4" w:space="4" w:color="auto"/>
        </w:pBdr>
        <w:ind w:left="360"/>
        <w:jc w:val="both"/>
      </w:pPr>
      <w:r w:rsidRPr="00DB3AE8">
        <w:t>Response</w:t>
      </w:r>
      <w:r w:rsidRPr="00DB3AE8">
        <w:rPr>
          <w:iCs/>
        </w:rPr>
        <w:t>: Comment addressed. The estimated number of person-weeks for both key staff members of the project management team has been adjusted to 144 person-weeks each (36 person-months each – Annex C).</w:t>
      </w:r>
    </w:p>
    <w:p w:rsidR="00DB3AE8" w:rsidRPr="00DB3AE8" w:rsidRDefault="00DB3AE8" w:rsidP="00DB3AE8">
      <w:pPr>
        <w:ind w:left="360"/>
        <w:rPr>
          <w:sz w:val="16"/>
        </w:rPr>
      </w:pPr>
    </w:p>
    <w:p w:rsidR="00DB3AE8" w:rsidRPr="00DB3AE8" w:rsidRDefault="00DB3AE8" w:rsidP="00DB3AE8">
      <w:pPr>
        <w:ind w:left="360"/>
        <w:rPr>
          <w:sz w:val="16"/>
        </w:rPr>
      </w:pPr>
    </w:p>
    <w:p w:rsidR="00971311" w:rsidRDefault="00971311">
      <w:pPr>
        <w:ind w:left="360"/>
        <w:rPr>
          <w:sz w:val="16"/>
        </w:rPr>
      </w:pPr>
    </w:p>
    <w:sectPr w:rsidR="00971311" w:rsidSect="00530269">
      <w:footerReference w:type="even" r:id="rId19"/>
      <w:footerReference w:type="default" r:id="rId20"/>
      <w:pgSz w:w="12240" w:h="15840"/>
      <w:pgMar w:top="1440" w:right="1797" w:bottom="14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74F" w:rsidRDefault="00ED274F">
      <w:r>
        <w:separator/>
      </w:r>
    </w:p>
  </w:endnote>
  <w:endnote w:type="continuationSeparator" w:id="0">
    <w:p w:rsidR="00ED274F" w:rsidRDefault="00ED27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F7" w:rsidRDefault="00B90C83">
    <w:pPr>
      <w:pStyle w:val="Footer"/>
      <w:framePr w:wrap="around" w:vAnchor="text" w:hAnchor="margin" w:xAlign="center" w:y="1"/>
      <w:rPr>
        <w:rStyle w:val="PageNumber"/>
      </w:rPr>
    </w:pPr>
    <w:r>
      <w:rPr>
        <w:rStyle w:val="PageNumber"/>
      </w:rPr>
      <w:fldChar w:fldCharType="begin"/>
    </w:r>
    <w:r w:rsidR="008A76F7">
      <w:rPr>
        <w:rStyle w:val="PageNumber"/>
      </w:rPr>
      <w:instrText xml:space="preserve">PAGE  </w:instrText>
    </w:r>
    <w:r>
      <w:rPr>
        <w:rStyle w:val="PageNumber"/>
      </w:rPr>
      <w:fldChar w:fldCharType="end"/>
    </w:r>
  </w:p>
  <w:p w:rsidR="008A76F7" w:rsidRDefault="008A76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F7" w:rsidRDefault="00B90C83">
    <w:pPr>
      <w:pStyle w:val="Footer"/>
      <w:framePr w:wrap="around" w:vAnchor="text" w:hAnchor="margin" w:xAlign="center" w:y="1"/>
      <w:rPr>
        <w:rStyle w:val="PageNumber"/>
        <w:sz w:val="20"/>
      </w:rPr>
    </w:pPr>
    <w:r>
      <w:rPr>
        <w:rStyle w:val="PageNumber"/>
        <w:sz w:val="20"/>
      </w:rPr>
      <w:fldChar w:fldCharType="begin"/>
    </w:r>
    <w:r w:rsidR="008A76F7">
      <w:rPr>
        <w:rStyle w:val="PageNumber"/>
        <w:sz w:val="20"/>
      </w:rPr>
      <w:instrText xml:space="preserve">PAGE  </w:instrText>
    </w:r>
    <w:r>
      <w:rPr>
        <w:rStyle w:val="PageNumber"/>
        <w:sz w:val="20"/>
      </w:rPr>
      <w:fldChar w:fldCharType="separate"/>
    </w:r>
    <w:r w:rsidR="00ED274F">
      <w:rPr>
        <w:rStyle w:val="PageNumber"/>
        <w:noProof/>
        <w:sz w:val="20"/>
      </w:rPr>
      <w:t>1</w:t>
    </w:r>
    <w:r>
      <w:rPr>
        <w:rStyle w:val="PageNumber"/>
        <w:sz w:val="20"/>
      </w:rPr>
      <w:fldChar w:fldCharType="end"/>
    </w:r>
  </w:p>
  <w:p w:rsidR="008A76F7" w:rsidRPr="00346C17" w:rsidRDefault="008A76F7" w:rsidP="00346C17">
    <w:pPr>
      <w:pStyle w:val="Footer"/>
      <w:ind w:left="-540"/>
      <w:rPr>
        <w:color w:val="999999"/>
        <w:sz w:val="16"/>
        <w:lang w:val="fr-FR"/>
      </w:rPr>
    </w:pPr>
  </w:p>
  <w:p w:rsidR="008A76F7" w:rsidRDefault="008A76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F7" w:rsidRDefault="00B90C83">
    <w:pPr>
      <w:pStyle w:val="Footer"/>
      <w:framePr w:wrap="around" w:vAnchor="text" w:hAnchor="margin" w:xAlign="right" w:y="1"/>
      <w:rPr>
        <w:rStyle w:val="PageNumber"/>
      </w:rPr>
    </w:pPr>
    <w:r>
      <w:rPr>
        <w:rStyle w:val="PageNumber"/>
      </w:rPr>
      <w:fldChar w:fldCharType="begin"/>
    </w:r>
    <w:r w:rsidR="008A76F7">
      <w:rPr>
        <w:rStyle w:val="PageNumber"/>
      </w:rPr>
      <w:instrText xml:space="preserve">PAGE  </w:instrText>
    </w:r>
    <w:r>
      <w:rPr>
        <w:rStyle w:val="PageNumber"/>
      </w:rPr>
      <w:fldChar w:fldCharType="end"/>
    </w:r>
  </w:p>
  <w:p w:rsidR="008A76F7" w:rsidRDefault="008A76F7">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F7" w:rsidRDefault="00B90C83">
    <w:pPr>
      <w:pStyle w:val="Footer"/>
      <w:framePr w:wrap="around" w:vAnchor="text" w:hAnchor="margin" w:xAlign="right" w:y="1"/>
      <w:rPr>
        <w:rStyle w:val="PageNumber"/>
        <w:sz w:val="18"/>
      </w:rPr>
    </w:pPr>
    <w:r>
      <w:rPr>
        <w:rStyle w:val="PageNumber"/>
        <w:sz w:val="18"/>
      </w:rPr>
      <w:fldChar w:fldCharType="begin"/>
    </w:r>
    <w:r w:rsidR="008A76F7">
      <w:rPr>
        <w:rStyle w:val="PageNumber"/>
        <w:sz w:val="18"/>
      </w:rPr>
      <w:instrText xml:space="preserve">PAGE  </w:instrText>
    </w:r>
    <w:r>
      <w:rPr>
        <w:rStyle w:val="PageNumber"/>
        <w:sz w:val="18"/>
      </w:rPr>
      <w:fldChar w:fldCharType="separate"/>
    </w:r>
    <w:r w:rsidR="0060083E">
      <w:rPr>
        <w:rStyle w:val="PageNumber"/>
        <w:noProof/>
        <w:sz w:val="18"/>
      </w:rPr>
      <w:t>58</w:t>
    </w:r>
    <w:r>
      <w:rPr>
        <w:rStyle w:val="PageNumber"/>
        <w:sz w:val="18"/>
      </w:rPr>
      <w:fldChar w:fldCharType="end"/>
    </w:r>
  </w:p>
  <w:p w:rsidR="008A76F7" w:rsidRPr="00C5656B" w:rsidRDefault="008A76F7" w:rsidP="00C5656B">
    <w:pPr>
      <w:pStyle w:val="Footer"/>
      <w:ind w:right="360"/>
      <w:rPr>
        <w:color w:val="999999"/>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74F" w:rsidRDefault="00ED274F">
      <w:r>
        <w:separator/>
      </w:r>
    </w:p>
  </w:footnote>
  <w:footnote w:type="continuationSeparator" w:id="0">
    <w:p w:rsidR="00ED274F" w:rsidRDefault="00ED274F">
      <w:r>
        <w:continuationSeparator/>
      </w:r>
    </w:p>
  </w:footnote>
  <w:footnote w:id="1">
    <w:p w:rsidR="008A76F7" w:rsidRDefault="008A76F7">
      <w:pPr>
        <w:pStyle w:val="FootnoteText"/>
      </w:pPr>
      <w:r>
        <w:rPr>
          <w:rStyle w:val="FootnoteReference"/>
        </w:rPr>
        <w:footnoteRef/>
      </w:r>
      <w:r>
        <w:t xml:space="preserve"> The indicated amount includes US$1,933,000 co-financing, which pertains to the follow-up carbon finance project. Exclusive of this amount, the total project financing is US$1,560,000, including US$980,000 of GEF financing and co-financing in the amount of US$580,000. </w:t>
      </w:r>
    </w:p>
  </w:footnote>
  <w:footnote w:id="2">
    <w:p w:rsidR="008A76F7" w:rsidRPr="006552DF" w:rsidRDefault="008A76F7" w:rsidP="006552DF">
      <w:pPr>
        <w:pStyle w:val="FootnoteText"/>
        <w:rPr>
          <w:lang w:val="en-GB"/>
        </w:rPr>
      </w:pPr>
      <w:r>
        <w:rPr>
          <w:rStyle w:val="FootnoteReference"/>
        </w:rPr>
        <w:footnoteRef/>
      </w:r>
      <w:r>
        <w:t xml:space="preserve"> The Moldova Bioenergy Project is expected to be implemented with World Bank Carbon Funds and focusing on piloting biogas installations on poultry and swine farms.</w:t>
      </w:r>
    </w:p>
  </w:footnote>
  <w:footnote w:id="3">
    <w:p w:rsidR="008A76F7" w:rsidRDefault="008A76F7" w:rsidP="006B1C19">
      <w:pPr>
        <w:pStyle w:val="FootnoteText"/>
      </w:pPr>
      <w:r>
        <w:rPr>
          <w:rStyle w:val="FootnoteReference"/>
        </w:rPr>
        <w:footnoteRef/>
      </w:r>
      <w:r>
        <w:t xml:space="preserve">  Financial capacity here includes own funds, borrowing form a financial intermediary, as well as replication using a carbon finance project. </w:t>
      </w:r>
    </w:p>
  </w:footnote>
  <w:footnote w:id="4">
    <w:p w:rsidR="008A76F7" w:rsidRDefault="008A76F7">
      <w:pPr>
        <w:pStyle w:val="FootnoteText"/>
      </w:pPr>
      <w:r>
        <w:rPr>
          <w:rStyle w:val="FootnoteReference"/>
        </w:rPr>
        <w:footnoteRef/>
      </w:r>
      <w:r>
        <w:t xml:space="preserve"> Based on a Feasibility Study carried out in December 2008, and for a 500-cow farm. </w:t>
      </w:r>
    </w:p>
  </w:footnote>
  <w:footnote w:id="5">
    <w:p w:rsidR="008A76F7" w:rsidRDefault="008A76F7">
      <w:pPr>
        <w:pStyle w:val="FootnoteText"/>
      </w:pPr>
      <w:r>
        <w:rPr>
          <w:rStyle w:val="FootnoteReference"/>
        </w:rPr>
        <w:footnoteRef/>
      </w:r>
      <w:r>
        <w:t xml:space="preserve"> The GEF share of financing is reduced to 28% when the follow-up carbon finance project is included. For more details please see the Financial Modality and Cost Effectiveness section of the Brief. </w:t>
      </w:r>
    </w:p>
  </w:footnote>
  <w:footnote w:id="6">
    <w:p w:rsidR="008A76F7" w:rsidRDefault="008A76F7" w:rsidP="005B6956">
      <w:pPr>
        <w:pStyle w:val="FootnoteText"/>
      </w:pPr>
      <w:r>
        <w:rPr>
          <w:rStyle w:val="FootnoteReference"/>
        </w:rPr>
        <w:footnoteRef/>
      </w:r>
      <w:r>
        <w:t xml:space="preserve">  </w:t>
      </w:r>
      <w:r w:rsidRPr="00957ED4">
        <w:t xml:space="preserve">While raising donor funding immediately after the project was </w:t>
      </w:r>
      <w:r>
        <w:t xml:space="preserve">not </w:t>
      </w:r>
      <w:r w:rsidRPr="00957ED4">
        <w:t>possible</w:t>
      </w:r>
      <w:r>
        <w:t>,</w:t>
      </w:r>
      <w:r w:rsidRPr="00957ED4">
        <w:t xml:space="preserve"> even with all efforts made by the project team, the European C</w:t>
      </w:r>
      <w:r w:rsidRPr="00C45F99">
        <w:t xml:space="preserve">ommission will soon start a EUR15 million </w:t>
      </w:r>
      <w:r>
        <w:t xml:space="preserve">renewable energy for heating </w:t>
      </w:r>
      <w:r w:rsidRPr="00C45F99">
        <w:t>project</w:t>
      </w:r>
      <w:r>
        <w:t>.</w:t>
      </w:r>
      <w:r w:rsidRPr="00C45F99">
        <w:t xml:space="preserve"> </w:t>
      </w:r>
      <w:r>
        <w:t>Eighty percent (</w:t>
      </w:r>
      <w:r w:rsidRPr="00C45F99">
        <w:t>80%</w:t>
      </w:r>
      <w:r>
        <w:t>)</w:t>
      </w:r>
      <w:r w:rsidRPr="00C45F99">
        <w:t xml:space="preserve"> of </w:t>
      </w:r>
      <w:r>
        <w:t>this project</w:t>
      </w:r>
      <w:r w:rsidRPr="00C45F99">
        <w:t xml:space="preserve"> will be </w:t>
      </w:r>
      <w:r>
        <w:t xml:space="preserve">directed towards </w:t>
      </w:r>
      <w:r w:rsidRPr="00C45F99">
        <w:t xml:space="preserve">scaling up the successful biomass boilers </w:t>
      </w:r>
      <w:r>
        <w:t xml:space="preserve">pilot </w:t>
      </w:r>
      <w:r w:rsidRPr="00C45F99">
        <w:t>under the Renewable Energy from Agricultural Waste Project.</w:t>
      </w:r>
      <w:r>
        <w:rPr>
          <w:sz w:val="22"/>
          <w:szCs w:val="22"/>
        </w:rPr>
        <w:t xml:space="preserve"> </w:t>
      </w:r>
    </w:p>
  </w:footnote>
  <w:footnote w:id="7">
    <w:p w:rsidR="008A76F7" w:rsidRPr="005E2F34" w:rsidRDefault="008A76F7">
      <w:pPr>
        <w:pStyle w:val="FootnoteText"/>
        <w:rPr>
          <w:lang w:val="en-GB"/>
        </w:rPr>
      </w:pPr>
      <w:r>
        <w:rPr>
          <w:rStyle w:val="FootnoteReference"/>
        </w:rPr>
        <w:footnoteRef/>
      </w:r>
      <w:r>
        <w:t xml:space="preserve"> From GEF Climate Change Tracking Tools</w:t>
      </w:r>
    </w:p>
  </w:footnote>
  <w:footnote w:id="8">
    <w:p w:rsidR="008A76F7" w:rsidRDefault="008A76F7" w:rsidP="00794AC7">
      <w:pPr>
        <w:pStyle w:val="FootnoteText"/>
      </w:pPr>
      <w:r>
        <w:rPr>
          <w:rStyle w:val="FootnoteReference"/>
        </w:rPr>
        <w:footnoteRef/>
      </w:r>
      <w:r>
        <w:t xml:space="preserve"> Will be determined upon selection of the participating pilot farms. </w:t>
      </w:r>
    </w:p>
  </w:footnote>
  <w:footnote w:id="9">
    <w:p w:rsidR="008A76F7" w:rsidRDefault="008A76F7">
      <w:pPr>
        <w:pStyle w:val="FootnoteText"/>
      </w:pPr>
      <w:r>
        <w:rPr>
          <w:rStyle w:val="FootnoteReference"/>
        </w:rPr>
        <w:footnoteRef/>
      </w:r>
      <w:r>
        <w:t xml:space="preserve"> The Annex is based on a preliminary feasibility study financed by the Agricultural Pollution Control Project.</w:t>
      </w:r>
    </w:p>
  </w:footnote>
  <w:footnote w:id="10">
    <w:p w:rsidR="008A76F7" w:rsidRPr="00C03493" w:rsidRDefault="008A76F7" w:rsidP="00C31A5F">
      <w:pPr>
        <w:pStyle w:val="FootnoteText"/>
      </w:pPr>
      <w:r w:rsidRPr="00C03493">
        <w:rPr>
          <w:rStyle w:val="FootnoteReference"/>
        </w:rPr>
        <w:footnoteRef/>
      </w:r>
      <w:r w:rsidRPr="00C03493">
        <w:t xml:space="preserve"> The process in which excess nutrients are added to a body of water, causing excessive plant growth, and ultimately reducing the amount of oxygen dissolved in the water.  </w:t>
      </w:r>
    </w:p>
  </w:footnote>
  <w:footnote w:id="11">
    <w:p w:rsidR="008A76F7" w:rsidRPr="00C03493" w:rsidRDefault="008A76F7" w:rsidP="00C31A5F">
      <w:pPr>
        <w:pStyle w:val="FootnoteText"/>
      </w:pPr>
      <w:r w:rsidRPr="00C03493">
        <w:rPr>
          <w:rStyle w:val="FootnoteReference"/>
        </w:rPr>
        <w:footnoteRef/>
      </w:r>
      <w:r w:rsidRPr="00C03493">
        <w:t xml:space="preserve"> Raileanu, Ion, Ian Marcov, Robert L. Hill. 2008. Manure Management Systems, Working Paper No. 5. Republic of Moldova, Agriculture Pollution Control Project, the World Bank  </w:t>
      </w:r>
    </w:p>
  </w:footnote>
  <w:footnote w:id="12">
    <w:p w:rsidR="008A76F7" w:rsidRDefault="008A76F7">
      <w:pPr>
        <w:pStyle w:val="FootnoteText"/>
      </w:pPr>
      <w:r>
        <w:rPr>
          <w:rStyle w:val="FootnoteReference"/>
        </w:rPr>
        <w:footnoteRef/>
      </w:r>
      <w:r>
        <w:t xml:space="preserve"> </w:t>
      </w:r>
      <w:r>
        <w:rPr>
          <w:sz w:val="18"/>
          <w:szCs w:val="18"/>
        </w:rPr>
        <w:t>http://www.harvestcleanenergy.org/documents/Biogas_Report.pdf</w:t>
      </w:r>
    </w:p>
  </w:footnote>
  <w:footnote w:id="13">
    <w:p w:rsidR="008A76F7" w:rsidRPr="00E832EB" w:rsidRDefault="008A76F7" w:rsidP="00E832EB">
      <w:pPr>
        <w:pStyle w:val="Default"/>
        <w:rPr>
          <w:color w:val="auto"/>
        </w:rPr>
      </w:pPr>
      <w:r>
        <w:rPr>
          <w:rStyle w:val="FootnoteReference"/>
        </w:rPr>
        <w:footnoteRef/>
      </w:r>
      <w:r>
        <w:t xml:space="preserve"> </w:t>
      </w:r>
      <w:r>
        <w:rPr>
          <w:sz w:val="18"/>
          <w:szCs w:val="18"/>
        </w:rPr>
        <w:t>Total Solids: the sum of dissolved and suspended constituents in a sample, usually stated in milligrams/liter or percent.</w:t>
      </w:r>
    </w:p>
    <w:p w:rsidR="008A76F7" w:rsidRDefault="008A76F7">
      <w:pPr>
        <w:pStyle w:val="FootnoteText"/>
      </w:pPr>
    </w:p>
  </w:footnote>
  <w:footnote w:id="14">
    <w:p w:rsidR="008A76F7" w:rsidRDefault="008A76F7" w:rsidP="00FD57B1">
      <w:pPr>
        <w:pStyle w:val="FootnoteText"/>
        <w:jc w:val="both"/>
      </w:pPr>
      <w:r>
        <w:rPr>
          <w:rStyle w:val="FootnoteReference"/>
        </w:rPr>
        <w:footnoteRef/>
      </w:r>
      <w:r>
        <w:t xml:space="preserve"> The PIU was previously subordinated to the state agency Apele Moldovei under the Ministry of Environment. In December, 2009, the PIU was transferred into direct subordination of the Line Ministry.</w:t>
      </w:r>
    </w:p>
    <w:p w:rsidR="008A76F7" w:rsidRDefault="008A76F7" w:rsidP="00FD57B1">
      <w:pPr>
        <w:pStyle w:val="FootnoteText"/>
      </w:pPr>
    </w:p>
  </w:footnote>
  <w:footnote w:id="15">
    <w:p w:rsidR="008A76F7" w:rsidRDefault="008A76F7" w:rsidP="00FD57B1">
      <w:pPr>
        <w:pStyle w:val="FootnoteText"/>
      </w:pPr>
      <w:r>
        <w:rPr>
          <w:rStyle w:val="FootnoteReference"/>
        </w:rPr>
        <w:footnoteRef/>
      </w:r>
      <w:r>
        <w:t xml:space="preserve"> At that time the Court of Accounts was performing a control / inspection (not an audit) common for Soviet times without considering the materiality concept.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4A5D41"/>
    <w:multiLevelType w:val="hybridMultilevel"/>
    <w:tmpl w:val="7F55B9D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A258FF"/>
    <w:multiLevelType w:val="hybridMultilevel"/>
    <w:tmpl w:val="B99AE9A4"/>
    <w:lvl w:ilvl="0" w:tplc="68CE1F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CF078C"/>
    <w:multiLevelType w:val="hybridMultilevel"/>
    <w:tmpl w:val="4E0A2ACE"/>
    <w:lvl w:ilvl="0" w:tplc="B6C2CE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6230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77D3D96"/>
    <w:multiLevelType w:val="hybridMultilevel"/>
    <w:tmpl w:val="9D04495C"/>
    <w:lvl w:ilvl="0" w:tplc="109A5920">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B2026"/>
    <w:multiLevelType w:val="hybridMultilevel"/>
    <w:tmpl w:val="BE6A932E"/>
    <w:lvl w:ilvl="0" w:tplc="9AF8B3D4">
      <w:start w:val="1"/>
      <w:numFmt w:val="decimal"/>
      <w:pStyle w:val="StyleJustified"/>
      <w:lvlText w:val="%1."/>
      <w:lvlJc w:val="left"/>
      <w:pPr>
        <w:tabs>
          <w:tab w:val="num" w:pos="504"/>
        </w:tabs>
        <w:ind w:left="0" w:firstLine="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67183C"/>
    <w:multiLevelType w:val="hybridMultilevel"/>
    <w:tmpl w:val="52FE29B4"/>
    <w:lvl w:ilvl="0" w:tplc="5C92BB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4D6BE1"/>
    <w:multiLevelType w:val="hybridMultilevel"/>
    <w:tmpl w:val="C8585360"/>
    <w:lvl w:ilvl="0" w:tplc="68C249AA">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C94AF1"/>
    <w:multiLevelType w:val="hybridMultilevel"/>
    <w:tmpl w:val="8788CBDC"/>
    <w:lvl w:ilvl="0" w:tplc="0409000F">
      <w:start w:val="1"/>
      <w:numFmt w:val="decimal"/>
      <w:lvlText w:val="%1."/>
      <w:lvlJc w:val="left"/>
      <w:pPr>
        <w:ind w:left="8550" w:hanging="360"/>
      </w:pPr>
      <w:rPr>
        <w:rFonts w:hint="default"/>
      </w:rPr>
    </w:lvl>
    <w:lvl w:ilvl="1" w:tplc="04090019" w:tentative="1">
      <w:start w:val="1"/>
      <w:numFmt w:val="lowerLetter"/>
      <w:lvlText w:val="%2."/>
      <w:lvlJc w:val="left"/>
      <w:pPr>
        <w:ind w:left="9270" w:hanging="360"/>
      </w:pPr>
    </w:lvl>
    <w:lvl w:ilvl="2" w:tplc="0409001B" w:tentative="1">
      <w:start w:val="1"/>
      <w:numFmt w:val="lowerRoman"/>
      <w:lvlText w:val="%3."/>
      <w:lvlJc w:val="right"/>
      <w:pPr>
        <w:ind w:left="9990" w:hanging="180"/>
      </w:pPr>
    </w:lvl>
    <w:lvl w:ilvl="3" w:tplc="0409000F" w:tentative="1">
      <w:start w:val="1"/>
      <w:numFmt w:val="decimal"/>
      <w:lvlText w:val="%4."/>
      <w:lvlJc w:val="left"/>
      <w:pPr>
        <w:ind w:left="10710" w:hanging="360"/>
      </w:pPr>
    </w:lvl>
    <w:lvl w:ilvl="4" w:tplc="04090019" w:tentative="1">
      <w:start w:val="1"/>
      <w:numFmt w:val="lowerLetter"/>
      <w:lvlText w:val="%5."/>
      <w:lvlJc w:val="left"/>
      <w:pPr>
        <w:ind w:left="11430" w:hanging="360"/>
      </w:pPr>
    </w:lvl>
    <w:lvl w:ilvl="5" w:tplc="0409001B" w:tentative="1">
      <w:start w:val="1"/>
      <w:numFmt w:val="lowerRoman"/>
      <w:lvlText w:val="%6."/>
      <w:lvlJc w:val="right"/>
      <w:pPr>
        <w:ind w:left="12150" w:hanging="180"/>
      </w:pPr>
    </w:lvl>
    <w:lvl w:ilvl="6" w:tplc="0409000F" w:tentative="1">
      <w:start w:val="1"/>
      <w:numFmt w:val="decimal"/>
      <w:lvlText w:val="%7."/>
      <w:lvlJc w:val="left"/>
      <w:pPr>
        <w:ind w:left="12870" w:hanging="360"/>
      </w:pPr>
    </w:lvl>
    <w:lvl w:ilvl="7" w:tplc="04090019" w:tentative="1">
      <w:start w:val="1"/>
      <w:numFmt w:val="lowerLetter"/>
      <w:lvlText w:val="%8."/>
      <w:lvlJc w:val="left"/>
      <w:pPr>
        <w:ind w:left="13590" w:hanging="360"/>
      </w:pPr>
    </w:lvl>
    <w:lvl w:ilvl="8" w:tplc="0409001B" w:tentative="1">
      <w:start w:val="1"/>
      <w:numFmt w:val="lowerRoman"/>
      <w:lvlText w:val="%9."/>
      <w:lvlJc w:val="right"/>
      <w:pPr>
        <w:ind w:left="14310" w:hanging="180"/>
      </w:pPr>
    </w:lvl>
  </w:abstractNum>
  <w:abstractNum w:abstractNumId="9">
    <w:nsid w:val="50004E7F"/>
    <w:multiLevelType w:val="multilevel"/>
    <w:tmpl w:val="7AF8069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53C902A9"/>
    <w:multiLevelType w:val="hybridMultilevel"/>
    <w:tmpl w:val="53B00A88"/>
    <w:lvl w:ilvl="0" w:tplc="235E4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BD29BC"/>
    <w:multiLevelType w:val="hybridMultilevel"/>
    <w:tmpl w:val="8A42B01A"/>
    <w:lvl w:ilvl="0" w:tplc="FFA28E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A492A"/>
    <w:multiLevelType w:val="hybridMultilevel"/>
    <w:tmpl w:val="31E0E388"/>
    <w:lvl w:ilvl="0" w:tplc="37EA79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1AC4BBC"/>
    <w:multiLevelType w:val="multilevel"/>
    <w:tmpl w:val="23001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62592994"/>
    <w:multiLevelType w:val="hybridMultilevel"/>
    <w:tmpl w:val="44AA924C"/>
    <w:lvl w:ilvl="0" w:tplc="45D2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C0A33"/>
    <w:multiLevelType w:val="hybridMultilevel"/>
    <w:tmpl w:val="57582934"/>
    <w:lvl w:ilvl="0" w:tplc="B0A8C30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2BF54D1"/>
    <w:multiLevelType w:val="hybridMultilevel"/>
    <w:tmpl w:val="3A403260"/>
    <w:lvl w:ilvl="0" w:tplc="E2A452F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BE568E"/>
    <w:multiLevelType w:val="hybridMultilevel"/>
    <w:tmpl w:val="4BD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977912"/>
    <w:multiLevelType w:val="hybridMultilevel"/>
    <w:tmpl w:val="762272E6"/>
    <w:lvl w:ilvl="0" w:tplc="0409000F">
      <w:start w:val="1"/>
      <w:numFmt w:val="decimal"/>
      <w:lvlText w:val="%1."/>
      <w:lvlJc w:val="left"/>
      <w:pPr>
        <w:tabs>
          <w:tab w:val="num" w:pos="720"/>
        </w:tabs>
        <w:ind w:left="720" w:hanging="360"/>
      </w:pPr>
      <w:rPr>
        <w:rFonts w:hint="default"/>
      </w:rPr>
    </w:lvl>
    <w:lvl w:ilvl="1" w:tplc="516023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DCD7D67"/>
    <w:multiLevelType w:val="hybridMultilevel"/>
    <w:tmpl w:val="7354C68A"/>
    <w:lvl w:ilvl="0" w:tplc="38706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EA3AFC"/>
    <w:multiLevelType w:val="hybridMultilevel"/>
    <w:tmpl w:val="F884966A"/>
    <w:lvl w:ilvl="0" w:tplc="0409000F">
      <w:start w:val="1"/>
      <w:numFmt w:val="decimal"/>
      <w:lvlText w:val="%1."/>
      <w:lvlJc w:val="left"/>
      <w:pPr>
        <w:tabs>
          <w:tab w:val="num" w:pos="720"/>
        </w:tabs>
        <w:ind w:left="720" w:hanging="360"/>
      </w:pPr>
      <w:rPr>
        <w:rFonts w:hint="default"/>
      </w:rPr>
    </w:lvl>
    <w:lvl w:ilvl="1" w:tplc="744AA9C4">
      <w:start w:val="1"/>
      <w:numFmt w:val="decimal"/>
      <w:lvlText w:val="%2)"/>
      <w:lvlJc w:val="left"/>
      <w:pPr>
        <w:tabs>
          <w:tab w:val="num" w:pos="1440"/>
        </w:tabs>
        <w:ind w:left="1440" w:hanging="360"/>
      </w:pPr>
      <w:rPr>
        <w:rFonts w:hint="default"/>
      </w:rPr>
    </w:lvl>
    <w:lvl w:ilvl="2" w:tplc="DF44F01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0"/>
  </w:num>
  <w:num w:numId="3">
    <w:abstractNumId w:val="3"/>
  </w:num>
  <w:num w:numId="4">
    <w:abstractNumId w:val="16"/>
  </w:num>
  <w:num w:numId="5">
    <w:abstractNumId w:val="10"/>
  </w:num>
  <w:num w:numId="6">
    <w:abstractNumId w:val="6"/>
  </w:num>
  <w:num w:numId="7">
    <w:abstractNumId w:val="2"/>
  </w:num>
  <w:num w:numId="8">
    <w:abstractNumId w:val="7"/>
  </w:num>
  <w:num w:numId="9">
    <w:abstractNumId w:val="0"/>
  </w:num>
  <w:num w:numId="10">
    <w:abstractNumId w:val="14"/>
  </w:num>
  <w:num w:numId="11">
    <w:abstractNumId w:val="4"/>
  </w:num>
  <w:num w:numId="12">
    <w:abstractNumId w:val="5"/>
  </w:num>
  <w:num w:numId="13">
    <w:abstractNumId w:val="12"/>
  </w:num>
  <w:num w:numId="14">
    <w:abstractNumId w:val="17"/>
  </w:num>
  <w:num w:numId="15">
    <w:abstractNumId w:val="8"/>
  </w:num>
  <w:num w:numId="16">
    <w:abstractNumId w:val="13"/>
  </w:num>
  <w:num w:numId="17">
    <w:abstractNumId w:val="9"/>
  </w:num>
  <w:num w:numId="18">
    <w:abstractNumId w:val="11"/>
  </w:num>
  <w:num w:numId="19">
    <w:abstractNumId w:val="1"/>
  </w:num>
  <w:num w:numId="20">
    <w:abstractNumId w:val="19"/>
  </w:num>
  <w:num w:numId="21">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savePreviewPicture/>
  <w:footnotePr>
    <w:footnote w:id="-1"/>
    <w:footnote w:id="0"/>
  </w:footnotePr>
  <w:endnotePr>
    <w:endnote w:id="-1"/>
    <w:endnote w:id="0"/>
  </w:endnotePr>
  <w:compat/>
  <w:rsids>
    <w:rsidRoot w:val="005D5351"/>
    <w:rsid w:val="00006EBF"/>
    <w:rsid w:val="000074FF"/>
    <w:rsid w:val="000108FE"/>
    <w:rsid w:val="000160E5"/>
    <w:rsid w:val="0002228C"/>
    <w:rsid w:val="00022CD3"/>
    <w:rsid w:val="00023B2D"/>
    <w:rsid w:val="00025717"/>
    <w:rsid w:val="00027756"/>
    <w:rsid w:val="000300B3"/>
    <w:rsid w:val="0005002B"/>
    <w:rsid w:val="00056D55"/>
    <w:rsid w:val="000607A2"/>
    <w:rsid w:val="000714F3"/>
    <w:rsid w:val="00072985"/>
    <w:rsid w:val="000776A1"/>
    <w:rsid w:val="00077D66"/>
    <w:rsid w:val="00084497"/>
    <w:rsid w:val="000902C9"/>
    <w:rsid w:val="000925F4"/>
    <w:rsid w:val="0009549D"/>
    <w:rsid w:val="00097DDF"/>
    <w:rsid w:val="000A15DC"/>
    <w:rsid w:val="000A4E80"/>
    <w:rsid w:val="000B1412"/>
    <w:rsid w:val="000B2307"/>
    <w:rsid w:val="000B4135"/>
    <w:rsid w:val="000C0BF3"/>
    <w:rsid w:val="000C0E64"/>
    <w:rsid w:val="000C704A"/>
    <w:rsid w:val="000D32C0"/>
    <w:rsid w:val="000D3736"/>
    <w:rsid w:val="000D4B7D"/>
    <w:rsid w:val="000D5442"/>
    <w:rsid w:val="000E3E60"/>
    <w:rsid w:val="000E5D34"/>
    <w:rsid w:val="000F1E14"/>
    <w:rsid w:val="000F4548"/>
    <w:rsid w:val="000F63FE"/>
    <w:rsid w:val="000F7E05"/>
    <w:rsid w:val="0010439B"/>
    <w:rsid w:val="00104AF8"/>
    <w:rsid w:val="00104C0B"/>
    <w:rsid w:val="0011052B"/>
    <w:rsid w:val="001165F6"/>
    <w:rsid w:val="0011743A"/>
    <w:rsid w:val="0012016F"/>
    <w:rsid w:val="00122A56"/>
    <w:rsid w:val="00123A92"/>
    <w:rsid w:val="00123BFC"/>
    <w:rsid w:val="00126D08"/>
    <w:rsid w:val="00132425"/>
    <w:rsid w:val="00135344"/>
    <w:rsid w:val="001428F5"/>
    <w:rsid w:val="001448B3"/>
    <w:rsid w:val="00144F0B"/>
    <w:rsid w:val="00146669"/>
    <w:rsid w:val="00147B9A"/>
    <w:rsid w:val="001511CA"/>
    <w:rsid w:val="00152DD3"/>
    <w:rsid w:val="0015416D"/>
    <w:rsid w:val="0015634D"/>
    <w:rsid w:val="001577D0"/>
    <w:rsid w:val="001626BA"/>
    <w:rsid w:val="001652F3"/>
    <w:rsid w:val="00170837"/>
    <w:rsid w:val="00173902"/>
    <w:rsid w:val="00173FFA"/>
    <w:rsid w:val="0018230A"/>
    <w:rsid w:val="00182F3F"/>
    <w:rsid w:val="00185187"/>
    <w:rsid w:val="001A0E34"/>
    <w:rsid w:val="001A1174"/>
    <w:rsid w:val="001C3463"/>
    <w:rsid w:val="001D25B0"/>
    <w:rsid w:val="001D3422"/>
    <w:rsid w:val="001D43EB"/>
    <w:rsid w:val="001D5299"/>
    <w:rsid w:val="001D7C20"/>
    <w:rsid w:val="001E1107"/>
    <w:rsid w:val="001F1610"/>
    <w:rsid w:val="001F5A2C"/>
    <w:rsid w:val="0020106F"/>
    <w:rsid w:val="0020254D"/>
    <w:rsid w:val="002026AE"/>
    <w:rsid w:val="00202D95"/>
    <w:rsid w:val="002176EC"/>
    <w:rsid w:val="00223F5D"/>
    <w:rsid w:val="0022746B"/>
    <w:rsid w:val="002431C0"/>
    <w:rsid w:val="0025138B"/>
    <w:rsid w:val="00257162"/>
    <w:rsid w:val="0026241A"/>
    <w:rsid w:val="00262568"/>
    <w:rsid w:val="00270F28"/>
    <w:rsid w:val="00277765"/>
    <w:rsid w:val="00281B10"/>
    <w:rsid w:val="00292833"/>
    <w:rsid w:val="0029636E"/>
    <w:rsid w:val="002A0DD0"/>
    <w:rsid w:val="002B34F6"/>
    <w:rsid w:val="002B6597"/>
    <w:rsid w:val="002C06C6"/>
    <w:rsid w:val="002C29C0"/>
    <w:rsid w:val="002C3BFA"/>
    <w:rsid w:val="002C550E"/>
    <w:rsid w:val="002D0D33"/>
    <w:rsid w:val="002D4885"/>
    <w:rsid w:val="002E7D29"/>
    <w:rsid w:val="003029B2"/>
    <w:rsid w:val="00311584"/>
    <w:rsid w:val="003116D0"/>
    <w:rsid w:val="00311D1F"/>
    <w:rsid w:val="00313839"/>
    <w:rsid w:val="00313EEC"/>
    <w:rsid w:val="0031433E"/>
    <w:rsid w:val="00314407"/>
    <w:rsid w:val="003151F7"/>
    <w:rsid w:val="00315777"/>
    <w:rsid w:val="00320FDB"/>
    <w:rsid w:val="00323537"/>
    <w:rsid w:val="00326399"/>
    <w:rsid w:val="00327F1C"/>
    <w:rsid w:val="00333023"/>
    <w:rsid w:val="00334219"/>
    <w:rsid w:val="00334992"/>
    <w:rsid w:val="0034161E"/>
    <w:rsid w:val="00342761"/>
    <w:rsid w:val="0034303C"/>
    <w:rsid w:val="00346C17"/>
    <w:rsid w:val="003537F0"/>
    <w:rsid w:val="003575DF"/>
    <w:rsid w:val="003645C3"/>
    <w:rsid w:val="00367066"/>
    <w:rsid w:val="00372247"/>
    <w:rsid w:val="0037247B"/>
    <w:rsid w:val="00372B00"/>
    <w:rsid w:val="003730A3"/>
    <w:rsid w:val="003751F6"/>
    <w:rsid w:val="00376EA9"/>
    <w:rsid w:val="00383114"/>
    <w:rsid w:val="003835B2"/>
    <w:rsid w:val="003860E8"/>
    <w:rsid w:val="003A0393"/>
    <w:rsid w:val="003A18AF"/>
    <w:rsid w:val="003A22B4"/>
    <w:rsid w:val="003A2802"/>
    <w:rsid w:val="003A2861"/>
    <w:rsid w:val="003A290C"/>
    <w:rsid w:val="003A3A2D"/>
    <w:rsid w:val="003A418B"/>
    <w:rsid w:val="003A47B8"/>
    <w:rsid w:val="003B17B3"/>
    <w:rsid w:val="003B3E53"/>
    <w:rsid w:val="003B574D"/>
    <w:rsid w:val="003C14C1"/>
    <w:rsid w:val="003C7D58"/>
    <w:rsid w:val="003D01A2"/>
    <w:rsid w:val="003D0DAD"/>
    <w:rsid w:val="003D2083"/>
    <w:rsid w:val="003D44EF"/>
    <w:rsid w:val="003E0511"/>
    <w:rsid w:val="003E4F8E"/>
    <w:rsid w:val="003E50D9"/>
    <w:rsid w:val="003E682B"/>
    <w:rsid w:val="00404CA2"/>
    <w:rsid w:val="00405C37"/>
    <w:rsid w:val="00406BF6"/>
    <w:rsid w:val="0040774F"/>
    <w:rsid w:val="00407E4E"/>
    <w:rsid w:val="00407FFA"/>
    <w:rsid w:val="00410BE9"/>
    <w:rsid w:val="00413F6E"/>
    <w:rsid w:val="00414B56"/>
    <w:rsid w:val="00420502"/>
    <w:rsid w:val="00431012"/>
    <w:rsid w:val="004313F4"/>
    <w:rsid w:val="00433274"/>
    <w:rsid w:val="00434633"/>
    <w:rsid w:val="004433F4"/>
    <w:rsid w:val="00445A78"/>
    <w:rsid w:val="00451008"/>
    <w:rsid w:val="00452002"/>
    <w:rsid w:val="00455D1D"/>
    <w:rsid w:val="00456A07"/>
    <w:rsid w:val="00467E54"/>
    <w:rsid w:val="0047133A"/>
    <w:rsid w:val="0047542E"/>
    <w:rsid w:val="00476EE5"/>
    <w:rsid w:val="0048135C"/>
    <w:rsid w:val="00483674"/>
    <w:rsid w:val="004855B3"/>
    <w:rsid w:val="0049601E"/>
    <w:rsid w:val="004A08DE"/>
    <w:rsid w:val="004A1012"/>
    <w:rsid w:val="004A613B"/>
    <w:rsid w:val="004A7654"/>
    <w:rsid w:val="004B0EAA"/>
    <w:rsid w:val="004B102B"/>
    <w:rsid w:val="004B23F2"/>
    <w:rsid w:val="004B7534"/>
    <w:rsid w:val="004C1201"/>
    <w:rsid w:val="004D125A"/>
    <w:rsid w:val="004D539E"/>
    <w:rsid w:val="004D70C5"/>
    <w:rsid w:val="004D750B"/>
    <w:rsid w:val="004E0AA4"/>
    <w:rsid w:val="004E1B80"/>
    <w:rsid w:val="004E53C5"/>
    <w:rsid w:val="004E68C0"/>
    <w:rsid w:val="004F0C5C"/>
    <w:rsid w:val="004F1C34"/>
    <w:rsid w:val="004F31EC"/>
    <w:rsid w:val="004F448C"/>
    <w:rsid w:val="004F524F"/>
    <w:rsid w:val="004F5347"/>
    <w:rsid w:val="00505B65"/>
    <w:rsid w:val="0051026B"/>
    <w:rsid w:val="005121A0"/>
    <w:rsid w:val="00512915"/>
    <w:rsid w:val="0051449C"/>
    <w:rsid w:val="0051494A"/>
    <w:rsid w:val="00517171"/>
    <w:rsid w:val="005268FD"/>
    <w:rsid w:val="00530269"/>
    <w:rsid w:val="00532E0E"/>
    <w:rsid w:val="00534204"/>
    <w:rsid w:val="00541C93"/>
    <w:rsid w:val="00545386"/>
    <w:rsid w:val="00545F97"/>
    <w:rsid w:val="005524FD"/>
    <w:rsid w:val="005537C4"/>
    <w:rsid w:val="00556E3C"/>
    <w:rsid w:val="0056044F"/>
    <w:rsid w:val="00562774"/>
    <w:rsid w:val="005657CA"/>
    <w:rsid w:val="00565A97"/>
    <w:rsid w:val="00572C19"/>
    <w:rsid w:val="0057305B"/>
    <w:rsid w:val="00575A1A"/>
    <w:rsid w:val="0058203E"/>
    <w:rsid w:val="0058428A"/>
    <w:rsid w:val="00584620"/>
    <w:rsid w:val="0058623A"/>
    <w:rsid w:val="0059522B"/>
    <w:rsid w:val="005A3092"/>
    <w:rsid w:val="005A6EAB"/>
    <w:rsid w:val="005A7153"/>
    <w:rsid w:val="005A7D73"/>
    <w:rsid w:val="005B16BC"/>
    <w:rsid w:val="005B49DD"/>
    <w:rsid w:val="005B6956"/>
    <w:rsid w:val="005B6A72"/>
    <w:rsid w:val="005B6F98"/>
    <w:rsid w:val="005C2FC0"/>
    <w:rsid w:val="005C3D51"/>
    <w:rsid w:val="005D338F"/>
    <w:rsid w:val="005D5351"/>
    <w:rsid w:val="005D7CB8"/>
    <w:rsid w:val="005E2F34"/>
    <w:rsid w:val="005E3C7F"/>
    <w:rsid w:val="005E4A94"/>
    <w:rsid w:val="005E523B"/>
    <w:rsid w:val="005E6BFB"/>
    <w:rsid w:val="005E7493"/>
    <w:rsid w:val="005F069C"/>
    <w:rsid w:val="005F0D31"/>
    <w:rsid w:val="005F102F"/>
    <w:rsid w:val="005F42B2"/>
    <w:rsid w:val="005F48E3"/>
    <w:rsid w:val="00600211"/>
    <w:rsid w:val="0060083E"/>
    <w:rsid w:val="00610B71"/>
    <w:rsid w:val="00610F23"/>
    <w:rsid w:val="00621E10"/>
    <w:rsid w:val="006248C2"/>
    <w:rsid w:val="0062662D"/>
    <w:rsid w:val="00626E37"/>
    <w:rsid w:val="006329F2"/>
    <w:rsid w:val="00632BEC"/>
    <w:rsid w:val="006361F2"/>
    <w:rsid w:val="0064082B"/>
    <w:rsid w:val="00640BBF"/>
    <w:rsid w:val="006444CB"/>
    <w:rsid w:val="00645BD2"/>
    <w:rsid w:val="00645C97"/>
    <w:rsid w:val="00646B64"/>
    <w:rsid w:val="00650681"/>
    <w:rsid w:val="006520FD"/>
    <w:rsid w:val="00654D83"/>
    <w:rsid w:val="006552DF"/>
    <w:rsid w:val="006575BD"/>
    <w:rsid w:val="0066621E"/>
    <w:rsid w:val="006735D4"/>
    <w:rsid w:val="006758AF"/>
    <w:rsid w:val="00680FE1"/>
    <w:rsid w:val="0068120A"/>
    <w:rsid w:val="00681B6D"/>
    <w:rsid w:val="006919EF"/>
    <w:rsid w:val="00691F65"/>
    <w:rsid w:val="00692A2A"/>
    <w:rsid w:val="00692B3A"/>
    <w:rsid w:val="006942E0"/>
    <w:rsid w:val="00694A4C"/>
    <w:rsid w:val="00694F21"/>
    <w:rsid w:val="006A1296"/>
    <w:rsid w:val="006A7D83"/>
    <w:rsid w:val="006B0F06"/>
    <w:rsid w:val="006B1C19"/>
    <w:rsid w:val="006B45DD"/>
    <w:rsid w:val="006C005E"/>
    <w:rsid w:val="006C4047"/>
    <w:rsid w:val="006C5A7D"/>
    <w:rsid w:val="006C793C"/>
    <w:rsid w:val="006C7F6D"/>
    <w:rsid w:val="006D698D"/>
    <w:rsid w:val="006E0571"/>
    <w:rsid w:val="006E12B7"/>
    <w:rsid w:val="006E2054"/>
    <w:rsid w:val="006E38EB"/>
    <w:rsid w:val="006E457E"/>
    <w:rsid w:val="006E51C4"/>
    <w:rsid w:val="006F04B5"/>
    <w:rsid w:val="006F42D8"/>
    <w:rsid w:val="006F6995"/>
    <w:rsid w:val="006F77F6"/>
    <w:rsid w:val="007017A4"/>
    <w:rsid w:val="007070A4"/>
    <w:rsid w:val="00710122"/>
    <w:rsid w:val="00711CAE"/>
    <w:rsid w:val="00715799"/>
    <w:rsid w:val="00716AB0"/>
    <w:rsid w:val="00716F3D"/>
    <w:rsid w:val="00720EED"/>
    <w:rsid w:val="0072430A"/>
    <w:rsid w:val="007259C5"/>
    <w:rsid w:val="00730FDB"/>
    <w:rsid w:val="007320E2"/>
    <w:rsid w:val="0073314A"/>
    <w:rsid w:val="00735E76"/>
    <w:rsid w:val="0074153D"/>
    <w:rsid w:val="00744142"/>
    <w:rsid w:val="00744D0E"/>
    <w:rsid w:val="00746452"/>
    <w:rsid w:val="00752334"/>
    <w:rsid w:val="007543DA"/>
    <w:rsid w:val="007613ED"/>
    <w:rsid w:val="00761C00"/>
    <w:rsid w:val="00766CF9"/>
    <w:rsid w:val="007718F1"/>
    <w:rsid w:val="00771D28"/>
    <w:rsid w:val="00771DAB"/>
    <w:rsid w:val="0077532F"/>
    <w:rsid w:val="00780712"/>
    <w:rsid w:val="007815E1"/>
    <w:rsid w:val="007830D6"/>
    <w:rsid w:val="00783983"/>
    <w:rsid w:val="00792582"/>
    <w:rsid w:val="00794AC7"/>
    <w:rsid w:val="00796AFD"/>
    <w:rsid w:val="007A2E5C"/>
    <w:rsid w:val="007A4025"/>
    <w:rsid w:val="007A5A3D"/>
    <w:rsid w:val="007B141D"/>
    <w:rsid w:val="007B1842"/>
    <w:rsid w:val="007B6026"/>
    <w:rsid w:val="007C5D9B"/>
    <w:rsid w:val="007D09E2"/>
    <w:rsid w:val="007D344A"/>
    <w:rsid w:val="007D7266"/>
    <w:rsid w:val="007E1F3B"/>
    <w:rsid w:val="007E5A9A"/>
    <w:rsid w:val="007F062A"/>
    <w:rsid w:val="007F1074"/>
    <w:rsid w:val="007F568F"/>
    <w:rsid w:val="007F5AE4"/>
    <w:rsid w:val="007F781A"/>
    <w:rsid w:val="00804CB8"/>
    <w:rsid w:val="00805C26"/>
    <w:rsid w:val="008100A9"/>
    <w:rsid w:val="008129D2"/>
    <w:rsid w:val="00817CE6"/>
    <w:rsid w:val="0082058A"/>
    <w:rsid w:val="00822DED"/>
    <w:rsid w:val="008260B1"/>
    <w:rsid w:val="00833B2A"/>
    <w:rsid w:val="00842DF4"/>
    <w:rsid w:val="00843133"/>
    <w:rsid w:val="00844689"/>
    <w:rsid w:val="00850CB7"/>
    <w:rsid w:val="008518B2"/>
    <w:rsid w:val="00853394"/>
    <w:rsid w:val="00856E1E"/>
    <w:rsid w:val="008573A0"/>
    <w:rsid w:val="00857AD1"/>
    <w:rsid w:val="00861CBB"/>
    <w:rsid w:val="0086295D"/>
    <w:rsid w:val="0086308A"/>
    <w:rsid w:val="00864101"/>
    <w:rsid w:val="0087283B"/>
    <w:rsid w:val="008756CE"/>
    <w:rsid w:val="00883439"/>
    <w:rsid w:val="008853A0"/>
    <w:rsid w:val="008865A3"/>
    <w:rsid w:val="00887466"/>
    <w:rsid w:val="008A27D7"/>
    <w:rsid w:val="008A4709"/>
    <w:rsid w:val="008A76F7"/>
    <w:rsid w:val="008A780E"/>
    <w:rsid w:val="008B0DBA"/>
    <w:rsid w:val="008B21E4"/>
    <w:rsid w:val="008B645E"/>
    <w:rsid w:val="008B6DF5"/>
    <w:rsid w:val="008B7689"/>
    <w:rsid w:val="008B7B0A"/>
    <w:rsid w:val="008C18D3"/>
    <w:rsid w:val="008C5530"/>
    <w:rsid w:val="008C6379"/>
    <w:rsid w:val="008D19C3"/>
    <w:rsid w:val="008E7795"/>
    <w:rsid w:val="009049E9"/>
    <w:rsid w:val="00904E16"/>
    <w:rsid w:val="00905245"/>
    <w:rsid w:val="009060A3"/>
    <w:rsid w:val="00912A2D"/>
    <w:rsid w:val="009261E2"/>
    <w:rsid w:val="0093208C"/>
    <w:rsid w:val="00934370"/>
    <w:rsid w:val="009350C6"/>
    <w:rsid w:val="00941425"/>
    <w:rsid w:val="00951B7B"/>
    <w:rsid w:val="00951D9A"/>
    <w:rsid w:val="009555B0"/>
    <w:rsid w:val="00964650"/>
    <w:rsid w:val="00971311"/>
    <w:rsid w:val="00990AB1"/>
    <w:rsid w:val="009916E4"/>
    <w:rsid w:val="0099569D"/>
    <w:rsid w:val="00995B5B"/>
    <w:rsid w:val="0099735D"/>
    <w:rsid w:val="00997E27"/>
    <w:rsid w:val="009A2AB7"/>
    <w:rsid w:val="009A4AB7"/>
    <w:rsid w:val="009A5006"/>
    <w:rsid w:val="009A68AB"/>
    <w:rsid w:val="009B1304"/>
    <w:rsid w:val="009D100A"/>
    <w:rsid w:val="009D194F"/>
    <w:rsid w:val="009E0393"/>
    <w:rsid w:val="009F3AEF"/>
    <w:rsid w:val="009F5644"/>
    <w:rsid w:val="009F5760"/>
    <w:rsid w:val="009F5E77"/>
    <w:rsid w:val="009F67AE"/>
    <w:rsid w:val="00A043B6"/>
    <w:rsid w:val="00A0524B"/>
    <w:rsid w:val="00A065C1"/>
    <w:rsid w:val="00A14B88"/>
    <w:rsid w:val="00A16C51"/>
    <w:rsid w:val="00A22676"/>
    <w:rsid w:val="00A26483"/>
    <w:rsid w:val="00A30405"/>
    <w:rsid w:val="00A32048"/>
    <w:rsid w:val="00A356BC"/>
    <w:rsid w:val="00A37121"/>
    <w:rsid w:val="00A41324"/>
    <w:rsid w:val="00A46C13"/>
    <w:rsid w:val="00A53030"/>
    <w:rsid w:val="00A547B6"/>
    <w:rsid w:val="00A5632A"/>
    <w:rsid w:val="00A625AA"/>
    <w:rsid w:val="00A64E02"/>
    <w:rsid w:val="00A656BD"/>
    <w:rsid w:val="00A6570A"/>
    <w:rsid w:val="00A7301B"/>
    <w:rsid w:val="00A75874"/>
    <w:rsid w:val="00A76D92"/>
    <w:rsid w:val="00A83300"/>
    <w:rsid w:val="00A9094D"/>
    <w:rsid w:val="00A96B68"/>
    <w:rsid w:val="00AA5703"/>
    <w:rsid w:val="00AB1ECF"/>
    <w:rsid w:val="00AB2630"/>
    <w:rsid w:val="00AB5AD4"/>
    <w:rsid w:val="00AB7942"/>
    <w:rsid w:val="00AC1BD7"/>
    <w:rsid w:val="00AD14D7"/>
    <w:rsid w:val="00AD3F2F"/>
    <w:rsid w:val="00AD7369"/>
    <w:rsid w:val="00AE5DD1"/>
    <w:rsid w:val="00AF14D4"/>
    <w:rsid w:val="00AF1AA9"/>
    <w:rsid w:val="00AF4E3F"/>
    <w:rsid w:val="00B00C27"/>
    <w:rsid w:val="00B0143B"/>
    <w:rsid w:val="00B015D5"/>
    <w:rsid w:val="00B038EE"/>
    <w:rsid w:val="00B15596"/>
    <w:rsid w:val="00B15813"/>
    <w:rsid w:val="00B204D0"/>
    <w:rsid w:val="00B208EF"/>
    <w:rsid w:val="00B308D2"/>
    <w:rsid w:val="00B314FB"/>
    <w:rsid w:val="00B315B1"/>
    <w:rsid w:val="00B32C9E"/>
    <w:rsid w:val="00B33FEA"/>
    <w:rsid w:val="00B34C30"/>
    <w:rsid w:val="00B36C34"/>
    <w:rsid w:val="00B43F04"/>
    <w:rsid w:val="00B4526B"/>
    <w:rsid w:val="00B51978"/>
    <w:rsid w:val="00B54B0A"/>
    <w:rsid w:val="00B55F3A"/>
    <w:rsid w:val="00B5709B"/>
    <w:rsid w:val="00B65BAB"/>
    <w:rsid w:val="00B6673C"/>
    <w:rsid w:val="00B66798"/>
    <w:rsid w:val="00B71ADE"/>
    <w:rsid w:val="00B76593"/>
    <w:rsid w:val="00B83182"/>
    <w:rsid w:val="00B866B2"/>
    <w:rsid w:val="00B90C83"/>
    <w:rsid w:val="00B94E0B"/>
    <w:rsid w:val="00B95719"/>
    <w:rsid w:val="00B96DA6"/>
    <w:rsid w:val="00BA1335"/>
    <w:rsid w:val="00BA2C96"/>
    <w:rsid w:val="00BA4541"/>
    <w:rsid w:val="00BB5ACC"/>
    <w:rsid w:val="00BC37D1"/>
    <w:rsid w:val="00BD103E"/>
    <w:rsid w:val="00BD1D9E"/>
    <w:rsid w:val="00BD2DEF"/>
    <w:rsid w:val="00BE0275"/>
    <w:rsid w:val="00BE316A"/>
    <w:rsid w:val="00BE6406"/>
    <w:rsid w:val="00C0103E"/>
    <w:rsid w:val="00C0467F"/>
    <w:rsid w:val="00C0776D"/>
    <w:rsid w:val="00C11821"/>
    <w:rsid w:val="00C12001"/>
    <w:rsid w:val="00C1476F"/>
    <w:rsid w:val="00C14B34"/>
    <w:rsid w:val="00C163B5"/>
    <w:rsid w:val="00C2086F"/>
    <w:rsid w:val="00C2618A"/>
    <w:rsid w:val="00C31A5F"/>
    <w:rsid w:val="00C31C48"/>
    <w:rsid w:val="00C3203F"/>
    <w:rsid w:val="00C40203"/>
    <w:rsid w:val="00C476F3"/>
    <w:rsid w:val="00C5656B"/>
    <w:rsid w:val="00C56CA5"/>
    <w:rsid w:val="00C60F97"/>
    <w:rsid w:val="00C66896"/>
    <w:rsid w:val="00C70D2C"/>
    <w:rsid w:val="00C72AA4"/>
    <w:rsid w:val="00C73EFE"/>
    <w:rsid w:val="00C82BEE"/>
    <w:rsid w:val="00C84508"/>
    <w:rsid w:val="00C90F8D"/>
    <w:rsid w:val="00C97598"/>
    <w:rsid w:val="00CA2C1B"/>
    <w:rsid w:val="00CA72FE"/>
    <w:rsid w:val="00CA74D0"/>
    <w:rsid w:val="00CB7A9D"/>
    <w:rsid w:val="00CD521F"/>
    <w:rsid w:val="00CE217D"/>
    <w:rsid w:val="00CE6287"/>
    <w:rsid w:val="00CE6514"/>
    <w:rsid w:val="00D01D25"/>
    <w:rsid w:val="00D0260A"/>
    <w:rsid w:val="00D07517"/>
    <w:rsid w:val="00D0765F"/>
    <w:rsid w:val="00D1044F"/>
    <w:rsid w:val="00D12E64"/>
    <w:rsid w:val="00D12FAC"/>
    <w:rsid w:val="00D13220"/>
    <w:rsid w:val="00D1586F"/>
    <w:rsid w:val="00D16F31"/>
    <w:rsid w:val="00D17EA5"/>
    <w:rsid w:val="00D26AF1"/>
    <w:rsid w:val="00D31BA4"/>
    <w:rsid w:val="00D33DA5"/>
    <w:rsid w:val="00D33F97"/>
    <w:rsid w:val="00D3612D"/>
    <w:rsid w:val="00D41214"/>
    <w:rsid w:val="00D43084"/>
    <w:rsid w:val="00D519EF"/>
    <w:rsid w:val="00D54977"/>
    <w:rsid w:val="00D569EF"/>
    <w:rsid w:val="00D612EA"/>
    <w:rsid w:val="00D61CBE"/>
    <w:rsid w:val="00D63934"/>
    <w:rsid w:val="00D646DC"/>
    <w:rsid w:val="00D702F1"/>
    <w:rsid w:val="00D737F8"/>
    <w:rsid w:val="00D766CF"/>
    <w:rsid w:val="00D80942"/>
    <w:rsid w:val="00D855A0"/>
    <w:rsid w:val="00D90003"/>
    <w:rsid w:val="00D949EF"/>
    <w:rsid w:val="00DA3618"/>
    <w:rsid w:val="00DA5D6B"/>
    <w:rsid w:val="00DB2B4A"/>
    <w:rsid w:val="00DB3AE8"/>
    <w:rsid w:val="00DB3DCA"/>
    <w:rsid w:val="00DB6487"/>
    <w:rsid w:val="00DB7503"/>
    <w:rsid w:val="00DC2C46"/>
    <w:rsid w:val="00DC68B8"/>
    <w:rsid w:val="00DD2ABF"/>
    <w:rsid w:val="00DD33AA"/>
    <w:rsid w:val="00DD56EE"/>
    <w:rsid w:val="00DE0324"/>
    <w:rsid w:val="00DE5876"/>
    <w:rsid w:val="00DF3A34"/>
    <w:rsid w:val="00E2221C"/>
    <w:rsid w:val="00E24DB3"/>
    <w:rsid w:val="00E30154"/>
    <w:rsid w:val="00E34648"/>
    <w:rsid w:val="00E34E99"/>
    <w:rsid w:val="00E35F43"/>
    <w:rsid w:val="00E5191F"/>
    <w:rsid w:val="00E51BFE"/>
    <w:rsid w:val="00E547CC"/>
    <w:rsid w:val="00E56AD6"/>
    <w:rsid w:val="00E57E4A"/>
    <w:rsid w:val="00E619E4"/>
    <w:rsid w:val="00E6532A"/>
    <w:rsid w:val="00E70C85"/>
    <w:rsid w:val="00E77C57"/>
    <w:rsid w:val="00E832EB"/>
    <w:rsid w:val="00E837C6"/>
    <w:rsid w:val="00E83D64"/>
    <w:rsid w:val="00E83F82"/>
    <w:rsid w:val="00E8708E"/>
    <w:rsid w:val="00E92085"/>
    <w:rsid w:val="00E927C5"/>
    <w:rsid w:val="00E94043"/>
    <w:rsid w:val="00E94AD0"/>
    <w:rsid w:val="00E9785E"/>
    <w:rsid w:val="00EB234C"/>
    <w:rsid w:val="00EB4C38"/>
    <w:rsid w:val="00EB7860"/>
    <w:rsid w:val="00EC7455"/>
    <w:rsid w:val="00ED274F"/>
    <w:rsid w:val="00EE1115"/>
    <w:rsid w:val="00EE528A"/>
    <w:rsid w:val="00EE5DEE"/>
    <w:rsid w:val="00EE7390"/>
    <w:rsid w:val="00EF126B"/>
    <w:rsid w:val="00EF3966"/>
    <w:rsid w:val="00EF5635"/>
    <w:rsid w:val="00EF670D"/>
    <w:rsid w:val="00F00128"/>
    <w:rsid w:val="00F005D4"/>
    <w:rsid w:val="00F062CF"/>
    <w:rsid w:val="00F07682"/>
    <w:rsid w:val="00F12EBA"/>
    <w:rsid w:val="00F13452"/>
    <w:rsid w:val="00F27D4D"/>
    <w:rsid w:val="00F3130C"/>
    <w:rsid w:val="00F31476"/>
    <w:rsid w:val="00F335B2"/>
    <w:rsid w:val="00F35D78"/>
    <w:rsid w:val="00F3755F"/>
    <w:rsid w:val="00F431A5"/>
    <w:rsid w:val="00F4373D"/>
    <w:rsid w:val="00F452B5"/>
    <w:rsid w:val="00F5569F"/>
    <w:rsid w:val="00F5635A"/>
    <w:rsid w:val="00F619DB"/>
    <w:rsid w:val="00F621DC"/>
    <w:rsid w:val="00F629C7"/>
    <w:rsid w:val="00F63C16"/>
    <w:rsid w:val="00F70222"/>
    <w:rsid w:val="00F72757"/>
    <w:rsid w:val="00F80783"/>
    <w:rsid w:val="00F8234F"/>
    <w:rsid w:val="00F9629C"/>
    <w:rsid w:val="00F97504"/>
    <w:rsid w:val="00FA1C15"/>
    <w:rsid w:val="00FA399D"/>
    <w:rsid w:val="00FA5E38"/>
    <w:rsid w:val="00FA63A5"/>
    <w:rsid w:val="00FA7E75"/>
    <w:rsid w:val="00FB00E8"/>
    <w:rsid w:val="00FB15A8"/>
    <w:rsid w:val="00FB1B9B"/>
    <w:rsid w:val="00FB67ED"/>
    <w:rsid w:val="00FC3020"/>
    <w:rsid w:val="00FC71DF"/>
    <w:rsid w:val="00FD0D67"/>
    <w:rsid w:val="00FD15F9"/>
    <w:rsid w:val="00FD1666"/>
    <w:rsid w:val="00FD32D3"/>
    <w:rsid w:val="00FD39BF"/>
    <w:rsid w:val="00FD57B1"/>
    <w:rsid w:val="00FE129C"/>
    <w:rsid w:val="00FE1E3A"/>
    <w:rsid w:val="00FE467A"/>
    <w:rsid w:val="00FF2EB4"/>
    <w:rsid w:val="00FF5689"/>
    <w:rsid w:val="00FF67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62"/>
    <w:rPr>
      <w:sz w:val="24"/>
      <w:szCs w:val="24"/>
    </w:rPr>
  </w:style>
  <w:style w:type="paragraph" w:styleId="Heading1">
    <w:name w:val="heading 1"/>
    <w:basedOn w:val="Normal"/>
    <w:next w:val="Normal"/>
    <w:qFormat/>
    <w:rsid w:val="00257162"/>
    <w:pPr>
      <w:keepNext/>
      <w:outlineLvl w:val="0"/>
    </w:pPr>
    <w:rPr>
      <w:b/>
      <w:bCs/>
      <w:u w:val="single"/>
    </w:rPr>
  </w:style>
  <w:style w:type="paragraph" w:styleId="Heading2">
    <w:name w:val="heading 2"/>
    <w:basedOn w:val="Normal"/>
    <w:next w:val="Normal"/>
    <w:qFormat/>
    <w:rsid w:val="00257162"/>
    <w:pPr>
      <w:keepNext/>
      <w:outlineLvl w:val="1"/>
    </w:pPr>
    <w:rPr>
      <w:i/>
      <w:iCs/>
    </w:rPr>
  </w:style>
  <w:style w:type="paragraph" w:styleId="Heading3">
    <w:name w:val="heading 3"/>
    <w:basedOn w:val="Normal"/>
    <w:next w:val="Normal"/>
    <w:qFormat/>
    <w:rsid w:val="00257162"/>
    <w:pPr>
      <w:keepNext/>
      <w:outlineLvl w:val="2"/>
    </w:pPr>
    <w:rPr>
      <w:b/>
      <w:bCs/>
    </w:rPr>
  </w:style>
  <w:style w:type="paragraph" w:styleId="Heading4">
    <w:name w:val="heading 4"/>
    <w:basedOn w:val="Normal"/>
    <w:next w:val="Normal"/>
    <w:qFormat/>
    <w:rsid w:val="00257162"/>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rsid w:val="00257162"/>
    <w:pPr>
      <w:keepNext/>
      <w:ind w:left="720"/>
      <w:outlineLvl w:val="4"/>
    </w:pPr>
    <w:rPr>
      <w:b/>
      <w:bCs/>
    </w:rPr>
  </w:style>
  <w:style w:type="paragraph" w:styleId="Heading6">
    <w:name w:val="heading 6"/>
    <w:basedOn w:val="Normal"/>
    <w:next w:val="Normal"/>
    <w:qFormat/>
    <w:rsid w:val="00257162"/>
    <w:pPr>
      <w:keepNext/>
      <w:ind w:left="360"/>
      <w:outlineLvl w:val="5"/>
    </w:pPr>
    <w:rPr>
      <w:b/>
      <w:bCs/>
      <w:smallCaps/>
    </w:rPr>
  </w:style>
  <w:style w:type="paragraph" w:styleId="Heading7">
    <w:name w:val="heading 7"/>
    <w:basedOn w:val="Normal"/>
    <w:next w:val="Normal"/>
    <w:qFormat/>
    <w:rsid w:val="00257162"/>
    <w:pPr>
      <w:keepNext/>
      <w:outlineLvl w:val="6"/>
    </w:pPr>
    <w:rPr>
      <w:b/>
      <w:bCs/>
      <w:sz w:val="20"/>
    </w:rPr>
  </w:style>
  <w:style w:type="paragraph" w:styleId="Heading8">
    <w:name w:val="heading 8"/>
    <w:basedOn w:val="Normal"/>
    <w:next w:val="Normal"/>
    <w:qFormat/>
    <w:rsid w:val="00257162"/>
    <w:pPr>
      <w:keepNext/>
      <w:jc w:val="center"/>
      <w:outlineLvl w:val="7"/>
    </w:pPr>
    <w:rPr>
      <w:b/>
      <w:bCs/>
      <w:sz w:val="20"/>
    </w:rPr>
  </w:style>
  <w:style w:type="paragraph" w:styleId="Heading9">
    <w:name w:val="heading 9"/>
    <w:basedOn w:val="Normal"/>
    <w:next w:val="Normal"/>
    <w:qFormat/>
    <w:rsid w:val="00257162"/>
    <w:pPr>
      <w:keepNext/>
      <w:framePr w:w="7141" w:h="1081" w:hSpace="180" w:wrap="around" w:vAnchor="text" w:hAnchor="page" w:x="3661" w:y="-179"/>
      <w:autoSpaceDE w:val="0"/>
      <w:autoSpaceDN w:val="0"/>
      <w:adjustRightInd w:val="0"/>
      <w:outlineLvl w:val="8"/>
    </w:pPr>
    <w:rPr>
      <w:rFonts w:ascii="Times New Roman Bold" w:hAnsi="Times New Roman Bold"/>
      <w:b/>
      <w:bCs/>
      <w:caps/>
      <w:color w:val="000000"/>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257162"/>
    <w:pPr>
      <w:tabs>
        <w:tab w:val="center" w:pos="4320"/>
        <w:tab w:val="right" w:pos="8640"/>
      </w:tabs>
    </w:pPr>
  </w:style>
  <w:style w:type="character" w:styleId="PageNumber">
    <w:name w:val="page number"/>
    <w:basedOn w:val="DefaultParagraphFont"/>
    <w:semiHidden/>
    <w:rsid w:val="00257162"/>
  </w:style>
  <w:style w:type="paragraph" w:styleId="Header">
    <w:name w:val="header"/>
    <w:basedOn w:val="Normal"/>
    <w:link w:val="HeaderChar"/>
    <w:rsid w:val="00257162"/>
    <w:pPr>
      <w:tabs>
        <w:tab w:val="center" w:pos="4320"/>
        <w:tab w:val="right" w:pos="8640"/>
      </w:tabs>
    </w:pPr>
  </w:style>
  <w:style w:type="paragraph" w:styleId="BodyText">
    <w:name w:val="Body Text"/>
    <w:basedOn w:val="Normal"/>
    <w:semiHidden/>
    <w:rsid w:val="00257162"/>
    <w:pPr>
      <w:framePr w:w="3801" w:h="5761" w:hSpace="180" w:wrap="around" w:vAnchor="text" w:hAnchor="page" w:x="6961" w:y="1165"/>
    </w:pPr>
    <w:rPr>
      <w:sz w:val="20"/>
    </w:rPr>
  </w:style>
  <w:style w:type="paragraph" w:styleId="Caption">
    <w:name w:val="caption"/>
    <w:basedOn w:val="Normal"/>
    <w:next w:val="Normal"/>
    <w:qFormat/>
    <w:rsid w:val="00257162"/>
    <w:rPr>
      <w:rFonts w:ascii="Times New Roman Bold" w:hAnsi="Times New Roman Bold"/>
      <w:b/>
      <w:bCs/>
      <w:caps/>
    </w:rPr>
  </w:style>
  <w:style w:type="paragraph" w:styleId="BodyText2">
    <w:name w:val="Body Text 2"/>
    <w:basedOn w:val="Normal"/>
    <w:semiHidden/>
    <w:rsid w:val="00257162"/>
    <w:rPr>
      <w:b/>
      <w:bCs/>
      <w:smallCaps/>
    </w:rPr>
  </w:style>
  <w:style w:type="paragraph" w:customStyle="1" w:styleId="Outline">
    <w:name w:val="Outline"/>
    <w:basedOn w:val="Normal"/>
    <w:rsid w:val="00257162"/>
    <w:pPr>
      <w:spacing w:before="240"/>
    </w:pPr>
    <w:rPr>
      <w:kern w:val="28"/>
      <w:szCs w:val="20"/>
    </w:rPr>
  </w:style>
  <w:style w:type="character" w:styleId="Hyperlink">
    <w:name w:val="Hyperlink"/>
    <w:basedOn w:val="DefaultParagraphFont"/>
    <w:semiHidden/>
    <w:rsid w:val="00257162"/>
    <w:rPr>
      <w:color w:val="0000FF"/>
      <w:u w:val="single"/>
    </w:rPr>
  </w:style>
  <w:style w:type="character" w:styleId="FootnoteReference">
    <w:name w:val="footnote reference"/>
    <w:aliases w:val="16 Point,Superscript 6 Point,ftref"/>
    <w:basedOn w:val="DefaultParagraphFont"/>
    <w:semiHidden/>
    <w:rsid w:val="00257162"/>
    <w:rPr>
      <w:vertAlign w:val="superscript"/>
    </w:rPr>
  </w:style>
  <w:style w:type="paragraph" w:styleId="FootnoteText">
    <w:name w:val="footnote text"/>
    <w:aliases w:val="Geneva 9,Font: Geneva 9,Boston 10,f,single space,footnote text,FOOTNOTES,fn,Footnote Text Char1,Footnote Text Char2 Char,Footnote Text Char1 Char Char,Footnote Text Char2 Char Char Char,Footnote Text Char1 Char Char Char Char,ft"/>
    <w:basedOn w:val="Normal"/>
    <w:link w:val="FootnoteTextChar"/>
    <w:semiHidden/>
    <w:rsid w:val="00257162"/>
    <w:rPr>
      <w:sz w:val="20"/>
      <w:szCs w:val="20"/>
    </w:rPr>
  </w:style>
  <w:style w:type="paragraph" w:styleId="BalloonText">
    <w:name w:val="Balloon Text"/>
    <w:basedOn w:val="Normal"/>
    <w:link w:val="BalloonTextChar"/>
    <w:uiPriority w:val="99"/>
    <w:semiHidden/>
    <w:unhideWhenUsed/>
    <w:rsid w:val="005D5351"/>
    <w:rPr>
      <w:rFonts w:ascii="Tahoma" w:hAnsi="Tahoma" w:cs="Tahoma"/>
      <w:sz w:val="16"/>
      <w:szCs w:val="16"/>
    </w:rPr>
  </w:style>
  <w:style w:type="character" w:customStyle="1" w:styleId="BalloonTextChar">
    <w:name w:val="Balloon Text Char"/>
    <w:basedOn w:val="DefaultParagraphFont"/>
    <w:link w:val="BalloonText"/>
    <w:uiPriority w:val="99"/>
    <w:semiHidden/>
    <w:rsid w:val="005D5351"/>
    <w:rPr>
      <w:rFonts w:ascii="Tahoma" w:hAnsi="Tahoma" w:cs="Tahoma"/>
      <w:sz w:val="16"/>
      <w:szCs w:val="16"/>
    </w:rPr>
  </w:style>
  <w:style w:type="paragraph" w:styleId="ListParagraph">
    <w:name w:val="List Paragraph"/>
    <w:basedOn w:val="Normal"/>
    <w:uiPriority w:val="34"/>
    <w:qFormat/>
    <w:rsid w:val="00170837"/>
    <w:pPr>
      <w:ind w:left="720"/>
      <w:contextualSpacing/>
    </w:pPr>
  </w:style>
  <w:style w:type="table" w:styleId="TableGrid">
    <w:name w:val="Table Grid"/>
    <w:basedOn w:val="TableNormal"/>
    <w:uiPriority w:val="59"/>
    <w:rsid w:val="003C14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4F8E"/>
    <w:pPr>
      <w:autoSpaceDE w:val="0"/>
      <w:autoSpaceDN w:val="0"/>
      <w:adjustRightInd w:val="0"/>
    </w:pPr>
    <w:rPr>
      <w:color w:val="000000"/>
      <w:sz w:val="24"/>
      <w:szCs w:val="24"/>
    </w:rPr>
  </w:style>
  <w:style w:type="character" w:customStyle="1" w:styleId="FootnoteTextChar">
    <w:name w:val="Footnote Text Char"/>
    <w:aliases w:val="Geneva 9 Char,Font: Geneva 9 Char,Boston 10 Char,f Char,single space Char,footnote text Char,FOOTNOTES Char,fn Char,Footnote Text Char1 Char,Footnote Text Char2 Char Char,Footnote Text Char1 Char Char Char,ft Char"/>
    <w:basedOn w:val="DefaultParagraphFont"/>
    <w:link w:val="FootnoteText"/>
    <w:uiPriority w:val="99"/>
    <w:rsid w:val="00C31A5F"/>
  </w:style>
  <w:style w:type="paragraph" w:styleId="Subtitle">
    <w:name w:val="Subtitle"/>
    <w:basedOn w:val="Normal"/>
    <w:link w:val="SubtitleChar"/>
    <w:qFormat/>
    <w:rsid w:val="0034303C"/>
    <w:pPr>
      <w:jc w:val="center"/>
    </w:pPr>
    <w:rPr>
      <w:rFonts w:eastAsia="Calibri"/>
      <w:b/>
      <w:sz w:val="22"/>
      <w:szCs w:val="20"/>
      <w:lang w:val="ro-RO"/>
    </w:rPr>
  </w:style>
  <w:style w:type="character" w:customStyle="1" w:styleId="SubtitleChar">
    <w:name w:val="Subtitle Char"/>
    <w:basedOn w:val="DefaultParagraphFont"/>
    <w:link w:val="Subtitle"/>
    <w:rsid w:val="0034303C"/>
    <w:rPr>
      <w:rFonts w:eastAsia="Calibri"/>
      <w:b/>
      <w:sz w:val="22"/>
      <w:lang w:val="ro-RO"/>
    </w:rPr>
  </w:style>
  <w:style w:type="character" w:customStyle="1" w:styleId="docbody1">
    <w:name w:val="doc_body1"/>
    <w:basedOn w:val="DefaultParagraphFont"/>
    <w:rsid w:val="0034303C"/>
    <w:rPr>
      <w:rFonts w:ascii="Times New Roman" w:hAnsi="Times New Roman" w:cs="Times New Roman" w:hint="default"/>
      <w:color w:val="000000"/>
      <w:sz w:val="24"/>
      <w:szCs w:val="24"/>
    </w:rPr>
  </w:style>
  <w:style w:type="character" w:customStyle="1" w:styleId="HeaderChar">
    <w:name w:val="Header Char"/>
    <w:basedOn w:val="DefaultParagraphFont"/>
    <w:link w:val="Header"/>
    <w:locked/>
    <w:rsid w:val="004A08DE"/>
    <w:rPr>
      <w:sz w:val="24"/>
      <w:szCs w:val="24"/>
    </w:rPr>
  </w:style>
  <w:style w:type="paragraph" w:styleId="TOC1">
    <w:name w:val="toc 1"/>
    <w:basedOn w:val="Normal"/>
    <w:next w:val="Normal"/>
    <w:autoRedefine/>
    <w:semiHidden/>
    <w:rsid w:val="004A08DE"/>
    <w:rPr>
      <w:sz w:val="20"/>
      <w:szCs w:val="20"/>
      <w:lang w:val="en-GB" w:eastAsia="ru-RU"/>
    </w:rPr>
  </w:style>
  <w:style w:type="paragraph" w:styleId="BodyText3">
    <w:name w:val="Body Text 3"/>
    <w:basedOn w:val="Normal"/>
    <w:link w:val="BodyText3Char"/>
    <w:uiPriority w:val="99"/>
    <w:semiHidden/>
    <w:unhideWhenUsed/>
    <w:rsid w:val="00B314FB"/>
    <w:pPr>
      <w:spacing w:after="120"/>
    </w:pPr>
    <w:rPr>
      <w:sz w:val="16"/>
      <w:szCs w:val="16"/>
    </w:rPr>
  </w:style>
  <w:style w:type="character" w:customStyle="1" w:styleId="BodyText3Char">
    <w:name w:val="Body Text 3 Char"/>
    <w:basedOn w:val="DefaultParagraphFont"/>
    <w:link w:val="BodyText3"/>
    <w:uiPriority w:val="99"/>
    <w:semiHidden/>
    <w:rsid w:val="00B314FB"/>
    <w:rPr>
      <w:sz w:val="16"/>
      <w:szCs w:val="16"/>
    </w:rPr>
  </w:style>
  <w:style w:type="paragraph" w:styleId="ListBullet">
    <w:name w:val="List Bullet"/>
    <w:basedOn w:val="List"/>
    <w:autoRedefine/>
    <w:rsid w:val="00B314FB"/>
    <w:pPr>
      <w:overflowPunct w:val="0"/>
      <w:autoSpaceDE w:val="0"/>
      <w:autoSpaceDN w:val="0"/>
      <w:adjustRightInd w:val="0"/>
      <w:ind w:left="0" w:firstLine="0"/>
      <w:contextualSpacing w:val="0"/>
      <w:jc w:val="both"/>
      <w:textAlignment w:val="baseline"/>
    </w:pPr>
    <w:rPr>
      <w:rFonts w:eastAsia="Calibri"/>
      <w:bCs/>
      <w:iCs/>
      <w:noProof/>
      <w:spacing w:val="-5"/>
      <w:sz w:val="26"/>
      <w:szCs w:val="26"/>
      <w:lang w:eastAsia="fr-FR"/>
    </w:rPr>
  </w:style>
  <w:style w:type="paragraph" w:styleId="List">
    <w:name w:val="List"/>
    <w:basedOn w:val="Normal"/>
    <w:uiPriority w:val="99"/>
    <w:semiHidden/>
    <w:unhideWhenUsed/>
    <w:rsid w:val="00B314FB"/>
    <w:pPr>
      <w:ind w:left="360" w:hanging="360"/>
      <w:contextualSpacing/>
    </w:pPr>
  </w:style>
  <w:style w:type="character" w:styleId="CommentReference">
    <w:name w:val="annotation reference"/>
    <w:basedOn w:val="DefaultParagraphFont"/>
    <w:uiPriority w:val="99"/>
    <w:semiHidden/>
    <w:unhideWhenUsed/>
    <w:rsid w:val="00B54B0A"/>
    <w:rPr>
      <w:sz w:val="16"/>
      <w:szCs w:val="16"/>
    </w:rPr>
  </w:style>
  <w:style w:type="paragraph" w:styleId="CommentText">
    <w:name w:val="annotation text"/>
    <w:basedOn w:val="Normal"/>
    <w:link w:val="CommentTextChar"/>
    <w:uiPriority w:val="99"/>
    <w:semiHidden/>
    <w:unhideWhenUsed/>
    <w:rsid w:val="00B54B0A"/>
    <w:rPr>
      <w:sz w:val="20"/>
      <w:szCs w:val="20"/>
    </w:rPr>
  </w:style>
  <w:style w:type="character" w:customStyle="1" w:styleId="CommentTextChar">
    <w:name w:val="Comment Text Char"/>
    <w:basedOn w:val="DefaultParagraphFont"/>
    <w:link w:val="CommentText"/>
    <w:uiPriority w:val="99"/>
    <w:semiHidden/>
    <w:rsid w:val="00B54B0A"/>
  </w:style>
  <w:style w:type="paragraph" w:styleId="CommentSubject">
    <w:name w:val="annotation subject"/>
    <w:basedOn w:val="CommentText"/>
    <w:next w:val="CommentText"/>
    <w:link w:val="CommentSubjectChar"/>
    <w:uiPriority w:val="99"/>
    <w:semiHidden/>
    <w:unhideWhenUsed/>
    <w:rsid w:val="00B54B0A"/>
    <w:rPr>
      <w:b/>
      <w:bCs/>
    </w:rPr>
  </w:style>
  <w:style w:type="character" w:customStyle="1" w:styleId="CommentSubjectChar">
    <w:name w:val="Comment Subject Char"/>
    <w:basedOn w:val="CommentTextChar"/>
    <w:link w:val="CommentSubject"/>
    <w:uiPriority w:val="99"/>
    <w:semiHidden/>
    <w:rsid w:val="00B54B0A"/>
    <w:rPr>
      <w:b/>
      <w:bCs/>
    </w:rPr>
  </w:style>
  <w:style w:type="paragraph" w:customStyle="1" w:styleId="StyleJustified">
    <w:name w:val="Style Justified"/>
    <w:basedOn w:val="Normal"/>
    <w:rsid w:val="00FD57B1"/>
    <w:pPr>
      <w:numPr>
        <w:numId w:val="12"/>
      </w:numPr>
      <w:jc w:val="both"/>
    </w:pPr>
    <w:rPr>
      <w:szCs w:val="22"/>
    </w:rPr>
  </w:style>
  <w:style w:type="paragraph" w:customStyle="1" w:styleId="xl30">
    <w:name w:val="xl30"/>
    <w:basedOn w:val="Normal"/>
    <w:rsid w:val="00FD57B1"/>
    <w:pPr>
      <w:spacing w:before="100" w:after="100"/>
    </w:pPr>
    <w:rPr>
      <w:rFonts w:eastAsia="Arial Unicode MS"/>
      <w:sz w:val="22"/>
      <w:szCs w:val="20"/>
    </w:rPr>
  </w:style>
</w:styles>
</file>

<file path=word/webSettings.xml><?xml version="1.0" encoding="utf-8"?>
<w:webSettings xmlns:r="http://schemas.openxmlformats.org/officeDocument/2006/relationships" xmlns:w="http://schemas.openxmlformats.org/wordprocessingml/2006/main">
  <w:divs>
    <w:div w:id="1233813461">
      <w:bodyDiv w:val="1"/>
      <w:marLeft w:val="0"/>
      <w:marRight w:val="0"/>
      <w:marTop w:val="0"/>
      <w:marBottom w:val="0"/>
      <w:divBdr>
        <w:top w:val="none" w:sz="0" w:space="0" w:color="auto"/>
        <w:left w:val="none" w:sz="0" w:space="0" w:color="auto"/>
        <w:bottom w:val="none" w:sz="0" w:space="0" w:color="auto"/>
        <w:right w:val="none" w:sz="0" w:space="0" w:color="auto"/>
      </w:divBdr>
    </w:div>
    <w:div w:id="206571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hyperlink" Target="http://www.molodvapops.m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epa.gov/agSTAR"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customXml" Target="../customXml/item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MON\Forms\Project%20Executive%20Summar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12BD5-C3FE-467A-8392-2E18491ED09F}">
  <ds:schemaRefs>
    <ds:schemaRef ds:uri="http://schemas.openxmlformats.org/officeDocument/2006/bibliography"/>
  </ds:schemaRefs>
</ds:datastoreItem>
</file>

<file path=customXml/itemProps2.xml><?xml version="1.0" encoding="utf-8"?>
<ds:datastoreItem xmlns:ds="http://schemas.openxmlformats.org/officeDocument/2006/customXml" ds:itemID="{075115A9-1EBC-450D-A509-557C202747C3}"/>
</file>

<file path=customXml/itemProps3.xml><?xml version="1.0" encoding="utf-8"?>
<ds:datastoreItem xmlns:ds="http://schemas.openxmlformats.org/officeDocument/2006/customXml" ds:itemID="{84F6CB04-005F-43B3-ABF9-FABA08461009}"/>
</file>

<file path=customXml/itemProps4.xml><?xml version="1.0" encoding="utf-8"?>
<ds:datastoreItem xmlns:ds="http://schemas.openxmlformats.org/officeDocument/2006/customXml" ds:itemID="{2921D5DB-C553-4008-B8C2-2B5F0636CFD2}"/>
</file>

<file path=docProps/app.xml><?xml version="1.0" encoding="utf-8"?>
<Properties xmlns="http://schemas.openxmlformats.org/officeDocument/2006/extended-properties" xmlns:vt="http://schemas.openxmlformats.org/officeDocument/2006/docPropsVTypes">
  <Template>Project Executive Summary Template.dot</Template>
  <TotalTime>1</TotalTime>
  <Pages>58</Pages>
  <Words>21255</Words>
  <Characters>121159</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FINANCING PLAN (IN US$):</vt:lpstr>
    </vt:vector>
  </TitlesOfParts>
  <Company>World Bank Group</Company>
  <LinksUpToDate>false</LinksUpToDate>
  <CharactersWithSpaces>142130</CharactersWithSpaces>
  <SharedDoc>false</SharedDoc>
  <HLinks>
    <vt:vector size="12" baseType="variant">
      <vt:variant>
        <vt:i4>7405676</vt:i4>
      </vt:variant>
      <vt:variant>
        <vt:i4>158</vt:i4>
      </vt:variant>
      <vt:variant>
        <vt:i4>0</vt:i4>
      </vt:variant>
      <vt:variant>
        <vt:i4>5</vt:i4>
      </vt:variant>
      <vt:variant>
        <vt:lpwstr>http://www.molodvapops.md/</vt:lpwstr>
      </vt:variant>
      <vt:variant>
        <vt:lpwstr/>
      </vt:variant>
      <vt:variant>
        <vt:i4>5046365</vt:i4>
      </vt:variant>
      <vt:variant>
        <vt:i4>155</vt:i4>
      </vt:variant>
      <vt:variant>
        <vt:i4>0</vt:i4>
      </vt:variant>
      <vt:variant>
        <vt:i4>5</vt:i4>
      </vt:variant>
      <vt:variant>
        <vt:lpwstr>http://www.epa.gov/agSTAR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wb98693</cp:lastModifiedBy>
  <cp:revision>2</cp:revision>
  <cp:lastPrinted>2010-12-15T20:13:00Z</cp:lastPrinted>
  <dcterms:created xsi:type="dcterms:W3CDTF">2010-12-21T23:20:00Z</dcterms:created>
  <dcterms:modified xsi:type="dcterms:W3CDTF">2010-12-21T23:20:00Z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