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B6" w:rsidRDefault="003A33B6">
      <w:pPr>
        <w:rPr>
          <w:color w:val="000000"/>
          <w:sz w:val="22"/>
          <w:szCs w:val="22"/>
        </w:rPr>
      </w:pPr>
    </w:p>
    <w:p w:rsidR="003F52A8" w:rsidRDefault="003F52A8" w:rsidP="003F52A8">
      <w:pPr>
        <w:autoSpaceDE w:val="0"/>
        <w:autoSpaceDN w:val="0"/>
        <w:adjustRightInd w:val="0"/>
        <w:spacing w:line="240" w:lineRule="atLeast"/>
        <w:jc w:val="center"/>
        <w:rPr>
          <w:b/>
          <w:bCs/>
          <w:color w:val="000000"/>
          <w:sz w:val="22"/>
          <w:szCs w:val="22"/>
        </w:rPr>
      </w:pPr>
      <w:r>
        <w:rPr>
          <w:color w:val="000000"/>
          <w:sz w:val="22"/>
          <w:szCs w:val="22"/>
        </w:rPr>
        <w:t>Document of</w:t>
      </w:r>
    </w:p>
    <w:p w:rsidR="003F52A8" w:rsidRDefault="003F52A8" w:rsidP="003F52A8">
      <w:pPr>
        <w:autoSpaceDE w:val="0"/>
        <w:autoSpaceDN w:val="0"/>
        <w:adjustRightInd w:val="0"/>
        <w:spacing w:line="240" w:lineRule="atLeast"/>
        <w:jc w:val="center"/>
        <w:rPr>
          <w:color w:val="000000"/>
          <w:sz w:val="28"/>
          <w:szCs w:val="28"/>
        </w:rPr>
      </w:pPr>
      <w:r>
        <w:rPr>
          <w:color w:val="000000"/>
          <w:sz w:val="28"/>
          <w:szCs w:val="28"/>
        </w:rPr>
        <w:t>The World Bank</w:t>
      </w:r>
    </w:p>
    <w:p w:rsidR="003F52A8" w:rsidRDefault="003F52A8" w:rsidP="003F52A8">
      <w:pPr>
        <w:autoSpaceDE w:val="0"/>
        <w:autoSpaceDN w:val="0"/>
        <w:adjustRightInd w:val="0"/>
        <w:spacing w:line="240" w:lineRule="atLeast"/>
        <w:rPr>
          <w:color w:val="000000"/>
          <w:sz w:val="28"/>
          <w:szCs w:val="28"/>
        </w:rPr>
      </w:pPr>
    </w:p>
    <w:p w:rsidR="00803271" w:rsidRDefault="00803271" w:rsidP="003F52A8">
      <w:pPr>
        <w:autoSpaceDE w:val="0"/>
        <w:autoSpaceDN w:val="0"/>
        <w:adjustRightInd w:val="0"/>
        <w:spacing w:line="240" w:lineRule="atLeast"/>
        <w:jc w:val="right"/>
        <w:rPr>
          <w:color w:val="000000"/>
          <w:sz w:val="22"/>
          <w:szCs w:val="22"/>
        </w:rPr>
      </w:pPr>
    </w:p>
    <w:p w:rsidR="003F52A8" w:rsidRDefault="003F52A8" w:rsidP="003F52A8">
      <w:pPr>
        <w:autoSpaceDE w:val="0"/>
        <w:autoSpaceDN w:val="0"/>
        <w:adjustRightInd w:val="0"/>
        <w:spacing w:line="240" w:lineRule="atLeast"/>
        <w:jc w:val="right"/>
        <w:rPr>
          <w:color w:val="000000"/>
          <w:sz w:val="22"/>
          <w:szCs w:val="22"/>
        </w:rPr>
      </w:pPr>
      <w:r>
        <w:rPr>
          <w:color w:val="000000"/>
          <w:sz w:val="22"/>
          <w:szCs w:val="22"/>
        </w:rPr>
        <w:t xml:space="preserve">Report No: </w:t>
      </w:r>
      <w:r w:rsidR="00CC5786">
        <w:rPr>
          <w:color w:val="000000"/>
          <w:sz w:val="22"/>
          <w:szCs w:val="22"/>
        </w:rPr>
        <w:t>_____</w:t>
      </w:r>
    </w:p>
    <w:p w:rsidR="003F52A8" w:rsidRDefault="003F52A8" w:rsidP="003F52A8">
      <w:pPr>
        <w:autoSpaceDE w:val="0"/>
        <w:autoSpaceDN w:val="0"/>
        <w:adjustRightInd w:val="0"/>
        <w:spacing w:line="240" w:lineRule="atLeast"/>
        <w:jc w:val="center"/>
        <w:rPr>
          <w:color w:val="000000"/>
          <w:szCs w:val="22"/>
        </w:rPr>
      </w:pPr>
    </w:p>
    <w:p w:rsidR="003F52A8" w:rsidRDefault="003F52A8" w:rsidP="003F52A8">
      <w:pPr>
        <w:autoSpaceDE w:val="0"/>
        <w:autoSpaceDN w:val="0"/>
        <w:adjustRightInd w:val="0"/>
        <w:spacing w:line="240" w:lineRule="atLeast"/>
        <w:jc w:val="center"/>
        <w:rPr>
          <w:color w:val="000000"/>
          <w:szCs w:val="22"/>
        </w:rPr>
      </w:pPr>
    </w:p>
    <w:p w:rsidR="003F52A8" w:rsidRDefault="003F52A8" w:rsidP="003F52A8">
      <w:pPr>
        <w:autoSpaceDE w:val="0"/>
        <w:autoSpaceDN w:val="0"/>
        <w:adjustRightInd w:val="0"/>
        <w:spacing w:line="240" w:lineRule="atLeast"/>
        <w:jc w:val="center"/>
        <w:rPr>
          <w:caps/>
          <w:color w:val="000000"/>
          <w:szCs w:val="22"/>
        </w:rPr>
      </w:pPr>
      <w:r>
        <w:rPr>
          <w:caps/>
          <w:color w:val="000000"/>
          <w:szCs w:val="22"/>
        </w:rPr>
        <w:t>Project paper</w:t>
      </w:r>
    </w:p>
    <w:p w:rsidR="003F52A8" w:rsidRDefault="003F52A8" w:rsidP="003F52A8">
      <w:pPr>
        <w:autoSpaceDE w:val="0"/>
        <w:autoSpaceDN w:val="0"/>
        <w:adjustRightInd w:val="0"/>
        <w:spacing w:line="240" w:lineRule="atLeast"/>
        <w:jc w:val="center"/>
        <w:rPr>
          <w:caps/>
          <w:color w:val="000000"/>
          <w:szCs w:val="22"/>
        </w:rPr>
      </w:pPr>
    </w:p>
    <w:p w:rsidR="003F52A8" w:rsidRDefault="003F52A8" w:rsidP="003F52A8">
      <w:pPr>
        <w:autoSpaceDE w:val="0"/>
        <w:autoSpaceDN w:val="0"/>
        <w:adjustRightInd w:val="0"/>
        <w:spacing w:line="240" w:lineRule="atLeast"/>
        <w:jc w:val="center"/>
        <w:rPr>
          <w:caps/>
          <w:color w:val="000000"/>
          <w:szCs w:val="22"/>
        </w:rPr>
      </w:pPr>
      <w:r>
        <w:rPr>
          <w:caps/>
          <w:color w:val="000000"/>
          <w:szCs w:val="22"/>
        </w:rPr>
        <w:t>ON A</w:t>
      </w:r>
    </w:p>
    <w:p w:rsidR="003F52A8" w:rsidRDefault="003F52A8" w:rsidP="003F52A8">
      <w:pPr>
        <w:autoSpaceDE w:val="0"/>
        <w:autoSpaceDN w:val="0"/>
        <w:adjustRightInd w:val="0"/>
        <w:spacing w:line="240" w:lineRule="atLeast"/>
        <w:jc w:val="center"/>
        <w:rPr>
          <w:caps/>
          <w:color w:val="000000"/>
          <w:szCs w:val="22"/>
        </w:rPr>
      </w:pPr>
    </w:p>
    <w:p w:rsidR="003F52A8" w:rsidRDefault="003F52A8" w:rsidP="003F52A8">
      <w:pPr>
        <w:autoSpaceDE w:val="0"/>
        <w:autoSpaceDN w:val="0"/>
        <w:adjustRightInd w:val="0"/>
        <w:spacing w:line="240" w:lineRule="atLeast"/>
        <w:jc w:val="center"/>
        <w:rPr>
          <w:caps/>
          <w:color w:val="000000"/>
          <w:szCs w:val="22"/>
        </w:rPr>
      </w:pPr>
      <w:r>
        <w:rPr>
          <w:caps/>
          <w:color w:val="000000"/>
          <w:szCs w:val="22"/>
        </w:rPr>
        <w:t>PROPOSED</w:t>
      </w:r>
      <w:r w:rsidR="00855379">
        <w:rPr>
          <w:caps/>
          <w:color w:val="000000"/>
          <w:szCs w:val="22"/>
        </w:rPr>
        <w:t xml:space="preserve"> ADDITIONAL</w:t>
      </w:r>
      <w:r>
        <w:rPr>
          <w:caps/>
          <w:color w:val="000000"/>
          <w:szCs w:val="22"/>
        </w:rPr>
        <w:t xml:space="preserve"> </w:t>
      </w:r>
      <w:r w:rsidR="00D526C8">
        <w:rPr>
          <w:caps/>
          <w:color w:val="000000"/>
          <w:szCs w:val="22"/>
        </w:rPr>
        <w:fldChar w:fldCharType="begin"/>
      </w:r>
      <w:r>
        <w:rPr>
          <w:caps/>
          <w:color w:val="000000"/>
          <w:szCs w:val="22"/>
        </w:rPr>
        <w:instrText xml:space="preserve"> IF </w:instrText>
      </w:r>
      <w:r w:rsidR="00D526C8">
        <w:rPr>
          <w:caps/>
          <w:color w:val="000000"/>
          <w:szCs w:val="22"/>
        </w:rPr>
        <w:fldChar w:fldCharType="begin"/>
      </w:r>
      <w:r>
        <w:rPr>
          <w:caps/>
          <w:color w:val="000000"/>
          <w:szCs w:val="22"/>
        </w:rPr>
        <w:instrText xml:space="preserve"> DOCPROPERTY LoanNo </w:instrText>
      </w:r>
      <w:r w:rsidR="00D526C8">
        <w:rPr>
          <w:caps/>
          <w:color w:val="000000"/>
          <w:szCs w:val="22"/>
        </w:rPr>
        <w:fldChar w:fldCharType="separate"/>
      </w:r>
      <w:r w:rsidR="003D5E4F">
        <w:rPr>
          <w:b/>
          <w:bCs/>
          <w:caps/>
          <w:color w:val="000000"/>
          <w:szCs w:val="22"/>
        </w:rPr>
        <w:instrText>Error! Unknown document property name.</w:instrText>
      </w:r>
      <w:r w:rsidR="00D526C8">
        <w:rPr>
          <w:caps/>
          <w:color w:val="000000"/>
          <w:szCs w:val="22"/>
        </w:rPr>
        <w:fldChar w:fldCharType="end"/>
      </w:r>
      <w:r>
        <w:rPr>
          <w:caps/>
          <w:color w:val="000000"/>
          <w:szCs w:val="22"/>
        </w:rPr>
        <w:instrText xml:space="preserve"> &lt;&gt; "" LOAN </w:instrText>
      </w:r>
      <w:r w:rsidR="00D526C8">
        <w:rPr>
          <w:caps/>
          <w:color w:val="000000"/>
          <w:szCs w:val="22"/>
        </w:rPr>
        <w:fldChar w:fldCharType="begin"/>
      </w:r>
      <w:r>
        <w:rPr>
          <w:caps/>
          <w:color w:val="000000"/>
          <w:szCs w:val="22"/>
        </w:rPr>
        <w:instrText xml:space="preserve"> IF </w:instrText>
      </w:r>
      <w:r w:rsidR="00D526C8">
        <w:rPr>
          <w:caps/>
          <w:color w:val="000000"/>
          <w:szCs w:val="22"/>
        </w:rPr>
        <w:fldChar w:fldCharType="begin"/>
      </w:r>
      <w:r>
        <w:rPr>
          <w:caps/>
          <w:color w:val="000000"/>
          <w:szCs w:val="22"/>
        </w:rPr>
        <w:instrText xml:space="preserve"> DOCPROPERTY CreditNo </w:instrText>
      </w:r>
      <w:r w:rsidR="00D526C8">
        <w:rPr>
          <w:caps/>
          <w:color w:val="000000"/>
          <w:szCs w:val="22"/>
        </w:rPr>
        <w:fldChar w:fldCharType="end"/>
      </w:r>
      <w:r>
        <w:rPr>
          <w:caps/>
          <w:color w:val="000000"/>
          <w:szCs w:val="22"/>
        </w:rPr>
        <w:instrText xml:space="preserve"> &lt;&gt; "" CREDIT {LOAN/CREDIT} </w:instrText>
      </w:r>
      <w:r w:rsidR="00D526C8">
        <w:rPr>
          <w:caps/>
          <w:color w:val="000000"/>
          <w:szCs w:val="22"/>
        </w:rPr>
        <w:fldChar w:fldCharType="separate"/>
      </w:r>
      <w:r>
        <w:rPr>
          <w:caps/>
          <w:noProof/>
          <w:color w:val="000000"/>
          <w:szCs w:val="22"/>
        </w:rPr>
        <w:instrText>{LOAN/CREDIT}</w:instrText>
      </w:r>
      <w:r w:rsidR="00D526C8">
        <w:rPr>
          <w:caps/>
          <w:color w:val="000000"/>
          <w:szCs w:val="22"/>
        </w:rPr>
        <w:fldChar w:fldCharType="end"/>
      </w:r>
      <w:r>
        <w:rPr>
          <w:caps/>
          <w:color w:val="000000"/>
          <w:szCs w:val="22"/>
        </w:rPr>
        <w:instrText xml:space="preserve"> \* MERGEFORMAT </w:instrText>
      </w:r>
      <w:r w:rsidR="00D526C8">
        <w:rPr>
          <w:caps/>
          <w:color w:val="000000"/>
          <w:szCs w:val="22"/>
        </w:rPr>
        <w:fldChar w:fldCharType="separate"/>
      </w:r>
      <w:r w:rsidR="00F67F4A">
        <w:rPr>
          <w:caps/>
          <w:noProof/>
          <w:color w:val="000000"/>
          <w:szCs w:val="22"/>
        </w:rPr>
        <w:t>LOAN</w:t>
      </w:r>
      <w:r w:rsidR="00D526C8">
        <w:rPr>
          <w:caps/>
          <w:color w:val="000000"/>
          <w:szCs w:val="22"/>
        </w:rPr>
        <w:fldChar w:fldCharType="end"/>
      </w:r>
    </w:p>
    <w:p w:rsidR="003F52A8" w:rsidRDefault="003F52A8" w:rsidP="003F52A8">
      <w:pPr>
        <w:autoSpaceDE w:val="0"/>
        <w:autoSpaceDN w:val="0"/>
        <w:adjustRightInd w:val="0"/>
        <w:spacing w:line="240" w:lineRule="atLeast"/>
        <w:jc w:val="center"/>
        <w:rPr>
          <w:caps/>
          <w:color w:val="000000"/>
          <w:szCs w:val="22"/>
        </w:rPr>
      </w:pPr>
    </w:p>
    <w:p w:rsidR="003F52A8" w:rsidRDefault="003F52A8" w:rsidP="003F52A8">
      <w:pPr>
        <w:autoSpaceDE w:val="0"/>
        <w:autoSpaceDN w:val="0"/>
        <w:adjustRightInd w:val="0"/>
        <w:spacing w:line="240" w:lineRule="atLeast"/>
        <w:jc w:val="center"/>
        <w:rPr>
          <w:caps/>
          <w:color w:val="000000"/>
          <w:szCs w:val="22"/>
        </w:rPr>
      </w:pPr>
      <w:r>
        <w:rPr>
          <w:caps/>
          <w:color w:val="000000"/>
          <w:szCs w:val="22"/>
        </w:rPr>
        <w:t xml:space="preserve">IN THE AMOUNT OF SDR </w:t>
      </w:r>
      <w:r w:rsidR="004C712D">
        <w:rPr>
          <w:caps/>
          <w:color w:val="000000"/>
          <w:szCs w:val="22"/>
        </w:rPr>
        <w:t>14.2</w:t>
      </w:r>
      <w:r>
        <w:rPr>
          <w:caps/>
          <w:color w:val="000000"/>
          <w:szCs w:val="22"/>
        </w:rPr>
        <w:t xml:space="preserve"> MILLION</w:t>
      </w:r>
    </w:p>
    <w:p w:rsidR="003F52A8" w:rsidRDefault="003F52A8" w:rsidP="003F52A8">
      <w:pPr>
        <w:autoSpaceDE w:val="0"/>
        <w:autoSpaceDN w:val="0"/>
        <w:adjustRightInd w:val="0"/>
        <w:spacing w:line="240" w:lineRule="atLeast"/>
        <w:jc w:val="center"/>
        <w:rPr>
          <w:caps/>
          <w:color w:val="000000"/>
          <w:szCs w:val="22"/>
        </w:rPr>
      </w:pPr>
      <w:r>
        <w:rPr>
          <w:caps/>
          <w:color w:val="000000"/>
          <w:szCs w:val="22"/>
        </w:rPr>
        <w:t>(US$</w:t>
      </w:r>
      <w:r w:rsidR="004B712D">
        <w:rPr>
          <w:caps/>
          <w:color w:val="000000"/>
          <w:szCs w:val="22"/>
        </w:rPr>
        <w:t>22</w:t>
      </w:r>
      <w:r>
        <w:rPr>
          <w:caps/>
          <w:color w:val="000000"/>
          <w:szCs w:val="22"/>
        </w:rPr>
        <w:t xml:space="preserve"> MILLION EQUIVALENT)</w:t>
      </w:r>
    </w:p>
    <w:p w:rsidR="004133D7" w:rsidRDefault="004133D7" w:rsidP="003F52A8">
      <w:pPr>
        <w:autoSpaceDE w:val="0"/>
        <w:autoSpaceDN w:val="0"/>
        <w:adjustRightInd w:val="0"/>
        <w:spacing w:line="240" w:lineRule="atLeast"/>
        <w:jc w:val="center"/>
        <w:rPr>
          <w:caps/>
          <w:color w:val="000000"/>
          <w:szCs w:val="22"/>
        </w:rPr>
      </w:pPr>
    </w:p>
    <w:p w:rsidR="004133D7" w:rsidRDefault="004133D7" w:rsidP="003F52A8">
      <w:pPr>
        <w:autoSpaceDE w:val="0"/>
        <w:autoSpaceDN w:val="0"/>
        <w:adjustRightInd w:val="0"/>
        <w:spacing w:line="240" w:lineRule="atLeast"/>
        <w:jc w:val="center"/>
        <w:rPr>
          <w:caps/>
          <w:color w:val="000000"/>
          <w:szCs w:val="22"/>
        </w:rPr>
      </w:pPr>
      <w:r>
        <w:rPr>
          <w:caps/>
          <w:color w:val="000000"/>
          <w:szCs w:val="22"/>
        </w:rPr>
        <w:t>and on a</w:t>
      </w:r>
    </w:p>
    <w:p w:rsidR="004133D7" w:rsidRDefault="004133D7" w:rsidP="003F52A8">
      <w:pPr>
        <w:autoSpaceDE w:val="0"/>
        <w:autoSpaceDN w:val="0"/>
        <w:adjustRightInd w:val="0"/>
        <w:spacing w:line="240" w:lineRule="atLeast"/>
        <w:jc w:val="center"/>
        <w:rPr>
          <w:caps/>
          <w:color w:val="000000"/>
          <w:szCs w:val="22"/>
        </w:rPr>
      </w:pPr>
    </w:p>
    <w:p w:rsidR="004133D7" w:rsidRPr="004133D7" w:rsidRDefault="004133D7" w:rsidP="004133D7">
      <w:pPr>
        <w:autoSpaceDE w:val="0"/>
        <w:autoSpaceDN w:val="0"/>
        <w:adjustRightInd w:val="0"/>
        <w:spacing w:line="240" w:lineRule="atLeast"/>
        <w:jc w:val="center"/>
        <w:rPr>
          <w:caps/>
          <w:color w:val="000000"/>
          <w:szCs w:val="22"/>
        </w:rPr>
      </w:pPr>
      <w:r w:rsidRPr="004133D7">
        <w:rPr>
          <w:caps/>
          <w:color w:val="000000"/>
          <w:szCs w:val="22"/>
        </w:rPr>
        <w:t xml:space="preserve">proposed grant FROM THE </w:t>
      </w:r>
    </w:p>
    <w:p w:rsidR="004133D7" w:rsidRPr="004133D7" w:rsidRDefault="004133D7" w:rsidP="004133D7">
      <w:pPr>
        <w:autoSpaceDE w:val="0"/>
        <w:autoSpaceDN w:val="0"/>
        <w:adjustRightInd w:val="0"/>
        <w:spacing w:line="240" w:lineRule="atLeast"/>
        <w:jc w:val="center"/>
        <w:rPr>
          <w:caps/>
          <w:color w:val="000000"/>
          <w:szCs w:val="22"/>
        </w:rPr>
      </w:pPr>
    </w:p>
    <w:p w:rsidR="004133D7" w:rsidRPr="004133D7" w:rsidRDefault="004133D7" w:rsidP="004133D7">
      <w:pPr>
        <w:autoSpaceDE w:val="0"/>
        <w:autoSpaceDN w:val="0"/>
        <w:adjustRightInd w:val="0"/>
        <w:spacing w:line="240" w:lineRule="atLeast"/>
        <w:jc w:val="center"/>
        <w:rPr>
          <w:caps/>
          <w:color w:val="000000"/>
          <w:szCs w:val="22"/>
        </w:rPr>
      </w:pPr>
      <w:r w:rsidRPr="004133D7">
        <w:rPr>
          <w:caps/>
          <w:color w:val="000000"/>
          <w:szCs w:val="22"/>
        </w:rPr>
        <w:t>GLOBAL ENVIRONMENT FACILiTY TRUST FUND</w:t>
      </w:r>
    </w:p>
    <w:p w:rsidR="004133D7" w:rsidRPr="004133D7" w:rsidRDefault="004133D7" w:rsidP="004133D7">
      <w:pPr>
        <w:autoSpaceDE w:val="0"/>
        <w:autoSpaceDN w:val="0"/>
        <w:adjustRightInd w:val="0"/>
        <w:spacing w:line="240" w:lineRule="atLeast"/>
        <w:jc w:val="center"/>
        <w:rPr>
          <w:caps/>
          <w:color w:val="000000"/>
          <w:szCs w:val="22"/>
        </w:rPr>
      </w:pPr>
      <w:r w:rsidRPr="004133D7">
        <w:rPr>
          <w:caps/>
          <w:color w:val="000000"/>
          <w:szCs w:val="22"/>
        </w:rPr>
        <w:t xml:space="preserve"> </w:t>
      </w:r>
    </w:p>
    <w:p w:rsidR="004133D7" w:rsidRPr="004133D7" w:rsidRDefault="004133D7" w:rsidP="004133D7">
      <w:pPr>
        <w:autoSpaceDE w:val="0"/>
        <w:autoSpaceDN w:val="0"/>
        <w:adjustRightInd w:val="0"/>
        <w:spacing w:line="240" w:lineRule="atLeast"/>
        <w:jc w:val="center"/>
        <w:rPr>
          <w:caps/>
          <w:color w:val="000000"/>
          <w:szCs w:val="22"/>
        </w:rPr>
      </w:pPr>
      <w:r w:rsidRPr="004133D7">
        <w:rPr>
          <w:caps/>
          <w:color w:val="000000"/>
          <w:szCs w:val="22"/>
        </w:rPr>
        <w:t>in the amount of US$</w:t>
      </w:r>
      <w:r>
        <w:rPr>
          <w:caps/>
          <w:color w:val="000000"/>
          <w:szCs w:val="22"/>
        </w:rPr>
        <w:t>1</w:t>
      </w:r>
      <w:r w:rsidR="00803271">
        <w:rPr>
          <w:caps/>
          <w:color w:val="000000"/>
          <w:szCs w:val="22"/>
        </w:rPr>
        <w:t>,454,540</w:t>
      </w:r>
      <w:r w:rsidRPr="004133D7">
        <w:rPr>
          <w:caps/>
          <w:color w:val="000000"/>
          <w:szCs w:val="22"/>
        </w:rPr>
        <w:t xml:space="preserve"> </w:t>
      </w:r>
    </w:p>
    <w:p w:rsidR="003F52A8" w:rsidRDefault="003F52A8" w:rsidP="003F52A8">
      <w:pPr>
        <w:autoSpaceDE w:val="0"/>
        <w:autoSpaceDN w:val="0"/>
        <w:adjustRightInd w:val="0"/>
        <w:spacing w:line="240" w:lineRule="atLeast"/>
        <w:jc w:val="center"/>
        <w:rPr>
          <w:caps/>
          <w:color w:val="000000"/>
          <w:szCs w:val="22"/>
        </w:rPr>
      </w:pPr>
    </w:p>
    <w:p w:rsidR="00C60697" w:rsidRDefault="00C60697" w:rsidP="003F52A8">
      <w:pPr>
        <w:autoSpaceDE w:val="0"/>
        <w:autoSpaceDN w:val="0"/>
        <w:adjustRightInd w:val="0"/>
        <w:spacing w:line="240" w:lineRule="atLeast"/>
        <w:jc w:val="center"/>
        <w:rPr>
          <w:caps/>
          <w:color w:val="000000"/>
          <w:szCs w:val="22"/>
        </w:rPr>
      </w:pPr>
    </w:p>
    <w:p w:rsidR="003F52A8" w:rsidRDefault="003F52A8" w:rsidP="00B4577C">
      <w:pPr>
        <w:autoSpaceDE w:val="0"/>
        <w:autoSpaceDN w:val="0"/>
        <w:adjustRightInd w:val="0"/>
        <w:spacing w:line="240" w:lineRule="atLeast"/>
        <w:jc w:val="center"/>
        <w:rPr>
          <w:caps/>
          <w:color w:val="000000"/>
          <w:szCs w:val="22"/>
        </w:rPr>
      </w:pPr>
      <w:r>
        <w:rPr>
          <w:caps/>
          <w:color w:val="000000"/>
          <w:szCs w:val="22"/>
        </w:rPr>
        <w:t>TO THE</w:t>
      </w:r>
      <w:r w:rsidR="004B712D">
        <w:rPr>
          <w:caps/>
          <w:color w:val="000000"/>
          <w:szCs w:val="22"/>
        </w:rPr>
        <w:t xml:space="preserve"> republic</w:t>
      </w:r>
      <w:r w:rsidR="00C60697">
        <w:rPr>
          <w:caps/>
          <w:color w:val="000000"/>
          <w:szCs w:val="22"/>
        </w:rPr>
        <w:t xml:space="preserve"> OF </w:t>
      </w:r>
      <w:r w:rsidR="00B4577C">
        <w:rPr>
          <w:caps/>
          <w:color w:val="000000"/>
          <w:szCs w:val="22"/>
        </w:rPr>
        <w:t>LIBERIA</w:t>
      </w:r>
    </w:p>
    <w:p w:rsidR="003F52A8" w:rsidRDefault="003F52A8" w:rsidP="003F52A8">
      <w:pPr>
        <w:autoSpaceDE w:val="0"/>
        <w:autoSpaceDN w:val="0"/>
        <w:adjustRightInd w:val="0"/>
        <w:spacing w:line="240" w:lineRule="atLeast"/>
        <w:jc w:val="center"/>
        <w:rPr>
          <w:caps/>
          <w:color w:val="000000"/>
          <w:szCs w:val="22"/>
        </w:rPr>
      </w:pPr>
    </w:p>
    <w:p w:rsidR="00C60697" w:rsidRDefault="00C60697" w:rsidP="003F52A8">
      <w:pPr>
        <w:autoSpaceDE w:val="0"/>
        <w:autoSpaceDN w:val="0"/>
        <w:adjustRightInd w:val="0"/>
        <w:spacing w:line="240" w:lineRule="atLeast"/>
        <w:jc w:val="center"/>
        <w:rPr>
          <w:caps/>
          <w:color w:val="000000"/>
          <w:szCs w:val="22"/>
        </w:rPr>
      </w:pPr>
    </w:p>
    <w:p w:rsidR="003F52A8" w:rsidRDefault="003F52A8" w:rsidP="003F52A8">
      <w:pPr>
        <w:autoSpaceDE w:val="0"/>
        <w:autoSpaceDN w:val="0"/>
        <w:adjustRightInd w:val="0"/>
        <w:spacing w:line="240" w:lineRule="atLeast"/>
        <w:jc w:val="center"/>
        <w:rPr>
          <w:caps/>
          <w:color w:val="000000"/>
          <w:szCs w:val="22"/>
        </w:rPr>
      </w:pPr>
      <w:r>
        <w:rPr>
          <w:caps/>
          <w:color w:val="000000"/>
          <w:szCs w:val="22"/>
        </w:rPr>
        <w:t>FOR A</w:t>
      </w:r>
    </w:p>
    <w:p w:rsidR="003F52A8" w:rsidRPr="00B4577C" w:rsidRDefault="003F52A8" w:rsidP="003F52A8">
      <w:pPr>
        <w:autoSpaceDE w:val="0"/>
        <w:autoSpaceDN w:val="0"/>
        <w:adjustRightInd w:val="0"/>
        <w:spacing w:line="240" w:lineRule="atLeast"/>
        <w:jc w:val="center"/>
        <w:rPr>
          <w:b/>
          <w:caps/>
          <w:color w:val="000000"/>
          <w:szCs w:val="22"/>
        </w:rPr>
      </w:pPr>
    </w:p>
    <w:p w:rsidR="005A16CA" w:rsidRDefault="005A16CA" w:rsidP="003F52A8">
      <w:pPr>
        <w:autoSpaceDE w:val="0"/>
        <w:autoSpaceDN w:val="0"/>
        <w:adjustRightInd w:val="0"/>
        <w:spacing w:line="240" w:lineRule="atLeast"/>
        <w:jc w:val="center"/>
        <w:rPr>
          <w:color w:val="000000"/>
          <w:szCs w:val="22"/>
        </w:rPr>
      </w:pPr>
      <w:r>
        <w:rPr>
          <w:color w:val="000000"/>
          <w:szCs w:val="22"/>
        </w:rPr>
        <w:t>LIBERIA ELECTRICITY SYSTEM ENHANCEMENT PROJ</w:t>
      </w:r>
      <w:r w:rsidR="008B7268">
        <w:rPr>
          <w:color w:val="000000"/>
          <w:szCs w:val="22"/>
        </w:rPr>
        <w:t>E</w:t>
      </w:r>
      <w:r>
        <w:rPr>
          <w:color w:val="000000"/>
          <w:szCs w:val="22"/>
        </w:rPr>
        <w:t xml:space="preserve">CT </w:t>
      </w:r>
    </w:p>
    <w:p w:rsidR="005A16CA" w:rsidRDefault="005A16CA" w:rsidP="003F52A8">
      <w:pPr>
        <w:autoSpaceDE w:val="0"/>
        <w:autoSpaceDN w:val="0"/>
        <w:adjustRightInd w:val="0"/>
        <w:spacing w:line="240" w:lineRule="atLeast"/>
        <w:jc w:val="center"/>
        <w:rPr>
          <w:color w:val="000000"/>
          <w:szCs w:val="22"/>
        </w:rPr>
      </w:pPr>
    </w:p>
    <w:p w:rsidR="00C60697" w:rsidRDefault="00C60697" w:rsidP="003F52A8">
      <w:pPr>
        <w:autoSpaceDE w:val="0"/>
        <w:autoSpaceDN w:val="0"/>
        <w:adjustRightInd w:val="0"/>
        <w:spacing w:line="240" w:lineRule="atLeast"/>
        <w:jc w:val="center"/>
        <w:rPr>
          <w:color w:val="000000"/>
          <w:szCs w:val="22"/>
        </w:rPr>
      </w:pPr>
    </w:p>
    <w:p w:rsidR="003F52A8" w:rsidRDefault="0008000D" w:rsidP="003F52A8">
      <w:pPr>
        <w:autoSpaceDE w:val="0"/>
        <w:autoSpaceDN w:val="0"/>
        <w:adjustRightInd w:val="0"/>
        <w:spacing w:line="240" w:lineRule="atLeast"/>
        <w:jc w:val="center"/>
        <w:rPr>
          <w:color w:val="000000"/>
          <w:szCs w:val="22"/>
        </w:rPr>
      </w:pPr>
      <w:r>
        <w:rPr>
          <w:color w:val="000000"/>
          <w:szCs w:val="22"/>
        </w:rPr>
        <w:t xml:space="preserve">December </w:t>
      </w:r>
      <w:r w:rsidR="004C712D">
        <w:rPr>
          <w:color w:val="000000"/>
          <w:szCs w:val="22"/>
        </w:rPr>
        <w:t>3</w:t>
      </w:r>
      <w:r w:rsidR="00CC5786">
        <w:rPr>
          <w:color w:val="000000"/>
          <w:szCs w:val="22"/>
        </w:rPr>
        <w:t>,</w:t>
      </w:r>
      <w:r w:rsidR="00BC09E6">
        <w:rPr>
          <w:color w:val="000000"/>
          <w:szCs w:val="22"/>
        </w:rPr>
        <w:t xml:space="preserve"> 2011</w:t>
      </w:r>
    </w:p>
    <w:p w:rsidR="003F52A8" w:rsidRDefault="003F52A8" w:rsidP="003F52A8">
      <w:pPr>
        <w:autoSpaceDE w:val="0"/>
        <w:autoSpaceDN w:val="0"/>
        <w:adjustRightInd w:val="0"/>
        <w:spacing w:line="240" w:lineRule="atLeast"/>
        <w:jc w:val="center"/>
        <w:rPr>
          <w:color w:val="000000"/>
          <w:szCs w:val="22"/>
        </w:rPr>
      </w:pPr>
    </w:p>
    <w:p w:rsidR="00C60697" w:rsidRDefault="00C60697" w:rsidP="003F52A8">
      <w:pPr>
        <w:autoSpaceDE w:val="0"/>
        <w:autoSpaceDN w:val="0"/>
        <w:adjustRightInd w:val="0"/>
        <w:spacing w:line="240" w:lineRule="atLeast"/>
        <w:jc w:val="center"/>
        <w:rPr>
          <w:color w:val="000000"/>
          <w:szCs w:val="22"/>
        </w:rPr>
      </w:pPr>
    </w:p>
    <w:p w:rsidR="00C60697" w:rsidRDefault="00C60697" w:rsidP="003F52A8">
      <w:pPr>
        <w:autoSpaceDE w:val="0"/>
        <w:autoSpaceDN w:val="0"/>
        <w:adjustRightInd w:val="0"/>
        <w:spacing w:line="240" w:lineRule="atLeast"/>
        <w:jc w:val="center"/>
        <w:rPr>
          <w:color w:val="000000"/>
          <w:szCs w:val="22"/>
        </w:rPr>
      </w:pPr>
    </w:p>
    <w:p w:rsidR="005C72B4" w:rsidRPr="005C72B4" w:rsidRDefault="005C72B4" w:rsidP="00516094">
      <w:pPr>
        <w:autoSpaceDE w:val="0"/>
        <w:autoSpaceDN w:val="0"/>
        <w:adjustRightInd w:val="0"/>
        <w:spacing w:line="240" w:lineRule="atLeast"/>
        <w:ind w:firstLine="720"/>
        <w:rPr>
          <w:color w:val="000000"/>
          <w:szCs w:val="22"/>
        </w:rPr>
      </w:pPr>
      <w:r w:rsidRPr="005C72B4">
        <w:rPr>
          <w:color w:val="000000"/>
          <w:szCs w:val="22"/>
        </w:rPr>
        <w:t>Energy Unit</w:t>
      </w:r>
    </w:p>
    <w:p w:rsidR="005C72B4" w:rsidRPr="005C72B4" w:rsidRDefault="005C72B4" w:rsidP="00516094">
      <w:pPr>
        <w:autoSpaceDE w:val="0"/>
        <w:autoSpaceDN w:val="0"/>
        <w:adjustRightInd w:val="0"/>
        <w:spacing w:line="240" w:lineRule="atLeast"/>
        <w:ind w:firstLine="720"/>
        <w:rPr>
          <w:color w:val="000000"/>
          <w:szCs w:val="22"/>
        </w:rPr>
      </w:pPr>
      <w:r w:rsidRPr="005C72B4">
        <w:rPr>
          <w:color w:val="000000"/>
          <w:szCs w:val="22"/>
        </w:rPr>
        <w:t>Sustainable Development Department</w:t>
      </w:r>
    </w:p>
    <w:p w:rsidR="005C72B4" w:rsidRPr="005C72B4" w:rsidRDefault="005C72B4" w:rsidP="00516094">
      <w:pPr>
        <w:autoSpaceDE w:val="0"/>
        <w:autoSpaceDN w:val="0"/>
        <w:adjustRightInd w:val="0"/>
        <w:spacing w:line="240" w:lineRule="atLeast"/>
        <w:ind w:firstLine="720"/>
        <w:rPr>
          <w:color w:val="000000"/>
          <w:szCs w:val="22"/>
        </w:rPr>
      </w:pPr>
      <w:r w:rsidRPr="005C72B4">
        <w:rPr>
          <w:color w:val="000000"/>
          <w:szCs w:val="22"/>
        </w:rPr>
        <w:t>Africa Region</w:t>
      </w:r>
    </w:p>
    <w:p w:rsidR="003A33B6" w:rsidRDefault="003A33B6" w:rsidP="001F10B2">
      <w:pPr>
        <w:jc w:val="center"/>
        <w:rPr>
          <w:color w:val="000000"/>
          <w:szCs w:val="22"/>
        </w:rPr>
        <w:sectPr w:rsidR="003A33B6" w:rsidSect="003A33B6">
          <w:footerReference w:type="default" r:id="rId9"/>
          <w:footerReference w:type="first" r:id="rId10"/>
          <w:pgSz w:w="12240" w:h="15840" w:code="1"/>
          <w:pgMar w:top="720" w:right="1440" w:bottom="720" w:left="720" w:header="720" w:footer="720" w:gutter="0"/>
          <w:pgNumType w:fmt="lowerRoman" w:start="1"/>
          <w:cols w:space="720"/>
          <w:docGrid w:linePitch="360"/>
        </w:sectPr>
      </w:pPr>
    </w:p>
    <w:p w:rsidR="003F52A8" w:rsidRPr="001F10B2" w:rsidRDefault="003F52A8" w:rsidP="001F10B2">
      <w:pPr>
        <w:jc w:val="center"/>
      </w:pPr>
      <w:r>
        <w:rPr>
          <w:color w:val="000000"/>
          <w:szCs w:val="22"/>
        </w:rPr>
        <w:lastRenderedPageBreak/>
        <w:t>CURRENCY EQUIVALENTS</w:t>
      </w:r>
    </w:p>
    <w:p w:rsidR="003F52A8" w:rsidRDefault="003F52A8" w:rsidP="003F52A8">
      <w:pPr>
        <w:autoSpaceDE w:val="0"/>
        <w:autoSpaceDN w:val="0"/>
        <w:adjustRightInd w:val="0"/>
        <w:spacing w:line="240" w:lineRule="atLeast"/>
        <w:jc w:val="center"/>
        <w:rPr>
          <w:color w:val="000000"/>
          <w:szCs w:val="22"/>
        </w:rPr>
      </w:pPr>
    </w:p>
    <w:p w:rsidR="003F52A8" w:rsidRDefault="003F52A8" w:rsidP="003F52A8">
      <w:pPr>
        <w:autoSpaceDE w:val="0"/>
        <w:autoSpaceDN w:val="0"/>
        <w:adjustRightInd w:val="0"/>
        <w:spacing w:after="120" w:line="240" w:lineRule="atLeast"/>
        <w:jc w:val="center"/>
        <w:rPr>
          <w:color w:val="000000"/>
          <w:szCs w:val="22"/>
        </w:rPr>
      </w:pPr>
      <w:r>
        <w:rPr>
          <w:color w:val="000000"/>
          <w:szCs w:val="22"/>
        </w:rPr>
        <w:t xml:space="preserve">(Exchange Rate Effective </w:t>
      </w:r>
      <w:r w:rsidR="005A16CA">
        <w:rPr>
          <w:color w:val="000000"/>
          <w:szCs w:val="22"/>
        </w:rPr>
        <w:t>_____________</w:t>
      </w:r>
      <w:r>
        <w:rPr>
          <w:color w:val="000000"/>
          <w:szCs w:val="22"/>
        </w:rPr>
        <w:t>)</w:t>
      </w:r>
    </w:p>
    <w:tbl>
      <w:tblPr>
        <w:tblW w:w="0" w:type="auto"/>
        <w:tblInd w:w="622" w:type="dxa"/>
        <w:tblLook w:val="0000"/>
      </w:tblPr>
      <w:tblGrid>
        <w:gridCol w:w="4668"/>
        <w:gridCol w:w="360"/>
        <w:gridCol w:w="4548"/>
      </w:tblGrid>
      <w:tr w:rsidR="003F52A8" w:rsidTr="003F52A8">
        <w:tc>
          <w:tcPr>
            <w:tcW w:w="4668" w:type="dxa"/>
          </w:tcPr>
          <w:p w:rsidR="003F52A8" w:rsidRDefault="003F52A8" w:rsidP="003F52A8">
            <w:pPr>
              <w:autoSpaceDE w:val="0"/>
              <w:autoSpaceDN w:val="0"/>
              <w:adjustRightInd w:val="0"/>
              <w:spacing w:line="240" w:lineRule="atLeast"/>
              <w:jc w:val="right"/>
              <w:rPr>
                <w:color w:val="000000"/>
              </w:rPr>
            </w:pPr>
            <w:r>
              <w:rPr>
                <w:color w:val="000000"/>
                <w:szCs w:val="22"/>
              </w:rPr>
              <w:t>Currency Unit</w:t>
            </w:r>
          </w:p>
        </w:tc>
        <w:tc>
          <w:tcPr>
            <w:tcW w:w="360" w:type="dxa"/>
          </w:tcPr>
          <w:p w:rsidR="003F52A8" w:rsidRDefault="003F52A8" w:rsidP="003F52A8">
            <w:pPr>
              <w:autoSpaceDE w:val="0"/>
              <w:autoSpaceDN w:val="0"/>
              <w:adjustRightInd w:val="0"/>
              <w:spacing w:line="240" w:lineRule="atLeast"/>
              <w:rPr>
                <w:color w:val="000000"/>
              </w:rPr>
            </w:pPr>
            <w:r>
              <w:rPr>
                <w:color w:val="000000"/>
                <w:szCs w:val="22"/>
              </w:rPr>
              <w:t>=</w:t>
            </w:r>
          </w:p>
        </w:tc>
        <w:tc>
          <w:tcPr>
            <w:tcW w:w="4548" w:type="dxa"/>
          </w:tcPr>
          <w:p w:rsidR="003F52A8" w:rsidRDefault="005C72B4" w:rsidP="003F52A8">
            <w:pPr>
              <w:autoSpaceDE w:val="0"/>
              <w:autoSpaceDN w:val="0"/>
              <w:adjustRightInd w:val="0"/>
              <w:spacing w:line="240" w:lineRule="atLeast"/>
              <w:rPr>
                <w:color w:val="000000"/>
              </w:rPr>
            </w:pPr>
            <w:r w:rsidRPr="005C72B4">
              <w:rPr>
                <w:color w:val="000000"/>
              </w:rPr>
              <w:t>Liberian Dollar</w:t>
            </w:r>
          </w:p>
        </w:tc>
      </w:tr>
      <w:tr w:rsidR="003F52A8" w:rsidTr="003F52A8">
        <w:tc>
          <w:tcPr>
            <w:tcW w:w="4668" w:type="dxa"/>
          </w:tcPr>
          <w:p w:rsidR="003F52A8" w:rsidRPr="000313BC" w:rsidRDefault="00AC6B68" w:rsidP="003F52A8">
            <w:pPr>
              <w:autoSpaceDE w:val="0"/>
              <w:autoSpaceDN w:val="0"/>
              <w:adjustRightInd w:val="0"/>
              <w:spacing w:line="240" w:lineRule="atLeast"/>
              <w:jc w:val="right"/>
            </w:pPr>
            <w:r w:rsidRPr="000313BC">
              <w:t>LD72</w:t>
            </w:r>
          </w:p>
        </w:tc>
        <w:tc>
          <w:tcPr>
            <w:tcW w:w="360" w:type="dxa"/>
          </w:tcPr>
          <w:p w:rsidR="003F52A8" w:rsidRPr="000313BC" w:rsidRDefault="003F52A8" w:rsidP="003F52A8">
            <w:pPr>
              <w:autoSpaceDE w:val="0"/>
              <w:autoSpaceDN w:val="0"/>
              <w:adjustRightInd w:val="0"/>
              <w:spacing w:line="240" w:lineRule="atLeast"/>
            </w:pPr>
            <w:r w:rsidRPr="000313BC">
              <w:rPr>
                <w:szCs w:val="22"/>
              </w:rPr>
              <w:t>=</w:t>
            </w:r>
          </w:p>
        </w:tc>
        <w:tc>
          <w:tcPr>
            <w:tcW w:w="4548" w:type="dxa"/>
          </w:tcPr>
          <w:p w:rsidR="003F52A8" w:rsidRPr="000313BC" w:rsidRDefault="003F52A8" w:rsidP="003F52A8">
            <w:pPr>
              <w:autoSpaceDE w:val="0"/>
              <w:autoSpaceDN w:val="0"/>
              <w:adjustRightInd w:val="0"/>
              <w:spacing w:line="240" w:lineRule="atLeast"/>
            </w:pPr>
            <w:r w:rsidRPr="000313BC">
              <w:rPr>
                <w:szCs w:val="22"/>
              </w:rPr>
              <w:t>US$1</w:t>
            </w:r>
          </w:p>
        </w:tc>
      </w:tr>
      <w:tr w:rsidR="003F52A8" w:rsidTr="003F52A8">
        <w:tc>
          <w:tcPr>
            <w:tcW w:w="4668" w:type="dxa"/>
          </w:tcPr>
          <w:p w:rsidR="003F52A8" w:rsidRPr="000313BC" w:rsidRDefault="008A6C9F" w:rsidP="003F52A8">
            <w:pPr>
              <w:autoSpaceDE w:val="0"/>
              <w:autoSpaceDN w:val="0"/>
              <w:adjustRightInd w:val="0"/>
              <w:spacing w:line="240" w:lineRule="atLeast"/>
              <w:jc w:val="right"/>
            </w:pPr>
            <w:r w:rsidRPr="000313BC">
              <w:rPr>
                <w:szCs w:val="22"/>
              </w:rPr>
              <w:t>US$</w:t>
            </w:r>
          </w:p>
        </w:tc>
        <w:tc>
          <w:tcPr>
            <w:tcW w:w="360" w:type="dxa"/>
          </w:tcPr>
          <w:p w:rsidR="003F52A8" w:rsidRPr="000313BC" w:rsidRDefault="008A6C9F" w:rsidP="003F52A8">
            <w:pPr>
              <w:autoSpaceDE w:val="0"/>
              <w:autoSpaceDN w:val="0"/>
              <w:adjustRightInd w:val="0"/>
              <w:spacing w:line="240" w:lineRule="atLeast"/>
            </w:pPr>
            <w:r w:rsidRPr="000313BC">
              <w:rPr>
                <w:szCs w:val="22"/>
              </w:rPr>
              <w:t>=</w:t>
            </w:r>
          </w:p>
        </w:tc>
        <w:tc>
          <w:tcPr>
            <w:tcW w:w="4548" w:type="dxa"/>
          </w:tcPr>
          <w:p w:rsidR="003F52A8" w:rsidRPr="000313BC" w:rsidRDefault="008A6C9F" w:rsidP="003F52A8">
            <w:pPr>
              <w:autoSpaceDE w:val="0"/>
              <w:autoSpaceDN w:val="0"/>
              <w:adjustRightInd w:val="0"/>
              <w:spacing w:line="240" w:lineRule="atLeast"/>
            </w:pPr>
            <w:r w:rsidRPr="000313BC">
              <w:rPr>
                <w:szCs w:val="22"/>
              </w:rPr>
              <w:t>SDR 1</w:t>
            </w:r>
          </w:p>
        </w:tc>
      </w:tr>
    </w:tbl>
    <w:p w:rsidR="003F52A8" w:rsidRDefault="003F52A8" w:rsidP="003F52A8">
      <w:pPr>
        <w:autoSpaceDE w:val="0"/>
        <w:autoSpaceDN w:val="0"/>
        <w:adjustRightInd w:val="0"/>
        <w:spacing w:line="240" w:lineRule="atLeast"/>
        <w:rPr>
          <w:color w:val="000000"/>
          <w:szCs w:val="22"/>
        </w:rPr>
      </w:pPr>
    </w:p>
    <w:p w:rsidR="003F52A8" w:rsidRDefault="003F52A8" w:rsidP="003F52A8">
      <w:pPr>
        <w:autoSpaceDE w:val="0"/>
        <w:autoSpaceDN w:val="0"/>
        <w:adjustRightInd w:val="0"/>
        <w:spacing w:line="240" w:lineRule="atLeast"/>
        <w:jc w:val="center"/>
        <w:rPr>
          <w:color w:val="000000"/>
          <w:szCs w:val="22"/>
        </w:rPr>
      </w:pPr>
      <w:r>
        <w:rPr>
          <w:color w:val="000000"/>
          <w:szCs w:val="22"/>
        </w:rPr>
        <w:t>FISCAL YEAR</w:t>
      </w:r>
    </w:p>
    <w:tbl>
      <w:tblPr>
        <w:tblW w:w="0" w:type="auto"/>
        <w:tblInd w:w="622" w:type="dxa"/>
        <w:tblLook w:val="0000"/>
      </w:tblPr>
      <w:tblGrid>
        <w:gridCol w:w="4548"/>
        <w:gridCol w:w="600"/>
        <w:gridCol w:w="4428"/>
      </w:tblGrid>
      <w:tr w:rsidR="003F52A8" w:rsidTr="003F52A8">
        <w:tc>
          <w:tcPr>
            <w:tcW w:w="4548" w:type="dxa"/>
          </w:tcPr>
          <w:p w:rsidR="003F52A8" w:rsidRDefault="0008000D" w:rsidP="003F52A8">
            <w:pPr>
              <w:autoSpaceDE w:val="0"/>
              <w:autoSpaceDN w:val="0"/>
              <w:adjustRightInd w:val="0"/>
              <w:spacing w:line="240" w:lineRule="atLeast"/>
              <w:jc w:val="right"/>
              <w:rPr>
                <w:color w:val="000000"/>
              </w:rPr>
            </w:pPr>
            <w:r>
              <w:rPr>
                <w:color w:val="000000"/>
                <w:szCs w:val="22"/>
              </w:rPr>
              <w:t>July 1</w:t>
            </w:r>
          </w:p>
        </w:tc>
        <w:tc>
          <w:tcPr>
            <w:tcW w:w="600" w:type="dxa"/>
          </w:tcPr>
          <w:p w:rsidR="003F52A8" w:rsidRDefault="003F52A8" w:rsidP="003F52A8">
            <w:pPr>
              <w:autoSpaceDE w:val="0"/>
              <w:autoSpaceDN w:val="0"/>
              <w:adjustRightInd w:val="0"/>
              <w:spacing w:line="240" w:lineRule="atLeast"/>
              <w:jc w:val="center"/>
              <w:rPr>
                <w:color w:val="000000"/>
              </w:rPr>
            </w:pPr>
            <w:r>
              <w:t>–</w:t>
            </w:r>
          </w:p>
        </w:tc>
        <w:tc>
          <w:tcPr>
            <w:tcW w:w="4428" w:type="dxa"/>
          </w:tcPr>
          <w:p w:rsidR="003F52A8" w:rsidRDefault="0008000D" w:rsidP="003F52A8">
            <w:pPr>
              <w:autoSpaceDE w:val="0"/>
              <w:autoSpaceDN w:val="0"/>
              <w:adjustRightInd w:val="0"/>
              <w:spacing w:line="240" w:lineRule="atLeast"/>
              <w:rPr>
                <w:color w:val="000000"/>
              </w:rPr>
            </w:pPr>
            <w:r>
              <w:rPr>
                <w:color w:val="000000"/>
                <w:szCs w:val="22"/>
              </w:rPr>
              <w:t>June 30</w:t>
            </w:r>
          </w:p>
        </w:tc>
      </w:tr>
    </w:tbl>
    <w:p w:rsidR="003F52A8" w:rsidRDefault="003F52A8" w:rsidP="003F52A8">
      <w:pPr>
        <w:autoSpaceDE w:val="0"/>
        <w:autoSpaceDN w:val="0"/>
        <w:adjustRightInd w:val="0"/>
        <w:spacing w:line="240" w:lineRule="atLeast"/>
        <w:rPr>
          <w:color w:val="000000"/>
          <w:szCs w:val="22"/>
        </w:rPr>
      </w:pPr>
    </w:p>
    <w:p w:rsidR="003F52A8" w:rsidRDefault="003F52A8" w:rsidP="003F52A8">
      <w:pPr>
        <w:jc w:val="center"/>
      </w:pPr>
      <w:r>
        <w:rPr>
          <w:color w:val="000000"/>
          <w:szCs w:val="22"/>
        </w:rPr>
        <w:t>ABBREVIATIONS AND ACRONYMS</w:t>
      </w:r>
    </w:p>
    <w:tbl>
      <w:tblPr>
        <w:tblW w:w="0" w:type="auto"/>
        <w:tblInd w:w="622" w:type="dxa"/>
        <w:tblLook w:val="0000"/>
      </w:tblPr>
      <w:tblGrid>
        <w:gridCol w:w="1196"/>
        <w:gridCol w:w="8380"/>
      </w:tblGrid>
      <w:tr w:rsidR="003F52A8" w:rsidTr="00AC5342">
        <w:tc>
          <w:tcPr>
            <w:tcW w:w="1196" w:type="dxa"/>
          </w:tcPr>
          <w:p w:rsidR="003F52A8" w:rsidRDefault="003F52A8" w:rsidP="003F52A8"/>
        </w:tc>
        <w:tc>
          <w:tcPr>
            <w:tcW w:w="8380" w:type="dxa"/>
          </w:tcPr>
          <w:p w:rsidR="003F52A8" w:rsidRDefault="003F52A8" w:rsidP="003F52A8"/>
        </w:tc>
      </w:tr>
      <w:tr w:rsidR="003F52A8" w:rsidTr="00AC5342">
        <w:tc>
          <w:tcPr>
            <w:tcW w:w="1196" w:type="dxa"/>
          </w:tcPr>
          <w:p w:rsidR="003F52A8" w:rsidRDefault="003F52A8" w:rsidP="003F52A8"/>
        </w:tc>
        <w:tc>
          <w:tcPr>
            <w:tcW w:w="8380" w:type="dxa"/>
          </w:tcPr>
          <w:tbl>
            <w:tblPr>
              <w:tblW w:w="0" w:type="auto"/>
              <w:tblLook w:val="04A0"/>
            </w:tblPr>
            <w:tblGrid>
              <w:gridCol w:w="1476"/>
              <w:gridCol w:w="6576"/>
            </w:tblGrid>
            <w:tr w:rsidR="00AC5342" w:rsidRPr="00D77AD5" w:rsidTr="00AC5342">
              <w:tc>
                <w:tcPr>
                  <w:tcW w:w="1476" w:type="dxa"/>
                </w:tcPr>
                <w:p w:rsidR="00AC5342" w:rsidRPr="00D77AD5" w:rsidRDefault="00AC5342" w:rsidP="00501BC4">
                  <w:proofErr w:type="spellStart"/>
                  <w:r w:rsidRPr="00D77AD5">
                    <w:t>AfDB</w:t>
                  </w:r>
                  <w:proofErr w:type="spellEnd"/>
                </w:p>
              </w:tc>
              <w:tc>
                <w:tcPr>
                  <w:tcW w:w="6576" w:type="dxa"/>
                </w:tcPr>
                <w:p w:rsidR="00AC5342" w:rsidRPr="00D77AD5" w:rsidRDefault="00AC5342" w:rsidP="00501BC4">
                  <w:r w:rsidRPr="00D77AD5">
                    <w:t>African Development Bank</w:t>
                  </w:r>
                </w:p>
              </w:tc>
            </w:tr>
            <w:tr w:rsidR="00AC5342" w:rsidRPr="00D77AD5" w:rsidTr="00AC5342">
              <w:tc>
                <w:tcPr>
                  <w:tcW w:w="1476" w:type="dxa"/>
                </w:tcPr>
                <w:p w:rsidR="00AC5342" w:rsidRPr="00D77AD5" w:rsidRDefault="00AC5342" w:rsidP="00501BC4">
                  <w:r w:rsidRPr="00D77AD5">
                    <w:t>AFREA</w:t>
                  </w:r>
                </w:p>
              </w:tc>
              <w:tc>
                <w:tcPr>
                  <w:tcW w:w="6576" w:type="dxa"/>
                </w:tcPr>
                <w:p w:rsidR="00AC5342" w:rsidRPr="00D77AD5" w:rsidRDefault="00AC5342" w:rsidP="00501BC4">
                  <w:r w:rsidRPr="00D77AD5">
                    <w:t>Africa Renewable Energy Access trust fund</w:t>
                  </w:r>
                </w:p>
              </w:tc>
            </w:tr>
            <w:tr w:rsidR="00AC5342" w:rsidRPr="00D77AD5" w:rsidTr="00AC5342">
              <w:tc>
                <w:tcPr>
                  <w:tcW w:w="1476" w:type="dxa"/>
                </w:tcPr>
                <w:p w:rsidR="00AC5342" w:rsidRPr="00D77AD5" w:rsidRDefault="00AC5342" w:rsidP="00501BC4">
                  <w:r>
                    <w:t>AWPB</w:t>
                  </w:r>
                </w:p>
              </w:tc>
              <w:tc>
                <w:tcPr>
                  <w:tcW w:w="6576" w:type="dxa"/>
                </w:tcPr>
                <w:p w:rsidR="00AC5342" w:rsidRPr="00D77AD5" w:rsidRDefault="00AC5342" w:rsidP="00501BC4">
                  <w:r>
                    <w:t>Annual Work Plan and Budget</w:t>
                  </w:r>
                </w:p>
              </w:tc>
            </w:tr>
            <w:tr w:rsidR="00AC5342" w:rsidRPr="00D77AD5" w:rsidTr="00AC5342">
              <w:tc>
                <w:tcPr>
                  <w:tcW w:w="1476" w:type="dxa"/>
                </w:tcPr>
                <w:p w:rsidR="00AC5342" w:rsidRPr="00D77AD5" w:rsidRDefault="00AC5342" w:rsidP="00501BC4">
                  <w:r w:rsidRPr="00D77AD5">
                    <w:t>BE</w:t>
                  </w:r>
                </w:p>
              </w:tc>
              <w:tc>
                <w:tcPr>
                  <w:tcW w:w="6576" w:type="dxa"/>
                </w:tcPr>
                <w:p w:rsidR="00AC5342" w:rsidRPr="00D77AD5" w:rsidRDefault="00AC5342" w:rsidP="00501BC4">
                  <w:r w:rsidRPr="00D77AD5">
                    <w:t>Bank Executed</w:t>
                  </w:r>
                </w:p>
              </w:tc>
            </w:tr>
            <w:tr w:rsidR="00AC5342" w:rsidRPr="00D77AD5" w:rsidTr="00AC5342">
              <w:tc>
                <w:tcPr>
                  <w:tcW w:w="1476" w:type="dxa"/>
                </w:tcPr>
                <w:p w:rsidR="00AC5342" w:rsidRPr="00D77AD5" w:rsidRDefault="00AC5342" w:rsidP="00501BC4">
                  <w:r w:rsidRPr="00D77AD5">
                    <w:t>BMC</w:t>
                  </w:r>
                </w:p>
              </w:tc>
              <w:tc>
                <w:tcPr>
                  <w:tcW w:w="6576" w:type="dxa"/>
                </w:tcPr>
                <w:p w:rsidR="00AC5342" w:rsidRPr="00D77AD5" w:rsidRDefault="00AC5342" w:rsidP="00501BC4">
                  <w:r w:rsidRPr="00D77AD5">
                    <w:t>Bong Mining Company</w:t>
                  </w:r>
                </w:p>
              </w:tc>
            </w:tr>
            <w:tr w:rsidR="00AC5342" w:rsidRPr="00D77AD5" w:rsidTr="00AC5342">
              <w:tc>
                <w:tcPr>
                  <w:tcW w:w="1476" w:type="dxa"/>
                </w:tcPr>
                <w:p w:rsidR="00AC5342" w:rsidRPr="00D77AD5" w:rsidRDefault="00AC5342" w:rsidP="00501BC4">
                  <w:r w:rsidRPr="00D77AD5">
                    <w:t>CAS</w:t>
                  </w:r>
                </w:p>
              </w:tc>
              <w:tc>
                <w:tcPr>
                  <w:tcW w:w="6576" w:type="dxa"/>
                </w:tcPr>
                <w:p w:rsidR="00AC5342" w:rsidRPr="00D77AD5" w:rsidRDefault="00AC5342" w:rsidP="00501BC4">
                  <w:r w:rsidRPr="00D77AD5">
                    <w:t xml:space="preserve">Country Assistance Strategy </w:t>
                  </w:r>
                </w:p>
              </w:tc>
            </w:tr>
            <w:tr w:rsidR="00AC5342" w:rsidRPr="00D77AD5" w:rsidTr="00AC5342">
              <w:tc>
                <w:tcPr>
                  <w:tcW w:w="1476" w:type="dxa"/>
                </w:tcPr>
                <w:p w:rsidR="00AC5342" w:rsidRPr="00D77AD5" w:rsidRDefault="00AC5342" w:rsidP="00501BC4">
                  <w:r w:rsidRPr="00D77AD5">
                    <w:t>CFL</w:t>
                  </w:r>
                </w:p>
              </w:tc>
              <w:tc>
                <w:tcPr>
                  <w:tcW w:w="6576" w:type="dxa"/>
                </w:tcPr>
                <w:p w:rsidR="00AC5342" w:rsidRPr="00D77AD5" w:rsidRDefault="00AC5342" w:rsidP="00501BC4">
                  <w:r w:rsidRPr="00D77AD5">
                    <w:t>Compact Fluorescent Light</w:t>
                  </w:r>
                </w:p>
              </w:tc>
            </w:tr>
            <w:tr w:rsidR="00AC5342" w:rsidRPr="00D77AD5" w:rsidTr="00AC5342">
              <w:tc>
                <w:tcPr>
                  <w:tcW w:w="1476" w:type="dxa"/>
                </w:tcPr>
                <w:p w:rsidR="00AC5342" w:rsidRPr="00D77AD5" w:rsidRDefault="00AC5342" w:rsidP="00501BC4">
                  <w:r w:rsidRPr="00D77AD5">
                    <w:t>CFO</w:t>
                  </w:r>
                </w:p>
              </w:tc>
              <w:tc>
                <w:tcPr>
                  <w:tcW w:w="6576" w:type="dxa"/>
                </w:tcPr>
                <w:p w:rsidR="00AC5342" w:rsidRPr="00D77AD5" w:rsidRDefault="00AC5342" w:rsidP="00501BC4">
                  <w:r w:rsidRPr="00D77AD5">
                    <w:t xml:space="preserve">Chief Financial Officer </w:t>
                  </w:r>
                </w:p>
              </w:tc>
            </w:tr>
            <w:tr w:rsidR="00AC5342" w:rsidRPr="002E1A98" w:rsidTr="00AC5342">
              <w:tc>
                <w:tcPr>
                  <w:tcW w:w="1476" w:type="dxa"/>
                </w:tcPr>
                <w:p w:rsidR="00AC5342" w:rsidRPr="00D77AD5" w:rsidRDefault="00AC5342" w:rsidP="00501BC4">
                  <w:r w:rsidRPr="00D77AD5">
                    <w:t>CLSG</w:t>
                  </w:r>
                </w:p>
              </w:tc>
              <w:tc>
                <w:tcPr>
                  <w:tcW w:w="6576" w:type="dxa"/>
                </w:tcPr>
                <w:p w:rsidR="00AC5342" w:rsidRPr="0008271A" w:rsidRDefault="00AC5342" w:rsidP="00501BC4">
                  <w:pPr>
                    <w:rPr>
                      <w:lang w:val="es-MX"/>
                    </w:rPr>
                  </w:pPr>
                  <w:proofErr w:type="spellStart"/>
                  <w:r w:rsidRPr="0008271A">
                    <w:rPr>
                      <w:lang w:val="es-MX"/>
                    </w:rPr>
                    <w:t>Côte</w:t>
                  </w:r>
                  <w:proofErr w:type="spellEnd"/>
                  <w:r w:rsidRPr="0008271A">
                    <w:rPr>
                      <w:lang w:val="es-MX"/>
                    </w:rPr>
                    <w:t xml:space="preserve"> </w:t>
                  </w:r>
                  <w:proofErr w:type="spellStart"/>
                  <w:r w:rsidRPr="0008271A">
                    <w:rPr>
                      <w:lang w:val="es-MX"/>
                    </w:rPr>
                    <w:t>d’Ivoire</w:t>
                  </w:r>
                  <w:proofErr w:type="spellEnd"/>
                  <w:r w:rsidRPr="0008271A">
                    <w:rPr>
                      <w:lang w:val="es-MX"/>
                    </w:rPr>
                    <w:t xml:space="preserve">, Liberia, Sierra </w:t>
                  </w:r>
                  <w:proofErr w:type="spellStart"/>
                  <w:r w:rsidRPr="0008271A">
                    <w:rPr>
                      <w:lang w:val="es-MX"/>
                    </w:rPr>
                    <w:t>Leone</w:t>
                  </w:r>
                  <w:proofErr w:type="spellEnd"/>
                  <w:r w:rsidRPr="0008271A">
                    <w:rPr>
                      <w:lang w:val="es-MX"/>
                    </w:rPr>
                    <w:t>, and Guinea</w:t>
                  </w:r>
                </w:p>
              </w:tc>
            </w:tr>
            <w:tr w:rsidR="00AC5342" w:rsidRPr="00D77AD5" w:rsidTr="00AC5342">
              <w:tc>
                <w:tcPr>
                  <w:tcW w:w="1476" w:type="dxa"/>
                </w:tcPr>
                <w:p w:rsidR="00AC5342" w:rsidRPr="00D77AD5" w:rsidRDefault="00AC5342" w:rsidP="00501BC4">
                  <w:r w:rsidRPr="00D77AD5">
                    <w:t>COUF</w:t>
                  </w:r>
                </w:p>
              </w:tc>
              <w:tc>
                <w:tcPr>
                  <w:tcW w:w="6576" w:type="dxa"/>
                </w:tcPr>
                <w:p w:rsidR="00AC5342" w:rsidRPr="00D77AD5" w:rsidRDefault="00AC5342" w:rsidP="00501BC4">
                  <w:r w:rsidRPr="00D77AD5">
                    <w:t>Crude Offshore Unloading Facility</w:t>
                  </w:r>
                </w:p>
              </w:tc>
            </w:tr>
            <w:tr w:rsidR="00AC5342" w:rsidRPr="00D77AD5" w:rsidTr="00AC5342">
              <w:tc>
                <w:tcPr>
                  <w:tcW w:w="1476" w:type="dxa"/>
                </w:tcPr>
                <w:p w:rsidR="00AC5342" w:rsidRPr="00D77AD5" w:rsidRDefault="00AC5342" w:rsidP="00501BC4">
                  <w:r w:rsidRPr="00D77AD5">
                    <w:t>CST</w:t>
                  </w:r>
                </w:p>
              </w:tc>
              <w:tc>
                <w:tcPr>
                  <w:tcW w:w="6576" w:type="dxa"/>
                </w:tcPr>
                <w:p w:rsidR="00AC5342" w:rsidRPr="00D77AD5" w:rsidRDefault="00AC5342" w:rsidP="00501BC4">
                  <w:r w:rsidRPr="00D77AD5">
                    <w:t>Crude Storage Terminal</w:t>
                  </w:r>
                </w:p>
              </w:tc>
            </w:tr>
            <w:tr w:rsidR="00AC5342" w:rsidRPr="00D77AD5" w:rsidTr="00AC5342">
              <w:tc>
                <w:tcPr>
                  <w:tcW w:w="1476" w:type="dxa"/>
                </w:tcPr>
                <w:p w:rsidR="00AC5342" w:rsidRPr="00D77AD5" w:rsidRDefault="00AC5342" w:rsidP="00501BC4">
                  <w:r w:rsidRPr="00D77AD5">
                    <w:t>DA</w:t>
                  </w:r>
                </w:p>
              </w:tc>
              <w:tc>
                <w:tcPr>
                  <w:tcW w:w="6576" w:type="dxa"/>
                </w:tcPr>
                <w:p w:rsidR="00AC5342" w:rsidRPr="00D77AD5" w:rsidRDefault="00AC5342" w:rsidP="00501BC4">
                  <w:r w:rsidRPr="00D77AD5">
                    <w:t>Designated Account</w:t>
                  </w:r>
                </w:p>
              </w:tc>
            </w:tr>
            <w:tr w:rsidR="00AC5342" w:rsidRPr="00D77AD5" w:rsidTr="00AC5342">
              <w:tc>
                <w:tcPr>
                  <w:tcW w:w="1476" w:type="dxa"/>
                </w:tcPr>
                <w:p w:rsidR="00AC5342" w:rsidRPr="00D77AD5" w:rsidRDefault="00AC5342" w:rsidP="00501BC4">
                  <w:r>
                    <w:t>EBIT</w:t>
                  </w:r>
                </w:p>
              </w:tc>
              <w:tc>
                <w:tcPr>
                  <w:tcW w:w="6576" w:type="dxa"/>
                </w:tcPr>
                <w:p w:rsidR="00AC5342" w:rsidRPr="00D77AD5" w:rsidRDefault="00AC5342" w:rsidP="00501BC4">
                  <w:r>
                    <w:t>Earnings Before Interest and Tax</w:t>
                  </w:r>
                </w:p>
              </w:tc>
            </w:tr>
            <w:tr w:rsidR="00AC5342" w:rsidRPr="00D77AD5" w:rsidTr="00AC5342">
              <w:tc>
                <w:tcPr>
                  <w:tcW w:w="1476" w:type="dxa"/>
                </w:tcPr>
                <w:p w:rsidR="00AC5342" w:rsidRPr="00D77AD5" w:rsidRDefault="00AC5342" w:rsidP="00501BC4">
                  <w:r w:rsidRPr="00D77AD5">
                    <w:t>EBITDA</w:t>
                  </w:r>
                </w:p>
              </w:tc>
              <w:tc>
                <w:tcPr>
                  <w:tcW w:w="6576" w:type="dxa"/>
                </w:tcPr>
                <w:p w:rsidR="00AC5342" w:rsidRPr="00D77AD5" w:rsidRDefault="00AC5342" w:rsidP="00501BC4">
                  <w:r w:rsidRPr="00D77AD5">
                    <w:t>Earnings Before Interest, Taxes, Depreciation and Amortization</w:t>
                  </w:r>
                </w:p>
              </w:tc>
            </w:tr>
            <w:tr w:rsidR="00AC5342" w:rsidRPr="00D77AD5" w:rsidTr="00AC5342">
              <w:tc>
                <w:tcPr>
                  <w:tcW w:w="1476" w:type="dxa"/>
                </w:tcPr>
                <w:p w:rsidR="00AC5342" w:rsidRPr="00D77AD5" w:rsidRDefault="00AC5342" w:rsidP="00501BC4">
                  <w:r w:rsidRPr="00D77AD5">
                    <w:t>ECOWAS</w:t>
                  </w:r>
                </w:p>
              </w:tc>
              <w:tc>
                <w:tcPr>
                  <w:tcW w:w="6576" w:type="dxa"/>
                </w:tcPr>
                <w:p w:rsidR="00AC5342" w:rsidRPr="00D77AD5" w:rsidRDefault="00AC5342" w:rsidP="00501BC4">
                  <w:r w:rsidRPr="00D77AD5">
                    <w:t>Economic Community of West African States</w:t>
                  </w:r>
                </w:p>
              </w:tc>
            </w:tr>
            <w:tr w:rsidR="00AC5342" w:rsidRPr="00D77AD5" w:rsidTr="00AC5342">
              <w:tc>
                <w:tcPr>
                  <w:tcW w:w="1476" w:type="dxa"/>
                </w:tcPr>
                <w:p w:rsidR="00AC5342" w:rsidRPr="00D77AD5" w:rsidRDefault="00AC5342" w:rsidP="00501BC4">
                  <w:r>
                    <w:t>EIA</w:t>
                  </w:r>
                </w:p>
              </w:tc>
              <w:tc>
                <w:tcPr>
                  <w:tcW w:w="6576" w:type="dxa"/>
                </w:tcPr>
                <w:p w:rsidR="00AC5342" w:rsidRPr="00D77AD5" w:rsidRDefault="00AC5342" w:rsidP="00501BC4">
                  <w:r>
                    <w:t xml:space="preserve">Environmental Impact Assessment </w:t>
                  </w:r>
                </w:p>
              </w:tc>
            </w:tr>
            <w:tr w:rsidR="00AC5342" w:rsidRPr="00D77AD5" w:rsidTr="00AC5342">
              <w:tc>
                <w:tcPr>
                  <w:tcW w:w="1476" w:type="dxa"/>
                </w:tcPr>
                <w:p w:rsidR="00AC5342" w:rsidRPr="00D77AD5" w:rsidRDefault="00AC5342" w:rsidP="00501BC4">
                  <w:r w:rsidRPr="00D77AD5">
                    <w:t>EIB</w:t>
                  </w:r>
                </w:p>
              </w:tc>
              <w:tc>
                <w:tcPr>
                  <w:tcW w:w="6576" w:type="dxa"/>
                </w:tcPr>
                <w:p w:rsidR="00AC5342" w:rsidRPr="00D77AD5" w:rsidRDefault="00AC5342" w:rsidP="00501BC4">
                  <w:r w:rsidRPr="00D77AD5">
                    <w:t>European Investment Bank</w:t>
                  </w:r>
                </w:p>
              </w:tc>
            </w:tr>
            <w:tr w:rsidR="00AC5342" w:rsidRPr="00D77AD5" w:rsidTr="00AC5342">
              <w:tc>
                <w:tcPr>
                  <w:tcW w:w="1476" w:type="dxa"/>
                </w:tcPr>
                <w:p w:rsidR="00AC5342" w:rsidRPr="00D77AD5" w:rsidRDefault="00AC5342" w:rsidP="00501BC4">
                  <w:r w:rsidRPr="00D77AD5">
                    <w:t>EIRR</w:t>
                  </w:r>
                </w:p>
              </w:tc>
              <w:tc>
                <w:tcPr>
                  <w:tcW w:w="6576" w:type="dxa"/>
                </w:tcPr>
                <w:p w:rsidR="00AC5342" w:rsidRPr="00D77AD5" w:rsidRDefault="00AC5342" w:rsidP="00501BC4">
                  <w:r w:rsidRPr="00D77AD5">
                    <w:t>Economic Internal Rate of Return</w:t>
                  </w:r>
                </w:p>
              </w:tc>
            </w:tr>
            <w:tr w:rsidR="00AC5342" w:rsidRPr="00D77AD5" w:rsidTr="00AC5342">
              <w:tc>
                <w:tcPr>
                  <w:tcW w:w="1476" w:type="dxa"/>
                </w:tcPr>
                <w:p w:rsidR="00AC5342" w:rsidRPr="00D77AD5" w:rsidRDefault="00AC5342" w:rsidP="00501BC4">
                  <w:r>
                    <w:t>EITI</w:t>
                  </w:r>
                </w:p>
              </w:tc>
              <w:tc>
                <w:tcPr>
                  <w:tcW w:w="6576" w:type="dxa"/>
                </w:tcPr>
                <w:p w:rsidR="00AC5342" w:rsidRPr="00D77AD5" w:rsidRDefault="00AC5342" w:rsidP="00501BC4">
                  <w:r>
                    <w:t>Extractive Industries Transparency Initiative</w:t>
                  </w:r>
                </w:p>
              </w:tc>
            </w:tr>
            <w:tr w:rsidR="00AC5342" w:rsidRPr="00D77AD5" w:rsidTr="00AC5342">
              <w:tc>
                <w:tcPr>
                  <w:tcW w:w="1476" w:type="dxa"/>
                </w:tcPr>
                <w:p w:rsidR="00AC5342" w:rsidRPr="00D77AD5" w:rsidRDefault="00AC5342" w:rsidP="00501BC4">
                  <w:r w:rsidRPr="00D77AD5">
                    <w:t>EPA</w:t>
                  </w:r>
                </w:p>
              </w:tc>
              <w:tc>
                <w:tcPr>
                  <w:tcW w:w="6576" w:type="dxa"/>
                </w:tcPr>
                <w:p w:rsidR="00AC5342" w:rsidRPr="00D77AD5" w:rsidRDefault="00AC5342" w:rsidP="00501BC4">
                  <w:r>
                    <w:t>Environmental Protection Agency</w:t>
                  </w:r>
                </w:p>
              </w:tc>
            </w:tr>
            <w:tr w:rsidR="00AC5342" w:rsidRPr="00D77AD5" w:rsidTr="00AC5342">
              <w:tc>
                <w:tcPr>
                  <w:tcW w:w="1476" w:type="dxa"/>
                </w:tcPr>
                <w:p w:rsidR="00AC5342" w:rsidRPr="00D77AD5" w:rsidRDefault="00AC5342" w:rsidP="00501BC4">
                  <w:r w:rsidRPr="00D77AD5">
                    <w:t>ERL</w:t>
                  </w:r>
                </w:p>
              </w:tc>
              <w:tc>
                <w:tcPr>
                  <w:tcW w:w="6576" w:type="dxa"/>
                </w:tcPr>
                <w:p w:rsidR="00AC5342" w:rsidRPr="00D77AD5" w:rsidRDefault="00AC5342" w:rsidP="00501BC4">
                  <w:r w:rsidRPr="00D77AD5">
                    <w:t>Emergency Recovery Loan</w:t>
                  </w:r>
                </w:p>
              </w:tc>
            </w:tr>
            <w:tr w:rsidR="00AC5342" w:rsidRPr="00D77AD5" w:rsidTr="00AC5342">
              <w:tc>
                <w:tcPr>
                  <w:tcW w:w="1476" w:type="dxa"/>
                </w:tcPr>
                <w:p w:rsidR="00AC5342" w:rsidRPr="00D77AD5" w:rsidRDefault="00AC5342" w:rsidP="00501BC4">
                  <w:r w:rsidRPr="00D77AD5">
                    <w:t>ESIA</w:t>
                  </w:r>
                </w:p>
              </w:tc>
              <w:tc>
                <w:tcPr>
                  <w:tcW w:w="6576" w:type="dxa"/>
                </w:tcPr>
                <w:p w:rsidR="00AC5342" w:rsidRPr="00D77AD5" w:rsidRDefault="00AC5342" w:rsidP="00501BC4">
                  <w:r w:rsidRPr="00D77AD5">
                    <w:t xml:space="preserve">Environmental and Social Impact Assessment </w:t>
                  </w:r>
                </w:p>
              </w:tc>
            </w:tr>
            <w:tr w:rsidR="00AC5342" w:rsidRPr="00D77AD5" w:rsidTr="00AC5342">
              <w:tc>
                <w:tcPr>
                  <w:tcW w:w="1476" w:type="dxa"/>
                </w:tcPr>
                <w:p w:rsidR="00AC5342" w:rsidRPr="00D77AD5" w:rsidRDefault="00AC5342" w:rsidP="00501BC4">
                  <w:r w:rsidRPr="00D77AD5">
                    <w:t>ESMF</w:t>
                  </w:r>
                </w:p>
              </w:tc>
              <w:tc>
                <w:tcPr>
                  <w:tcW w:w="6576" w:type="dxa"/>
                </w:tcPr>
                <w:p w:rsidR="00AC5342" w:rsidRPr="00D77AD5" w:rsidRDefault="00AC5342" w:rsidP="00501BC4">
                  <w:r w:rsidRPr="00D77AD5">
                    <w:t>Environmental and Social Management Framework</w:t>
                  </w:r>
                </w:p>
              </w:tc>
            </w:tr>
            <w:tr w:rsidR="00AC5342" w:rsidRPr="00D77AD5" w:rsidTr="00AC5342">
              <w:tc>
                <w:tcPr>
                  <w:tcW w:w="1476" w:type="dxa"/>
                </w:tcPr>
                <w:p w:rsidR="00AC5342" w:rsidRPr="00D77AD5" w:rsidRDefault="00AC5342" w:rsidP="00501BC4">
                  <w:r>
                    <w:t>ESMP</w:t>
                  </w:r>
                </w:p>
              </w:tc>
              <w:tc>
                <w:tcPr>
                  <w:tcW w:w="6576" w:type="dxa"/>
                </w:tcPr>
                <w:p w:rsidR="00AC5342" w:rsidRPr="00D77AD5" w:rsidRDefault="00AC5342" w:rsidP="00501BC4">
                  <w:r>
                    <w:t>Environmental and Social Management Plan</w:t>
                  </w:r>
                </w:p>
              </w:tc>
            </w:tr>
            <w:tr w:rsidR="00AC5342" w:rsidRPr="00D77AD5" w:rsidTr="00AC5342">
              <w:tc>
                <w:tcPr>
                  <w:tcW w:w="1476" w:type="dxa"/>
                </w:tcPr>
                <w:p w:rsidR="00AC5342" w:rsidRPr="00D77AD5" w:rsidRDefault="00AC5342" w:rsidP="00501BC4">
                  <w:r w:rsidRPr="00D77AD5">
                    <w:t>ESW</w:t>
                  </w:r>
                </w:p>
              </w:tc>
              <w:tc>
                <w:tcPr>
                  <w:tcW w:w="6576" w:type="dxa"/>
                </w:tcPr>
                <w:p w:rsidR="00AC5342" w:rsidRPr="00D77AD5" w:rsidRDefault="00AC5342" w:rsidP="00501BC4">
                  <w:r w:rsidRPr="00D77AD5">
                    <w:t>Economic and Sector Work</w:t>
                  </w:r>
                </w:p>
              </w:tc>
            </w:tr>
            <w:tr w:rsidR="00AC5342" w:rsidRPr="00D77AD5" w:rsidTr="00AC5342">
              <w:tc>
                <w:tcPr>
                  <w:tcW w:w="1476" w:type="dxa"/>
                </w:tcPr>
                <w:p w:rsidR="00AC5342" w:rsidRPr="00D77AD5" w:rsidRDefault="00AC5342" w:rsidP="00501BC4">
                  <w:r w:rsidRPr="00D77AD5">
                    <w:t>FIRR</w:t>
                  </w:r>
                </w:p>
              </w:tc>
              <w:tc>
                <w:tcPr>
                  <w:tcW w:w="6576" w:type="dxa"/>
                </w:tcPr>
                <w:p w:rsidR="00AC5342" w:rsidRPr="00D77AD5" w:rsidRDefault="00AC5342" w:rsidP="00501BC4">
                  <w:r w:rsidRPr="00D77AD5">
                    <w:t>Financial Internal Rate of return</w:t>
                  </w:r>
                </w:p>
              </w:tc>
            </w:tr>
            <w:tr w:rsidR="00AC5342" w:rsidRPr="00D77AD5" w:rsidTr="00AC5342">
              <w:tc>
                <w:tcPr>
                  <w:tcW w:w="1476" w:type="dxa"/>
                </w:tcPr>
                <w:p w:rsidR="00AC5342" w:rsidRPr="00D77AD5" w:rsidRDefault="00AC5342" w:rsidP="00501BC4">
                  <w:r w:rsidRPr="00D77AD5">
                    <w:t>FM</w:t>
                  </w:r>
                </w:p>
              </w:tc>
              <w:tc>
                <w:tcPr>
                  <w:tcW w:w="6576" w:type="dxa"/>
                </w:tcPr>
                <w:p w:rsidR="00AC5342" w:rsidRPr="00D77AD5" w:rsidRDefault="00AC5342" w:rsidP="00501BC4">
                  <w:r w:rsidRPr="00D77AD5">
                    <w:t>Financial Management</w:t>
                  </w:r>
                </w:p>
              </w:tc>
            </w:tr>
            <w:tr w:rsidR="00AC5342" w:rsidRPr="00D77AD5" w:rsidTr="00AC5342">
              <w:tc>
                <w:tcPr>
                  <w:tcW w:w="1476" w:type="dxa"/>
                </w:tcPr>
                <w:p w:rsidR="00AC5342" w:rsidRPr="00D77AD5" w:rsidRDefault="00AC5342" w:rsidP="00501BC4">
                  <w:r>
                    <w:t>GAC</w:t>
                  </w:r>
                </w:p>
              </w:tc>
              <w:tc>
                <w:tcPr>
                  <w:tcW w:w="6576" w:type="dxa"/>
                </w:tcPr>
                <w:p w:rsidR="00AC5342" w:rsidRPr="00D77AD5" w:rsidRDefault="00AC5342" w:rsidP="00501BC4">
                  <w:r>
                    <w:t xml:space="preserve">General Audit Commission </w:t>
                  </w:r>
                </w:p>
              </w:tc>
            </w:tr>
            <w:tr w:rsidR="00AC5342" w:rsidRPr="00D77AD5" w:rsidTr="00AC5342">
              <w:tc>
                <w:tcPr>
                  <w:tcW w:w="1476" w:type="dxa"/>
                </w:tcPr>
                <w:p w:rsidR="00AC5342" w:rsidRPr="00D77AD5" w:rsidRDefault="00AC5342" w:rsidP="00501BC4">
                  <w:r w:rsidRPr="00D77AD5">
                    <w:t>GEF</w:t>
                  </w:r>
                </w:p>
              </w:tc>
              <w:tc>
                <w:tcPr>
                  <w:tcW w:w="6576" w:type="dxa"/>
                </w:tcPr>
                <w:p w:rsidR="00AC5342" w:rsidRPr="00D77AD5" w:rsidRDefault="00AC5342" w:rsidP="00501BC4">
                  <w:r w:rsidRPr="00D77AD5">
                    <w:t>Global Environment Facility</w:t>
                  </w:r>
                </w:p>
              </w:tc>
            </w:tr>
            <w:tr w:rsidR="00AC5342" w:rsidRPr="00D77AD5" w:rsidTr="00AC5342">
              <w:tc>
                <w:tcPr>
                  <w:tcW w:w="1476" w:type="dxa"/>
                </w:tcPr>
                <w:p w:rsidR="00AC5342" w:rsidRPr="00D77AD5" w:rsidRDefault="00AC5342" w:rsidP="00501BC4">
                  <w:r>
                    <w:t>GEMAP</w:t>
                  </w:r>
                </w:p>
              </w:tc>
              <w:tc>
                <w:tcPr>
                  <w:tcW w:w="6576" w:type="dxa"/>
                </w:tcPr>
                <w:p w:rsidR="00AC5342" w:rsidRPr="00D77AD5" w:rsidRDefault="00AC5342" w:rsidP="00501BC4">
                  <w:r>
                    <w:t>Governance and Economic Management Program</w:t>
                  </w:r>
                </w:p>
              </w:tc>
            </w:tr>
            <w:tr w:rsidR="00AC5342" w:rsidRPr="00D77AD5" w:rsidTr="00AC5342">
              <w:tc>
                <w:tcPr>
                  <w:tcW w:w="1476" w:type="dxa"/>
                </w:tcPr>
                <w:p w:rsidR="00AC5342" w:rsidRPr="00D77AD5" w:rsidRDefault="00AC5342" w:rsidP="00501BC4">
                  <w:proofErr w:type="spellStart"/>
                  <w:r w:rsidRPr="00D77AD5">
                    <w:t>GoL</w:t>
                  </w:r>
                  <w:proofErr w:type="spellEnd"/>
                </w:p>
              </w:tc>
              <w:tc>
                <w:tcPr>
                  <w:tcW w:w="6576" w:type="dxa"/>
                </w:tcPr>
                <w:p w:rsidR="00AC5342" w:rsidRPr="00D77AD5" w:rsidRDefault="00AC5342" w:rsidP="00501BC4">
                  <w:r w:rsidRPr="00D77AD5">
                    <w:t>Government of Liberia</w:t>
                  </w:r>
                </w:p>
              </w:tc>
            </w:tr>
            <w:tr w:rsidR="00AC5342" w:rsidRPr="00D77AD5" w:rsidTr="00AC5342">
              <w:tc>
                <w:tcPr>
                  <w:tcW w:w="1476" w:type="dxa"/>
                </w:tcPr>
                <w:p w:rsidR="00AC5342" w:rsidRPr="00D77AD5" w:rsidRDefault="00AC5342" w:rsidP="00501BC4">
                  <w:proofErr w:type="spellStart"/>
                  <w:r w:rsidRPr="00D77AD5">
                    <w:t>GoN</w:t>
                  </w:r>
                  <w:proofErr w:type="spellEnd"/>
                </w:p>
              </w:tc>
              <w:tc>
                <w:tcPr>
                  <w:tcW w:w="6576" w:type="dxa"/>
                </w:tcPr>
                <w:p w:rsidR="00AC5342" w:rsidRPr="00D77AD5" w:rsidRDefault="00AC5342" w:rsidP="00501BC4">
                  <w:r w:rsidRPr="00D77AD5">
                    <w:t>Government of Norway</w:t>
                  </w:r>
                </w:p>
              </w:tc>
            </w:tr>
            <w:tr w:rsidR="00AC5342" w:rsidRPr="00D77AD5" w:rsidTr="00AC5342">
              <w:tc>
                <w:tcPr>
                  <w:tcW w:w="1476" w:type="dxa"/>
                </w:tcPr>
                <w:p w:rsidR="00AC5342" w:rsidRPr="00D77AD5" w:rsidRDefault="00AC5342" w:rsidP="00501BC4">
                  <w:r w:rsidRPr="00D77AD5">
                    <w:t>GPOBA</w:t>
                  </w:r>
                </w:p>
              </w:tc>
              <w:tc>
                <w:tcPr>
                  <w:tcW w:w="6576" w:type="dxa"/>
                </w:tcPr>
                <w:p w:rsidR="00AC5342" w:rsidRPr="00D77AD5" w:rsidRDefault="00AC5342" w:rsidP="00501BC4">
                  <w:r w:rsidRPr="00D77AD5">
                    <w:t>Global Partnership for Output Based Aid</w:t>
                  </w:r>
                </w:p>
              </w:tc>
            </w:tr>
            <w:tr w:rsidR="00AC5342" w:rsidRPr="00D77AD5" w:rsidTr="00AC5342">
              <w:tc>
                <w:tcPr>
                  <w:tcW w:w="1476" w:type="dxa"/>
                </w:tcPr>
                <w:p w:rsidR="00AC5342" w:rsidRPr="00D77AD5" w:rsidRDefault="00AC5342" w:rsidP="00501BC4">
                  <w:r w:rsidRPr="00D77AD5">
                    <w:t>HFO</w:t>
                  </w:r>
                </w:p>
              </w:tc>
              <w:tc>
                <w:tcPr>
                  <w:tcW w:w="6576" w:type="dxa"/>
                </w:tcPr>
                <w:p w:rsidR="00AC5342" w:rsidRPr="00D77AD5" w:rsidRDefault="00AC5342" w:rsidP="00501BC4">
                  <w:r w:rsidRPr="00D77AD5">
                    <w:t>Heavy Fuel Oil</w:t>
                  </w:r>
                </w:p>
              </w:tc>
            </w:tr>
            <w:tr w:rsidR="00AC5342" w:rsidRPr="00D77AD5" w:rsidTr="00AC5342">
              <w:tc>
                <w:tcPr>
                  <w:tcW w:w="1476" w:type="dxa"/>
                </w:tcPr>
                <w:p w:rsidR="00AC5342" w:rsidRPr="00D77AD5" w:rsidRDefault="00AC5342" w:rsidP="00501BC4">
                  <w:r>
                    <w:t>HIPC</w:t>
                  </w:r>
                </w:p>
              </w:tc>
              <w:tc>
                <w:tcPr>
                  <w:tcW w:w="6576" w:type="dxa"/>
                </w:tcPr>
                <w:p w:rsidR="00AC5342" w:rsidRPr="00D77AD5" w:rsidRDefault="00AC5342" w:rsidP="00501BC4">
                  <w:r>
                    <w:t>Heavily Indebted Poor Countries</w:t>
                  </w:r>
                </w:p>
              </w:tc>
            </w:tr>
            <w:tr w:rsidR="00AC5342" w:rsidRPr="00D77AD5" w:rsidTr="00AC5342">
              <w:tc>
                <w:tcPr>
                  <w:tcW w:w="1476" w:type="dxa"/>
                </w:tcPr>
                <w:p w:rsidR="00AC5342" w:rsidRPr="00D77AD5" w:rsidRDefault="00AC5342" w:rsidP="00501BC4">
                  <w:r w:rsidRPr="00D77AD5">
                    <w:t>IDA</w:t>
                  </w:r>
                </w:p>
              </w:tc>
              <w:tc>
                <w:tcPr>
                  <w:tcW w:w="6576" w:type="dxa"/>
                </w:tcPr>
                <w:p w:rsidR="00AC5342" w:rsidRPr="00D77AD5" w:rsidRDefault="00AC5342" w:rsidP="00501BC4">
                  <w:r w:rsidRPr="00D77AD5">
                    <w:t>International Development Association</w:t>
                  </w:r>
                </w:p>
              </w:tc>
            </w:tr>
            <w:tr w:rsidR="00AC5342" w:rsidRPr="00D77AD5" w:rsidTr="00AC5342">
              <w:tc>
                <w:tcPr>
                  <w:tcW w:w="1476" w:type="dxa"/>
                </w:tcPr>
                <w:p w:rsidR="00AC5342" w:rsidRPr="00D77AD5" w:rsidRDefault="00AC5342" w:rsidP="00501BC4">
                  <w:r w:rsidRPr="00D77AD5">
                    <w:t>IFC</w:t>
                  </w:r>
                </w:p>
              </w:tc>
              <w:tc>
                <w:tcPr>
                  <w:tcW w:w="6576" w:type="dxa"/>
                </w:tcPr>
                <w:p w:rsidR="00AC5342" w:rsidRPr="00D77AD5" w:rsidRDefault="00AC5342" w:rsidP="00501BC4">
                  <w:r w:rsidRPr="00D77AD5">
                    <w:t>International Finance Corporation</w:t>
                  </w:r>
                </w:p>
              </w:tc>
            </w:tr>
            <w:tr w:rsidR="00AC5342" w:rsidRPr="00D77AD5" w:rsidTr="00AC5342">
              <w:tc>
                <w:tcPr>
                  <w:tcW w:w="1476" w:type="dxa"/>
                </w:tcPr>
                <w:p w:rsidR="00AC5342" w:rsidRDefault="00AC5342" w:rsidP="00501BC4">
                  <w:r>
                    <w:t>IFMIS</w:t>
                  </w:r>
                </w:p>
              </w:tc>
              <w:tc>
                <w:tcPr>
                  <w:tcW w:w="6576" w:type="dxa"/>
                </w:tcPr>
                <w:p w:rsidR="00AC5342" w:rsidRDefault="00AC5342" w:rsidP="00501BC4">
                  <w:r>
                    <w:t>Integrated Financial Management Information System</w:t>
                  </w:r>
                </w:p>
              </w:tc>
            </w:tr>
            <w:tr w:rsidR="00AC5342" w:rsidRPr="00D77AD5" w:rsidTr="00AC5342">
              <w:tc>
                <w:tcPr>
                  <w:tcW w:w="1476" w:type="dxa"/>
                </w:tcPr>
                <w:p w:rsidR="00AC5342" w:rsidRPr="00D77AD5" w:rsidRDefault="00AC5342" w:rsidP="00501BC4">
                  <w:r>
                    <w:lastRenderedPageBreak/>
                    <w:t>IFR</w:t>
                  </w:r>
                </w:p>
              </w:tc>
              <w:tc>
                <w:tcPr>
                  <w:tcW w:w="6576" w:type="dxa"/>
                </w:tcPr>
                <w:p w:rsidR="00AC5342" w:rsidRPr="00D77AD5" w:rsidRDefault="00AC5342" w:rsidP="00501BC4">
                  <w:r>
                    <w:t>Interim (unaudited) Financial Statements or Reports</w:t>
                  </w:r>
                </w:p>
              </w:tc>
            </w:tr>
            <w:tr w:rsidR="00AC5342" w:rsidRPr="00D77AD5" w:rsidTr="00AC5342">
              <w:tc>
                <w:tcPr>
                  <w:tcW w:w="1476" w:type="dxa"/>
                </w:tcPr>
                <w:p w:rsidR="00AC5342" w:rsidRPr="00D77AD5" w:rsidRDefault="00AC5342" w:rsidP="00501BC4">
                  <w:r w:rsidRPr="00D77AD5">
                    <w:t>IPP</w:t>
                  </w:r>
                </w:p>
              </w:tc>
              <w:tc>
                <w:tcPr>
                  <w:tcW w:w="6576" w:type="dxa"/>
                </w:tcPr>
                <w:p w:rsidR="00AC5342" w:rsidRPr="00D77AD5" w:rsidRDefault="00AC5342" w:rsidP="00501BC4">
                  <w:r w:rsidRPr="00D77AD5">
                    <w:t>Independent Power Producer</w:t>
                  </w:r>
                </w:p>
              </w:tc>
            </w:tr>
            <w:tr w:rsidR="00AC5342" w:rsidRPr="00D77AD5" w:rsidTr="00AC5342">
              <w:tc>
                <w:tcPr>
                  <w:tcW w:w="1476" w:type="dxa"/>
                </w:tcPr>
                <w:p w:rsidR="00AC5342" w:rsidRPr="00D77AD5" w:rsidRDefault="00AC5342" w:rsidP="00501BC4">
                  <w:r>
                    <w:t>ISA</w:t>
                  </w:r>
                </w:p>
              </w:tc>
              <w:tc>
                <w:tcPr>
                  <w:tcW w:w="6576" w:type="dxa"/>
                </w:tcPr>
                <w:p w:rsidR="00AC5342" w:rsidRPr="00D77AD5" w:rsidRDefault="00AC5342" w:rsidP="00501BC4">
                  <w:r>
                    <w:t>International Standards of Auditing</w:t>
                  </w:r>
                </w:p>
              </w:tc>
            </w:tr>
            <w:tr w:rsidR="00AC5342" w:rsidRPr="00D77AD5" w:rsidTr="00AC5342">
              <w:tc>
                <w:tcPr>
                  <w:tcW w:w="1476" w:type="dxa"/>
                </w:tcPr>
                <w:p w:rsidR="00AC5342" w:rsidRPr="00D77AD5" w:rsidRDefault="00AC5342" w:rsidP="00501BC4">
                  <w:r w:rsidRPr="00D77AD5">
                    <w:t>JICA</w:t>
                  </w:r>
                </w:p>
              </w:tc>
              <w:tc>
                <w:tcPr>
                  <w:tcW w:w="6576" w:type="dxa"/>
                </w:tcPr>
                <w:p w:rsidR="00AC5342" w:rsidRPr="00D77AD5" w:rsidRDefault="00AC5342" w:rsidP="00501BC4">
                  <w:r w:rsidRPr="00D77AD5">
                    <w:t>Japan International Cooperation Agency</w:t>
                  </w:r>
                </w:p>
              </w:tc>
            </w:tr>
            <w:tr w:rsidR="00AC5342" w:rsidRPr="00D77AD5" w:rsidTr="00AC5342">
              <w:tc>
                <w:tcPr>
                  <w:tcW w:w="1476" w:type="dxa"/>
                </w:tcPr>
                <w:p w:rsidR="00AC5342" w:rsidRPr="00D77AD5" w:rsidRDefault="00AC5342" w:rsidP="00501BC4">
                  <w:r w:rsidRPr="00D77AD5">
                    <w:t>kV</w:t>
                  </w:r>
                </w:p>
              </w:tc>
              <w:tc>
                <w:tcPr>
                  <w:tcW w:w="6576" w:type="dxa"/>
                </w:tcPr>
                <w:p w:rsidR="00AC5342" w:rsidRPr="00D77AD5" w:rsidRDefault="00AC5342" w:rsidP="00501BC4">
                  <w:r w:rsidRPr="00D77AD5">
                    <w:t>Kilo Volt</w:t>
                  </w:r>
                </w:p>
              </w:tc>
            </w:tr>
            <w:tr w:rsidR="00AC5342" w:rsidRPr="00D77AD5" w:rsidTr="00AC5342">
              <w:tc>
                <w:tcPr>
                  <w:tcW w:w="1476" w:type="dxa"/>
                </w:tcPr>
                <w:p w:rsidR="00AC5342" w:rsidRPr="00D77AD5" w:rsidRDefault="00AC5342" w:rsidP="00501BC4">
                  <w:r w:rsidRPr="00D77AD5">
                    <w:t>LEC</w:t>
                  </w:r>
                </w:p>
              </w:tc>
              <w:tc>
                <w:tcPr>
                  <w:tcW w:w="6576" w:type="dxa"/>
                </w:tcPr>
                <w:p w:rsidR="00AC5342" w:rsidRPr="00D77AD5" w:rsidRDefault="00AC5342" w:rsidP="00501BC4">
                  <w:r w:rsidRPr="00D77AD5">
                    <w:t>Liberia Electricity Corporation</w:t>
                  </w:r>
                </w:p>
              </w:tc>
            </w:tr>
            <w:tr w:rsidR="00AC5342" w:rsidRPr="00D77AD5" w:rsidTr="00AC5342">
              <w:tc>
                <w:tcPr>
                  <w:tcW w:w="1476" w:type="dxa"/>
                </w:tcPr>
                <w:p w:rsidR="00AC5342" w:rsidRPr="00D77AD5" w:rsidRDefault="00AC5342" w:rsidP="00501BC4">
                  <w:r w:rsidRPr="00D77AD5">
                    <w:t>LED</w:t>
                  </w:r>
                </w:p>
              </w:tc>
              <w:tc>
                <w:tcPr>
                  <w:tcW w:w="6576" w:type="dxa"/>
                </w:tcPr>
                <w:p w:rsidR="00AC5342" w:rsidRPr="00D77AD5" w:rsidRDefault="00AC5342" w:rsidP="00501BC4">
                  <w:r w:rsidRPr="00D77AD5">
                    <w:t>Light Emitting Diode</w:t>
                  </w:r>
                </w:p>
              </w:tc>
            </w:tr>
            <w:tr w:rsidR="00AC5342" w:rsidRPr="00D77AD5" w:rsidTr="00AC5342">
              <w:tc>
                <w:tcPr>
                  <w:tcW w:w="1476" w:type="dxa"/>
                </w:tcPr>
                <w:p w:rsidR="00AC5342" w:rsidRPr="00D77AD5" w:rsidRDefault="00AC5342" w:rsidP="00501BC4">
                  <w:r w:rsidRPr="00D77AD5">
                    <w:t>LESEP</w:t>
                  </w:r>
                </w:p>
              </w:tc>
              <w:tc>
                <w:tcPr>
                  <w:tcW w:w="6576" w:type="dxa"/>
                </w:tcPr>
                <w:p w:rsidR="00AC5342" w:rsidRPr="00D77AD5" w:rsidRDefault="00AC5342" w:rsidP="00501BC4">
                  <w:r w:rsidRPr="00D77AD5">
                    <w:t>Liberia Electricity System Enhancement Project</w:t>
                  </w:r>
                </w:p>
              </w:tc>
            </w:tr>
            <w:tr w:rsidR="00AC5342" w:rsidRPr="00D77AD5" w:rsidTr="00AC5342">
              <w:tc>
                <w:tcPr>
                  <w:tcW w:w="1476" w:type="dxa"/>
                </w:tcPr>
                <w:p w:rsidR="00AC5342" w:rsidRPr="00D77AD5" w:rsidRDefault="00AC5342" w:rsidP="00501BC4">
                  <w:r w:rsidRPr="00D77AD5">
                    <w:t>LV</w:t>
                  </w:r>
                </w:p>
              </w:tc>
              <w:tc>
                <w:tcPr>
                  <w:tcW w:w="6576" w:type="dxa"/>
                </w:tcPr>
                <w:p w:rsidR="00AC5342" w:rsidRPr="00D77AD5" w:rsidRDefault="00AC5342" w:rsidP="00501BC4">
                  <w:r w:rsidRPr="00D77AD5">
                    <w:t>Low Voltage</w:t>
                  </w:r>
                </w:p>
              </w:tc>
            </w:tr>
            <w:tr w:rsidR="00AC5342" w:rsidRPr="00D77AD5" w:rsidTr="00AC5342">
              <w:tc>
                <w:tcPr>
                  <w:tcW w:w="1476" w:type="dxa"/>
                </w:tcPr>
                <w:p w:rsidR="00AC5342" w:rsidRPr="00D77AD5" w:rsidRDefault="00AC5342" w:rsidP="00501BC4">
                  <w:r>
                    <w:t>MC</w:t>
                  </w:r>
                </w:p>
              </w:tc>
              <w:tc>
                <w:tcPr>
                  <w:tcW w:w="6576" w:type="dxa"/>
                </w:tcPr>
                <w:p w:rsidR="00AC5342" w:rsidRPr="00D77AD5" w:rsidRDefault="00AC5342" w:rsidP="00501BC4">
                  <w:r>
                    <w:t xml:space="preserve">Management Contract </w:t>
                  </w:r>
                </w:p>
              </w:tc>
            </w:tr>
            <w:tr w:rsidR="00AC5342" w:rsidRPr="00D77AD5" w:rsidTr="00AC5342">
              <w:tc>
                <w:tcPr>
                  <w:tcW w:w="1476" w:type="dxa"/>
                </w:tcPr>
                <w:p w:rsidR="00AC5342" w:rsidRPr="00D77AD5" w:rsidRDefault="00AC5342" w:rsidP="00501BC4">
                  <w:r w:rsidRPr="00D77AD5">
                    <w:t>MHI</w:t>
                  </w:r>
                </w:p>
              </w:tc>
              <w:tc>
                <w:tcPr>
                  <w:tcW w:w="6576" w:type="dxa"/>
                </w:tcPr>
                <w:p w:rsidR="00AC5342" w:rsidRPr="00D77AD5" w:rsidRDefault="00AC5342" w:rsidP="00501BC4">
                  <w:r w:rsidRPr="00D77AD5">
                    <w:t>Manitoba Hydro International</w:t>
                  </w:r>
                </w:p>
              </w:tc>
            </w:tr>
            <w:tr w:rsidR="00AC5342" w:rsidRPr="00D77AD5" w:rsidTr="00AC5342">
              <w:tc>
                <w:tcPr>
                  <w:tcW w:w="1476" w:type="dxa"/>
                </w:tcPr>
                <w:p w:rsidR="00AC5342" w:rsidRPr="00D77AD5" w:rsidRDefault="00AC5342" w:rsidP="00501BC4">
                  <w:r w:rsidRPr="00D77AD5">
                    <w:t>MLME</w:t>
                  </w:r>
                </w:p>
              </w:tc>
              <w:tc>
                <w:tcPr>
                  <w:tcW w:w="6576" w:type="dxa"/>
                </w:tcPr>
                <w:p w:rsidR="00AC5342" w:rsidRPr="00D77AD5" w:rsidRDefault="00AC5342" w:rsidP="00501BC4">
                  <w:r w:rsidRPr="00D77AD5">
                    <w:t>Ministry of Lands, Mines and Energy</w:t>
                  </w:r>
                </w:p>
              </w:tc>
            </w:tr>
            <w:tr w:rsidR="00AC5342" w:rsidRPr="00D77AD5" w:rsidTr="00AC5342">
              <w:tc>
                <w:tcPr>
                  <w:tcW w:w="1476" w:type="dxa"/>
                </w:tcPr>
                <w:p w:rsidR="00AC5342" w:rsidRPr="00D77AD5" w:rsidRDefault="00AC5342" w:rsidP="00501BC4">
                  <w:r>
                    <w:t>MPEA</w:t>
                  </w:r>
                </w:p>
              </w:tc>
              <w:tc>
                <w:tcPr>
                  <w:tcW w:w="6576" w:type="dxa"/>
                </w:tcPr>
                <w:p w:rsidR="00AC5342" w:rsidRPr="00D77AD5" w:rsidRDefault="00AC5342" w:rsidP="00501BC4">
                  <w:r>
                    <w:t xml:space="preserve">Ministry of Planning and Economic Affairs </w:t>
                  </w:r>
                </w:p>
              </w:tc>
            </w:tr>
            <w:tr w:rsidR="00AC5342" w:rsidRPr="00D77AD5" w:rsidTr="00AC5342">
              <w:tc>
                <w:tcPr>
                  <w:tcW w:w="1476" w:type="dxa"/>
                </w:tcPr>
                <w:p w:rsidR="00AC5342" w:rsidRPr="00D77AD5" w:rsidRDefault="00AC5342" w:rsidP="00501BC4">
                  <w:r w:rsidRPr="00D77AD5">
                    <w:t>MV</w:t>
                  </w:r>
                </w:p>
              </w:tc>
              <w:tc>
                <w:tcPr>
                  <w:tcW w:w="6576" w:type="dxa"/>
                </w:tcPr>
                <w:p w:rsidR="00AC5342" w:rsidRPr="00D77AD5" w:rsidRDefault="00AC5342" w:rsidP="00501BC4">
                  <w:r w:rsidRPr="00D77AD5">
                    <w:t>Medium Voltage</w:t>
                  </w:r>
                </w:p>
              </w:tc>
            </w:tr>
            <w:tr w:rsidR="00AC5342" w:rsidRPr="00D77AD5" w:rsidTr="00AC5342">
              <w:tc>
                <w:tcPr>
                  <w:tcW w:w="1476" w:type="dxa"/>
                </w:tcPr>
                <w:p w:rsidR="00AC5342" w:rsidRPr="00D77AD5" w:rsidRDefault="00AC5342" w:rsidP="00501BC4">
                  <w:r w:rsidRPr="00D77AD5">
                    <w:t>MW</w:t>
                  </w:r>
                </w:p>
              </w:tc>
              <w:tc>
                <w:tcPr>
                  <w:tcW w:w="6576" w:type="dxa"/>
                </w:tcPr>
                <w:p w:rsidR="00AC5342" w:rsidRPr="00D77AD5" w:rsidRDefault="00AC5342" w:rsidP="00501BC4">
                  <w:r w:rsidRPr="00D77AD5">
                    <w:t>Megawatt</w:t>
                  </w:r>
                </w:p>
              </w:tc>
            </w:tr>
            <w:tr w:rsidR="00AC5342" w:rsidRPr="00D77AD5" w:rsidTr="00AC5342">
              <w:tc>
                <w:tcPr>
                  <w:tcW w:w="1476" w:type="dxa"/>
                </w:tcPr>
                <w:p w:rsidR="00AC5342" w:rsidRPr="00D77AD5" w:rsidRDefault="00AC5342" w:rsidP="00501BC4">
                  <w:r w:rsidRPr="00D77AD5">
                    <w:t>NEP</w:t>
                  </w:r>
                </w:p>
              </w:tc>
              <w:tc>
                <w:tcPr>
                  <w:tcW w:w="6576" w:type="dxa"/>
                </w:tcPr>
                <w:p w:rsidR="00AC5342" w:rsidRPr="00D77AD5" w:rsidRDefault="00AC5342" w:rsidP="00501BC4">
                  <w:r w:rsidRPr="00D77AD5">
                    <w:t>National Energy Policy</w:t>
                  </w:r>
                </w:p>
              </w:tc>
            </w:tr>
            <w:tr w:rsidR="00AC5342" w:rsidRPr="00D77AD5" w:rsidTr="00AC5342">
              <w:tc>
                <w:tcPr>
                  <w:tcW w:w="1476" w:type="dxa"/>
                </w:tcPr>
                <w:p w:rsidR="00AC5342" w:rsidRPr="00D77AD5" w:rsidRDefault="00AC5342" w:rsidP="00501BC4">
                  <w:r>
                    <w:t>NORAD</w:t>
                  </w:r>
                </w:p>
              </w:tc>
              <w:tc>
                <w:tcPr>
                  <w:tcW w:w="6576" w:type="dxa"/>
                </w:tcPr>
                <w:p w:rsidR="00AC5342" w:rsidRPr="00D77AD5" w:rsidRDefault="00AC5342" w:rsidP="00501BC4">
                  <w:r>
                    <w:t xml:space="preserve">Norwegian Agency for Development Corporation </w:t>
                  </w:r>
                </w:p>
              </w:tc>
            </w:tr>
            <w:tr w:rsidR="00AC5342" w:rsidRPr="00D77AD5" w:rsidTr="00AC5342">
              <w:tc>
                <w:tcPr>
                  <w:tcW w:w="1476" w:type="dxa"/>
                </w:tcPr>
                <w:p w:rsidR="00AC5342" w:rsidRPr="00D77AD5" w:rsidRDefault="00AC5342" w:rsidP="00501BC4">
                  <w:r w:rsidRPr="00D77AD5">
                    <w:t>NPV</w:t>
                  </w:r>
                </w:p>
              </w:tc>
              <w:tc>
                <w:tcPr>
                  <w:tcW w:w="6576" w:type="dxa"/>
                </w:tcPr>
                <w:p w:rsidR="00AC5342" w:rsidRPr="00D77AD5" w:rsidRDefault="00AC5342" w:rsidP="00501BC4">
                  <w:r w:rsidRPr="00D77AD5">
                    <w:t>Net Present Value</w:t>
                  </w:r>
                </w:p>
              </w:tc>
            </w:tr>
            <w:tr w:rsidR="00AC5342" w:rsidRPr="00D77AD5" w:rsidTr="00AC5342">
              <w:tc>
                <w:tcPr>
                  <w:tcW w:w="1476" w:type="dxa"/>
                </w:tcPr>
                <w:p w:rsidR="00AC5342" w:rsidRDefault="00AC5342" w:rsidP="00501BC4">
                  <w:r>
                    <w:t>ORAF</w:t>
                  </w:r>
                </w:p>
              </w:tc>
              <w:tc>
                <w:tcPr>
                  <w:tcW w:w="6576" w:type="dxa"/>
                </w:tcPr>
                <w:p w:rsidR="00AC5342" w:rsidRPr="00D77AD5" w:rsidRDefault="00AC5342" w:rsidP="00501BC4">
                  <w:r>
                    <w:t>Operational Risk Assessment Framework</w:t>
                  </w:r>
                </w:p>
              </w:tc>
            </w:tr>
            <w:tr w:rsidR="00AC5342" w:rsidRPr="00D77AD5" w:rsidTr="00AC5342">
              <w:tc>
                <w:tcPr>
                  <w:tcW w:w="1476" w:type="dxa"/>
                </w:tcPr>
                <w:p w:rsidR="00AC5342" w:rsidRPr="00D77AD5" w:rsidRDefault="00AC5342" w:rsidP="00501BC4">
                  <w:r>
                    <w:t>PEMFAR</w:t>
                  </w:r>
                </w:p>
              </w:tc>
              <w:tc>
                <w:tcPr>
                  <w:tcW w:w="6576" w:type="dxa"/>
                </w:tcPr>
                <w:p w:rsidR="00AC5342" w:rsidRPr="00D77AD5" w:rsidRDefault="00AC5342" w:rsidP="00501BC4">
                  <w:r>
                    <w:t>Public Expenditure Management and Financial Accountability Review</w:t>
                  </w:r>
                </w:p>
              </w:tc>
            </w:tr>
            <w:tr w:rsidR="00AC5342" w:rsidRPr="00D77AD5" w:rsidTr="00AC5342">
              <w:tc>
                <w:tcPr>
                  <w:tcW w:w="1476" w:type="dxa"/>
                </w:tcPr>
                <w:p w:rsidR="00AC5342" w:rsidRPr="00D77AD5" w:rsidRDefault="00AC5342" w:rsidP="00501BC4">
                  <w:r w:rsidRPr="00D77AD5">
                    <w:t>PDO</w:t>
                  </w:r>
                </w:p>
              </w:tc>
              <w:tc>
                <w:tcPr>
                  <w:tcW w:w="6576" w:type="dxa"/>
                </w:tcPr>
                <w:p w:rsidR="00AC5342" w:rsidRPr="00D77AD5" w:rsidRDefault="00AC5342" w:rsidP="00501BC4">
                  <w:r w:rsidRPr="00D77AD5">
                    <w:t>Project Development Objective</w:t>
                  </w:r>
                </w:p>
              </w:tc>
            </w:tr>
            <w:tr w:rsidR="00AC5342" w:rsidRPr="00D77AD5" w:rsidTr="00AC5342">
              <w:tc>
                <w:tcPr>
                  <w:tcW w:w="1476" w:type="dxa"/>
                </w:tcPr>
                <w:p w:rsidR="00AC5342" w:rsidRDefault="00AC5342" w:rsidP="00501BC4">
                  <w:r>
                    <w:t>PFMA</w:t>
                  </w:r>
                </w:p>
              </w:tc>
              <w:tc>
                <w:tcPr>
                  <w:tcW w:w="6576" w:type="dxa"/>
                </w:tcPr>
                <w:p w:rsidR="00AC5342" w:rsidRDefault="00AC5342" w:rsidP="00501BC4">
                  <w:r>
                    <w:t>Public Financial Management Act</w:t>
                  </w:r>
                </w:p>
              </w:tc>
            </w:tr>
            <w:tr w:rsidR="00AC5342" w:rsidRPr="00D77AD5" w:rsidTr="00AC5342">
              <w:tc>
                <w:tcPr>
                  <w:tcW w:w="1476" w:type="dxa"/>
                </w:tcPr>
                <w:p w:rsidR="00AC5342" w:rsidRPr="00D77AD5" w:rsidRDefault="00AC5342" w:rsidP="00501BC4">
                  <w:r>
                    <w:t>PFMU</w:t>
                  </w:r>
                </w:p>
              </w:tc>
              <w:tc>
                <w:tcPr>
                  <w:tcW w:w="6576" w:type="dxa"/>
                </w:tcPr>
                <w:p w:rsidR="00AC5342" w:rsidRPr="00D77AD5" w:rsidRDefault="00AC5342" w:rsidP="00501BC4">
                  <w:r>
                    <w:t>Project Financial Management Unit</w:t>
                  </w:r>
                </w:p>
              </w:tc>
            </w:tr>
            <w:tr w:rsidR="00AC5342" w:rsidRPr="00D77AD5" w:rsidTr="00AC5342">
              <w:tc>
                <w:tcPr>
                  <w:tcW w:w="1476" w:type="dxa"/>
                </w:tcPr>
                <w:p w:rsidR="00AC5342" w:rsidRDefault="00AC5342" w:rsidP="00501BC4">
                  <w:r>
                    <w:t>PPC</w:t>
                  </w:r>
                </w:p>
              </w:tc>
              <w:tc>
                <w:tcPr>
                  <w:tcW w:w="6576" w:type="dxa"/>
                </w:tcPr>
                <w:p w:rsidR="00AC5342" w:rsidRDefault="00AC5342" w:rsidP="00501BC4">
                  <w:r>
                    <w:t>Public Procurement and Concessions</w:t>
                  </w:r>
                </w:p>
              </w:tc>
            </w:tr>
            <w:tr w:rsidR="00AC5342" w:rsidRPr="00D77AD5" w:rsidTr="00AC5342">
              <w:tc>
                <w:tcPr>
                  <w:tcW w:w="1476" w:type="dxa"/>
                </w:tcPr>
                <w:p w:rsidR="00AC5342" w:rsidRPr="00D77AD5" w:rsidRDefault="00AC5342" w:rsidP="00501BC4">
                  <w:r>
                    <w:t>PPCA</w:t>
                  </w:r>
                </w:p>
              </w:tc>
              <w:tc>
                <w:tcPr>
                  <w:tcW w:w="6576" w:type="dxa"/>
                </w:tcPr>
                <w:p w:rsidR="00AC5342" w:rsidRPr="00D77AD5" w:rsidRDefault="00AC5342" w:rsidP="00501BC4">
                  <w:r>
                    <w:t xml:space="preserve">Public Procurement and Concessions Act </w:t>
                  </w:r>
                </w:p>
              </w:tc>
            </w:tr>
            <w:tr w:rsidR="00AC5342" w:rsidRPr="00D77AD5" w:rsidTr="00AC5342">
              <w:tc>
                <w:tcPr>
                  <w:tcW w:w="1476" w:type="dxa"/>
                </w:tcPr>
                <w:p w:rsidR="00AC5342" w:rsidRPr="00D77AD5" w:rsidRDefault="00AC5342" w:rsidP="00501BC4">
                  <w:r w:rsidRPr="00D77AD5">
                    <w:t>PPCC</w:t>
                  </w:r>
                </w:p>
              </w:tc>
              <w:tc>
                <w:tcPr>
                  <w:tcW w:w="6576" w:type="dxa"/>
                </w:tcPr>
                <w:p w:rsidR="00AC5342" w:rsidRPr="00D77AD5" w:rsidRDefault="00AC5342" w:rsidP="00501BC4">
                  <w:r w:rsidRPr="00D77AD5">
                    <w:t>Public Procurement and Concession Commission</w:t>
                  </w:r>
                </w:p>
              </w:tc>
            </w:tr>
            <w:tr w:rsidR="00AC5342" w:rsidRPr="00D77AD5" w:rsidTr="00AC5342">
              <w:tc>
                <w:tcPr>
                  <w:tcW w:w="1476" w:type="dxa"/>
                </w:tcPr>
                <w:p w:rsidR="00AC5342" w:rsidRPr="00D77AD5" w:rsidRDefault="00AC5342" w:rsidP="00501BC4">
                  <w:r w:rsidRPr="00D77AD5">
                    <w:t>PV</w:t>
                  </w:r>
                </w:p>
              </w:tc>
              <w:tc>
                <w:tcPr>
                  <w:tcW w:w="6576" w:type="dxa"/>
                </w:tcPr>
                <w:p w:rsidR="00AC5342" w:rsidRPr="00D77AD5" w:rsidRDefault="00AC5342" w:rsidP="00501BC4">
                  <w:r w:rsidRPr="00D77AD5">
                    <w:t>Photovoltaic</w:t>
                  </w:r>
                </w:p>
              </w:tc>
            </w:tr>
            <w:tr w:rsidR="00AC5342" w:rsidRPr="00D77AD5" w:rsidTr="00AC5342">
              <w:tc>
                <w:tcPr>
                  <w:tcW w:w="1476" w:type="dxa"/>
                </w:tcPr>
                <w:p w:rsidR="00AC5342" w:rsidRPr="00D77AD5" w:rsidRDefault="00AC5342" w:rsidP="00501BC4">
                  <w:r w:rsidRPr="00D77AD5">
                    <w:t>RAP</w:t>
                  </w:r>
                </w:p>
              </w:tc>
              <w:tc>
                <w:tcPr>
                  <w:tcW w:w="6576" w:type="dxa"/>
                </w:tcPr>
                <w:p w:rsidR="00AC5342" w:rsidRPr="00D77AD5" w:rsidRDefault="00AC5342" w:rsidP="00501BC4">
                  <w:r w:rsidRPr="00D77AD5">
                    <w:t>Resettlement Action Plan</w:t>
                  </w:r>
                </w:p>
              </w:tc>
            </w:tr>
            <w:tr w:rsidR="00AC5342" w:rsidRPr="00D77AD5" w:rsidTr="00AC5342">
              <w:tc>
                <w:tcPr>
                  <w:tcW w:w="1476" w:type="dxa"/>
                </w:tcPr>
                <w:p w:rsidR="00AC5342" w:rsidRDefault="00AC5342" w:rsidP="00501BC4">
                  <w:r>
                    <w:t>RE</w:t>
                  </w:r>
                </w:p>
              </w:tc>
              <w:tc>
                <w:tcPr>
                  <w:tcW w:w="6576" w:type="dxa"/>
                </w:tcPr>
                <w:p w:rsidR="00AC5342" w:rsidRDefault="00AC5342" w:rsidP="00501BC4">
                  <w:r>
                    <w:t>Recipient Executed</w:t>
                  </w:r>
                </w:p>
              </w:tc>
            </w:tr>
            <w:tr w:rsidR="00AC5342" w:rsidRPr="00D77AD5" w:rsidTr="00AC5342">
              <w:tc>
                <w:tcPr>
                  <w:tcW w:w="1476" w:type="dxa"/>
                </w:tcPr>
                <w:p w:rsidR="00AC5342" w:rsidRPr="00D77AD5" w:rsidRDefault="00AC5342" w:rsidP="00501BC4">
                  <w:r>
                    <w:t>REFUND</w:t>
                  </w:r>
                </w:p>
              </w:tc>
              <w:tc>
                <w:tcPr>
                  <w:tcW w:w="6576" w:type="dxa"/>
                </w:tcPr>
                <w:p w:rsidR="00AC5342" w:rsidRPr="00D77AD5" w:rsidRDefault="00AC5342" w:rsidP="00501BC4">
                  <w:r>
                    <w:t>Rural Energy Fund</w:t>
                  </w:r>
                </w:p>
              </w:tc>
            </w:tr>
            <w:tr w:rsidR="00AC5342" w:rsidRPr="00D77AD5" w:rsidTr="00AC5342">
              <w:tc>
                <w:tcPr>
                  <w:tcW w:w="1476" w:type="dxa"/>
                </w:tcPr>
                <w:p w:rsidR="00AC5342" w:rsidRPr="00D77AD5" w:rsidRDefault="00AC5342" w:rsidP="00501BC4">
                  <w:r w:rsidRPr="00D77AD5">
                    <w:t>RPF</w:t>
                  </w:r>
                </w:p>
              </w:tc>
              <w:tc>
                <w:tcPr>
                  <w:tcW w:w="6576" w:type="dxa"/>
                </w:tcPr>
                <w:p w:rsidR="00AC5342" w:rsidRPr="00D77AD5" w:rsidRDefault="00AC5342" w:rsidP="00501BC4">
                  <w:r w:rsidRPr="00D77AD5">
                    <w:t>Resettlement Policy Framework</w:t>
                  </w:r>
                </w:p>
              </w:tc>
            </w:tr>
            <w:tr w:rsidR="00AC5342" w:rsidRPr="00D77AD5" w:rsidTr="00AC5342">
              <w:tc>
                <w:tcPr>
                  <w:tcW w:w="1476" w:type="dxa"/>
                </w:tcPr>
                <w:p w:rsidR="00AC5342" w:rsidRPr="00D77AD5" w:rsidRDefault="00AC5342" w:rsidP="00501BC4">
                  <w:r w:rsidRPr="00D77AD5">
                    <w:t>RREA</w:t>
                  </w:r>
                </w:p>
              </w:tc>
              <w:tc>
                <w:tcPr>
                  <w:tcW w:w="6576" w:type="dxa"/>
                </w:tcPr>
                <w:p w:rsidR="00AC5342" w:rsidRPr="00D77AD5" w:rsidRDefault="00AC5342" w:rsidP="00501BC4">
                  <w:r w:rsidRPr="00D77AD5">
                    <w:t>Rural and Renewable Energy Agency</w:t>
                  </w:r>
                </w:p>
              </w:tc>
            </w:tr>
            <w:tr w:rsidR="00AC5342" w:rsidRPr="00D77AD5" w:rsidTr="00AC5342">
              <w:tc>
                <w:tcPr>
                  <w:tcW w:w="1476" w:type="dxa"/>
                </w:tcPr>
                <w:p w:rsidR="00AC5342" w:rsidRPr="00D77AD5" w:rsidRDefault="00AC5342" w:rsidP="00501BC4">
                  <w:r>
                    <w:t>SOEs</w:t>
                  </w:r>
                </w:p>
              </w:tc>
              <w:tc>
                <w:tcPr>
                  <w:tcW w:w="6576" w:type="dxa"/>
                </w:tcPr>
                <w:p w:rsidR="00AC5342" w:rsidRPr="00D77AD5" w:rsidRDefault="00AC5342" w:rsidP="00501BC4">
                  <w:r>
                    <w:t xml:space="preserve">Statement of Expenditures </w:t>
                  </w:r>
                </w:p>
              </w:tc>
            </w:tr>
            <w:tr w:rsidR="00B05AC5" w:rsidRPr="00D77AD5" w:rsidTr="00AC5342">
              <w:tc>
                <w:tcPr>
                  <w:tcW w:w="1476" w:type="dxa"/>
                </w:tcPr>
                <w:p w:rsidR="00B05AC5" w:rsidRPr="00D77AD5" w:rsidRDefault="00B05AC5" w:rsidP="00501BC4">
                  <w:r>
                    <w:t>SSMF</w:t>
                  </w:r>
                </w:p>
              </w:tc>
              <w:tc>
                <w:tcPr>
                  <w:tcW w:w="6576" w:type="dxa"/>
                </w:tcPr>
                <w:p w:rsidR="00B05AC5" w:rsidRPr="00D77AD5" w:rsidRDefault="00B05AC5" w:rsidP="00501BC4">
                  <w:r>
                    <w:t>Sustainable Solar Market Facilitation</w:t>
                  </w:r>
                </w:p>
              </w:tc>
            </w:tr>
            <w:tr w:rsidR="00AC5342" w:rsidRPr="00D77AD5" w:rsidTr="00AC5342">
              <w:tc>
                <w:tcPr>
                  <w:tcW w:w="1476" w:type="dxa"/>
                </w:tcPr>
                <w:p w:rsidR="00AC5342" w:rsidRPr="00D77AD5" w:rsidRDefault="00AC5342" w:rsidP="00501BC4">
                  <w:r w:rsidRPr="00D77AD5">
                    <w:t>SSMP</w:t>
                  </w:r>
                </w:p>
              </w:tc>
              <w:tc>
                <w:tcPr>
                  <w:tcW w:w="6576" w:type="dxa"/>
                </w:tcPr>
                <w:p w:rsidR="00AC5342" w:rsidRPr="00D77AD5" w:rsidRDefault="00AC5342" w:rsidP="00501BC4">
                  <w:r w:rsidRPr="00D77AD5">
                    <w:t>Sustainable Solar Market Packages</w:t>
                  </w:r>
                </w:p>
              </w:tc>
            </w:tr>
            <w:tr w:rsidR="00AC5342" w:rsidRPr="00D77AD5" w:rsidTr="00AC5342">
              <w:tc>
                <w:tcPr>
                  <w:tcW w:w="1476" w:type="dxa"/>
                </w:tcPr>
                <w:p w:rsidR="00AC5342" w:rsidRPr="00D77AD5" w:rsidRDefault="00AC5342" w:rsidP="00501BC4">
                  <w:r>
                    <w:t>TOR</w:t>
                  </w:r>
                </w:p>
              </w:tc>
              <w:tc>
                <w:tcPr>
                  <w:tcW w:w="6576" w:type="dxa"/>
                </w:tcPr>
                <w:p w:rsidR="00AC5342" w:rsidRPr="00D77AD5" w:rsidRDefault="00AC5342" w:rsidP="00501BC4">
                  <w:r>
                    <w:t>Terms of Reference</w:t>
                  </w:r>
                </w:p>
              </w:tc>
            </w:tr>
            <w:tr w:rsidR="00AC5342" w:rsidRPr="00D77AD5" w:rsidTr="00AC5342">
              <w:tc>
                <w:tcPr>
                  <w:tcW w:w="1476" w:type="dxa"/>
                </w:tcPr>
                <w:p w:rsidR="00AC5342" w:rsidRPr="00D77AD5" w:rsidRDefault="00AC5342" w:rsidP="00501BC4">
                  <w:r>
                    <w:t>UNDP</w:t>
                  </w:r>
                </w:p>
              </w:tc>
              <w:tc>
                <w:tcPr>
                  <w:tcW w:w="6576" w:type="dxa"/>
                </w:tcPr>
                <w:p w:rsidR="00AC5342" w:rsidRPr="00D77AD5" w:rsidRDefault="00AC5342" w:rsidP="00501BC4">
                  <w:r>
                    <w:t xml:space="preserve">United Nations Development </w:t>
                  </w:r>
                  <w:proofErr w:type="spellStart"/>
                  <w:r>
                    <w:t>Programme</w:t>
                  </w:r>
                  <w:proofErr w:type="spellEnd"/>
                </w:p>
              </w:tc>
            </w:tr>
            <w:tr w:rsidR="00AC5342" w:rsidRPr="00D77AD5" w:rsidTr="00AC5342">
              <w:tc>
                <w:tcPr>
                  <w:tcW w:w="1476" w:type="dxa"/>
                </w:tcPr>
                <w:p w:rsidR="00AC5342" w:rsidRPr="00D77AD5" w:rsidRDefault="00AC5342" w:rsidP="00501BC4">
                  <w:r w:rsidRPr="00D77AD5">
                    <w:t>USAID</w:t>
                  </w:r>
                </w:p>
              </w:tc>
              <w:tc>
                <w:tcPr>
                  <w:tcW w:w="6576" w:type="dxa"/>
                </w:tcPr>
                <w:p w:rsidR="00AC5342" w:rsidRPr="00D77AD5" w:rsidRDefault="00AC5342" w:rsidP="00501BC4">
                  <w:r w:rsidRPr="00D77AD5">
                    <w:t>United States Agency for International Development</w:t>
                  </w:r>
                </w:p>
              </w:tc>
            </w:tr>
            <w:tr w:rsidR="00AC5342" w:rsidRPr="00D77AD5" w:rsidTr="00AC5342">
              <w:tc>
                <w:tcPr>
                  <w:tcW w:w="1476" w:type="dxa"/>
                </w:tcPr>
                <w:p w:rsidR="00AC5342" w:rsidRPr="00D77AD5" w:rsidRDefault="00AC5342" w:rsidP="00501BC4">
                  <w:r w:rsidRPr="00D77AD5">
                    <w:t>WAPP</w:t>
                  </w:r>
                </w:p>
              </w:tc>
              <w:tc>
                <w:tcPr>
                  <w:tcW w:w="6576" w:type="dxa"/>
                </w:tcPr>
                <w:p w:rsidR="00AC5342" w:rsidRPr="00D77AD5" w:rsidRDefault="00AC5342" w:rsidP="00501BC4">
                  <w:r w:rsidRPr="00D77AD5">
                    <w:t>West African Power Pool</w:t>
                  </w:r>
                </w:p>
              </w:tc>
            </w:tr>
          </w:tbl>
          <w:p w:rsidR="003F52A8" w:rsidRDefault="003F52A8" w:rsidP="003F52A8"/>
        </w:tc>
      </w:tr>
    </w:tbl>
    <w:p w:rsidR="003F52A8" w:rsidRDefault="003F52A8" w:rsidP="003F52A8"/>
    <w:tbl>
      <w:tblPr>
        <w:tblW w:w="0" w:type="auto"/>
        <w:tblInd w:w="622" w:type="dxa"/>
        <w:tblBorders>
          <w:top w:val="single" w:sz="4" w:space="0" w:color="auto"/>
          <w:left w:val="single" w:sz="4" w:space="0" w:color="auto"/>
          <w:bottom w:val="single" w:sz="4" w:space="0" w:color="auto"/>
          <w:right w:val="single" w:sz="4" w:space="0" w:color="auto"/>
        </w:tblBorders>
        <w:tblLook w:val="0000"/>
      </w:tblPr>
      <w:tblGrid>
        <w:gridCol w:w="4668"/>
        <w:gridCol w:w="360"/>
        <w:gridCol w:w="4548"/>
      </w:tblGrid>
      <w:tr w:rsidR="003F52A8" w:rsidTr="003F52A8">
        <w:tc>
          <w:tcPr>
            <w:tcW w:w="4668" w:type="dxa"/>
          </w:tcPr>
          <w:p w:rsidR="003F52A8" w:rsidRDefault="003F52A8" w:rsidP="003F52A8">
            <w:pPr>
              <w:autoSpaceDE w:val="0"/>
              <w:autoSpaceDN w:val="0"/>
              <w:adjustRightInd w:val="0"/>
              <w:spacing w:line="240" w:lineRule="atLeast"/>
              <w:jc w:val="right"/>
              <w:rPr>
                <w:color w:val="000000"/>
              </w:rPr>
            </w:pPr>
            <w:r>
              <w:rPr>
                <w:color w:val="000000"/>
                <w:szCs w:val="22"/>
              </w:rPr>
              <w:t>Vice President:</w:t>
            </w:r>
          </w:p>
        </w:tc>
        <w:tc>
          <w:tcPr>
            <w:tcW w:w="360" w:type="dxa"/>
          </w:tcPr>
          <w:p w:rsidR="003F52A8" w:rsidRDefault="003F52A8" w:rsidP="003F52A8">
            <w:pPr>
              <w:autoSpaceDE w:val="0"/>
              <w:autoSpaceDN w:val="0"/>
              <w:adjustRightInd w:val="0"/>
              <w:spacing w:line="240" w:lineRule="atLeast"/>
              <w:rPr>
                <w:color w:val="000000"/>
              </w:rPr>
            </w:pPr>
          </w:p>
        </w:tc>
        <w:tc>
          <w:tcPr>
            <w:tcW w:w="4548" w:type="dxa"/>
          </w:tcPr>
          <w:p w:rsidR="003F52A8" w:rsidRDefault="005A16CA" w:rsidP="00E8424F">
            <w:pPr>
              <w:autoSpaceDE w:val="0"/>
              <w:autoSpaceDN w:val="0"/>
              <w:adjustRightInd w:val="0"/>
              <w:spacing w:line="240" w:lineRule="atLeast"/>
              <w:rPr>
                <w:color w:val="000000"/>
              </w:rPr>
            </w:pPr>
            <w:proofErr w:type="spellStart"/>
            <w:r w:rsidRPr="005A16CA">
              <w:rPr>
                <w:color w:val="000000"/>
              </w:rPr>
              <w:t>Obiageli</w:t>
            </w:r>
            <w:proofErr w:type="spellEnd"/>
            <w:r w:rsidRPr="005A16CA">
              <w:rPr>
                <w:color w:val="000000"/>
              </w:rPr>
              <w:t xml:space="preserve"> K. </w:t>
            </w:r>
            <w:proofErr w:type="spellStart"/>
            <w:r w:rsidRPr="005A16CA">
              <w:rPr>
                <w:color w:val="000000"/>
              </w:rPr>
              <w:t>Ezekwesili</w:t>
            </w:r>
            <w:proofErr w:type="spellEnd"/>
          </w:p>
        </w:tc>
      </w:tr>
      <w:tr w:rsidR="003F52A8" w:rsidTr="003F52A8">
        <w:tc>
          <w:tcPr>
            <w:tcW w:w="4668" w:type="dxa"/>
          </w:tcPr>
          <w:p w:rsidR="003F52A8" w:rsidRPr="00501BC4" w:rsidRDefault="00221C98" w:rsidP="003F52A8">
            <w:pPr>
              <w:autoSpaceDE w:val="0"/>
              <w:autoSpaceDN w:val="0"/>
              <w:adjustRightInd w:val="0"/>
              <w:spacing w:line="240" w:lineRule="atLeast"/>
              <w:jc w:val="right"/>
              <w:rPr>
                <w:color w:val="000000"/>
              </w:rPr>
            </w:pPr>
            <w:r w:rsidRPr="00221C98">
              <w:rPr>
                <w:color w:val="000000"/>
                <w:szCs w:val="22"/>
              </w:rPr>
              <w:t xml:space="preserve">Acting </w:t>
            </w:r>
            <w:r w:rsidR="00FE742E">
              <w:rPr>
                <w:color w:val="000000"/>
                <w:szCs w:val="22"/>
              </w:rPr>
              <w:t>Country Director:</w:t>
            </w:r>
          </w:p>
        </w:tc>
        <w:tc>
          <w:tcPr>
            <w:tcW w:w="360" w:type="dxa"/>
          </w:tcPr>
          <w:p w:rsidR="003F52A8" w:rsidRPr="00501BC4" w:rsidRDefault="003F52A8" w:rsidP="003F52A8">
            <w:pPr>
              <w:autoSpaceDE w:val="0"/>
              <w:autoSpaceDN w:val="0"/>
              <w:adjustRightInd w:val="0"/>
              <w:spacing w:line="240" w:lineRule="atLeast"/>
              <w:rPr>
                <w:color w:val="000000"/>
              </w:rPr>
            </w:pPr>
          </w:p>
        </w:tc>
        <w:tc>
          <w:tcPr>
            <w:tcW w:w="4548" w:type="dxa"/>
          </w:tcPr>
          <w:p w:rsidR="003F52A8" w:rsidRPr="00501BC4" w:rsidRDefault="005A16CA" w:rsidP="00E8424F">
            <w:pPr>
              <w:autoSpaceDE w:val="0"/>
              <w:autoSpaceDN w:val="0"/>
              <w:adjustRightInd w:val="0"/>
              <w:spacing w:line="240" w:lineRule="atLeast"/>
              <w:rPr>
                <w:color w:val="000000"/>
              </w:rPr>
            </w:pPr>
            <w:proofErr w:type="spellStart"/>
            <w:r w:rsidRPr="005A16CA">
              <w:rPr>
                <w:color w:val="000000"/>
              </w:rPr>
              <w:t>Sergiy</w:t>
            </w:r>
            <w:proofErr w:type="spellEnd"/>
            <w:r w:rsidRPr="005A16CA">
              <w:rPr>
                <w:color w:val="000000"/>
              </w:rPr>
              <w:t xml:space="preserve"> V. </w:t>
            </w:r>
            <w:proofErr w:type="spellStart"/>
            <w:r w:rsidRPr="005A16CA">
              <w:rPr>
                <w:color w:val="000000"/>
              </w:rPr>
              <w:t>Kulyk</w:t>
            </w:r>
            <w:proofErr w:type="spellEnd"/>
          </w:p>
        </w:tc>
      </w:tr>
      <w:tr w:rsidR="003F52A8" w:rsidTr="003F52A8">
        <w:tc>
          <w:tcPr>
            <w:tcW w:w="4668" w:type="dxa"/>
          </w:tcPr>
          <w:p w:rsidR="003F52A8" w:rsidRDefault="003F52A8" w:rsidP="003F52A8">
            <w:pPr>
              <w:autoSpaceDE w:val="0"/>
              <w:autoSpaceDN w:val="0"/>
              <w:adjustRightInd w:val="0"/>
              <w:spacing w:line="240" w:lineRule="atLeast"/>
              <w:jc w:val="right"/>
              <w:rPr>
                <w:color w:val="000000"/>
              </w:rPr>
            </w:pPr>
            <w:r>
              <w:rPr>
                <w:color w:val="000000"/>
                <w:szCs w:val="22"/>
              </w:rPr>
              <w:t>Country Manager</w:t>
            </w:r>
          </w:p>
        </w:tc>
        <w:tc>
          <w:tcPr>
            <w:tcW w:w="360" w:type="dxa"/>
          </w:tcPr>
          <w:p w:rsidR="003F52A8" w:rsidRDefault="003F52A8" w:rsidP="003F52A8">
            <w:pPr>
              <w:autoSpaceDE w:val="0"/>
              <w:autoSpaceDN w:val="0"/>
              <w:adjustRightInd w:val="0"/>
              <w:spacing w:line="240" w:lineRule="atLeast"/>
              <w:rPr>
                <w:color w:val="000000"/>
              </w:rPr>
            </w:pPr>
          </w:p>
        </w:tc>
        <w:tc>
          <w:tcPr>
            <w:tcW w:w="4548" w:type="dxa"/>
          </w:tcPr>
          <w:p w:rsidR="003F52A8" w:rsidRDefault="005A16CA" w:rsidP="005A16CA">
            <w:pPr>
              <w:autoSpaceDE w:val="0"/>
              <w:autoSpaceDN w:val="0"/>
              <w:adjustRightInd w:val="0"/>
              <w:spacing w:line="240" w:lineRule="atLeast"/>
              <w:rPr>
                <w:color w:val="000000"/>
              </w:rPr>
            </w:pPr>
            <w:proofErr w:type="spellStart"/>
            <w:r>
              <w:rPr>
                <w:color w:val="000000"/>
              </w:rPr>
              <w:t>Ohene</w:t>
            </w:r>
            <w:proofErr w:type="spellEnd"/>
            <w:r>
              <w:rPr>
                <w:color w:val="000000"/>
              </w:rPr>
              <w:t xml:space="preserve"> </w:t>
            </w:r>
            <w:proofErr w:type="spellStart"/>
            <w:r>
              <w:rPr>
                <w:color w:val="000000"/>
              </w:rPr>
              <w:t>Nyanin</w:t>
            </w:r>
            <w:proofErr w:type="spellEnd"/>
          </w:p>
        </w:tc>
      </w:tr>
      <w:tr w:rsidR="003F52A8" w:rsidTr="003F52A8">
        <w:tc>
          <w:tcPr>
            <w:tcW w:w="4668" w:type="dxa"/>
          </w:tcPr>
          <w:p w:rsidR="003F52A8" w:rsidRDefault="003F52A8" w:rsidP="003F52A8">
            <w:pPr>
              <w:autoSpaceDE w:val="0"/>
              <w:autoSpaceDN w:val="0"/>
              <w:adjustRightInd w:val="0"/>
              <w:spacing w:line="240" w:lineRule="atLeast"/>
              <w:jc w:val="right"/>
              <w:rPr>
                <w:color w:val="000000"/>
              </w:rPr>
            </w:pPr>
            <w:r>
              <w:rPr>
                <w:color w:val="000000"/>
                <w:szCs w:val="22"/>
              </w:rPr>
              <w:t>Sector Manager:</w:t>
            </w:r>
          </w:p>
        </w:tc>
        <w:tc>
          <w:tcPr>
            <w:tcW w:w="360" w:type="dxa"/>
          </w:tcPr>
          <w:p w:rsidR="003F52A8" w:rsidRDefault="003F52A8" w:rsidP="003F52A8">
            <w:pPr>
              <w:autoSpaceDE w:val="0"/>
              <w:autoSpaceDN w:val="0"/>
              <w:adjustRightInd w:val="0"/>
              <w:spacing w:line="240" w:lineRule="atLeast"/>
              <w:rPr>
                <w:color w:val="000000"/>
              </w:rPr>
            </w:pPr>
          </w:p>
        </w:tc>
        <w:tc>
          <w:tcPr>
            <w:tcW w:w="4548" w:type="dxa"/>
          </w:tcPr>
          <w:p w:rsidR="003F52A8" w:rsidRDefault="005A16CA" w:rsidP="005A16CA">
            <w:pPr>
              <w:autoSpaceDE w:val="0"/>
              <w:autoSpaceDN w:val="0"/>
              <w:adjustRightInd w:val="0"/>
              <w:spacing w:line="240" w:lineRule="atLeast"/>
              <w:rPr>
                <w:color w:val="000000"/>
              </w:rPr>
            </w:pPr>
            <w:proofErr w:type="spellStart"/>
            <w:r w:rsidRPr="005A16CA">
              <w:rPr>
                <w:color w:val="000000"/>
              </w:rPr>
              <w:t>Lucio</w:t>
            </w:r>
            <w:proofErr w:type="spellEnd"/>
            <w:r w:rsidRPr="005A16CA">
              <w:rPr>
                <w:color w:val="000000"/>
              </w:rPr>
              <w:t xml:space="preserve"> </w:t>
            </w:r>
            <w:proofErr w:type="spellStart"/>
            <w:r w:rsidRPr="005A16CA">
              <w:rPr>
                <w:color w:val="000000"/>
              </w:rPr>
              <w:t>Monari</w:t>
            </w:r>
            <w:proofErr w:type="spellEnd"/>
            <w:r w:rsidRPr="005A16CA">
              <w:rPr>
                <w:color w:val="000000"/>
              </w:rPr>
              <w:t xml:space="preserve"> </w:t>
            </w:r>
          </w:p>
        </w:tc>
      </w:tr>
      <w:tr w:rsidR="003F52A8" w:rsidTr="003F52A8">
        <w:tc>
          <w:tcPr>
            <w:tcW w:w="4668" w:type="dxa"/>
          </w:tcPr>
          <w:p w:rsidR="003F52A8" w:rsidRDefault="003F52A8" w:rsidP="003F52A8">
            <w:pPr>
              <w:autoSpaceDE w:val="0"/>
              <w:autoSpaceDN w:val="0"/>
              <w:adjustRightInd w:val="0"/>
              <w:spacing w:line="240" w:lineRule="atLeast"/>
              <w:jc w:val="right"/>
              <w:rPr>
                <w:color w:val="000000"/>
              </w:rPr>
            </w:pPr>
            <w:r>
              <w:rPr>
                <w:color w:val="000000"/>
                <w:szCs w:val="22"/>
              </w:rPr>
              <w:t>Task Team Leader:</w:t>
            </w:r>
          </w:p>
        </w:tc>
        <w:tc>
          <w:tcPr>
            <w:tcW w:w="360" w:type="dxa"/>
          </w:tcPr>
          <w:p w:rsidR="003F52A8" w:rsidRDefault="003F52A8" w:rsidP="003F52A8">
            <w:pPr>
              <w:autoSpaceDE w:val="0"/>
              <w:autoSpaceDN w:val="0"/>
              <w:adjustRightInd w:val="0"/>
              <w:spacing w:line="240" w:lineRule="atLeast"/>
              <w:rPr>
                <w:color w:val="000000"/>
              </w:rPr>
            </w:pPr>
          </w:p>
        </w:tc>
        <w:tc>
          <w:tcPr>
            <w:tcW w:w="4548" w:type="dxa"/>
          </w:tcPr>
          <w:p w:rsidR="003F52A8" w:rsidRDefault="005A16CA" w:rsidP="005C72B4">
            <w:pPr>
              <w:autoSpaceDE w:val="0"/>
              <w:autoSpaceDN w:val="0"/>
              <w:adjustRightInd w:val="0"/>
              <w:spacing w:line="240" w:lineRule="atLeast"/>
              <w:rPr>
                <w:color w:val="000000"/>
              </w:rPr>
            </w:pPr>
            <w:r w:rsidRPr="005A16CA">
              <w:rPr>
                <w:color w:val="000000"/>
              </w:rPr>
              <w:t xml:space="preserve">Fanny </w:t>
            </w:r>
            <w:proofErr w:type="spellStart"/>
            <w:r w:rsidRPr="005A16CA">
              <w:rPr>
                <w:color w:val="000000"/>
              </w:rPr>
              <w:t>Missfeldt-Ringius</w:t>
            </w:r>
            <w:proofErr w:type="spellEnd"/>
          </w:p>
        </w:tc>
      </w:tr>
      <w:tr w:rsidR="003A33B6" w:rsidTr="003F52A8">
        <w:tc>
          <w:tcPr>
            <w:tcW w:w="4668" w:type="dxa"/>
          </w:tcPr>
          <w:p w:rsidR="003A33B6" w:rsidRDefault="00E26D69" w:rsidP="00E26D69">
            <w:pPr>
              <w:autoSpaceDE w:val="0"/>
              <w:autoSpaceDN w:val="0"/>
              <w:adjustRightInd w:val="0"/>
              <w:spacing w:line="240" w:lineRule="atLeast"/>
              <w:jc w:val="right"/>
              <w:rPr>
                <w:color w:val="000000"/>
                <w:szCs w:val="22"/>
              </w:rPr>
            </w:pPr>
            <w:r>
              <w:rPr>
                <w:color w:val="000000"/>
                <w:szCs w:val="22"/>
              </w:rPr>
              <w:t>Program Assistant:</w:t>
            </w:r>
          </w:p>
        </w:tc>
        <w:tc>
          <w:tcPr>
            <w:tcW w:w="360" w:type="dxa"/>
          </w:tcPr>
          <w:p w:rsidR="003A33B6" w:rsidRDefault="003A33B6" w:rsidP="003F52A8">
            <w:pPr>
              <w:autoSpaceDE w:val="0"/>
              <w:autoSpaceDN w:val="0"/>
              <w:adjustRightInd w:val="0"/>
              <w:spacing w:line="240" w:lineRule="atLeast"/>
              <w:rPr>
                <w:color w:val="000000"/>
              </w:rPr>
            </w:pPr>
          </w:p>
        </w:tc>
        <w:tc>
          <w:tcPr>
            <w:tcW w:w="4548" w:type="dxa"/>
          </w:tcPr>
          <w:p w:rsidR="003A33B6" w:rsidRPr="005A16CA" w:rsidRDefault="004C712D" w:rsidP="005C72B4">
            <w:pPr>
              <w:autoSpaceDE w:val="0"/>
              <w:autoSpaceDN w:val="0"/>
              <w:adjustRightInd w:val="0"/>
              <w:spacing w:line="240" w:lineRule="atLeast"/>
              <w:rPr>
                <w:color w:val="000000"/>
              </w:rPr>
            </w:pPr>
            <w:proofErr w:type="spellStart"/>
            <w:r>
              <w:rPr>
                <w:color w:val="000000"/>
              </w:rPr>
              <w:t>Raima</w:t>
            </w:r>
            <w:proofErr w:type="spellEnd"/>
            <w:r>
              <w:rPr>
                <w:color w:val="000000"/>
              </w:rPr>
              <w:t xml:space="preserve"> Naomi </w:t>
            </w:r>
            <w:proofErr w:type="spellStart"/>
            <w:r>
              <w:rPr>
                <w:color w:val="000000"/>
              </w:rPr>
              <w:t>Oyeneyin</w:t>
            </w:r>
            <w:proofErr w:type="spellEnd"/>
          </w:p>
        </w:tc>
      </w:tr>
    </w:tbl>
    <w:p w:rsidR="003A33B6" w:rsidRDefault="003A33B6" w:rsidP="005A16CA">
      <w:pPr>
        <w:pStyle w:val="Header"/>
        <w:tabs>
          <w:tab w:val="clear" w:pos="4320"/>
          <w:tab w:val="clear" w:pos="8640"/>
        </w:tabs>
        <w:ind w:left="1440"/>
      </w:pPr>
    </w:p>
    <w:p w:rsidR="003A33B6" w:rsidRDefault="003A33B6" w:rsidP="005A16CA">
      <w:pPr>
        <w:pStyle w:val="Header"/>
        <w:tabs>
          <w:tab w:val="clear" w:pos="4320"/>
          <w:tab w:val="clear" w:pos="8640"/>
        </w:tabs>
        <w:ind w:left="1440"/>
        <w:sectPr w:rsidR="003A33B6" w:rsidSect="003A33B6">
          <w:footerReference w:type="default" r:id="rId11"/>
          <w:pgSz w:w="12240" w:h="15840" w:code="1"/>
          <w:pgMar w:top="720" w:right="1440" w:bottom="720" w:left="720" w:header="720" w:footer="720" w:gutter="0"/>
          <w:pgNumType w:fmt="lowerRoman" w:start="1"/>
          <w:cols w:space="720"/>
          <w:docGrid w:linePitch="360"/>
        </w:sectPr>
      </w:pPr>
    </w:p>
    <w:p w:rsidR="003F52A8" w:rsidRDefault="003F52A8" w:rsidP="003F52A8">
      <w:pPr>
        <w:pStyle w:val="Header"/>
        <w:tabs>
          <w:tab w:val="clear" w:pos="4320"/>
          <w:tab w:val="clear" w:pos="8640"/>
        </w:tabs>
        <w:ind w:left="1440"/>
      </w:pPr>
    </w:p>
    <w:p w:rsidR="003F52A8" w:rsidRPr="00D13B01" w:rsidRDefault="003F52A8" w:rsidP="003F52A8">
      <w:pPr>
        <w:tabs>
          <w:tab w:val="left" w:pos="1620"/>
        </w:tabs>
        <w:jc w:val="center"/>
        <w:rPr>
          <w:b/>
          <w:bCs/>
          <w:caps/>
        </w:rPr>
      </w:pPr>
      <w:r>
        <w:rPr>
          <w:b/>
          <w:bCs/>
          <w:caps/>
        </w:rPr>
        <w:t>COUNTRY</w:t>
      </w:r>
    </w:p>
    <w:p w:rsidR="003F52A8" w:rsidRPr="00D13B01" w:rsidRDefault="003F52A8" w:rsidP="003F52A8">
      <w:pPr>
        <w:tabs>
          <w:tab w:val="left" w:pos="1620"/>
        </w:tabs>
        <w:jc w:val="center"/>
        <w:rPr>
          <w:b/>
          <w:iCs/>
          <w:caps/>
        </w:rPr>
      </w:pPr>
    </w:p>
    <w:p w:rsidR="003F52A8" w:rsidRDefault="003F52A8" w:rsidP="003F52A8">
      <w:pPr>
        <w:tabs>
          <w:tab w:val="left" w:pos="1620"/>
        </w:tabs>
        <w:jc w:val="center"/>
        <w:rPr>
          <w:b/>
          <w:bCs/>
          <w:caps/>
        </w:rPr>
      </w:pPr>
      <w:r>
        <w:rPr>
          <w:b/>
          <w:bCs/>
          <w:caps/>
        </w:rPr>
        <w:t>PROJECT NAME</w:t>
      </w:r>
    </w:p>
    <w:p w:rsidR="003F52A8" w:rsidRDefault="003F52A8" w:rsidP="003F52A8">
      <w:pPr>
        <w:tabs>
          <w:tab w:val="left" w:pos="1620"/>
        </w:tabs>
        <w:jc w:val="center"/>
        <w:rPr>
          <w:b/>
          <w:bCs/>
          <w:caps/>
        </w:rPr>
      </w:pPr>
    </w:p>
    <w:p w:rsidR="003F52A8" w:rsidRDefault="003F52A8" w:rsidP="003F52A8">
      <w:pPr>
        <w:tabs>
          <w:tab w:val="left" w:pos="1620"/>
        </w:tabs>
        <w:jc w:val="center"/>
        <w:rPr>
          <w:b/>
          <w:bCs/>
          <w:caps/>
        </w:rPr>
      </w:pPr>
      <w:r>
        <w:rPr>
          <w:b/>
          <w:bCs/>
          <w:caps/>
        </w:rPr>
        <w:t>contents</w:t>
      </w:r>
    </w:p>
    <w:p w:rsidR="00500A28" w:rsidRPr="00D13B01" w:rsidRDefault="00500A28" w:rsidP="003F52A8">
      <w:pPr>
        <w:tabs>
          <w:tab w:val="left" w:pos="1620"/>
        </w:tabs>
        <w:jc w:val="center"/>
        <w:rPr>
          <w:b/>
          <w:bCs/>
          <w:caps/>
        </w:rPr>
      </w:pPr>
    </w:p>
    <w:p w:rsidR="00500A28" w:rsidRPr="00500A28" w:rsidRDefault="00500A28" w:rsidP="00500A28">
      <w:pPr>
        <w:spacing w:line="360" w:lineRule="auto"/>
        <w:jc w:val="center"/>
        <w:rPr>
          <w:b/>
          <w:bCs/>
          <w:color w:val="000000"/>
          <w:szCs w:val="20"/>
        </w:rPr>
      </w:pPr>
      <w:r w:rsidRPr="00500A28">
        <w:rPr>
          <w:b/>
          <w:bCs/>
          <w:color w:val="000000"/>
          <w:szCs w:val="20"/>
        </w:rPr>
        <w:t>Project Paper</w:t>
      </w:r>
    </w:p>
    <w:p w:rsidR="003F52A8" w:rsidRDefault="003F52A8" w:rsidP="003F52A8">
      <w:pPr>
        <w:spacing w:line="360" w:lineRule="auto"/>
        <w:rPr>
          <w:b/>
          <w:bCs/>
          <w:color w:val="000000"/>
          <w:szCs w:val="20"/>
        </w:rPr>
      </w:pPr>
    </w:p>
    <w:p w:rsidR="00500A28" w:rsidRDefault="00500A28" w:rsidP="003F52A8">
      <w:pPr>
        <w:spacing w:line="360" w:lineRule="auto"/>
        <w:rPr>
          <w:b/>
          <w:bCs/>
          <w:color w:val="000000"/>
          <w:szCs w:val="20"/>
        </w:rPr>
      </w:pPr>
    </w:p>
    <w:p w:rsidR="00500A28" w:rsidRDefault="00500A28" w:rsidP="003F52A8">
      <w:pPr>
        <w:spacing w:line="360" w:lineRule="auto"/>
        <w:rPr>
          <w:b/>
          <w:bCs/>
          <w:color w:val="000000"/>
          <w:szCs w:val="20"/>
        </w:rPr>
      </w:pPr>
    </w:p>
    <w:p w:rsidR="00390F69" w:rsidRDefault="00D526C8">
      <w:pPr>
        <w:pStyle w:val="TOC1"/>
        <w:tabs>
          <w:tab w:val="right" w:leader="dot" w:pos="10070"/>
        </w:tabs>
        <w:rPr>
          <w:rFonts w:ascii="Calibri" w:hAnsi="Calibri"/>
          <w:noProof/>
          <w:sz w:val="22"/>
          <w:szCs w:val="22"/>
        </w:rPr>
      </w:pPr>
      <w:r>
        <w:rPr>
          <w:b/>
          <w:bCs/>
          <w:color w:val="000000"/>
          <w:szCs w:val="20"/>
        </w:rPr>
        <w:fldChar w:fldCharType="begin"/>
      </w:r>
      <w:r w:rsidR="003D2522">
        <w:rPr>
          <w:b/>
          <w:bCs/>
          <w:color w:val="000000"/>
          <w:szCs w:val="20"/>
        </w:rPr>
        <w:instrText xml:space="preserve"> TOC \o "1-1" \h \z \u </w:instrText>
      </w:r>
      <w:r>
        <w:rPr>
          <w:b/>
          <w:bCs/>
          <w:color w:val="000000"/>
          <w:szCs w:val="20"/>
        </w:rPr>
        <w:fldChar w:fldCharType="separate"/>
      </w:r>
      <w:hyperlink w:anchor="_Toc308712763" w:history="1">
        <w:r w:rsidR="00390F69" w:rsidRPr="006E10FC">
          <w:rPr>
            <w:rStyle w:val="Hyperlink"/>
            <w:noProof/>
          </w:rPr>
          <w:t>I.  Introduction</w:t>
        </w:r>
        <w:r w:rsidR="00390F69">
          <w:rPr>
            <w:noProof/>
            <w:webHidden/>
          </w:rPr>
          <w:tab/>
        </w:r>
        <w:r>
          <w:rPr>
            <w:noProof/>
            <w:webHidden/>
          </w:rPr>
          <w:fldChar w:fldCharType="begin"/>
        </w:r>
        <w:r w:rsidR="00390F69">
          <w:rPr>
            <w:noProof/>
            <w:webHidden/>
          </w:rPr>
          <w:instrText xml:space="preserve"> PAGEREF _Toc308712763 \h </w:instrText>
        </w:r>
        <w:r>
          <w:rPr>
            <w:noProof/>
            <w:webHidden/>
          </w:rPr>
        </w:r>
        <w:r>
          <w:rPr>
            <w:noProof/>
            <w:webHidden/>
          </w:rPr>
          <w:fldChar w:fldCharType="separate"/>
        </w:r>
        <w:r w:rsidR="00F67F4A">
          <w:rPr>
            <w:noProof/>
            <w:webHidden/>
          </w:rPr>
          <w:t>1</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64" w:history="1">
        <w:r w:rsidR="00390F69" w:rsidRPr="006E10FC">
          <w:rPr>
            <w:rStyle w:val="Hyperlink"/>
            <w:noProof/>
          </w:rPr>
          <w:t>II.  Background and Rationale for Additional Financing in the amount of US$22 million.</w:t>
        </w:r>
        <w:r w:rsidR="00390F69">
          <w:rPr>
            <w:noProof/>
            <w:webHidden/>
          </w:rPr>
          <w:tab/>
        </w:r>
        <w:r>
          <w:rPr>
            <w:noProof/>
            <w:webHidden/>
          </w:rPr>
          <w:fldChar w:fldCharType="begin"/>
        </w:r>
        <w:r w:rsidR="00390F69">
          <w:rPr>
            <w:noProof/>
            <w:webHidden/>
          </w:rPr>
          <w:instrText xml:space="preserve"> PAGEREF _Toc308712764 \h </w:instrText>
        </w:r>
        <w:r>
          <w:rPr>
            <w:noProof/>
            <w:webHidden/>
          </w:rPr>
        </w:r>
        <w:r>
          <w:rPr>
            <w:noProof/>
            <w:webHidden/>
          </w:rPr>
          <w:fldChar w:fldCharType="separate"/>
        </w:r>
        <w:r w:rsidR="00F67F4A">
          <w:rPr>
            <w:noProof/>
            <w:webHidden/>
          </w:rPr>
          <w:t>1</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65" w:history="1">
        <w:r w:rsidR="00390F69" w:rsidRPr="006E10FC">
          <w:rPr>
            <w:rStyle w:val="Hyperlink"/>
            <w:noProof/>
          </w:rPr>
          <w:t>III.  Proposed Changes</w:t>
        </w:r>
        <w:r w:rsidR="00390F69">
          <w:rPr>
            <w:noProof/>
            <w:webHidden/>
          </w:rPr>
          <w:tab/>
        </w:r>
        <w:r>
          <w:rPr>
            <w:noProof/>
            <w:webHidden/>
          </w:rPr>
          <w:fldChar w:fldCharType="begin"/>
        </w:r>
        <w:r w:rsidR="00390F69">
          <w:rPr>
            <w:noProof/>
            <w:webHidden/>
          </w:rPr>
          <w:instrText xml:space="preserve"> PAGEREF _Toc308712765 \h </w:instrText>
        </w:r>
        <w:r>
          <w:rPr>
            <w:noProof/>
            <w:webHidden/>
          </w:rPr>
        </w:r>
        <w:r>
          <w:rPr>
            <w:noProof/>
            <w:webHidden/>
          </w:rPr>
          <w:fldChar w:fldCharType="separate"/>
        </w:r>
        <w:r w:rsidR="00F67F4A">
          <w:rPr>
            <w:noProof/>
            <w:webHidden/>
          </w:rPr>
          <w:t>7</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66" w:history="1">
        <w:r w:rsidR="00390F69" w:rsidRPr="006E10FC">
          <w:rPr>
            <w:rStyle w:val="Hyperlink"/>
            <w:noProof/>
          </w:rPr>
          <w:t>IV.  Appraisal Summary</w:t>
        </w:r>
        <w:r w:rsidR="00390F69">
          <w:rPr>
            <w:noProof/>
            <w:webHidden/>
          </w:rPr>
          <w:tab/>
        </w:r>
        <w:r>
          <w:rPr>
            <w:noProof/>
            <w:webHidden/>
          </w:rPr>
          <w:fldChar w:fldCharType="begin"/>
        </w:r>
        <w:r w:rsidR="00390F69">
          <w:rPr>
            <w:noProof/>
            <w:webHidden/>
          </w:rPr>
          <w:instrText xml:space="preserve"> PAGEREF _Toc308712766 \h </w:instrText>
        </w:r>
        <w:r>
          <w:rPr>
            <w:noProof/>
            <w:webHidden/>
          </w:rPr>
        </w:r>
        <w:r>
          <w:rPr>
            <w:noProof/>
            <w:webHidden/>
          </w:rPr>
          <w:fldChar w:fldCharType="separate"/>
        </w:r>
        <w:r w:rsidR="00F67F4A">
          <w:rPr>
            <w:noProof/>
            <w:webHidden/>
          </w:rPr>
          <w:t>9</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67" w:history="1">
        <w:r w:rsidR="00390F69" w:rsidRPr="006E10FC">
          <w:rPr>
            <w:rStyle w:val="Hyperlink"/>
            <w:noProof/>
          </w:rPr>
          <w:t>Annex 1:  Results Framework and Monitoring</w:t>
        </w:r>
        <w:r w:rsidR="00390F69">
          <w:rPr>
            <w:noProof/>
            <w:webHidden/>
          </w:rPr>
          <w:tab/>
        </w:r>
        <w:r>
          <w:rPr>
            <w:noProof/>
            <w:webHidden/>
          </w:rPr>
          <w:fldChar w:fldCharType="begin"/>
        </w:r>
        <w:r w:rsidR="00390F69">
          <w:rPr>
            <w:noProof/>
            <w:webHidden/>
          </w:rPr>
          <w:instrText xml:space="preserve"> PAGEREF _Toc308712767 \h </w:instrText>
        </w:r>
        <w:r>
          <w:rPr>
            <w:noProof/>
            <w:webHidden/>
          </w:rPr>
        </w:r>
        <w:r>
          <w:rPr>
            <w:noProof/>
            <w:webHidden/>
          </w:rPr>
          <w:fldChar w:fldCharType="separate"/>
        </w:r>
        <w:r w:rsidR="00F67F4A">
          <w:rPr>
            <w:noProof/>
            <w:webHidden/>
          </w:rPr>
          <w:t>12</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68" w:history="1">
        <w:r w:rsidR="00390F69" w:rsidRPr="006E10FC">
          <w:rPr>
            <w:rStyle w:val="Hyperlink"/>
            <w:noProof/>
          </w:rPr>
          <w:t>Annex 2: Operational Risk Assessment Framework (ORAF)</w:t>
        </w:r>
        <w:r w:rsidR="00390F69">
          <w:rPr>
            <w:noProof/>
            <w:webHidden/>
          </w:rPr>
          <w:tab/>
        </w:r>
        <w:r>
          <w:rPr>
            <w:noProof/>
            <w:webHidden/>
          </w:rPr>
          <w:fldChar w:fldCharType="begin"/>
        </w:r>
        <w:r w:rsidR="00390F69">
          <w:rPr>
            <w:noProof/>
            <w:webHidden/>
          </w:rPr>
          <w:instrText xml:space="preserve"> PAGEREF _Toc308712768 \h </w:instrText>
        </w:r>
        <w:r>
          <w:rPr>
            <w:noProof/>
            <w:webHidden/>
          </w:rPr>
        </w:r>
        <w:r>
          <w:rPr>
            <w:noProof/>
            <w:webHidden/>
          </w:rPr>
          <w:fldChar w:fldCharType="separate"/>
        </w:r>
        <w:r w:rsidR="00F67F4A">
          <w:rPr>
            <w:noProof/>
            <w:webHidden/>
          </w:rPr>
          <w:t>16</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69" w:history="1">
        <w:r w:rsidR="00390F69" w:rsidRPr="006E10FC">
          <w:rPr>
            <w:rStyle w:val="Hyperlink"/>
            <w:noProof/>
          </w:rPr>
          <w:t>Annex 3:  Detailed Description of Modified or New Project Activities</w:t>
        </w:r>
        <w:r w:rsidR="00390F69">
          <w:rPr>
            <w:noProof/>
            <w:webHidden/>
          </w:rPr>
          <w:tab/>
        </w:r>
        <w:r>
          <w:rPr>
            <w:noProof/>
            <w:webHidden/>
          </w:rPr>
          <w:fldChar w:fldCharType="begin"/>
        </w:r>
        <w:r w:rsidR="00390F69">
          <w:rPr>
            <w:noProof/>
            <w:webHidden/>
          </w:rPr>
          <w:instrText xml:space="preserve"> PAGEREF _Toc308712769 \h </w:instrText>
        </w:r>
        <w:r>
          <w:rPr>
            <w:noProof/>
            <w:webHidden/>
          </w:rPr>
        </w:r>
        <w:r>
          <w:rPr>
            <w:noProof/>
            <w:webHidden/>
          </w:rPr>
          <w:fldChar w:fldCharType="separate"/>
        </w:r>
        <w:r w:rsidR="00F67F4A">
          <w:rPr>
            <w:noProof/>
            <w:webHidden/>
          </w:rPr>
          <w:t>25</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70" w:history="1">
        <w:r w:rsidR="00390F69" w:rsidRPr="006E10FC">
          <w:rPr>
            <w:rStyle w:val="Hyperlink"/>
            <w:noProof/>
          </w:rPr>
          <w:t>Annex 4:  GEF Co-Financing for Component C:</w:t>
        </w:r>
        <w:r w:rsidR="00390F69">
          <w:rPr>
            <w:noProof/>
            <w:webHidden/>
          </w:rPr>
          <w:tab/>
        </w:r>
        <w:r>
          <w:rPr>
            <w:noProof/>
            <w:webHidden/>
          </w:rPr>
          <w:fldChar w:fldCharType="begin"/>
        </w:r>
        <w:r w:rsidR="00390F69">
          <w:rPr>
            <w:noProof/>
            <w:webHidden/>
          </w:rPr>
          <w:instrText xml:space="preserve"> PAGEREF _Toc308712770 \h </w:instrText>
        </w:r>
        <w:r>
          <w:rPr>
            <w:noProof/>
            <w:webHidden/>
          </w:rPr>
        </w:r>
        <w:r>
          <w:rPr>
            <w:noProof/>
            <w:webHidden/>
          </w:rPr>
          <w:fldChar w:fldCharType="separate"/>
        </w:r>
        <w:r w:rsidR="00F67F4A">
          <w:rPr>
            <w:noProof/>
            <w:webHidden/>
          </w:rPr>
          <w:t>31</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71" w:history="1">
        <w:r w:rsidR="00390F69" w:rsidRPr="006E10FC">
          <w:rPr>
            <w:rStyle w:val="Hyperlink"/>
            <w:noProof/>
          </w:rPr>
          <w:t>Providing Modern Renewable Energy Services to Off-Grid Users</w:t>
        </w:r>
        <w:r w:rsidR="00390F69">
          <w:rPr>
            <w:noProof/>
            <w:webHidden/>
          </w:rPr>
          <w:tab/>
        </w:r>
        <w:r>
          <w:rPr>
            <w:noProof/>
            <w:webHidden/>
          </w:rPr>
          <w:fldChar w:fldCharType="begin"/>
        </w:r>
        <w:r w:rsidR="00390F69">
          <w:rPr>
            <w:noProof/>
            <w:webHidden/>
          </w:rPr>
          <w:instrText xml:space="preserve"> PAGEREF _Toc308712771 \h </w:instrText>
        </w:r>
        <w:r>
          <w:rPr>
            <w:noProof/>
            <w:webHidden/>
          </w:rPr>
        </w:r>
        <w:r>
          <w:rPr>
            <w:noProof/>
            <w:webHidden/>
          </w:rPr>
          <w:fldChar w:fldCharType="separate"/>
        </w:r>
        <w:r w:rsidR="00F67F4A">
          <w:rPr>
            <w:noProof/>
            <w:webHidden/>
          </w:rPr>
          <w:t>31</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72" w:history="1">
        <w:r w:rsidR="00390F69" w:rsidRPr="006E10FC">
          <w:rPr>
            <w:rStyle w:val="Hyperlink"/>
            <w:noProof/>
          </w:rPr>
          <w:t>Annex 5A.  Financial analysis</w:t>
        </w:r>
        <w:r w:rsidR="00390F69">
          <w:rPr>
            <w:noProof/>
            <w:webHidden/>
          </w:rPr>
          <w:tab/>
        </w:r>
        <w:r>
          <w:rPr>
            <w:noProof/>
            <w:webHidden/>
          </w:rPr>
          <w:fldChar w:fldCharType="begin"/>
        </w:r>
        <w:r w:rsidR="00390F69">
          <w:rPr>
            <w:noProof/>
            <w:webHidden/>
          </w:rPr>
          <w:instrText xml:space="preserve"> PAGEREF _Toc308712772 \h </w:instrText>
        </w:r>
        <w:r>
          <w:rPr>
            <w:noProof/>
            <w:webHidden/>
          </w:rPr>
        </w:r>
        <w:r>
          <w:rPr>
            <w:noProof/>
            <w:webHidden/>
          </w:rPr>
          <w:fldChar w:fldCharType="separate"/>
        </w:r>
        <w:r w:rsidR="00F67F4A">
          <w:rPr>
            <w:noProof/>
            <w:webHidden/>
          </w:rPr>
          <w:t>51</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73" w:history="1">
        <w:r w:rsidR="00390F69" w:rsidRPr="006E10FC">
          <w:rPr>
            <w:rStyle w:val="Hyperlink"/>
            <w:noProof/>
          </w:rPr>
          <w:t>Annex 5B.  Financial Management and Disbursement Arrangements</w:t>
        </w:r>
        <w:r w:rsidR="00390F69">
          <w:rPr>
            <w:noProof/>
            <w:webHidden/>
          </w:rPr>
          <w:tab/>
        </w:r>
        <w:r>
          <w:rPr>
            <w:noProof/>
            <w:webHidden/>
          </w:rPr>
          <w:fldChar w:fldCharType="begin"/>
        </w:r>
        <w:r w:rsidR="00390F69">
          <w:rPr>
            <w:noProof/>
            <w:webHidden/>
          </w:rPr>
          <w:instrText xml:space="preserve"> PAGEREF _Toc308712773 \h </w:instrText>
        </w:r>
        <w:r>
          <w:rPr>
            <w:noProof/>
            <w:webHidden/>
          </w:rPr>
        </w:r>
        <w:r>
          <w:rPr>
            <w:noProof/>
            <w:webHidden/>
          </w:rPr>
          <w:fldChar w:fldCharType="separate"/>
        </w:r>
        <w:r w:rsidR="00F67F4A">
          <w:rPr>
            <w:noProof/>
            <w:webHidden/>
          </w:rPr>
          <w:t>55</w:t>
        </w:r>
        <w:r>
          <w:rPr>
            <w:noProof/>
            <w:webHidden/>
          </w:rPr>
          <w:fldChar w:fldCharType="end"/>
        </w:r>
      </w:hyperlink>
    </w:p>
    <w:p w:rsidR="00390F69" w:rsidRDefault="00D526C8">
      <w:pPr>
        <w:pStyle w:val="TOC1"/>
        <w:tabs>
          <w:tab w:val="right" w:leader="dot" w:pos="10070"/>
        </w:tabs>
        <w:rPr>
          <w:rFonts w:ascii="Calibri" w:hAnsi="Calibri"/>
          <w:noProof/>
          <w:sz w:val="22"/>
          <w:szCs w:val="22"/>
        </w:rPr>
      </w:pPr>
      <w:hyperlink w:anchor="_Toc308712774" w:history="1">
        <w:r w:rsidR="00390F69" w:rsidRPr="006E10FC">
          <w:rPr>
            <w:rStyle w:val="Hyperlink"/>
            <w:noProof/>
          </w:rPr>
          <w:t>Annex 6.  Procurement Assessment</w:t>
        </w:r>
        <w:r w:rsidR="00390F69">
          <w:rPr>
            <w:noProof/>
            <w:webHidden/>
          </w:rPr>
          <w:tab/>
        </w:r>
        <w:r>
          <w:rPr>
            <w:noProof/>
            <w:webHidden/>
          </w:rPr>
          <w:fldChar w:fldCharType="begin"/>
        </w:r>
        <w:r w:rsidR="00390F69">
          <w:rPr>
            <w:noProof/>
            <w:webHidden/>
          </w:rPr>
          <w:instrText xml:space="preserve"> PAGEREF _Toc308712774 \h </w:instrText>
        </w:r>
        <w:r>
          <w:rPr>
            <w:noProof/>
            <w:webHidden/>
          </w:rPr>
        </w:r>
        <w:r>
          <w:rPr>
            <w:noProof/>
            <w:webHidden/>
          </w:rPr>
          <w:fldChar w:fldCharType="separate"/>
        </w:r>
        <w:r w:rsidR="00F67F4A">
          <w:rPr>
            <w:noProof/>
            <w:webHidden/>
          </w:rPr>
          <w:t>62</w:t>
        </w:r>
        <w:r>
          <w:rPr>
            <w:noProof/>
            <w:webHidden/>
          </w:rPr>
          <w:fldChar w:fldCharType="end"/>
        </w:r>
      </w:hyperlink>
    </w:p>
    <w:p w:rsidR="003D2522" w:rsidRDefault="00D526C8" w:rsidP="003F52A8">
      <w:pPr>
        <w:spacing w:line="360" w:lineRule="auto"/>
        <w:rPr>
          <w:b/>
          <w:bCs/>
          <w:color w:val="000000"/>
          <w:szCs w:val="20"/>
        </w:rPr>
      </w:pPr>
      <w:r>
        <w:rPr>
          <w:b/>
          <w:bCs/>
          <w:color w:val="000000"/>
          <w:szCs w:val="20"/>
        </w:rPr>
        <w:fldChar w:fldCharType="end"/>
      </w:r>
    </w:p>
    <w:p w:rsidR="00500A28" w:rsidRDefault="00500A28" w:rsidP="003F52A8">
      <w:pPr>
        <w:spacing w:line="360" w:lineRule="auto"/>
        <w:rPr>
          <w:b/>
          <w:bCs/>
          <w:color w:val="000000"/>
          <w:szCs w:val="20"/>
        </w:rPr>
      </w:pPr>
    </w:p>
    <w:p w:rsidR="003F52A8" w:rsidRDefault="003F52A8" w:rsidP="003F52A8">
      <w:pPr>
        <w:ind w:left="1800"/>
        <w:rPr>
          <w:bCs/>
          <w:color w:val="000000"/>
          <w:szCs w:val="20"/>
        </w:rPr>
      </w:pPr>
      <w:r>
        <w:rPr>
          <w:bCs/>
          <w:color w:val="000000"/>
          <w:szCs w:val="20"/>
        </w:rPr>
        <w:br w:type="page"/>
      </w:r>
    </w:p>
    <w:p w:rsidR="003A33B6" w:rsidRDefault="003A33B6" w:rsidP="003F52A8">
      <w:pPr>
        <w:ind w:left="1800"/>
        <w:rPr>
          <w:bCs/>
          <w:color w:val="000000"/>
          <w:szCs w:val="20"/>
        </w:rPr>
      </w:pPr>
    </w:p>
    <w:p w:rsidR="003A33B6" w:rsidRDefault="003A33B6" w:rsidP="003F52A8">
      <w:pPr>
        <w:ind w:left="1800"/>
        <w:rPr>
          <w:bCs/>
          <w:color w:val="000000"/>
          <w:szCs w:val="20"/>
        </w:rPr>
      </w:pPr>
    </w:p>
    <w:p w:rsidR="003F52A8" w:rsidRPr="00D13B01" w:rsidRDefault="0097313F" w:rsidP="003F52A8">
      <w:pPr>
        <w:tabs>
          <w:tab w:val="left" w:pos="1620"/>
        </w:tabs>
        <w:jc w:val="center"/>
        <w:rPr>
          <w:b/>
          <w:bCs/>
          <w:caps/>
        </w:rPr>
      </w:pPr>
      <w:r>
        <w:rPr>
          <w:b/>
          <w:bCs/>
          <w:caps/>
        </w:rPr>
        <w:t xml:space="preserve">Liberia </w:t>
      </w:r>
    </w:p>
    <w:p w:rsidR="003F52A8" w:rsidRPr="00D13B01" w:rsidRDefault="003F52A8" w:rsidP="003F52A8">
      <w:pPr>
        <w:tabs>
          <w:tab w:val="left" w:pos="1620"/>
        </w:tabs>
        <w:jc w:val="center"/>
        <w:rPr>
          <w:b/>
          <w:iCs/>
          <w:caps/>
        </w:rPr>
      </w:pPr>
    </w:p>
    <w:p w:rsidR="003F52A8" w:rsidRPr="00D13B01" w:rsidRDefault="0097313F" w:rsidP="003F52A8">
      <w:pPr>
        <w:jc w:val="center"/>
        <w:rPr>
          <w:rFonts w:ascii="Times New Roman Bold" w:hAnsi="Times New Roman Bold"/>
          <w:b/>
          <w:caps/>
        </w:rPr>
      </w:pPr>
      <w:r w:rsidRPr="0097313F">
        <w:rPr>
          <w:b/>
          <w:bCs/>
          <w:caps/>
        </w:rPr>
        <w:t>Electricity System Enhancement Project</w:t>
      </w:r>
    </w:p>
    <w:p w:rsidR="003F52A8" w:rsidRDefault="003F52A8" w:rsidP="003D2522">
      <w:pPr>
        <w:jc w:val="center"/>
        <w:rPr>
          <w:b/>
        </w:rPr>
      </w:pPr>
      <w:r w:rsidRPr="003D2522">
        <w:rPr>
          <w:b/>
        </w:rPr>
        <w:t xml:space="preserve">ADDITIONAL FINANCING </w:t>
      </w:r>
      <w:r w:rsidR="003D2522">
        <w:rPr>
          <w:b/>
        </w:rPr>
        <w:t>Data SHEE</w:t>
      </w:r>
      <w:r w:rsidRPr="003D2522">
        <w:rPr>
          <w:b/>
        </w:rPr>
        <w:t>T</w:t>
      </w:r>
    </w:p>
    <w:p w:rsidR="003D2522" w:rsidRPr="003D2522" w:rsidRDefault="003D2522" w:rsidP="003D2522">
      <w:pPr>
        <w:jc w:val="center"/>
        <w:rPr>
          <w:b/>
        </w:rPr>
      </w:pPr>
    </w:p>
    <w:p w:rsidR="003F52A8" w:rsidRPr="00D13B01" w:rsidRDefault="003F52A8" w:rsidP="003F52A8">
      <w:pPr>
        <w:ind w:left="720"/>
        <w:jc w:val="center"/>
        <w:rPr>
          <w:sz w:val="4"/>
        </w:rPr>
      </w:pPr>
    </w:p>
    <w:tbl>
      <w:tblPr>
        <w:tblW w:w="9552"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2463"/>
        <w:gridCol w:w="721"/>
        <w:gridCol w:w="1061"/>
        <w:gridCol w:w="531"/>
        <w:gridCol w:w="6"/>
        <w:gridCol w:w="524"/>
        <w:gridCol w:w="1062"/>
        <w:gridCol w:w="685"/>
        <w:gridCol w:w="376"/>
        <w:gridCol w:w="1061"/>
        <w:gridCol w:w="1062"/>
      </w:tblGrid>
      <w:tr w:rsidR="003F52A8" w:rsidRPr="00D13B01" w:rsidTr="009D3593">
        <w:trPr>
          <w:jc w:val="center"/>
        </w:trPr>
        <w:tc>
          <w:tcPr>
            <w:tcW w:w="9552" w:type="dxa"/>
            <w:gridSpan w:val="11"/>
            <w:tcBorders>
              <w:top w:val="single" w:sz="4" w:space="0" w:color="auto"/>
              <w:bottom w:val="single" w:sz="4" w:space="0" w:color="auto"/>
            </w:tcBorders>
            <w:shd w:val="clear" w:color="auto" w:fill="D9D9D9"/>
          </w:tcPr>
          <w:p w:rsidR="003F52A8" w:rsidRDefault="003F52A8" w:rsidP="003F52A8">
            <w:pPr>
              <w:ind w:left="720"/>
              <w:jc w:val="center"/>
              <w:rPr>
                <w:b/>
                <w:bCs/>
              </w:rPr>
            </w:pPr>
            <w:r w:rsidRPr="00D13B01">
              <w:rPr>
                <w:b/>
                <w:bCs/>
              </w:rPr>
              <w:t>Basic In</w:t>
            </w:r>
            <w:r>
              <w:rPr>
                <w:b/>
                <w:bCs/>
              </w:rPr>
              <w:t>formation - Additional Financing (AF)</w:t>
            </w:r>
          </w:p>
        </w:tc>
      </w:tr>
      <w:tr w:rsidR="003F52A8" w:rsidRPr="00D13B01" w:rsidTr="009D3593">
        <w:trPr>
          <w:trHeight w:val="1932"/>
          <w:jc w:val="center"/>
        </w:trPr>
        <w:tc>
          <w:tcPr>
            <w:tcW w:w="4776" w:type="dxa"/>
            <w:gridSpan w:val="4"/>
            <w:tcBorders>
              <w:top w:val="single" w:sz="4" w:space="0" w:color="auto"/>
            </w:tcBorders>
            <w:shd w:val="clear" w:color="auto" w:fill="auto"/>
          </w:tcPr>
          <w:p w:rsidR="003F52A8" w:rsidRPr="00D13B01" w:rsidRDefault="00911833" w:rsidP="00911833">
            <w:r>
              <w:t xml:space="preserve">         </w:t>
            </w:r>
            <w:r w:rsidR="003F52A8" w:rsidRPr="00D13B01">
              <w:t xml:space="preserve">Country Director: </w:t>
            </w:r>
            <w:r w:rsidR="000F1BA2">
              <w:t xml:space="preserve"> </w:t>
            </w:r>
            <w:proofErr w:type="spellStart"/>
            <w:r w:rsidR="000F1BA2">
              <w:t>Sergiy</w:t>
            </w:r>
            <w:proofErr w:type="spellEnd"/>
            <w:r w:rsidR="000F1BA2">
              <w:t xml:space="preserve"> </w:t>
            </w:r>
            <w:proofErr w:type="spellStart"/>
            <w:r w:rsidR="000F1BA2">
              <w:t>Kulyk</w:t>
            </w:r>
            <w:proofErr w:type="spellEnd"/>
          </w:p>
          <w:p w:rsidR="003F52A8" w:rsidRDefault="00911833" w:rsidP="00911833">
            <w:r>
              <w:t xml:space="preserve">         </w:t>
            </w:r>
            <w:r w:rsidR="003F52A8" w:rsidRPr="00D13B01">
              <w:t>Sector Manager:</w:t>
            </w:r>
            <w:r>
              <w:t xml:space="preserve"> </w:t>
            </w:r>
            <w:proofErr w:type="spellStart"/>
            <w:r>
              <w:t>Lucio</w:t>
            </w:r>
            <w:proofErr w:type="spellEnd"/>
            <w:r>
              <w:t xml:space="preserve"> </w:t>
            </w:r>
            <w:proofErr w:type="spellStart"/>
            <w:r>
              <w:t>Monari</w:t>
            </w:r>
            <w:proofErr w:type="spellEnd"/>
          </w:p>
          <w:p w:rsidR="000F1BA2" w:rsidRDefault="000F1BA2" w:rsidP="00911833">
            <w:r>
              <w:t xml:space="preserve">         Sector Director: Jamal </w:t>
            </w:r>
            <w:proofErr w:type="spellStart"/>
            <w:r>
              <w:t>Saghir</w:t>
            </w:r>
            <w:proofErr w:type="spellEnd"/>
          </w:p>
          <w:p w:rsidR="003F52A8" w:rsidRPr="00D13B01" w:rsidRDefault="00911833" w:rsidP="00911833">
            <w:r>
              <w:t xml:space="preserve">         </w:t>
            </w:r>
            <w:r w:rsidR="003F52A8">
              <w:t>Team Leader:</w:t>
            </w:r>
            <w:r>
              <w:t xml:space="preserve"> </w:t>
            </w:r>
            <w:r w:rsidRPr="00911833">
              <w:t xml:space="preserve">Fanny </w:t>
            </w:r>
            <w:proofErr w:type="spellStart"/>
            <w:r w:rsidRPr="00911833">
              <w:t>Missfeldt-Ringius</w:t>
            </w:r>
            <w:proofErr w:type="spellEnd"/>
          </w:p>
          <w:p w:rsidR="003F52A8" w:rsidRPr="00D13B01" w:rsidRDefault="00911833" w:rsidP="00911833">
            <w:r>
              <w:t xml:space="preserve">         </w:t>
            </w:r>
            <w:r w:rsidR="003F52A8" w:rsidRPr="00D13B01">
              <w:t>Project ID</w:t>
            </w:r>
            <w:r w:rsidR="003F52A8">
              <w:t>:</w:t>
            </w:r>
            <w:r w:rsidR="003F52A8" w:rsidRPr="00D13B01">
              <w:t xml:space="preserve"> </w:t>
            </w:r>
            <w:r w:rsidR="00221C98" w:rsidRPr="00221C98">
              <w:t>P129097</w:t>
            </w:r>
          </w:p>
          <w:p w:rsidR="003F52A8" w:rsidRPr="00D13B01" w:rsidRDefault="00911833" w:rsidP="00911833">
            <w:r>
              <w:t xml:space="preserve">         </w:t>
            </w:r>
            <w:r w:rsidR="003F52A8">
              <w:t>Expected Effectiveness</w:t>
            </w:r>
            <w:r w:rsidR="00C203E1">
              <w:t>:</w:t>
            </w:r>
            <w:r w:rsidR="003F52A8">
              <w:t xml:space="preserve"> </w:t>
            </w:r>
            <w:r w:rsidR="00221C98" w:rsidRPr="00221C98">
              <w:t>May 15, 2012</w:t>
            </w:r>
          </w:p>
          <w:p w:rsidR="00C203E1" w:rsidRDefault="00911833" w:rsidP="00911833">
            <w:r>
              <w:t xml:space="preserve">         </w:t>
            </w:r>
            <w:r w:rsidR="003F52A8" w:rsidRPr="00D13B01">
              <w:t xml:space="preserve">Lending Instrument:  </w:t>
            </w:r>
            <w:bookmarkStart w:id="0" w:name="INSTR_NAME"/>
            <w:r w:rsidRPr="00C203E1">
              <w:t xml:space="preserve">Emergency    </w:t>
            </w:r>
            <w:r w:rsidR="00076382" w:rsidRPr="00C203E1">
              <w:t xml:space="preserve"> </w:t>
            </w:r>
            <w:r w:rsidR="00C203E1" w:rsidRPr="00C203E1">
              <w:t xml:space="preserve">    </w:t>
            </w:r>
          </w:p>
          <w:p w:rsidR="00C203E1" w:rsidRDefault="00C203E1" w:rsidP="00911833">
            <w:r>
              <w:t xml:space="preserve">         Recovery Loan</w:t>
            </w:r>
          </w:p>
          <w:bookmarkEnd w:id="0"/>
          <w:p w:rsidR="00C203E1" w:rsidRDefault="00C203E1" w:rsidP="00C203E1">
            <w:r>
              <w:t xml:space="preserve">        </w:t>
            </w:r>
            <w:r w:rsidR="003F52A8" w:rsidRPr="00D13B01">
              <w:t xml:space="preserve">Additional Financing Type: </w:t>
            </w:r>
            <w:r w:rsidR="003F52A8">
              <w:t xml:space="preserve"> </w:t>
            </w:r>
            <w:r w:rsidR="00076382" w:rsidRPr="00C203E1">
              <w:t xml:space="preserve">Expanded </w:t>
            </w:r>
          </w:p>
          <w:p w:rsidR="003F52A8" w:rsidRPr="00D13B01" w:rsidRDefault="00C203E1" w:rsidP="00C203E1">
            <w:r>
              <w:t xml:space="preserve">        ac</w:t>
            </w:r>
            <w:r w:rsidR="00076382" w:rsidRPr="00C203E1">
              <w:t>tivities</w:t>
            </w:r>
            <w:r w:rsidR="00076382">
              <w:t xml:space="preserve">  </w:t>
            </w:r>
          </w:p>
        </w:tc>
        <w:tc>
          <w:tcPr>
            <w:tcW w:w="4776" w:type="dxa"/>
            <w:gridSpan w:val="7"/>
            <w:tcBorders>
              <w:top w:val="single" w:sz="4" w:space="0" w:color="auto"/>
            </w:tcBorders>
            <w:shd w:val="clear" w:color="auto" w:fill="auto"/>
          </w:tcPr>
          <w:p w:rsidR="008F440B" w:rsidRPr="008F440B" w:rsidRDefault="003F52A8" w:rsidP="008F440B">
            <w:pPr>
              <w:ind w:left="720"/>
            </w:pPr>
            <w:r>
              <w:t xml:space="preserve">Sectors: </w:t>
            </w:r>
            <w:bookmarkStart w:id="1" w:name="SEC_SHORT_NAME"/>
            <w:r w:rsidR="008F440B" w:rsidRPr="008F440B">
              <w:t>Power (100%)</w:t>
            </w:r>
            <w:bookmarkEnd w:id="1"/>
          </w:p>
          <w:p w:rsidR="008F440B" w:rsidRPr="008F440B" w:rsidRDefault="003F52A8" w:rsidP="008F440B">
            <w:pPr>
              <w:ind w:left="720"/>
            </w:pPr>
            <w:r w:rsidRPr="00D13B01">
              <w:t>Themes:</w:t>
            </w:r>
            <w:r>
              <w:t xml:space="preserve"> </w:t>
            </w:r>
            <w:r w:rsidR="008F440B" w:rsidRPr="008F440B">
              <w:t>Access to urban services and housing (100%)</w:t>
            </w:r>
          </w:p>
          <w:p w:rsidR="008F440B" w:rsidRPr="00501BC4" w:rsidRDefault="003F52A8" w:rsidP="008F440B">
            <w:pPr>
              <w:ind w:left="720"/>
            </w:pPr>
            <w:r w:rsidRPr="00D13B01">
              <w:t xml:space="preserve">Environmental </w:t>
            </w:r>
            <w:r w:rsidR="00FE742E">
              <w:t>category: B (partial assessment)</w:t>
            </w:r>
          </w:p>
          <w:p w:rsidR="003F52A8" w:rsidRPr="00D13B01" w:rsidRDefault="00FE742E" w:rsidP="003F52A8">
            <w:pPr>
              <w:ind w:left="720"/>
            </w:pPr>
            <w:r>
              <w:t xml:space="preserve">Expected Closing Date: </w:t>
            </w:r>
            <w:r w:rsidR="000154F1">
              <w:t xml:space="preserve">December </w:t>
            </w:r>
            <w:r w:rsidR="0008000D">
              <w:t>3</w:t>
            </w:r>
            <w:r w:rsidR="000154F1">
              <w:t>1, 2014</w:t>
            </w:r>
          </w:p>
          <w:p w:rsidR="003F52A8" w:rsidRPr="00C203E1" w:rsidRDefault="003F52A8" w:rsidP="003F52A8">
            <w:pPr>
              <w:ind w:left="720"/>
            </w:pPr>
            <w:r w:rsidRPr="00C203E1">
              <w:t>Joint IFC:</w:t>
            </w:r>
            <w:r w:rsidR="00501BC4">
              <w:t xml:space="preserve"> No</w:t>
            </w:r>
          </w:p>
          <w:p w:rsidR="003F52A8" w:rsidRPr="00D13B01" w:rsidRDefault="003F52A8" w:rsidP="003F52A8">
            <w:pPr>
              <w:ind w:left="720"/>
            </w:pPr>
            <w:r w:rsidRPr="00C203E1">
              <w:t>Joint Level:</w:t>
            </w:r>
          </w:p>
        </w:tc>
      </w:tr>
      <w:tr w:rsidR="003F52A8" w:rsidRPr="00D13B01" w:rsidTr="009D3593">
        <w:trPr>
          <w:jc w:val="center"/>
        </w:trPr>
        <w:tc>
          <w:tcPr>
            <w:tcW w:w="9552" w:type="dxa"/>
            <w:gridSpan w:val="11"/>
            <w:tcBorders>
              <w:top w:val="single" w:sz="4" w:space="0" w:color="auto"/>
              <w:bottom w:val="single" w:sz="4" w:space="0" w:color="auto"/>
            </w:tcBorders>
            <w:shd w:val="clear" w:color="auto" w:fill="D9D9D9"/>
          </w:tcPr>
          <w:p w:rsidR="003F52A8" w:rsidRPr="00D13B01" w:rsidRDefault="003F52A8" w:rsidP="003F52A8">
            <w:pPr>
              <w:ind w:left="720"/>
              <w:jc w:val="center"/>
              <w:rPr>
                <w:b/>
                <w:bCs/>
              </w:rPr>
            </w:pPr>
            <w:r>
              <w:rPr>
                <w:b/>
                <w:bCs/>
              </w:rPr>
              <w:t xml:space="preserve">Basic Information - </w:t>
            </w:r>
            <w:r w:rsidRPr="00D13B01">
              <w:rPr>
                <w:b/>
                <w:bCs/>
              </w:rPr>
              <w:t>Original Project</w:t>
            </w:r>
          </w:p>
        </w:tc>
      </w:tr>
      <w:tr w:rsidR="003F52A8" w:rsidRPr="00D13B01" w:rsidTr="009D3593">
        <w:trPr>
          <w:jc w:val="center"/>
        </w:trPr>
        <w:tc>
          <w:tcPr>
            <w:tcW w:w="4782" w:type="dxa"/>
            <w:gridSpan w:val="5"/>
            <w:tcBorders>
              <w:top w:val="single" w:sz="4" w:space="0" w:color="auto"/>
              <w:bottom w:val="nil"/>
            </w:tcBorders>
          </w:tcPr>
          <w:p w:rsidR="003F52A8" w:rsidRPr="00D13B01" w:rsidRDefault="003F52A8" w:rsidP="003F52A8">
            <w:pPr>
              <w:ind w:left="720"/>
            </w:pPr>
            <w:r w:rsidRPr="00D13B01">
              <w:t xml:space="preserve">Project ID:  </w:t>
            </w:r>
            <w:r w:rsidR="00221C98" w:rsidRPr="00221C98">
              <w:t>P129097</w:t>
            </w:r>
          </w:p>
        </w:tc>
        <w:tc>
          <w:tcPr>
            <w:tcW w:w="4770" w:type="dxa"/>
            <w:gridSpan w:val="6"/>
            <w:tcBorders>
              <w:top w:val="single" w:sz="4" w:space="0" w:color="auto"/>
              <w:bottom w:val="nil"/>
            </w:tcBorders>
          </w:tcPr>
          <w:p w:rsidR="003F52A8" w:rsidRPr="00D13B01" w:rsidRDefault="003F52A8" w:rsidP="008F440B">
            <w:pPr>
              <w:ind w:left="720"/>
            </w:pPr>
            <w:r>
              <w:t>Environmental category:</w:t>
            </w:r>
            <w:r w:rsidR="008F440B">
              <w:t xml:space="preserve"> </w:t>
            </w:r>
            <w:r w:rsidR="008F440B" w:rsidRPr="008F440B">
              <w:t>B (partial assessment)</w:t>
            </w:r>
          </w:p>
        </w:tc>
      </w:tr>
      <w:tr w:rsidR="003F52A8" w:rsidRPr="00D13B01" w:rsidTr="009D3593">
        <w:trPr>
          <w:jc w:val="center"/>
        </w:trPr>
        <w:tc>
          <w:tcPr>
            <w:tcW w:w="4782" w:type="dxa"/>
            <w:gridSpan w:val="5"/>
            <w:tcBorders>
              <w:top w:val="nil"/>
              <w:bottom w:val="nil"/>
            </w:tcBorders>
          </w:tcPr>
          <w:p w:rsidR="003F52A8" w:rsidRPr="008F440B" w:rsidRDefault="003F52A8" w:rsidP="008F440B">
            <w:pPr>
              <w:ind w:left="720"/>
              <w:rPr>
                <w:b/>
              </w:rPr>
            </w:pPr>
            <w:r w:rsidRPr="00D13B01">
              <w:t>Project Name:</w:t>
            </w:r>
            <w:bookmarkStart w:id="2" w:name="PROJECT_NAME"/>
            <w:r w:rsidR="008F440B" w:rsidRPr="008F440B">
              <w:rPr>
                <w:b/>
              </w:rPr>
              <w:t xml:space="preserve"> </w:t>
            </w:r>
            <w:r w:rsidR="008F440B" w:rsidRPr="008F440B">
              <w:t>Liberia Electricity System Enhancement Project</w:t>
            </w:r>
            <w:bookmarkEnd w:id="2"/>
          </w:p>
        </w:tc>
        <w:tc>
          <w:tcPr>
            <w:tcW w:w="4770" w:type="dxa"/>
            <w:gridSpan w:val="6"/>
            <w:tcBorders>
              <w:top w:val="nil"/>
              <w:bottom w:val="nil"/>
            </w:tcBorders>
          </w:tcPr>
          <w:p w:rsidR="003F52A8" w:rsidRPr="00D13B01" w:rsidRDefault="003F52A8" w:rsidP="003F52A8">
            <w:pPr>
              <w:ind w:left="720"/>
            </w:pPr>
            <w:r w:rsidRPr="00D13B01">
              <w:t>Expected Closing Date:</w:t>
            </w:r>
            <w:r w:rsidR="008F440B">
              <w:t xml:space="preserve"> </w:t>
            </w:r>
            <w:r w:rsidR="008F440B" w:rsidRPr="008F440B">
              <w:t>June 16, 2014</w:t>
            </w:r>
          </w:p>
        </w:tc>
      </w:tr>
      <w:tr w:rsidR="003F52A8" w:rsidRPr="00D13B01" w:rsidTr="009D3593">
        <w:trPr>
          <w:trHeight w:val="198"/>
          <w:jc w:val="center"/>
        </w:trPr>
        <w:tc>
          <w:tcPr>
            <w:tcW w:w="4782" w:type="dxa"/>
            <w:gridSpan w:val="5"/>
            <w:tcBorders>
              <w:top w:val="nil"/>
            </w:tcBorders>
          </w:tcPr>
          <w:p w:rsidR="003F52A8" w:rsidRPr="00D13B01" w:rsidRDefault="003F52A8" w:rsidP="00A2178E">
            <w:pPr>
              <w:ind w:left="720"/>
            </w:pPr>
            <w:r>
              <w:t>Lending Instrument:</w:t>
            </w:r>
            <w:r w:rsidR="008F440B">
              <w:t xml:space="preserve"> </w:t>
            </w:r>
            <w:r w:rsidR="008F440B" w:rsidRPr="008F440B">
              <w:t>Emergency    Recovery Loan</w:t>
            </w:r>
          </w:p>
        </w:tc>
        <w:tc>
          <w:tcPr>
            <w:tcW w:w="4770" w:type="dxa"/>
            <w:gridSpan w:val="6"/>
            <w:tcBorders>
              <w:top w:val="nil"/>
            </w:tcBorders>
          </w:tcPr>
          <w:p w:rsidR="003F52A8" w:rsidRDefault="003F52A8" w:rsidP="003F52A8">
            <w:pPr>
              <w:ind w:left="720"/>
            </w:pPr>
            <w:r w:rsidRPr="00D13B01">
              <w:t>Joint IFC:</w:t>
            </w:r>
          </w:p>
          <w:p w:rsidR="003F52A8" w:rsidRPr="00D13B01" w:rsidRDefault="003F52A8" w:rsidP="003F52A8">
            <w:pPr>
              <w:ind w:left="720"/>
            </w:pPr>
            <w:r>
              <w:t>Joint Level:</w:t>
            </w:r>
          </w:p>
        </w:tc>
      </w:tr>
      <w:tr w:rsidR="003F52A8" w:rsidRPr="00D13B01" w:rsidTr="009D3593">
        <w:tblPrEx>
          <w:tblBorders>
            <w:insideH w:val="single" w:sz="4" w:space="0" w:color="auto"/>
            <w:insideV w:val="single" w:sz="4" w:space="0" w:color="auto"/>
          </w:tblBorders>
        </w:tblPrEx>
        <w:trPr>
          <w:jc w:val="center"/>
        </w:trPr>
        <w:tc>
          <w:tcPr>
            <w:tcW w:w="9552" w:type="dxa"/>
            <w:gridSpan w:val="11"/>
            <w:tcBorders>
              <w:top w:val="single" w:sz="4" w:space="0" w:color="auto"/>
              <w:bottom w:val="single" w:sz="4" w:space="0" w:color="auto"/>
            </w:tcBorders>
            <w:shd w:val="clear" w:color="auto" w:fill="D9D9D9"/>
          </w:tcPr>
          <w:p w:rsidR="003F52A8" w:rsidRPr="00D13B01" w:rsidRDefault="003F52A8" w:rsidP="003F52A8">
            <w:pPr>
              <w:ind w:left="720"/>
              <w:jc w:val="center"/>
              <w:rPr>
                <w:b/>
                <w:bCs/>
              </w:rPr>
            </w:pPr>
            <w:r>
              <w:rPr>
                <w:b/>
                <w:bCs/>
              </w:rPr>
              <w:t xml:space="preserve">AF </w:t>
            </w:r>
            <w:r w:rsidRPr="00D13B01">
              <w:rPr>
                <w:b/>
                <w:bCs/>
              </w:rPr>
              <w:t>Project Financing Data</w:t>
            </w:r>
          </w:p>
        </w:tc>
      </w:tr>
      <w:tr w:rsidR="003F52A8" w:rsidRPr="00D13B01" w:rsidTr="009D3593">
        <w:tblPrEx>
          <w:tblBorders>
            <w:insideH w:val="single" w:sz="4" w:space="0" w:color="auto"/>
            <w:insideV w:val="single" w:sz="4" w:space="0" w:color="auto"/>
          </w:tblBorders>
        </w:tblPrEx>
        <w:trPr>
          <w:trHeight w:val="202"/>
          <w:jc w:val="center"/>
        </w:trPr>
        <w:tc>
          <w:tcPr>
            <w:tcW w:w="9552" w:type="dxa"/>
            <w:gridSpan w:val="11"/>
            <w:tcBorders>
              <w:top w:val="single" w:sz="4" w:space="0" w:color="auto"/>
              <w:left w:val="single" w:sz="4" w:space="0" w:color="auto"/>
              <w:bottom w:val="nil"/>
              <w:right w:val="single" w:sz="4" w:space="0" w:color="auto"/>
            </w:tcBorders>
          </w:tcPr>
          <w:p w:rsidR="003F52A8" w:rsidRPr="00E013F4" w:rsidRDefault="0097313F" w:rsidP="003F52A8">
            <w:pPr>
              <w:ind w:left="720"/>
            </w:pPr>
            <w:r>
              <w:t>[  ] Loan     [X</w:t>
            </w:r>
            <w:r w:rsidR="003F52A8" w:rsidRPr="00E013F4">
              <w:t>] Credit     [</w:t>
            </w:r>
            <w:r w:rsidR="003F52A8">
              <w:t xml:space="preserve">  </w:t>
            </w:r>
            <w:r w:rsidR="003F52A8" w:rsidRPr="00E013F4">
              <w:t>] Grant     [  ] Guarantee</w:t>
            </w:r>
            <w:r w:rsidR="003F52A8">
              <w:t xml:space="preserve">      </w:t>
            </w:r>
            <w:r w:rsidR="003F52A8" w:rsidRPr="00E013F4">
              <w:t xml:space="preserve">[  ] Other: </w:t>
            </w:r>
          </w:p>
        </w:tc>
      </w:tr>
      <w:tr w:rsidR="003F52A8" w:rsidRPr="00D13B01" w:rsidTr="009D3593">
        <w:tblPrEx>
          <w:tblBorders>
            <w:insideH w:val="single" w:sz="4" w:space="0" w:color="auto"/>
            <w:insideV w:val="single" w:sz="4" w:space="0" w:color="auto"/>
          </w:tblBorders>
        </w:tblPrEx>
        <w:trPr>
          <w:jc w:val="center"/>
        </w:trPr>
        <w:tc>
          <w:tcPr>
            <w:tcW w:w="9552" w:type="dxa"/>
            <w:gridSpan w:val="11"/>
            <w:tcBorders>
              <w:top w:val="nil"/>
              <w:bottom w:val="nil"/>
              <w:right w:val="single" w:sz="4" w:space="0" w:color="auto"/>
            </w:tcBorders>
          </w:tcPr>
          <w:p w:rsidR="003F52A8" w:rsidRPr="00D13B01" w:rsidRDefault="003F52A8" w:rsidP="003F52A8">
            <w:pPr>
              <w:ind w:left="720"/>
            </w:pPr>
            <w:r w:rsidRPr="00D13B01">
              <w:t xml:space="preserve">Proposed terms: </w:t>
            </w:r>
          </w:p>
        </w:tc>
      </w:tr>
      <w:tr w:rsidR="003F52A8" w:rsidRPr="00D13B01" w:rsidTr="009D3593">
        <w:tblPrEx>
          <w:tblBorders>
            <w:insideH w:val="single" w:sz="4" w:space="0" w:color="auto"/>
            <w:insideV w:val="single" w:sz="4" w:space="0" w:color="auto"/>
          </w:tblBorders>
        </w:tblPrEx>
        <w:trPr>
          <w:jc w:val="center"/>
        </w:trPr>
        <w:tc>
          <w:tcPr>
            <w:tcW w:w="9552" w:type="dxa"/>
            <w:gridSpan w:val="11"/>
            <w:shd w:val="clear" w:color="auto" w:fill="D9D9D9"/>
          </w:tcPr>
          <w:p w:rsidR="003F52A8" w:rsidRPr="00D13B01" w:rsidRDefault="003F52A8" w:rsidP="003F52A8">
            <w:pPr>
              <w:ind w:left="720"/>
              <w:jc w:val="center"/>
              <w:rPr>
                <w:b/>
                <w:bCs/>
              </w:rPr>
            </w:pPr>
            <w:r>
              <w:rPr>
                <w:b/>
                <w:bCs/>
              </w:rPr>
              <w:t xml:space="preserve">AF </w:t>
            </w:r>
            <w:r w:rsidRPr="00D13B01">
              <w:rPr>
                <w:b/>
                <w:bCs/>
              </w:rPr>
              <w:t>Financing Plan (</w:t>
            </w:r>
            <w:proofErr w:type="spellStart"/>
            <w:r w:rsidRPr="00D13B01">
              <w:rPr>
                <w:b/>
                <w:bCs/>
              </w:rPr>
              <w:t>US$m</w:t>
            </w:r>
            <w:proofErr w:type="spellEnd"/>
            <w:r w:rsidRPr="00D13B01">
              <w:rPr>
                <w:b/>
                <w:bCs/>
              </w:rPr>
              <w:t>)</w:t>
            </w:r>
          </w:p>
        </w:tc>
      </w:tr>
      <w:tr w:rsidR="003F52A8" w:rsidRPr="00D13B01" w:rsidTr="009D3593">
        <w:tblPrEx>
          <w:tblBorders>
            <w:insideH w:val="single" w:sz="4" w:space="0" w:color="auto"/>
            <w:insideV w:val="single" w:sz="4" w:space="0" w:color="auto"/>
          </w:tblBorders>
        </w:tblPrEx>
        <w:trPr>
          <w:jc w:val="center"/>
        </w:trPr>
        <w:tc>
          <w:tcPr>
            <w:tcW w:w="4776" w:type="dxa"/>
            <w:gridSpan w:val="4"/>
            <w:shd w:val="clear" w:color="auto" w:fill="auto"/>
          </w:tcPr>
          <w:p w:rsidR="003F52A8" w:rsidRDefault="003F52A8" w:rsidP="003F52A8">
            <w:pPr>
              <w:ind w:left="720"/>
              <w:jc w:val="center"/>
              <w:rPr>
                <w:b/>
                <w:bCs/>
              </w:rPr>
            </w:pPr>
            <w:r>
              <w:rPr>
                <w:b/>
                <w:bCs/>
              </w:rPr>
              <w:t>Source</w:t>
            </w:r>
          </w:p>
        </w:tc>
        <w:tc>
          <w:tcPr>
            <w:tcW w:w="4776" w:type="dxa"/>
            <w:gridSpan w:val="7"/>
            <w:shd w:val="clear" w:color="auto" w:fill="auto"/>
          </w:tcPr>
          <w:p w:rsidR="003F52A8" w:rsidRDefault="003F52A8" w:rsidP="003F52A8">
            <w:pPr>
              <w:ind w:left="720"/>
              <w:jc w:val="center"/>
              <w:rPr>
                <w:b/>
                <w:bCs/>
              </w:rPr>
            </w:pPr>
            <w:r>
              <w:rPr>
                <w:b/>
                <w:bCs/>
              </w:rPr>
              <w:t>Total Amount (US $m)</w:t>
            </w:r>
          </w:p>
        </w:tc>
      </w:tr>
      <w:tr w:rsidR="003F52A8" w:rsidRPr="00D13B01" w:rsidTr="009D3593">
        <w:tblPrEx>
          <w:tblBorders>
            <w:insideH w:val="single" w:sz="4" w:space="0" w:color="auto"/>
            <w:insideV w:val="single" w:sz="4" w:space="0" w:color="auto"/>
          </w:tblBorders>
        </w:tblPrEx>
        <w:trPr>
          <w:jc w:val="center"/>
        </w:trPr>
        <w:tc>
          <w:tcPr>
            <w:tcW w:w="4776" w:type="dxa"/>
            <w:gridSpan w:val="4"/>
            <w:tcBorders>
              <w:bottom w:val="single" w:sz="4" w:space="0" w:color="auto"/>
            </w:tcBorders>
            <w:shd w:val="clear" w:color="auto" w:fill="auto"/>
          </w:tcPr>
          <w:p w:rsidR="003F52A8" w:rsidRPr="0097313F" w:rsidRDefault="003F52A8" w:rsidP="00B36A3F">
            <w:pPr>
              <w:ind w:left="720"/>
              <w:rPr>
                <w:b/>
              </w:rPr>
            </w:pPr>
            <w:r w:rsidRPr="0097313F">
              <w:rPr>
                <w:b/>
              </w:rPr>
              <w:t xml:space="preserve">Total Project Cost: </w:t>
            </w:r>
          </w:p>
          <w:p w:rsidR="0097313F" w:rsidRPr="0097313F" w:rsidRDefault="003F52A8" w:rsidP="00B36A3F">
            <w:pPr>
              <w:ind w:left="720"/>
              <w:rPr>
                <w:b/>
              </w:rPr>
            </w:pPr>
            <w:r w:rsidRPr="005420E2">
              <w:t xml:space="preserve">   </w:t>
            </w:r>
            <w:r w:rsidRPr="0097313F">
              <w:rPr>
                <w:b/>
              </w:rPr>
              <w:t>Co</w:t>
            </w:r>
            <w:r w:rsidR="009E37F6">
              <w:rPr>
                <w:b/>
              </w:rPr>
              <w:t>-</w:t>
            </w:r>
            <w:r w:rsidRPr="0097313F">
              <w:rPr>
                <w:b/>
              </w:rPr>
              <w:t>financing:</w:t>
            </w:r>
          </w:p>
          <w:p w:rsidR="00A2178E" w:rsidRDefault="0097313F" w:rsidP="00B36A3F">
            <w:pPr>
              <w:ind w:left="1358"/>
            </w:pPr>
            <w:r>
              <w:t>GEF</w:t>
            </w:r>
          </w:p>
          <w:p w:rsidR="006D2C5B" w:rsidRDefault="006D2C5B" w:rsidP="00B36A3F">
            <w:pPr>
              <w:ind w:left="1358"/>
            </w:pPr>
            <w:r>
              <w:t>JICA</w:t>
            </w:r>
          </w:p>
          <w:p w:rsidR="00A2178E" w:rsidRDefault="006D2C5B" w:rsidP="00B36A3F">
            <w:pPr>
              <w:ind w:left="1358"/>
            </w:pPr>
            <w:r>
              <w:t>NORAD</w:t>
            </w:r>
          </w:p>
          <w:p w:rsidR="002873A4" w:rsidRDefault="002873A4">
            <w:pPr>
              <w:ind w:left="720"/>
            </w:pPr>
          </w:p>
          <w:p w:rsidR="002873A4" w:rsidRDefault="003F52A8">
            <w:pPr>
              <w:ind w:left="720"/>
            </w:pPr>
            <w:r w:rsidRPr="005420E2">
              <w:t>Borrower:</w:t>
            </w:r>
          </w:p>
          <w:p w:rsidR="003F52A8" w:rsidRPr="0097313F" w:rsidRDefault="003F52A8" w:rsidP="00B36A3F">
            <w:pPr>
              <w:ind w:left="720"/>
              <w:rPr>
                <w:b/>
              </w:rPr>
            </w:pPr>
            <w:r w:rsidRPr="0097313F">
              <w:rPr>
                <w:b/>
              </w:rPr>
              <w:t>Total Bank Financing:</w:t>
            </w:r>
          </w:p>
          <w:p w:rsidR="002873A4" w:rsidRDefault="00A2178E">
            <w:pPr>
              <w:ind w:left="720"/>
            </w:pPr>
            <w:r>
              <w:t xml:space="preserve">  </w:t>
            </w:r>
            <w:r w:rsidR="003F52A8" w:rsidRPr="005420E2">
              <w:t>IDA</w:t>
            </w:r>
          </w:p>
          <w:p w:rsidR="002873A4" w:rsidRDefault="00A2178E">
            <w:pPr>
              <w:ind w:left="720"/>
            </w:pPr>
            <w:r>
              <w:t xml:space="preserve">  </w:t>
            </w:r>
            <w:r w:rsidR="003F52A8" w:rsidRPr="005420E2">
              <w:t>New</w:t>
            </w:r>
          </w:p>
          <w:p w:rsidR="002873A4" w:rsidRDefault="003F52A8">
            <w:pPr>
              <w:ind w:left="720"/>
              <w:rPr>
                <w:b/>
                <w:bCs/>
              </w:rPr>
            </w:pPr>
            <w:r>
              <w:t xml:space="preserve">  </w:t>
            </w:r>
            <w:r w:rsidRPr="005420E2">
              <w:t>Recommitted</w:t>
            </w:r>
          </w:p>
        </w:tc>
        <w:tc>
          <w:tcPr>
            <w:tcW w:w="4776" w:type="dxa"/>
            <w:gridSpan w:val="7"/>
            <w:tcBorders>
              <w:bottom w:val="single" w:sz="4" w:space="0" w:color="auto"/>
            </w:tcBorders>
            <w:shd w:val="clear" w:color="auto" w:fill="auto"/>
          </w:tcPr>
          <w:p w:rsidR="003F52A8" w:rsidRDefault="00604D99" w:rsidP="00A2178E">
            <w:pPr>
              <w:tabs>
                <w:tab w:val="decimal" w:pos="2585"/>
              </w:tabs>
              <w:ind w:left="720" w:right="1691"/>
              <w:jc w:val="right"/>
              <w:rPr>
                <w:b/>
                <w:bCs/>
              </w:rPr>
            </w:pPr>
            <w:r>
              <w:rPr>
                <w:b/>
                <w:bCs/>
              </w:rPr>
              <w:t>56.95</w:t>
            </w:r>
          </w:p>
          <w:p w:rsidR="0097313F" w:rsidRDefault="0097313F" w:rsidP="00A2178E">
            <w:pPr>
              <w:tabs>
                <w:tab w:val="decimal" w:pos="2585"/>
              </w:tabs>
              <w:ind w:left="720" w:right="1691"/>
              <w:jc w:val="right"/>
              <w:rPr>
                <w:b/>
                <w:bCs/>
              </w:rPr>
            </w:pPr>
          </w:p>
          <w:p w:rsidR="0097313F" w:rsidRDefault="0097313F" w:rsidP="00A2178E">
            <w:pPr>
              <w:tabs>
                <w:tab w:val="decimal" w:pos="2585"/>
              </w:tabs>
              <w:ind w:left="720" w:right="1691"/>
              <w:jc w:val="right"/>
              <w:rPr>
                <w:b/>
                <w:bCs/>
              </w:rPr>
            </w:pPr>
            <w:r>
              <w:rPr>
                <w:b/>
                <w:bCs/>
              </w:rPr>
              <w:t>1.</w:t>
            </w:r>
            <w:r w:rsidR="00AC6B68">
              <w:rPr>
                <w:b/>
                <w:bCs/>
              </w:rPr>
              <w:t>4</w:t>
            </w:r>
            <w:r>
              <w:rPr>
                <w:b/>
                <w:bCs/>
              </w:rPr>
              <w:t>5</w:t>
            </w:r>
          </w:p>
          <w:p w:rsidR="0097313F" w:rsidRDefault="00604D99" w:rsidP="00A2178E">
            <w:pPr>
              <w:tabs>
                <w:tab w:val="decimal" w:pos="2585"/>
              </w:tabs>
              <w:ind w:left="2045" w:right="1691"/>
              <w:jc w:val="right"/>
              <w:rPr>
                <w:b/>
                <w:bCs/>
              </w:rPr>
            </w:pPr>
            <w:r>
              <w:rPr>
                <w:b/>
                <w:bCs/>
              </w:rPr>
              <w:t>33</w:t>
            </w:r>
            <w:r w:rsidR="006D2C5B">
              <w:rPr>
                <w:b/>
                <w:bCs/>
              </w:rPr>
              <w:t>.00</w:t>
            </w:r>
          </w:p>
          <w:p w:rsidR="006D2C5B" w:rsidRDefault="006D2C5B" w:rsidP="00A2178E">
            <w:pPr>
              <w:tabs>
                <w:tab w:val="decimal" w:pos="2585"/>
              </w:tabs>
              <w:ind w:left="2432" w:right="1691"/>
              <w:jc w:val="right"/>
              <w:rPr>
                <w:b/>
                <w:bCs/>
              </w:rPr>
            </w:pPr>
            <w:r>
              <w:rPr>
                <w:b/>
                <w:bCs/>
              </w:rPr>
              <w:t>0.50</w:t>
            </w:r>
          </w:p>
          <w:p w:rsidR="0097313F" w:rsidRDefault="0097313F" w:rsidP="00A2178E">
            <w:pPr>
              <w:tabs>
                <w:tab w:val="decimal" w:pos="2585"/>
              </w:tabs>
              <w:ind w:left="720" w:right="1691"/>
              <w:jc w:val="right"/>
              <w:rPr>
                <w:b/>
                <w:bCs/>
              </w:rPr>
            </w:pPr>
          </w:p>
          <w:p w:rsidR="008B7268" w:rsidRDefault="008B7268" w:rsidP="00A2178E">
            <w:pPr>
              <w:tabs>
                <w:tab w:val="decimal" w:pos="2585"/>
              </w:tabs>
              <w:ind w:left="720" w:right="1691"/>
              <w:jc w:val="right"/>
              <w:rPr>
                <w:b/>
                <w:bCs/>
              </w:rPr>
            </w:pPr>
          </w:p>
          <w:p w:rsidR="0097313F" w:rsidRDefault="0097313F" w:rsidP="00A2178E">
            <w:pPr>
              <w:tabs>
                <w:tab w:val="decimal" w:pos="2585"/>
              </w:tabs>
              <w:ind w:left="720" w:right="1691"/>
              <w:jc w:val="right"/>
              <w:rPr>
                <w:b/>
                <w:bCs/>
              </w:rPr>
            </w:pPr>
            <w:r>
              <w:rPr>
                <w:b/>
                <w:bCs/>
              </w:rPr>
              <w:t>22.00</w:t>
            </w:r>
          </w:p>
          <w:p w:rsidR="0097313F" w:rsidRDefault="0097313F" w:rsidP="00A2178E">
            <w:pPr>
              <w:tabs>
                <w:tab w:val="decimal" w:pos="2585"/>
              </w:tabs>
              <w:ind w:left="720" w:right="1691"/>
              <w:jc w:val="right"/>
              <w:rPr>
                <w:b/>
                <w:bCs/>
              </w:rPr>
            </w:pPr>
            <w:r>
              <w:rPr>
                <w:b/>
                <w:bCs/>
              </w:rPr>
              <w:t>22.00</w:t>
            </w:r>
          </w:p>
          <w:p w:rsidR="0097313F" w:rsidRDefault="000154F1" w:rsidP="00A2178E">
            <w:pPr>
              <w:tabs>
                <w:tab w:val="decimal" w:pos="2585"/>
              </w:tabs>
              <w:ind w:left="720" w:right="1691"/>
              <w:jc w:val="right"/>
              <w:rPr>
                <w:b/>
                <w:bCs/>
              </w:rPr>
            </w:pPr>
            <w:r>
              <w:rPr>
                <w:b/>
                <w:bCs/>
              </w:rPr>
              <w:t>22</w:t>
            </w:r>
            <w:r w:rsidR="0097313F">
              <w:rPr>
                <w:b/>
                <w:bCs/>
              </w:rPr>
              <w:t>.00</w:t>
            </w:r>
          </w:p>
          <w:p w:rsidR="00DE3C1D" w:rsidRDefault="000154F1" w:rsidP="00A2178E">
            <w:pPr>
              <w:tabs>
                <w:tab w:val="decimal" w:pos="2585"/>
              </w:tabs>
              <w:ind w:left="720" w:right="1691"/>
              <w:jc w:val="right"/>
              <w:rPr>
                <w:b/>
                <w:bCs/>
              </w:rPr>
            </w:pPr>
            <w:r>
              <w:rPr>
                <w:b/>
                <w:bCs/>
              </w:rPr>
              <w:t>0.00</w:t>
            </w:r>
          </w:p>
        </w:tc>
      </w:tr>
      <w:tr w:rsidR="003F52A8" w:rsidRPr="00F41578" w:rsidTr="009D3593">
        <w:tblPrEx>
          <w:tblBorders>
            <w:insideH w:val="single" w:sz="4" w:space="0" w:color="auto"/>
            <w:insideV w:val="single" w:sz="4" w:space="0" w:color="auto"/>
          </w:tblBorders>
        </w:tblPrEx>
        <w:trPr>
          <w:jc w:val="center"/>
        </w:trPr>
        <w:tc>
          <w:tcPr>
            <w:tcW w:w="9552" w:type="dxa"/>
            <w:gridSpan w:val="11"/>
            <w:tcBorders>
              <w:bottom w:val="single" w:sz="4" w:space="0" w:color="auto"/>
            </w:tcBorders>
            <w:shd w:val="clear" w:color="auto" w:fill="D9D9D9"/>
          </w:tcPr>
          <w:p w:rsidR="003F52A8" w:rsidRDefault="003F52A8" w:rsidP="003F52A8">
            <w:pPr>
              <w:ind w:left="720"/>
              <w:jc w:val="center"/>
              <w:rPr>
                <w:b/>
                <w:bCs/>
              </w:rPr>
            </w:pPr>
            <w:r>
              <w:rPr>
                <w:b/>
                <w:bCs/>
              </w:rPr>
              <w:t>Client Information</w:t>
            </w:r>
          </w:p>
        </w:tc>
      </w:tr>
      <w:tr w:rsidR="003F52A8" w:rsidRPr="00D13B01" w:rsidTr="009D3593">
        <w:tblPrEx>
          <w:tblBorders>
            <w:insideH w:val="single" w:sz="4" w:space="0" w:color="auto"/>
            <w:insideV w:val="single" w:sz="4" w:space="0" w:color="auto"/>
          </w:tblBorders>
        </w:tblPrEx>
        <w:trPr>
          <w:trHeight w:val="1676"/>
          <w:jc w:val="center"/>
        </w:trPr>
        <w:tc>
          <w:tcPr>
            <w:tcW w:w="9552" w:type="dxa"/>
            <w:gridSpan w:val="11"/>
            <w:tcBorders>
              <w:top w:val="single" w:sz="4" w:space="0" w:color="auto"/>
            </w:tcBorders>
            <w:shd w:val="clear" w:color="auto" w:fill="auto"/>
          </w:tcPr>
          <w:p w:rsidR="003F52A8" w:rsidRDefault="003F52A8" w:rsidP="003F52A8">
            <w:pPr>
              <w:ind w:left="720"/>
              <w:rPr>
                <w:b/>
                <w:bCs/>
              </w:rPr>
            </w:pPr>
            <w:r>
              <w:rPr>
                <w:b/>
                <w:bCs/>
              </w:rPr>
              <w:t>Recipient</w:t>
            </w:r>
            <w:r w:rsidRPr="00D13B01">
              <w:rPr>
                <w:b/>
                <w:bCs/>
              </w:rPr>
              <w:t>:</w:t>
            </w:r>
          </w:p>
          <w:p w:rsidR="00881D40" w:rsidRDefault="00881D40" w:rsidP="00ED37E6">
            <w:pPr>
              <w:ind w:left="720"/>
              <w:rPr>
                <w:bCs/>
              </w:rPr>
            </w:pPr>
          </w:p>
          <w:p w:rsidR="00ED37E6" w:rsidRPr="00ED37E6" w:rsidRDefault="00ED37E6" w:rsidP="00ED37E6">
            <w:pPr>
              <w:ind w:left="720"/>
              <w:rPr>
                <w:bCs/>
              </w:rPr>
            </w:pPr>
            <w:r w:rsidRPr="00ED37E6">
              <w:rPr>
                <w:bCs/>
              </w:rPr>
              <w:t>Ministry of Lands, Mines and Energy</w:t>
            </w:r>
          </w:p>
          <w:p w:rsidR="00ED37E6" w:rsidRPr="00ED37E6" w:rsidRDefault="00ED37E6" w:rsidP="00ED37E6">
            <w:pPr>
              <w:ind w:left="720"/>
              <w:rPr>
                <w:bCs/>
                <w:lang w:val="es-MX"/>
              </w:rPr>
            </w:pPr>
            <w:r w:rsidRPr="00ED37E6">
              <w:rPr>
                <w:bCs/>
                <w:lang w:val="es-MX"/>
              </w:rPr>
              <w:t>P.O. Box 10-9024</w:t>
            </w:r>
          </w:p>
          <w:p w:rsidR="00ED37E6" w:rsidRPr="00ED37E6" w:rsidRDefault="00ED37E6" w:rsidP="00ED37E6">
            <w:pPr>
              <w:ind w:left="720"/>
              <w:rPr>
                <w:bCs/>
                <w:lang w:val="es-MX"/>
              </w:rPr>
            </w:pPr>
            <w:r w:rsidRPr="00ED37E6">
              <w:rPr>
                <w:bCs/>
                <w:lang w:val="es-MX"/>
              </w:rPr>
              <w:t>Monrovia 10</w:t>
            </w:r>
          </w:p>
          <w:p w:rsidR="00ED37E6" w:rsidRPr="00ED37E6" w:rsidRDefault="00ED37E6" w:rsidP="00ED37E6">
            <w:pPr>
              <w:ind w:left="720"/>
              <w:rPr>
                <w:bCs/>
                <w:lang w:val="es-MX"/>
              </w:rPr>
            </w:pPr>
            <w:r w:rsidRPr="00ED37E6">
              <w:rPr>
                <w:bCs/>
                <w:lang w:val="es-MX"/>
              </w:rPr>
              <w:t>Liberia 1000</w:t>
            </w:r>
          </w:p>
          <w:p w:rsidR="00ED37E6" w:rsidRPr="00ED37E6" w:rsidRDefault="00ED37E6" w:rsidP="00ED37E6">
            <w:pPr>
              <w:ind w:left="720"/>
              <w:rPr>
                <w:bCs/>
              </w:rPr>
            </w:pPr>
            <w:r w:rsidRPr="00ED37E6">
              <w:rPr>
                <w:bCs/>
              </w:rPr>
              <w:lastRenderedPageBreak/>
              <w:t>+ 231-27-214-009</w:t>
            </w:r>
          </w:p>
          <w:p w:rsidR="00ED37E6" w:rsidRPr="00ED37E6" w:rsidRDefault="00D526C8" w:rsidP="00ED37E6">
            <w:pPr>
              <w:ind w:left="720"/>
              <w:rPr>
                <w:bCs/>
              </w:rPr>
            </w:pPr>
            <w:hyperlink r:id="rId12" w:history="1">
              <w:r w:rsidR="00ED37E6" w:rsidRPr="00ED37E6">
                <w:rPr>
                  <w:rStyle w:val="Hyperlink"/>
                  <w:bCs/>
                </w:rPr>
                <w:t>www.molme.gov.lr</w:t>
              </w:r>
            </w:hyperlink>
          </w:p>
          <w:p w:rsidR="00ED37E6" w:rsidRDefault="00ED37E6" w:rsidP="003F52A8">
            <w:pPr>
              <w:ind w:left="720"/>
              <w:rPr>
                <w:b/>
                <w:bCs/>
              </w:rPr>
            </w:pPr>
          </w:p>
          <w:p w:rsidR="003F52A8" w:rsidRDefault="003F52A8" w:rsidP="003F52A8">
            <w:pPr>
              <w:ind w:left="720"/>
              <w:rPr>
                <w:b/>
                <w:bCs/>
              </w:rPr>
            </w:pPr>
            <w:r w:rsidRPr="00D21EDC">
              <w:rPr>
                <w:b/>
                <w:bCs/>
              </w:rPr>
              <w:t>Responsible</w:t>
            </w:r>
            <w:r w:rsidRPr="001A35EF">
              <w:rPr>
                <w:b/>
                <w:bCs/>
              </w:rPr>
              <w:t xml:space="preserve"> </w:t>
            </w:r>
            <w:r w:rsidRPr="00D21EDC">
              <w:rPr>
                <w:b/>
                <w:bCs/>
              </w:rPr>
              <w:t>Agency</w:t>
            </w:r>
            <w:r w:rsidRPr="001A35EF">
              <w:rPr>
                <w:b/>
                <w:bCs/>
              </w:rPr>
              <w:t>:</w:t>
            </w:r>
          </w:p>
          <w:p w:rsidR="00ED37E6" w:rsidRDefault="00ED37E6" w:rsidP="00ED37E6">
            <w:pPr>
              <w:ind w:left="720"/>
              <w:rPr>
                <w:bCs/>
              </w:rPr>
            </w:pPr>
          </w:p>
          <w:p w:rsidR="00ED37E6" w:rsidRPr="00ED37E6" w:rsidRDefault="00ED37E6" w:rsidP="00ED37E6">
            <w:pPr>
              <w:ind w:left="720"/>
              <w:rPr>
                <w:bCs/>
              </w:rPr>
            </w:pPr>
            <w:r w:rsidRPr="00ED37E6">
              <w:rPr>
                <w:bCs/>
              </w:rPr>
              <w:t>Liberia Electricity Corporation (LEC)</w:t>
            </w:r>
          </w:p>
          <w:p w:rsidR="00ED37E6" w:rsidRPr="00ED37E6" w:rsidRDefault="00ED37E6" w:rsidP="00ED37E6">
            <w:pPr>
              <w:ind w:left="720"/>
              <w:rPr>
                <w:bCs/>
              </w:rPr>
            </w:pPr>
            <w:r w:rsidRPr="00ED37E6">
              <w:rPr>
                <w:bCs/>
              </w:rPr>
              <w:t>P.O. Box 165</w:t>
            </w:r>
          </w:p>
          <w:p w:rsidR="00ED37E6" w:rsidRPr="00ED37E6" w:rsidRDefault="00ED37E6" w:rsidP="00ED37E6">
            <w:pPr>
              <w:ind w:left="720"/>
              <w:rPr>
                <w:bCs/>
                <w:lang w:val="es-MX"/>
              </w:rPr>
            </w:pPr>
            <w:proofErr w:type="spellStart"/>
            <w:r w:rsidRPr="00ED37E6">
              <w:rPr>
                <w:bCs/>
                <w:lang w:val="es-MX"/>
              </w:rPr>
              <w:t>Waterside</w:t>
            </w:r>
            <w:proofErr w:type="spellEnd"/>
            <w:r w:rsidRPr="00ED37E6">
              <w:rPr>
                <w:bCs/>
                <w:lang w:val="es-MX"/>
              </w:rPr>
              <w:t>, Monrovia, Liberia 1000</w:t>
            </w:r>
          </w:p>
          <w:p w:rsidR="00ED37E6" w:rsidRPr="00ED37E6" w:rsidRDefault="00ED37E6" w:rsidP="00ED37E6">
            <w:pPr>
              <w:ind w:left="720"/>
              <w:rPr>
                <w:bCs/>
                <w:lang w:val="es-MX"/>
              </w:rPr>
            </w:pPr>
            <w:r w:rsidRPr="00ED37E6">
              <w:rPr>
                <w:bCs/>
                <w:lang w:val="es-MX"/>
              </w:rPr>
              <w:t>Tel: +231 880719963</w:t>
            </w:r>
            <w:r w:rsidRPr="00ED37E6">
              <w:rPr>
                <w:bCs/>
                <w:lang w:val="es-MX"/>
              </w:rPr>
              <w:tab/>
            </w:r>
          </w:p>
          <w:p w:rsidR="00ED37E6" w:rsidRPr="00ED37E6" w:rsidRDefault="00ED37E6" w:rsidP="00ED37E6">
            <w:pPr>
              <w:ind w:left="720"/>
              <w:rPr>
                <w:bCs/>
                <w:lang w:val="es-MX"/>
              </w:rPr>
            </w:pPr>
            <w:r w:rsidRPr="00ED37E6">
              <w:rPr>
                <w:bCs/>
                <w:lang w:val="es-MX"/>
              </w:rPr>
              <w:t>smohammad@mhi.mb.ca</w:t>
            </w:r>
          </w:p>
          <w:p w:rsidR="00ED37E6" w:rsidRDefault="00ED37E6" w:rsidP="003F52A8">
            <w:pPr>
              <w:ind w:left="720"/>
              <w:rPr>
                <w:b/>
                <w:bCs/>
                <w:lang w:val="es-MX"/>
              </w:rPr>
            </w:pPr>
          </w:p>
          <w:p w:rsidR="00ED37E6" w:rsidRPr="00ED37E6" w:rsidRDefault="00ED37E6" w:rsidP="00ED37E6">
            <w:pPr>
              <w:ind w:left="720"/>
              <w:rPr>
                <w:bCs/>
              </w:rPr>
            </w:pPr>
            <w:r w:rsidRPr="00ED37E6">
              <w:rPr>
                <w:bCs/>
              </w:rPr>
              <w:t>Rural and Renewable Energy Agency (RREA)</w:t>
            </w:r>
          </w:p>
          <w:p w:rsidR="00ED37E6" w:rsidRPr="00ED37E6" w:rsidRDefault="00ED37E6" w:rsidP="00ED37E6">
            <w:pPr>
              <w:ind w:left="720"/>
              <w:rPr>
                <w:bCs/>
              </w:rPr>
            </w:pPr>
            <w:r w:rsidRPr="00ED37E6">
              <w:rPr>
                <w:bCs/>
              </w:rPr>
              <w:t xml:space="preserve">P.O. Box </w:t>
            </w:r>
            <w:r w:rsidR="00B36A3F">
              <w:rPr>
                <w:bCs/>
              </w:rPr>
              <w:t>1280</w:t>
            </w:r>
          </w:p>
          <w:p w:rsidR="00ED37E6" w:rsidRPr="00ED37E6" w:rsidRDefault="00ED37E6" w:rsidP="00ED37E6">
            <w:pPr>
              <w:ind w:left="720"/>
              <w:rPr>
                <w:bCs/>
              </w:rPr>
            </w:pPr>
            <w:r w:rsidRPr="00ED37E6">
              <w:rPr>
                <w:bCs/>
              </w:rPr>
              <w:t>LEC Sub-Station</w:t>
            </w:r>
          </w:p>
          <w:p w:rsidR="00ED37E6" w:rsidRPr="00ED37E6" w:rsidRDefault="00ED37E6" w:rsidP="00ED37E6">
            <w:pPr>
              <w:ind w:left="720"/>
              <w:rPr>
                <w:bCs/>
              </w:rPr>
            </w:pPr>
            <w:r w:rsidRPr="00ED37E6">
              <w:rPr>
                <w:bCs/>
              </w:rPr>
              <w:t>Newport Street, Monrovia, Liberia</w:t>
            </w:r>
          </w:p>
          <w:p w:rsidR="00ED37E6" w:rsidRPr="00ED37E6" w:rsidRDefault="00ED37E6" w:rsidP="00ED37E6">
            <w:pPr>
              <w:ind w:left="720"/>
              <w:rPr>
                <w:bCs/>
              </w:rPr>
            </w:pPr>
            <w:r w:rsidRPr="00ED37E6">
              <w:rPr>
                <w:bCs/>
              </w:rPr>
              <w:t xml:space="preserve">Tel: +231-76-309-880 </w:t>
            </w:r>
            <w:r w:rsidRPr="00ED37E6">
              <w:rPr>
                <w:bCs/>
              </w:rPr>
              <w:tab/>
            </w:r>
          </w:p>
          <w:p w:rsidR="003F52A8" w:rsidRDefault="00D526C8" w:rsidP="00ED37E6">
            <w:pPr>
              <w:ind w:left="720"/>
              <w:rPr>
                <w:bCs/>
                <w:lang w:val="es-MX"/>
              </w:rPr>
            </w:pPr>
            <w:hyperlink r:id="rId13" w:history="1">
              <w:r w:rsidR="00ED37E6" w:rsidRPr="00ED37E6">
                <w:rPr>
                  <w:rStyle w:val="Hyperlink"/>
                  <w:bCs/>
                </w:rPr>
                <w:t>gusgoanue@yahoo.com</w:t>
              </w:r>
            </w:hyperlink>
          </w:p>
          <w:p w:rsidR="00ED37E6" w:rsidRPr="00ED37E6" w:rsidRDefault="00ED37E6" w:rsidP="00ED37E6">
            <w:pPr>
              <w:ind w:left="720"/>
              <w:rPr>
                <w:bCs/>
                <w:lang w:val="es-MX"/>
              </w:rPr>
            </w:pPr>
          </w:p>
        </w:tc>
      </w:tr>
      <w:tr w:rsidR="003F52A8" w:rsidRPr="00D13B01" w:rsidTr="009D3593">
        <w:tblPrEx>
          <w:tblBorders>
            <w:insideH w:val="single" w:sz="4" w:space="0" w:color="auto"/>
            <w:insideV w:val="single" w:sz="4" w:space="0" w:color="auto"/>
          </w:tblBorders>
        </w:tblPrEx>
        <w:trPr>
          <w:jc w:val="center"/>
        </w:trPr>
        <w:tc>
          <w:tcPr>
            <w:tcW w:w="9552" w:type="dxa"/>
            <w:gridSpan w:val="11"/>
            <w:tcBorders>
              <w:top w:val="single" w:sz="4" w:space="0" w:color="auto"/>
              <w:bottom w:val="single" w:sz="4" w:space="0" w:color="auto"/>
            </w:tcBorders>
            <w:shd w:val="clear" w:color="auto" w:fill="D9D9D9"/>
          </w:tcPr>
          <w:p w:rsidR="003F52A8" w:rsidRDefault="003F52A8" w:rsidP="003F52A8">
            <w:pPr>
              <w:ind w:left="720"/>
              <w:jc w:val="center"/>
            </w:pPr>
            <w:r>
              <w:rPr>
                <w:b/>
                <w:bCs/>
              </w:rPr>
              <w:lastRenderedPageBreak/>
              <w:t xml:space="preserve">AF </w:t>
            </w:r>
            <w:r w:rsidRPr="00D13B01">
              <w:rPr>
                <w:b/>
                <w:bCs/>
              </w:rPr>
              <w:t xml:space="preserve">Estimated </w:t>
            </w:r>
            <w:r>
              <w:rPr>
                <w:b/>
                <w:bCs/>
              </w:rPr>
              <w:t>D</w:t>
            </w:r>
            <w:r w:rsidRPr="00D13B01">
              <w:rPr>
                <w:b/>
                <w:bCs/>
              </w:rPr>
              <w:t>isbursements (Bank FY/</w:t>
            </w:r>
            <w:proofErr w:type="spellStart"/>
            <w:r w:rsidRPr="00D13B01">
              <w:rPr>
                <w:b/>
                <w:bCs/>
              </w:rPr>
              <w:t>US$m</w:t>
            </w:r>
            <w:proofErr w:type="spellEnd"/>
            <w:r w:rsidRPr="00D13B01">
              <w:rPr>
                <w:b/>
                <w:bCs/>
              </w:rPr>
              <w:t>)</w:t>
            </w:r>
          </w:p>
        </w:tc>
      </w:tr>
      <w:tr w:rsidR="003F52A8" w:rsidRPr="00D13B01" w:rsidTr="009D3593">
        <w:tblPrEx>
          <w:tblBorders>
            <w:insideH w:val="single" w:sz="4" w:space="0" w:color="auto"/>
            <w:insideV w:val="single" w:sz="4" w:space="0" w:color="auto"/>
          </w:tblBorders>
        </w:tblPrEx>
        <w:trPr>
          <w:jc w:val="center"/>
        </w:trPr>
        <w:tc>
          <w:tcPr>
            <w:tcW w:w="3184" w:type="dxa"/>
            <w:gridSpan w:val="2"/>
            <w:tcBorders>
              <w:top w:val="single" w:sz="4" w:space="0" w:color="auto"/>
              <w:bottom w:val="single" w:sz="4" w:space="0" w:color="auto"/>
            </w:tcBorders>
            <w:shd w:val="clear" w:color="auto" w:fill="auto"/>
          </w:tcPr>
          <w:p w:rsidR="003F52A8" w:rsidRPr="00076382" w:rsidRDefault="003F52A8" w:rsidP="003F52A8">
            <w:pPr>
              <w:keepNext/>
              <w:ind w:left="720" w:hanging="2"/>
              <w:rPr>
                <w:highlight w:val="yellow"/>
              </w:rPr>
            </w:pPr>
            <w:r w:rsidRPr="00C203E1">
              <w:t>FY</w:t>
            </w:r>
          </w:p>
        </w:tc>
        <w:tc>
          <w:tcPr>
            <w:tcW w:w="1061" w:type="dxa"/>
            <w:tcBorders>
              <w:top w:val="single" w:sz="4" w:space="0" w:color="auto"/>
            </w:tcBorders>
            <w:shd w:val="clear" w:color="auto" w:fill="auto"/>
          </w:tcPr>
          <w:p w:rsidR="003F52A8" w:rsidRPr="00C203E1" w:rsidRDefault="00C203E1" w:rsidP="00C203E1">
            <w:pPr>
              <w:keepNext/>
              <w:jc w:val="right"/>
            </w:pPr>
            <w:r w:rsidRPr="00C203E1">
              <w:t>20</w:t>
            </w:r>
            <w:r>
              <w:t>12</w:t>
            </w:r>
          </w:p>
        </w:tc>
        <w:tc>
          <w:tcPr>
            <w:tcW w:w="1061" w:type="dxa"/>
            <w:gridSpan w:val="3"/>
            <w:tcBorders>
              <w:top w:val="single" w:sz="4" w:space="0" w:color="auto"/>
            </w:tcBorders>
            <w:shd w:val="clear" w:color="auto" w:fill="auto"/>
          </w:tcPr>
          <w:p w:rsidR="003F52A8" w:rsidRPr="00C203E1" w:rsidRDefault="00C203E1" w:rsidP="00C203E1">
            <w:pPr>
              <w:keepNext/>
              <w:jc w:val="right"/>
            </w:pPr>
            <w:r>
              <w:t>2013</w:t>
            </w:r>
          </w:p>
        </w:tc>
        <w:tc>
          <w:tcPr>
            <w:tcW w:w="1062" w:type="dxa"/>
            <w:tcBorders>
              <w:top w:val="single" w:sz="4" w:space="0" w:color="auto"/>
            </w:tcBorders>
            <w:shd w:val="clear" w:color="auto" w:fill="auto"/>
          </w:tcPr>
          <w:p w:rsidR="003F52A8" w:rsidRPr="00C203E1" w:rsidRDefault="00C203E1" w:rsidP="00C203E1">
            <w:pPr>
              <w:keepNext/>
              <w:jc w:val="right"/>
            </w:pPr>
            <w:r>
              <w:t>2014</w:t>
            </w:r>
          </w:p>
        </w:tc>
        <w:tc>
          <w:tcPr>
            <w:tcW w:w="1061" w:type="dxa"/>
            <w:gridSpan w:val="2"/>
            <w:tcBorders>
              <w:top w:val="single" w:sz="4" w:space="0" w:color="auto"/>
            </w:tcBorders>
            <w:shd w:val="clear" w:color="auto" w:fill="auto"/>
          </w:tcPr>
          <w:p w:rsidR="003F52A8" w:rsidRPr="00C203E1" w:rsidRDefault="003F52A8" w:rsidP="00C203E1">
            <w:pPr>
              <w:keepNext/>
              <w:jc w:val="right"/>
            </w:pPr>
          </w:p>
        </w:tc>
        <w:tc>
          <w:tcPr>
            <w:tcW w:w="1061" w:type="dxa"/>
            <w:tcBorders>
              <w:top w:val="single" w:sz="4" w:space="0" w:color="auto"/>
            </w:tcBorders>
            <w:shd w:val="clear" w:color="auto" w:fill="auto"/>
          </w:tcPr>
          <w:p w:rsidR="003F52A8" w:rsidRPr="00C203E1" w:rsidRDefault="003F52A8" w:rsidP="00C203E1">
            <w:pPr>
              <w:keepNext/>
              <w:jc w:val="right"/>
            </w:pPr>
          </w:p>
        </w:tc>
        <w:tc>
          <w:tcPr>
            <w:tcW w:w="1062" w:type="dxa"/>
            <w:tcBorders>
              <w:top w:val="single" w:sz="4" w:space="0" w:color="auto"/>
            </w:tcBorders>
            <w:shd w:val="clear" w:color="auto" w:fill="auto"/>
          </w:tcPr>
          <w:p w:rsidR="003F52A8" w:rsidRDefault="003F52A8" w:rsidP="003F52A8">
            <w:pPr>
              <w:ind w:left="720"/>
              <w:jc w:val="center"/>
              <w:rPr>
                <w:b/>
                <w:bCs/>
              </w:rPr>
            </w:pPr>
          </w:p>
        </w:tc>
      </w:tr>
      <w:tr w:rsidR="003F52A8" w:rsidRPr="00D13B01" w:rsidTr="009D3593">
        <w:tblPrEx>
          <w:tblBorders>
            <w:insideH w:val="single" w:sz="4" w:space="0" w:color="auto"/>
            <w:insideV w:val="single" w:sz="4" w:space="0" w:color="auto"/>
          </w:tblBorders>
        </w:tblPrEx>
        <w:trPr>
          <w:jc w:val="center"/>
        </w:trPr>
        <w:tc>
          <w:tcPr>
            <w:tcW w:w="3184" w:type="dxa"/>
            <w:gridSpan w:val="2"/>
            <w:tcBorders>
              <w:top w:val="single" w:sz="4" w:space="0" w:color="auto"/>
              <w:bottom w:val="single" w:sz="4" w:space="0" w:color="auto"/>
            </w:tcBorders>
            <w:shd w:val="clear" w:color="auto" w:fill="auto"/>
          </w:tcPr>
          <w:p w:rsidR="003F52A8" w:rsidRPr="00C203E1" w:rsidRDefault="003F52A8" w:rsidP="003F52A8">
            <w:pPr>
              <w:keepNext/>
              <w:ind w:left="720" w:hanging="2"/>
            </w:pPr>
            <w:r w:rsidRPr="00C203E1">
              <w:t>Annual</w:t>
            </w:r>
          </w:p>
        </w:tc>
        <w:tc>
          <w:tcPr>
            <w:tcW w:w="1061" w:type="dxa"/>
            <w:shd w:val="clear" w:color="auto" w:fill="auto"/>
          </w:tcPr>
          <w:p w:rsidR="003F52A8" w:rsidRPr="00D4447C" w:rsidRDefault="00221C98" w:rsidP="00C203E1">
            <w:pPr>
              <w:keepNext/>
              <w:jc w:val="right"/>
            </w:pPr>
            <w:r w:rsidRPr="00221C98">
              <w:t>6</w:t>
            </w:r>
          </w:p>
        </w:tc>
        <w:tc>
          <w:tcPr>
            <w:tcW w:w="1061" w:type="dxa"/>
            <w:gridSpan w:val="3"/>
            <w:shd w:val="clear" w:color="auto" w:fill="auto"/>
          </w:tcPr>
          <w:p w:rsidR="00DE3C1D" w:rsidRDefault="00221C98">
            <w:pPr>
              <w:keepNext/>
              <w:jc w:val="right"/>
            </w:pPr>
            <w:r w:rsidRPr="00221C98">
              <w:t>6</w:t>
            </w:r>
          </w:p>
        </w:tc>
        <w:tc>
          <w:tcPr>
            <w:tcW w:w="1062" w:type="dxa"/>
            <w:shd w:val="clear" w:color="auto" w:fill="auto"/>
          </w:tcPr>
          <w:p w:rsidR="003F52A8" w:rsidRPr="00D4447C" w:rsidRDefault="00221C98" w:rsidP="00C203E1">
            <w:pPr>
              <w:keepNext/>
              <w:jc w:val="right"/>
            </w:pPr>
            <w:r w:rsidRPr="00221C98">
              <w:t>10</w:t>
            </w:r>
          </w:p>
        </w:tc>
        <w:tc>
          <w:tcPr>
            <w:tcW w:w="1061" w:type="dxa"/>
            <w:gridSpan w:val="2"/>
            <w:shd w:val="clear" w:color="auto" w:fill="auto"/>
          </w:tcPr>
          <w:p w:rsidR="003F52A8" w:rsidRDefault="003F52A8" w:rsidP="003F52A8">
            <w:pPr>
              <w:ind w:left="720"/>
              <w:jc w:val="center"/>
              <w:rPr>
                <w:b/>
                <w:bCs/>
              </w:rPr>
            </w:pPr>
          </w:p>
        </w:tc>
        <w:tc>
          <w:tcPr>
            <w:tcW w:w="1061" w:type="dxa"/>
            <w:shd w:val="clear" w:color="auto" w:fill="auto"/>
          </w:tcPr>
          <w:p w:rsidR="003F52A8" w:rsidRDefault="003F52A8" w:rsidP="003F52A8">
            <w:pPr>
              <w:ind w:left="720"/>
              <w:jc w:val="center"/>
              <w:rPr>
                <w:b/>
                <w:bCs/>
              </w:rPr>
            </w:pPr>
          </w:p>
        </w:tc>
        <w:tc>
          <w:tcPr>
            <w:tcW w:w="1062" w:type="dxa"/>
            <w:shd w:val="clear" w:color="auto" w:fill="auto"/>
          </w:tcPr>
          <w:p w:rsidR="003F52A8" w:rsidRDefault="003F52A8" w:rsidP="003F52A8">
            <w:pPr>
              <w:ind w:left="720"/>
              <w:jc w:val="center"/>
              <w:rPr>
                <w:b/>
                <w:bCs/>
              </w:rPr>
            </w:pPr>
          </w:p>
        </w:tc>
      </w:tr>
      <w:tr w:rsidR="003F52A8" w:rsidRPr="00D13B01" w:rsidTr="009D3593">
        <w:tblPrEx>
          <w:tblBorders>
            <w:insideH w:val="single" w:sz="4" w:space="0" w:color="auto"/>
            <w:insideV w:val="single" w:sz="4" w:space="0" w:color="auto"/>
          </w:tblBorders>
        </w:tblPrEx>
        <w:trPr>
          <w:jc w:val="center"/>
        </w:trPr>
        <w:tc>
          <w:tcPr>
            <w:tcW w:w="3184" w:type="dxa"/>
            <w:gridSpan w:val="2"/>
            <w:tcBorders>
              <w:top w:val="single" w:sz="4" w:space="0" w:color="auto"/>
              <w:bottom w:val="single" w:sz="4" w:space="0" w:color="auto"/>
            </w:tcBorders>
            <w:shd w:val="clear" w:color="auto" w:fill="auto"/>
          </w:tcPr>
          <w:p w:rsidR="003F52A8" w:rsidRPr="00C203E1" w:rsidRDefault="003F52A8" w:rsidP="003F52A8">
            <w:pPr>
              <w:keepNext/>
              <w:ind w:left="720" w:hanging="2"/>
            </w:pPr>
            <w:r w:rsidRPr="00C203E1">
              <w:t>Cumulative</w:t>
            </w:r>
          </w:p>
        </w:tc>
        <w:tc>
          <w:tcPr>
            <w:tcW w:w="1061" w:type="dxa"/>
            <w:tcBorders>
              <w:bottom w:val="single" w:sz="4" w:space="0" w:color="auto"/>
            </w:tcBorders>
            <w:shd w:val="clear" w:color="auto" w:fill="auto"/>
          </w:tcPr>
          <w:p w:rsidR="003F52A8" w:rsidRPr="00D4447C" w:rsidRDefault="00221C98" w:rsidP="00C203E1">
            <w:pPr>
              <w:keepNext/>
              <w:jc w:val="right"/>
            </w:pPr>
            <w:r w:rsidRPr="00221C98">
              <w:t>6</w:t>
            </w:r>
          </w:p>
        </w:tc>
        <w:tc>
          <w:tcPr>
            <w:tcW w:w="1061" w:type="dxa"/>
            <w:gridSpan w:val="3"/>
            <w:tcBorders>
              <w:bottom w:val="single" w:sz="4" w:space="0" w:color="auto"/>
            </w:tcBorders>
            <w:shd w:val="clear" w:color="auto" w:fill="auto"/>
          </w:tcPr>
          <w:p w:rsidR="00DE3C1D" w:rsidRDefault="00221C98">
            <w:pPr>
              <w:keepNext/>
              <w:jc w:val="right"/>
            </w:pPr>
            <w:r w:rsidRPr="00221C98">
              <w:t>12</w:t>
            </w:r>
          </w:p>
        </w:tc>
        <w:tc>
          <w:tcPr>
            <w:tcW w:w="1062" w:type="dxa"/>
            <w:tcBorders>
              <w:bottom w:val="single" w:sz="4" w:space="0" w:color="auto"/>
            </w:tcBorders>
            <w:shd w:val="clear" w:color="auto" w:fill="auto"/>
          </w:tcPr>
          <w:p w:rsidR="003F52A8" w:rsidRPr="00D4447C" w:rsidRDefault="00221C98" w:rsidP="00C203E1">
            <w:pPr>
              <w:keepNext/>
              <w:jc w:val="right"/>
            </w:pPr>
            <w:r w:rsidRPr="00221C98">
              <w:t>22</w:t>
            </w:r>
          </w:p>
        </w:tc>
        <w:tc>
          <w:tcPr>
            <w:tcW w:w="1061" w:type="dxa"/>
            <w:gridSpan w:val="2"/>
            <w:tcBorders>
              <w:bottom w:val="single" w:sz="4" w:space="0" w:color="auto"/>
            </w:tcBorders>
            <w:shd w:val="clear" w:color="auto" w:fill="auto"/>
          </w:tcPr>
          <w:p w:rsidR="003F52A8" w:rsidRDefault="003F52A8" w:rsidP="003F52A8">
            <w:pPr>
              <w:ind w:left="720"/>
              <w:jc w:val="center"/>
              <w:rPr>
                <w:b/>
                <w:bCs/>
              </w:rPr>
            </w:pPr>
          </w:p>
        </w:tc>
        <w:tc>
          <w:tcPr>
            <w:tcW w:w="1061" w:type="dxa"/>
            <w:tcBorders>
              <w:bottom w:val="single" w:sz="4" w:space="0" w:color="auto"/>
            </w:tcBorders>
            <w:shd w:val="clear" w:color="auto" w:fill="auto"/>
          </w:tcPr>
          <w:p w:rsidR="003F52A8" w:rsidRDefault="003F52A8" w:rsidP="003F52A8">
            <w:pPr>
              <w:ind w:left="720"/>
              <w:jc w:val="center"/>
              <w:rPr>
                <w:b/>
                <w:bCs/>
              </w:rPr>
            </w:pPr>
          </w:p>
        </w:tc>
        <w:tc>
          <w:tcPr>
            <w:tcW w:w="1062" w:type="dxa"/>
            <w:tcBorders>
              <w:bottom w:val="single" w:sz="4" w:space="0" w:color="auto"/>
            </w:tcBorders>
            <w:shd w:val="clear" w:color="auto" w:fill="auto"/>
          </w:tcPr>
          <w:p w:rsidR="003F52A8" w:rsidRDefault="003F52A8" w:rsidP="003F52A8">
            <w:pPr>
              <w:ind w:left="720"/>
              <w:jc w:val="center"/>
              <w:rPr>
                <w:b/>
                <w:bCs/>
              </w:rPr>
            </w:pPr>
          </w:p>
        </w:tc>
      </w:tr>
      <w:tr w:rsidR="009D5466" w:rsidRPr="00D13B01" w:rsidTr="00E46D30">
        <w:tblPrEx>
          <w:tblBorders>
            <w:insideH w:val="single" w:sz="4" w:space="0" w:color="auto"/>
            <w:insideV w:val="single" w:sz="4" w:space="0" w:color="auto"/>
          </w:tblBorders>
        </w:tblPrEx>
        <w:trPr>
          <w:jc w:val="center"/>
        </w:trPr>
        <w:tc>
          <w:tcPr>
            <w:tcW w:w="9552" w:type="dxa"/>
            <w:gridSpan w:val="11"/>
            <w:tcBorders>
              <w:top w:val="single" w:sz="4" w:space="0" w:color="auto"/>
              <w:bottom w:val="single" w:sz="4" w:space="0" w:color="auto"/>
            </w:tcBorders>
            <w:shd w:val="clear" w:color="auto" w:fill="D9D9D9"/>
          </w:tcPr>
          <w:p w:rsidR="009D5466" w:rsidRDefault="009D5466" w:rsidP="003F52A8">
            <w:pPr>
              <w:ind w:left="720"/>
              <w:jc w:val="center"/>
              <w:rPr>
                <w:b/>
                <w:bCs/>
              </w:rPr>
            </w:pPr>
            <w:r>
              <w:rPr>
                <w:b/>
                <w:bCs/>
              </w:rPr>
              <w:t>GEF Estimated Disbursements (Bank FY/</w:t>
            </w:r>
            <w:proofErr w:type="spellStart"/>
            <w:r>
              <w:rPr>
                <w:b/>
                <w:bCs/>
              </w:rPr>
              <w:t>US$m</w:t>
            </w:r>
            <w:proofErr w:type="spellEnd"/>
            <w:r>
              <w:rPr>
                <w:b/>
                <w:bCs/>
              </w:rPr>
              <w:t>)</w:t>
            </w:r>
          </w:p>
        </w:tc>
      </w:tr>
      <w:tr w:rsidR="009D5466" w:rsidRPr="00D13B01" w:rsidTr="009D3593">
        <w:tblPrEx>
          <w:tblBorders>
            <w:insideH w:val="single" w:sz="4" w:space="0" w:color="auto"/>
            <w:insideV w:val="single" w:sz="4" w:space="0" w:color="auto"/>
          </w:tblBorders>
        </w:tblPrEx>
        <w:trPr>
          <w:jc w:val="center"/>
        </w:trPr>
        <w:tc>
          <w:tcPr>
            <w:tcW w:w="3184" w:type="dxa"/>
            <w:gridSpan w:val="2"/>
            <w:tcBorders>
              <w:top w:val="single" w:sz="4" w:space="0" w:color="auto"/>
              <w:bottom w:val="single" w:sz="4" w:space="0" w:color="auto"/>
            </w:tcBorders>
            <w:shd w:val="clear" w:color="auto" w:fill="auto"/>
          </w:tcPr>
          <w:p w:rsidR="009D5466" w:rsidRPr="00076382" w:rsidRDefault="009D5466" w:rsidP="00E46D30">
            <w:pPr>
              <w:keepNext/>
              <w:ind w:left="720" w:hanging="2"/>
              <w:rPr>
                <w:highlight w:val="yellow"/>
              </w:rPr>
            </w:pPr>
            <w:r w:rsidRPr="00C203E1">
              <w:t>FY</w:t>
            </w:r>
          </w:p>
        </w:tc>
        <w:tc>
          <w:tcPr>
            <w:tcW w:w="1061" w:type="dxa"/>
            <w:tcBorders>
              <w:bottom w:val="single" w:sz="4" w:space="0" w:color="auto"/>
            </w:tcBorders>
            <w:shd w:val="clear" w:color="auto" w:fill="auto"/>
          </w:tcPr>
          <w:p w:rsidR="009D5466" w:rsidRPr="00221C98" w:rsidRDefault="009D5466" w:rsidP="00C203E1">
            <w:pPr>
              <w:keepNext/>
              <w:jc w:val="right"/>
            </w:pPr>
            <w:r>
              <w:t>2012</w:t>
            </w:r>
          </w:p>
        </w:tc>
        <w:tc>
          <w:tcPr>
            <w:tcW w:w="1061" w:type="dxa"/>
            <w:gridSpan w:val="3"/>
            <w:tcBorders>
              <w:bottom w:val="single" w:sz="4" w:space="0" w:color="auto"/>
            </w:tcBorders>
            <w:shd w:val="clear" w:color="auto" w:fill="auto"/>
          </w:tcPr>
          <w:p w:rsidR="009D5466" w:rsidRPr="00221C98" w:rsidRDefault="009D5466">
            <w:pPr>
              <w:keepNext/>
              <w:jc w:val="right"/>
            </w:pPr>
            <w:r>
              <w:t>2013</w:t>
            </w:r>
          </w:p>
        </w:tc>
        <w:tc>
          <w:tcPr>
            <w:tcW w:w="1062" w:type="dxa"/>
            <w:tcBorders>
              <w:bottom w:val="single" w:sz="4" w:space="0" w:color="auto"/>
            </w:tcBorders>
            <w:shd w:val="clear" w:color="auto" w:fill="auto"/>
          </w:tcPr>
          <w:p w:rsidR="009D5466" w:rsidRPr="00221C98" w:rsidRDefault="009D5466" w:rsidP="00C203E1">
            <w:pPr>
              <w:keepNext/>
              <w:jc w:val="right"/>
            </w:pPr>
            <w:r>
              <w:t>2014</w:t>
            </w:r>
          </w:p>
        </w:tc>
        <w:tc>
          <w:tcPr>
            <w:tcW w:w="1061" w:type="dxa"/>
            <w:gridSpan w:val="2"/>
            <w:tcBorders>
              <w:bottom w:val="single" w:sz="4" w:space="0" w:color="auto"/>
            </w:tcBorders>
            <w:shd w:val="clear" w:color="auto" w:fill="auto"/>
          </w:tcPr>
          <w:p w:rsidR="009D5466" w:rsidRDefault="009D5466" w:rsidP="003F52A8">
            <w:pPr>
              <w:ind w:left="720"/>
              <w:jc w:val="center"/>
              <w:rPr>
                <w:b/>
                <w:bCs/>
              </w:rPr>
            </w:pPr>
          </w:p>
        </w:tc>
        <w:tc>
          <w:tcPr>
            <w:tcW w:w="1061" w:type="dxa"/>
            <w:tcBorders>
              <w:bottom w:val="single" w:sz="4" w:space="0" w:color="auto"/>
            </w:tcBorders>
            <w:shd w:val="clear" w:color="auto" w:fill="auto"/>
          </w:tcPr>
          <w:p w:rsidR="009D5466" w:rsidRDefault="009D5466" w:rsidP="003F52A8">
            <w:pPr>
              <w:ind w:left="720"/>
              <w:jc w:val="center"/>
              <w:rPr>
                <w:b/>
                <w:bCs/>
              </w:rPr>
            </w:pPr>
          </w:p>
        </w:tc>
        <w:tc>
          <w:tcPr>
            <w:tcW w:w="1062" w:type="dxa"/>
            <w:tcBorders>
              <w:bottom w:val="single" w:sz="4" w:space="0" w:color="auto"/>
            </w:tcBorders>
            <w:shd w:val="clear" w:color="auto" w:fill="auto"/>
          </w:tcPr>
          <w:p w:rsidR="009D5466" w:rsidRDefault="009D5466" w:rsidP="003F52A8">
            <w:pPr>
              <w:ind w:left="720"/>
              <w:jc w:val="center"/>
              <w:rPr>
                <w:b/>
                <w:bCs/>
              </w:rPr>
            </w:pPr>
          </w:p>
        </w:tc>
      </w:tr>
      <w:tr w:rsidR="009D5466" w:rsidRPr="00D13B01" w:rsidTr="009D3593">
        <w:tblPrEx>
          <w:tblBorders>
            <w:insideH w:val="single" w:sz="4" w:space="0" w:color="auto"/>
            <w:insideV w:val="single" w:sz="4" w:space="0" w:color="auto"/>
          </w:tblBorders>
        </w:tblPrEx>
        <w:trPr>
          <w:jc w:val="center"/>
        </w:trPr>
        <w:tc>
          <w:tcPr>
            <w:tcW w:w="3184" w:type="dxa"/>
            <w:gridSpan w:val="2"/>
            <w:tcBorders>
              <w:top w:val="single" w:sz="4" w:space="0" w:color="auto"/>
              <w:bottom w:val="single" w:sz="4" w:space="0" w:color="auto"/>
            </w:tcBorders>
            <w:shd w:val="clear" w:color="auto" w:fill="auto"/>
          </w:tcPr>
          <w:p w:rsidR="009D5466" w:rsidRPr="00C203E1" w:rsidRDefault="009D5466" w:rsidP="00E46D30">
            <w:pPr>
              <w:keepNext/>
              <w:ind w:left="720" w:hanging="2"/>
            </w:pPr>
            <w:r w:rsidRPr="00C203E1">
              <w:t>Annual</w:t>
            </w:r>
          </w:p>
        </w:tc>
        <w:tc>
          <w:tcPr>
            <w:tcW w:w="1061" w:type="dxa"/>
            <w:tcBorders>
              <w:bottom w:val="single" w:sz="4" w:space="0" w:color="auto"/>
            </w:tcBorders>
            <w:shd w:val="clear" w:color="auto" w:fill="auto"/>
          </w:tcPr>
          <w:p w:rsidR="009D5466" w:rsidRPr="00221C98" w:rsidRDefault="009D5466" w:rsidP="00C203E1">
            <w:pPr>
              <w:keepNext/>
              <w:jc w:val="right"/>
            </w:pPr>
            <w:r>
              <w:t>0.3</w:t>
            </w:r>
          </w:p>
        </w:tc>
        <w:tc>
          <w:tcPr>
            <w:tcW w:w="1061" w:type="dxa"/>
            <w:gridSpan w:val="3"/>
            <w:tcBorders>
              <w:bottom w:val="single" w:sz="4" w:space="0" w:color="auto"/>
            </w:tcBorders>
            <w:shd w:val="clear" w:color="auto" w:fill="auto"/>
          </w:tcPr>
          <w:p w:rsidR="009D5466" w:rsidRPr="00221C98" w:rsidRDefault="009D5466">
            <w:pPr>
              <w:keepNext/>
              <w:jc w:val="right"/>
            </w:pPr>
            <w:r>
              <w:t>0.8</w:t>
            </w:r>
          </w:p>
        </w:tc>
        <w:tc>
          <w:tcPr>
            <w:tcW w:w="1062" w:type="dxa"/>
            <w:tcBorders>
              <w:bottom w:val="single" w:sz="4" w:space="0" w:color="auto"/>
            </w:tcBorders>
            <w:shd w:val="clear" w:color="auto" w:fill="auto"/>
          </w:tcPr>
          <w:p w:rsidR="009D5466" w:rsidRPr="00221C98" w:rsidRDefault="009D5466" w:rsidP="00AC6B68">
            <w:pPr>
              <w:keepNext/>
              <w:jc w:val="right"/>
            </w:pPr>
            <w:r>
              <w:t>0.</w:t>
            </w:r>
            <w:r w:rsidR="00AC6B68">
              <w:t>35</w:t>
            </w:r>
          </w:p>
        </w:tc>
        <w:tc>
          <w:tcPr>
            <w:tcW w:w="1061" w:type="dxa"/>
            <w:gridSpan w:val="2"/>
            <w:tcBorders>
              <w:bottom w:val="single" w:sz="4" w:space="0" w:color="auto"/>
            </w:tcBorders>
            <w:shd w:val="clear" w:color="auto" w:fill="auto"/>
          </w:tcPr>
          <w:p w:rsidR="009D5466" w:rsidRDefault="009D5466" w:rsidP="003F52A8">
            <w:pPr>
              <w:ind w:left="720"/>
              <w:jc w:val="center"/>
              <w:rPr>
                <w:b/>
                <w:bCs/>
              </w:rPr>
            </w:pPr>
          </w:p>
        </w:tc>
        <w:tc>
          <w:tcPr>
            <w:tcW w:w="1061" w:type="dxa"/>
            <w:tcBorders>
              <w:bottom w:val="single" w:sz="4" w:space="0" w:color="auto"/>
            </w:tcBorders>
            <w:shd w:val="clear" w:color="auto" w:fill="auto"/>
          </w:tcPr>
          <w:p w:rsidR="009D5466" w:rsidRDefault="009D5466" w:rsidP="003F52A8">
            <w:pPr>
              <w:ind w:left="720"/>
              <w:jc w:val="center"/>
              <w:rPr>
                <w:b/>
                <w:bCs/>
              </w:rPr>
            </w:pPr>
          </w:p>
        </w:tc>
        <w:tc>
          <w:tcPr>
            <w:tcW w:w="1062" w:type="dxa"/>
            <w:tcBorders>
              <w:bottom w:val="single" w:sz="4" w:space="0" w:color="auto"/>
            </w:tcBorders>
            <w:shd w:val="clear" w:color="auto" w:fill="auto"/>
          </w:tcPr>
          <w:p w:rsidR="009D5466" w:rsidRDefault="009D5466" w:rsidP="003F52A8">
            <w:pPr>
              <w:ind w:left="720"/>
              <w:jc w:val="center"/>
              <w:rPr>
                <w:b/>
                <w:bCs/>
              </w:rPr>
            </w:pPr>
          </w:p>
        </w:tc>
      </w:tr>
      <w:tr w:rsidR="009D5466" w:rsidRPr="00D13B01" w:rsidTr="009D3593">
        <w:tblPrEx>
          <w:tblBorders>
            <w:insideH w:val="single" w:sz="4" w:space="0" w:color="auto"/>
            <w:insideV w:val="single" w:sz="4" w:space="0" w:color="auto"/>
          </w:tblBorders>
        </w:tblPrEx>
        <w:trPr>
          <w:jc w:val="center"/>
        </w:trPr>
        <w:tc>
          <w:tcPr>
            <w:tcW w:w="3184" w:type="dxa"/>
            <w:gridSpan w:val="2"/>
            <w:tcBorders>
              <w:top w:val="single" w:sz="4" w:space="0" w:color="auto"/>
              <w:bottom w:val="single" w:sz="4" w:space="0" w:color="auto"/>
            </w:tcBorders>
            <w:shd w:val="clear" w:color="auto" w:fill="auto"/>
          </w:tcPr>
          <w:p w:rsidR="009D5466" w:rsidRPr="00C203E1" w:rsidRDefault="009D5466" w:rsidP="00E46D30">
            <w:pPr>
              <w:keepNext/>
              <w:ind w:left="720" w:hanging="2"/>
            </w:pPr>
            <w:r w:rsidRPr="00C203E1">
              <w:t>Cumulative</w:t>
            </w:r>
          </w:p>
        </w:tc>
        <w:tc>
          <w:tcPr>
            <w:tcW w:w="1061" w:type="dxa"/>
            <w:tcBorders>
              <w:bottom w:val="single" w:sz="4" w:space="0" w:color="auto"/>
            </w:tcBorders>
            <w:shd w:val="clear" w:color="auto" w:fill="auto"/>
          </w:tcPr>
          <w:p w:rsidR="009D5466" w:rsidRPr="00221C98" w:rsidRDefault="009D5466" w:rsidP="00C203E1">
            <w:pPr>
              <w:keepNext/>
              <w:jc w:val="right"/>
            </w:pPr>
            <w:r>
              <w:t>0.3</w:t>
            </w:r>
          </w:p>
        </w:tc>
        <w:tc>
          <w:tcPr>
            <w:tcW w:w="1061" w:type="dxa"/>
            <w:gridSpan w:val="3"/>
            <w:tcBorders>
              <w:bottom w:val="single" w:sz="4" w:space="0" w:color="auto"/>
            </w:tcBorders>
            <w:shd w:val="clear" w:color="auto" w:fill="auto"/>
          </w:tcPr>
          <w:p w:rsidR="009D5466" w:rsidRPr="00221C98" w:rsidRDefault="009D5466">
            <w:pPr>
              <w:keepNext/>
              <w:jc w:val="right"/>
            </w:pPr>
            <w:r>
              <w:t>1.1</w:t>
            </w:r>
          </w:p>
        </w:tc>
        <w:tc>
          <w:tcPr>
            <w:tcW w:w="1062" w:type="dxa"/>
            <w:tcBorders>
              <w:bottom w:val="single" w:sz="4" w:space="0" w:color="auto"/>
            </w:tcBorders>
            <w:shd w:val="clear" w:color="auto" w:fill="auto"/>
          </w:tcPr>
          <w:p w:rsidR="009D5466" w:rsidRPr="00221C98" w:rsidRDefault="009D5466" w:rsidP="00AC6B68">
            <w:pPr>
              <w:keepNext/>
              <w:jc w:val="right"/>
            </w:pPr>
            <w:r>
              <w:t>1.</w:t>
            </w:r>
            <w:r w:rsidR="00AC6B68">
              <w:t>4</w:t>
            </w:r>
            <w:r w:rsidR="006A2352">
              <w:t>5</w:t>
            </w:r>
          </w:p>
        </w:tc>
        <w:tc>
          <w:tcPr>
            <w:tcW w:w="1061" w:type="dxa"/>
            <w:gridSpan w:val="2"/>
            <w:tcBorders>
              <w:bottom w:val="single" w:sz="4" w:space="0" w:color="auto"/>
            </w:tcBorders>
            <w:shd w:val="clear" w:color="auto" w:fill="auto"/>
          </w:tcPr>
          <w:p w:rsidR="009D5466" w:rsidRDefault="009D5466" w:rsidP="003F52A8">
            <w:pPr>
              <w:ind w:left="720"/>
              <w:jc w:val="center"/>
              <w:rPr>
                <w:b/>
                <w:bCs/>
              </w:rPr>
            </w:pPr>
          </w:p>
        </w:tc>
        <w:tc>
          <w:tcPr>
            <w:tcW w:w="1061" w:type="dxa"/>
            <w:tcBorders>
              <w:bottom w:val="single" w:sz="4" w:space="0" w:color="auto"/>
            </w:tcBorders>
            <w:shd w:val="clear" w:color="auto" w:fill="auto"/>
          </w:tcPr>
          <w:p w:rsidR="009D5466" w:rsidRDefault="009D5466" w:rsidP="003F52A8">
            <w:pPr>
              <w:ind w:left="720"/>
              <w:jc w:val="center"/>
              <w:rPr>
                <w:b/>
                <w:bCs/>
              </w:rPr>
            </w:pPr>
          </w:p>
        </w:tc>
        <w:tc>
          <w:tcPr>
            <w:tcW w:w="1062" w:type="dxa"/>
            <w:tcBorders>
              <w:bottom w:val="single" w:sz="4" w:space="0" w:color="auto"/>
            </w:tcBorders>
            <w:shd w:val="clear" w:color="auto" w:fill="auto"/>
          </w:tcPr>
          <w:p w:rsidR="009D5466" w:rsidRDefault="009D5466" w:rsidP="003F52A8">
            <w:pPr>
              <w:ind w:left="720"/>
              <w:jc w:val="center"/>
              <w:rPr>
                <w:b/>
                <w:bCs/>
              </w:rPr>
            </w:pPr>
          </w:p>
        </w:tc>
      </w:tr>
      <w:tr w:rsidR="009D5466" w:rsidRPr="00D21EDC" w:rsidTr="009D3593">
        <w:tblPrEx>
          <w:tblBorders>
            <w:insideH w:val="single" w:sz="4" w:space="0" w:color="auto"/>
            <w:insideV w:val="single" w:sz="4" w:space="0" w:color="auto"/>
          </w:tblBorders>
        </w:tblPrEx>
        <w:trPr>
          <w:jc w:val="center"/>
        </w:trPr>
        <w:tc>
          <w:tcPr>
            <w:tcW w:w="9552" w:type="dxa"/>
            <w:gridSpan w:val="11"/>
            <w:tcBorders>
              <w:top w:val="single" w:sz="4" w:space="0" w:color="auto"/>
              <w:bottom w:val="single" w:sz="4" w:space="0" w:color="auto"/>
            </w:tcBorders>
            <w:shd w:val="clear" w:color="auto" w:fill="D9D9D9"/>
          </w:tcPr>
          <w:p w:rsidR="009D5466" w:rsidRDefault="009D5466" w:rsidP="003F52A8">
            <w:pPr>
              <w:ind w:left="720"/>
              <w:jc w:val="center"/>
              <w:rPr>
                <w:b/>
                <w:bCs/>
              </w:rPr>
            </w:pPr>
            <w:r>
              <w:rPr>
                <w:b/>
                <w:bCs/>
              </w:rPr>
              <w:t>Project Development Objective and Description</w:t>
            </w:r>
          </w:p>
        </w:tc>
      </w:tr>
      <w:tr w:rsidR="009D5466" w:rsidRPr="00D13B01" w:rsidTr="009D3593">
        <w:tblPrEx>
          <w:tblBorders>
            <w:insideH w:val="single" w:sz="4" w:space="0" w:color="auto"/>
            <w:insideV w:val="single" w:sz="4" w:space="0" w:color="auto"/>
          </w:tblBorders>
        </w:tblPrEx>
        <w:trPr>
          <w:trHeight w:val="1520"/>
          <w:jc w:val="center"/>
        </w:trPr>
        <w:tc>
          <w:tcPr>
            <w:tcW w:w="9552" w:type="dxa"/>
            <w:gridSpan w:val="11"/>
            <w:tcBorders>
              <w:top w:val="single" w:sz="4" w:space="0" w:color="auto"/>
            </w:tcBorders>
            <w:shd w:val="clear" w:color="auto" w:fill="auto"/>
          </w:tcPr>
          <w:p w:rsidR="009D5466" w:rsidRDefault="009D5466">
            <w:pPr>
              <w:rPr>
                <w:b/>
              </w:rPr>
            </w:pPr>
          </w:p>
          <w:p w:rsidR="009D5466" w:rsidRDefault="009D5466">
            <w:r w:rsidRPr="00ED37E6">
              <w:rPr>
                <w:b/>
              </w:rPr>
              <w:t xml:space="preserve">Original project development objective:  </w:t>
            </w:r>
            <w:r w:rsidRPr="00ED37E6">
              <w:t>The objective of the project is to improve and increase access to electricity in Liberia.</w:t>
            </w:r>
          </w:p>
          <w:p w:rsidR="009D5466" w:rsidRDefault="009D5466" w:rsidP="003F52A8">
            <w:pPr>
              <w:ind w:left="720"/>
            </w:pPr>
          </w:p>
          <w:p w:rsidR="009D5466" w:rsidRDefault="009D5466">
            <w:r>
              <w:t xml:space="preserve">Revised project development objective:  </w:t>
            </w:r>
            <w:r w:rsidRPr="00076382">
              <w:t>Not applicable</w:t>
            </w:r>
            <w:r w:rsidRPr="00076382">
              <w:rPr>
                <w:i/>
              </w:rPr>
              <w:t xml:space="preserve"> </w:t>
            </w:r>
          </w:p>
          <w:p w:rsidR="009D5466" w:rsidRDefault="009D5466" w:rsidP="00803271">
            <w:pPr>
              <w:rPr>
                <w:b/>
              </w:rPr>
            </w:pPr>
          </w:p>
          <w:p w:rsidR="00DF4CB6" w:rsidRDefault="009D5466" w:rsidP="00DF4CB6">
            <w:pPr>
              <w:rPr>
                <w:b/>
              </w:rPr>
            </w:pPr>
            <w:r w:rsidRPr="00803271">
              <w:rPr>
                <w:b/>
              </w:rPr>
              <w:t xml:space="preserve">The Global Environmental Objective of this </w:t>
            </w:r>
            <w:r>
              <w:rPr>
                <w:b/>
              </w:rPr>
              <w:t xml:space="preserve">GEF </w:t>
            </w:r>
            <w:r w:rsidRPr="00803271">
              <w:rPr>
                <w:b/>
              </w:rPr>
              <w:t>component</w:t>
            </w:r>
            <w:r>
              <w:rPr>
                <w:b/>
              </w:rPr>
              <w:t xml:space="preserve">:  </w:t>
            </w:r>
            <w:r w:rsidR="00DF4CB6">
              <w:t>T</w:t>
            </w:r>
            <w:r>
              <w:t>o</w:t>
            </w:r>
            <w:r w:rsidRPr="00803271">
              <w:t xml:space="preserve"> reduce greenhouse gas emissions</w:t>
            </w:r>
            <w:r>
              <w:t xml:space="preserve"> </w:t>
            </w:r>
            <w:r w:rsidR="00DF4CB6">
              <w:t>when compared with Liberia’s emissions growth baseline</w:t>
            </w:r>
            <w:r w:rsidR="00DF4CB6" w:rsidRPr="00803271">
              <w:t>.</w:t>
            </w:r>
          </w:p>
          <w:p w:rsidR="009D5466" w:rsidRDefault="009D5466" w:rsidP="00803271">
            <w:pPr>
              <w:rPr>
                <w:b/>
              </w:rPr>
            </w:pPr>
          </w:p>
          <w:p w:rsidR="009D5466" w:rsidRDefault="009D5466">
            <w:pPr>
              <w:rPr>
                <w:b/>
              </w:rPr>
            </w:pPr>
            <w:r w:rsidRPr="00ED37E6">
              <w:rPr>
                <w:b/>
              </w:rPr>
              <w:t>Project description:</w:t>
            </w:r>
            <w:r>
              <w:rPr>
                <w:b/>
              </w:rPr>
              <w:t xml:space="preserve"> </w:t>
            </w:r>
            <w:r w:rsidRPr="00A62B19">
              <w:t>The project description is the same as in the original project which includes four components</w:t>
            </w:r>
            <w:r w:rsidRPr="00ED37E6">
              <w:t xml:space="preserve">: </w:t>
            </w:r>
          </w:p>
          <w:p w:rsidR="009D5466" w:rsidRDefault="009D5466" w:rsidP="00A62B19">
            <w:pPr>
              <w:rPr>
                <w:b/>
              </w:rPr>
            </w:pPr>
          </w:p>
          <w:p w:rsidR="009D5466" w:rsidRPr="00A62B19" w:rsidRDefault="009D5466" w:rsidP="00A62B19">
            <w:r>
              <w:rPr>
                <w:b/>
              </w:rPr>
              <w:t>Component A</w:t>
            </w:r>
            <w:r w:rsidRPr="00A62B19">
              <w:rPr>
                <w:b/>
              </w:rPr>
              <w:t xml:space="preserve">. </w:t>
            </w:r>
            <w:r>
              <w:rPr>
                <w:b/>
              </w:rPr>
              <w:t xml:space="preserve"> </w:t>
            </w:r>
            <w:r w:rsidRPr="00A62B19">
              <w:rPr>
                <w:b/>
              </w:rPr>
              <w:t xml:space="preserve">Enhancing delivery of distribution services, including for low-income households; </w:t>
            </w:r>
          </w:p>
          <w:p w:rsidR="009D5466" w:rsidRPr="00A62B19" w:rsidRDefault="009D5466" w:rsidP="00A62B19">
            <w:r w:rsidRPr="00A62B19">
              <w:t xml:space="preserve">Sub-component A.1:  </w:t>
            </w:r>
            <w:r>
              <w:t xml:space="preserve"> </w:t>
            </w:r>
            <w:r w:rsidRPr="00A62B19">
              <w:t>Distribution network reinforcement and extension (IDA).</w:t>
            </w:r>
          </w:p>
          <w:p w:rsidR="009D5466" w:rsidRPr="00A62B19" w:rsidRDefault="009D5466" w:rsidP="00A62B19">
            <w:r w:rsidRPr="00A62B19">
              <w:t xml:space="preserve">Sub-Component A.2: </w:t>
            </w:r>
            <w:r>
              <w:t xml:space="preserve"> </w:t>
            </w:r>
            <w:r w:rsidRPr="00A62B19">
              <w:t xml:space="preserve">Connection of new low-income costumers (GPOBA).  </w:t>
            </w:r>
          </w:p>
          <w:p w:rsidR="009D5466" w:rsidRPr="00A62B19" w:rsidRDefault="009D5466" w:rsidP="00A62B19">
            <w:r w:rsidRPr="00A62B19">
              <w:t>Sub-Component A.3</w:t>
            </w:r>
            <w:r>
              <w:t>:</w:t>
            </w:r>
            <w:r w:rsidRPr="00A62B19">
              <w:t xml:space="preserve"> </w:t>
            </w:r>
            <w:r>
              <w:t xml:space="preserve"> </w:t>
            </w:r>
            <w:r w:rsidRPr="00A62B19">
              <w:t xml:space="preserve">Distribution network reinforcement and extension (Government of Norway). </w:t>
            </w:r>
          </w:p>
          <w:p w:rsidR="009D5466" w:rsidRDefault="009D5466" w:rsidP="00A62B19">
            <w:pPr>
              <w:rPr>
                <w:b/>
              </w:rPr>
            </w:pPr>
          </w:p>
          <w:p w:rsidR="009D5466" w:rsidRPr="008458B0" w:rsidRDefault="009D5466" w:rsidP="00A62B19">
            <w:pPr>
              <w:rPr>
                <w:b/>
              </w:rPr>
            </w:pPr>
            <w:r>
              <w:rPr>
                <w:b/>
              </w:rPr>
              <w:t>Component B</w:t>
            </w:r>
            <w:r w:rsidRPr="00A62B19">
              <w:rPr>
                <w:b/>
              </w:rPr>
              <w:t xml:space="preserve">. </w:t>
            </w:r>
            <w:r>
              <w:rPr>
                <w:b/>
              </w:rPr>
              <w:t xml:space="preserve"> </w:t>
            </w:r>
            <w:r w:rsidRPr="008458B0">
              <w:rPr>
                <w:b/>
              </w:rPr>
              <w:t xml:space="preserve">Enhancing options for power generation </w:t>
            </w:r>
            <w:r w:rsidRPr="008458B0">
              <w:t>(IDA)</w:t>
            </w:r>
          </w:p>
          <w:p w:rsidR="009D5466" w:rsidRDefault="009D5466" w:rsidP="00A62B19"/>
          <w:p w:rsidR="009D5466" w:rsidRDefault="009D5466" w:rsidP="00A62B19">
            <w:r>
              <w:rPr>
                <w:b/>
              </w:rPr>
              <w:t>Component C</w:t>
            </w:r>
            <w:r w:rsidRPr="00A62B19">
              <w:rPr>
                <w:b/>
              </w:rPr>
              <w:t xml:space="preserve">. </w:t>
            </w:r>
            <w:r>
              <w:rPr>
                <w:b/>
              </w:rPr>
              <w:t xml:space="preserve"> </w:t>
            </w:r>
            <w:r w:rsidRPr="008458B0">
              <w:rPr>
                <w:b/>
              </w:rPr>
              <w:t>Providing</w:t>
            </w:r>
            <w:r w:rsidRPr="00ED37E6">
              <w:t xml:space="preserve"> </w:t>
            </w:r>
            <w:r w:rsidRPr="008458B0">
              <w:rPr>
                <w:b/>
              </w:rPr>
              <w:t>modern renewable energy services to off-grid users</w:t>
            </w:r>
            <w:r>
              <w:t xml:space="preserve"> </w:t>
            </w:r>
            <w:r w:rsidRPr="00ED37E6">
              <w:t xml:space="preserve"> </w:t>
            </w:r>
          </w:p>
          <w:p w:rsidR="009D5466" w:rsidRPr="00A62B19" w:rsidRDefault="009D5466" w:rsidP="00A62B19">
            <w:r w:rsidRPr="00A62B19">
              <w:t>Sub-component C.1: Renewable energy pilot activities in rural areas</w:t>
            </w:r>
            <w:r>
              <w:t xml:space="preserve"> (AFREA, GEF)</w:t>
            </w:r>
            <w:r w:rsidRPr="00A62B19">
              <w:t xml:space="preserve">.  </w:t>
            </w:r>
          </w:p>
          <w:p w:rsidR="009D5466" w:rsidRPr="008458B0" w:rsidRDefault="009D5466" w:rsidP="008458B0">
            <w:r w:rsidRPr="008458B0">
              <w:lastRenderedPageBreak/>
              <w:t>Sub-component C.2: Technical Assistance</w:t>
            </w:r>
            <w:r>
              <w:t xml:space="preserve"> (AFREA, GEF)</w:t>
            </w:r>
            <w:r w:rsidRPr="008458B0">
              <w:t>.</w:t>
            </w:r>
          </w:p>
          <w:p w:rsidR="009D5466" w:rsidRDefault="009D5466" w:rsidP="008458B0">
            <w:pPr>
              <w:ind w:left="1440"/>
            </w:pPr>
          </w:p>
          <w:p w:rsidR="009D5466" w:rsidRPr="00ED37E6" w:rsidRDefault="009D5466" w:rsidP="00A2178E">
            <w:pPr>
              <w:rPr>
                <w:b/>
              </w:rPr>
            </w:pPr>
            <w:r>
              <w:rPr>
                <w:b/>
              </w:rPr>
              <w:t>Component D</w:t>
            </w:r>
            <w:r w:rsidRPr="008458B0">
              <w:rPr>
                <w:b/>
              </w:rPr>
              <w:t xml:space="preserve">. </w:t>
            </w:r>
            <w:r w:rsidRPr="00ED37E6">
              <w:t>Technical assistance</w:t>
            </w:r>
            <w:r>
              <w:t xml:space="preserve"> for the </w:t>
            </w:r>
            <w:r w:rsidRPr="008458B0">
              <w:t>Ministry of Lands, Mines and Energy</w:t>
            </w:r>
            <w:r>
              <w:t xml:space="preserve"> (IDA)</w:t>
            </w:r>
            <w:r w:rsidRPr="00ED37E6">
              <w:t>.</w:t>
            </w:r>
            <w:r>
              <w:t xml:space="preserve"> </w:t>
            </w:r>
          </w:p>
        </w:tc>
      </w:tr>
      <w:tr w:rsidR="009D5466" w:rsidRPr="00D13B01" w:rsidTr="009D3593">
        <w:tblPrEx>
          <w:tblBorders>
            <w:insideH w:val="single" w:sz="4" w:space="0" w:color="auto"/>
            <w:insideV w:val="single" w:sz="4" w:space="0" w:color="auto"/>
          </w:tblBorders>
        </w:tblPrEx>
        <w:trPr>
          <w:jc w:val="center"/>
        </w:trPr>
        <w:tc>
          <w:tcPr>
            <w:tcW w:w="9552" w:type="dxa"/>
            <w:gridSpan w:val="11"/>
            <w:tcBorders>
              <w:top w:val="single" w:sz="4" w:space="0" w:color="auto"/>
              <w:bottom w:val="single" w:sz="4" w:space="0" w:color="auto"/>
            </w:tcBorders>
            <w:shd w:val="clear" w:color="auto" w:fill="D9D9D9"/>
          </w:tcPr>
          <w:p w:rsidR="009D5466" w:rsidRPr="00D21EDC" w:rsidRDefault="009D5466" w:rsidP="003F52A8">
            <w:pPr>
              <w:ind w:left="720"/>
              <w:jc w:val="center"/>
              <w:rPr>
                <w:b/>
                <w:bCs/>
              </w:rPr>
            </w:pPr>
            <w:r w:rsidRPr="00D21EDC">
              <w:rPr>
                <w:b/>
                <w:bCs/>
              </w:rPr>
              <w:lastRenderedPageBreak/>
              <w:t>Safeguard and Exception to Policies</w:t>
            </w:r>
          </w:p>
        </w:tc>
      </w:tr>
      <w:tr w:rsidR="009D5466" w:rsidRPr="00D13B01" w:rsidTr="009D3593">
        <w:tblPrEx>
          <w:tblBorders>
            <w:insideH w:val="single" w:sz="4" w:space="0" w:color="auto"/>
            <w:insideV w:val="single" w:sz="4" w:space="0" w:color="auto"/>
          </w:tblBorders>
        </w:tblPrEx>
        <w:trPr>
          <w:trHeight w:val="3122"/>
          <w:jc w:val="center"/>
        </w:trPr>
        <w:tc>
          <w:tcPr>
            <w:tcW w:w="7053" w:type="dxa"/>
            <w:gridSpan w:val="8"/>
            <w:tcBorders>
              <w:top w:val="single" w:sz="4" w:space="0" w:color="auto"/>
              <w:bottom w:val="single" w:sz="4" w:space="0" w:color="auto"/>
            </w:tcBorders>
            <w:shd w:val="clear" w:color="auto" w:fill="auto"/>
          </w:tcPr>
          <w:p w:rsidR="009D5466" w:rsidRPr="009A7C4A" w:rsidRDefault="009D5466" w:rsidP="003F52A8">
            <w:pPr>
              <w:autoSpaceDE w:val="0"/>
              <w:autoSpaceDN w:val="0"/>
              <w:adjustRightInd w:val="0"/>
              <w:ind w:left="720"/>
              <w:rPr>
                <w:rFonts w:eastAsia="Calibri"/>
              </w:rPr>
            </w:pPr>
            <w:r>
              <w:rPr>
                <w:rFonts w:eastAsia="Calibri"/>
              </w:rPr>
              <w:t>Safeguard policies triggered:</w:t>
            </w:r>
          </w:p>
          <w:p w:rsidR="009D5466" w:rsidRPr="009A7C4A" w:rsidRDefault="009D5466" w:rsidP="003F52A8">
            <w:pPr>
              <w:autoSpaceDE w:val="0"/>
              <w:autoSpaceDN w:val="0"/>
              <w:adjustRightInd w:val="0"/>
              <w:ind w:left="720"/>
              <w:rPr>
                <w:rFonts w:eastAsia="Calibri"/>
              </w:rPr>
            </w:pPr>
            <w:r w:rsidRPr="009A7C4A">
              <w:rPr>
                <w:rFonts w:eastAsia="Calibri"/>
              </w:rPr>
              <w:t xml:space="preserve">Environmental Assessment </w:t>
            </w:r>
            <w:r>
              <w:rPr>
                <w:rFonts w:eastAsia="Calibri"/>
              </w:rPr>
              <w:t>(OP/BP 4.01</w:t>
            </w:r>
            <w:r w:rsidRPr="009A7C4A">
              <w:rPr>
                <w:rFonts w:eastAsia="Calibri"/>
              </w:rPr>
              <w:t xml:space="preserve">) </w:t>
            </w:r>
          </w:p>
          <w:p w:rsidR="009D5466" w:rsidRPr="009A7C4A" w:rsidRDefault="009D5466" w:rsidP="003F52A8">
            <w:pPr>
              <w:autoSpaceDE w:val="0"/>
              <w:autoSpaceDN w:val="0"/>
              <w:adjustRightInd w:val="0"/>
              <w:ind w:left="720"/>
              <w:rPr>
                <w:rFonts w:eastAsia="Calibri"/>
              </w:rPr>
            </w:pPr>
            <w:r w:rsidRPr="009A7C4A">
              <w:rPr>
                <w:rFonts w:eastAsia="Calibri"/>
              </w:rPr>
              <w:t xml:space="preserve">Natural Habitats </w:t>
            </w:r>
            <w:r>
              <w:rPr>
                <w:rFonts w:eastAsia="Calibri"/>
              </w:rPr>
              <w:t>(OP/</w:t>
            </w:r>
            <w:r w:rsidRPr="009A7C4A">
              <w:rPr>
                <w:rFonts w:eastAsia="Calibri"/>
              </w:rPr>
              <w:t xml:space="preserve">BP 4.04) </w:t>
            </w:r>
          </w:p>
          <w:p w:rsidR="009D5466" w:rsidRPr="009A7C4A" w:rsidRDefault="009D5466" w:rsidP="003F52A8">
            <w:pPr>
              <w:autoSpaceDE w:val="0"/>
              <w:autoSpaceDN w:val="0"/>
              <w:adjustRightInd w:val="0"/>
              <w:ind w:left="720"/>
              <w:rPr>
                <w:rFonts w:eastAsia="Calibri"/>
              </w:rPr>
            </w:pPr>
            <w:r w:rsidRPr="009A7C4A">
              <w:rPr>
                <w:rFonts w:eastAsia="Calibri"/>
              </w:rPr>
              <w:t xml:space="preserve">Forests </w:t>
            </w:r>
            <w:r>
              <w:rPr>
                <w:rFonts w:eastAsia="Calibri"/>
              </w:rPr>
              <w:t>(OP/</w:t>
            </w:r>
            <w:r w:rsidRPr="009A7C4A">
              <w:rPr>
                <w:rFonts w:eastAsia="Calibri"/>
              </w:rPr>
              <w:t xml:space="preserve">BP 4.36) </w:t>
            </w:r>
          </w:p>
          <w:p w:rsidR="009D5466" w:rsidRPr="009A7C4A" w:rsidRDefault="009D5466" w:rsidP="003F52A8">
            <w:pPr>
              <w:autoSpaceDE w:val="0"/>
              <w:autoSpaceDN w:val="0"/>
              <w:adjustRightInd w:val="0"/>
              <w:ind w:left="720"/>
              <w:rPr>
                <w:rFonts w:eastAsia="Calibri"/>
              </w:rPr>
            </w:pPr>
            <w:r w:rsidRPr="009A7C4A">
              <w:rPr>
                <w:rFonts w:eastAsia="Calibri"/>
              </w:rPr>
              <w:t xml:space="preserve">Pest Management </w:t>
            </w:r>
            <w:r>
              <w:rPr>
                <w:rFonts w:eastAsia="Calibri"/>
              </w:rPr>
              <w:t>(</w:t>
            </w:r>
            <w:r w:rsidRPr="009A7C4A">
              <w:rPr>
                <w:rFonts w:eastAsia="Calibri"/>
              </w:rPr>
              <w:t xml:space="preserve">OP 4.09) </w:t>
            </w:r>
          </w:p>
          <w:p w:rsidR="009D5466" w:rsidRPr="009A7C4A" w:rsidRDefault="009D5466" w:rsidP="003F52A8">
            <w:pPr>
              <w:autoSpaceDE w:val="0"/>
              <w:autoSpaceDN w:val="0"/>
              <w:adjustRightInd w:val="0"/>
              <w:ind w:left="720"/>
              <w:rPr>
                <w:rFonts w:eastAsia="Calibri"/>
              </w:rPr>
            </w:pPr>
            <w:r w:rsidRPr="009A7C4A">
              <w:rPr>
                <w:rFonts w:eastAsia="Calibri"/>
              </w:rPr>
              <w:t xml:space="preserve">Physical Cultural Resources </w:t>
            </w:r>
            <w:r>
              <w:rPr>
                <w:rFonts w:eastAsia="Calibri"/>
              </w:rPr>
              <w:t>(OP/BP 4.11</w:t>
            </w:r>
            <w:r w:rsidRPr="009A7C4A">
              <w:rPr>
                <w:rFonts w:eastAsia="Calibri"/>
              </w:rPr>
              <w:t xml:space="preserve">) </w:t>
            </w:r>
          </w:p>
          <w:p w:rsidR="009D5466" w:rsidRPr="009A7C4A" w:rsidRDefault="009D5466" w:rsidP="003F52A8">
            <w:pPr>
              <w:autoSpaceDE w:val="0"/>
              <w:autoSpaceDN w:val="0"/>
              <w:adjustRightInd w:val="0"/>
              <w:ind w:left="720"/>
              <w:rPr>
                <w:rFonts w:eastAsia="Calibri"/>
              </w:rPr>
            </w:pPr>
            <w:r w:rsidRPr="009A7C4A">
              <w:rPr>
                <w:rFonts w:eastAsia="Calibri"/>
              </w:rPr>
              <w:t xml:space="preserve">Indigenous Peoples </w:t>
            </w:r>
            <w:r>
              <w:rPr>
                <w:rFonts w:eastAsia="Calibri"/>
              </w:rPr>
              <w:t>(OP/BP 4.10</w:t>
            </w:r>
            <w:r w:rsidRPr="009A7C4A">
              <w:rPr>
                <w:rFonts w:eastAsia="Calibri"/>
              </w:rPr>
              <w:t xml:space="preserve">) </w:t>
            </w:r>
          </w:p>
          <w:p w:rsidR="009D5466" w:rsidRPr="009A7C4A" w:rsidRDefault="009D5466" w:rsidP="003F52A8">
            <w:pPr>
              <w:autoSpaceDE w:val="0"/>
              <w:autoSpaceDN w:val="0"/>
              <w:adjustRightInd w:val="0"/>
              <w:ind w:left="720"/>
              <w:rPr>
                <w:rFonts w:eastAsia="Calibri"/>
              </w:rPr>
            </w:pPr>
            <w:r w:rsidRPr="009A7C4A">
              <w:rPr>
                <w:rFonts w:eastAsia="Calibri"/>
              </w:rPr>
              <w:t xml:space="preserve">Involuntary Resettlement </w:t>
            </w:r>
            <w:r>
              <w:rPr>
                <w:rFonts w:eastAsia="Calibri"/>
              </w:rPr>
              <w:t>(OP/BP 4.12</w:t>
            </w:r>
            <w:r w:rsidRPr="009A7C4A">
              <w:rPr>
                <w:rFonts w:eastAsia="Calibri"/>
              </w:rPr>
              <w:t>)</w:t>
            </w:r>
          </w:p>
          <w:p w:rsidR="009D5466" w:rsidRPr="009A7C4A" w:rsidRDefault="009D5466" w:rsidP="003F52A8">
            <w:pPr>
              <w:autoSpaceDE w:val="0"/>
              <w:autoSpaceDN w:val="0"/>
              <w:adjustRightInd w:val="0"/>
              <w:ind w:left="720"/>
              <w:rPr>
                <w:rFonts w:eastAsia="Calibri"/>
              </w:rPr>
            </w:pPr>
            <w:r w:rsidRPr="009A7C4A">
              <w:rPr>
                <w:rFonts w:eastAsia="Calibri"/>
              </w:rPr>
              <w:t xml:space="preserve">Safety of Dams </w:t>
            </w:r>
            <w:r>
              <w:rPr>
                <w:rFonts w:eastAsia="Calibri"/>
              </w:rPr>
              <w:t>(OP/</w:t>
            </w:r>
            <w:r w:rsidRPr="009A7C4A">
              <w:rPr>
                <w:rFonts w:eastAsia="Calibri"/>
              </w:rPr>
              <w:t>BP 4.37</w:t>
            </w:r>
            <w:r>
              <w:rPr>
                <w:rFonts w:eastAsia="Calibri"/>
              </w:rPr>
              <w:t>)</w:t>
            </w:r>
          </w:p>
          <w:p w:rsidR="009D5466" w:rsidRPr="009A7C4A" w:rsidRDefault="009D5466" w:rsidP="003F52A8">
            <w:pPr>
              <w:autoSpaceDE w:val="0"/>
              <w:autoSpaceDN w:val="0"/>
              <w:adjustRightInd w:val="0"/>
              <w:ind w:left="720"/>
              <w:rPr>
                <w:rFonts w:eastAsia="Calibri"/>
              </w:rPr>
            </w:pPr>
            <w:r w:rsidRPr="009A7C4A">
              <w:rPr>
                <w:rFonts w:eastAsia="Calibri"/>
              </w:rPr>
              <w:t>Projects on International Water</w:t>
            </w:r>
            <w:r>
              <w:rPr>
                <w:rFonts w:eastAsia="Calibri"/>
              </w:rPr>
              <w:t>way</w:t>
            </w:r>
            <w:r w:rsidRPr="009A7C4A">
              <w:rPr>
                <w:rFonts w:eastAsia="Calibri"/>
              </w:rPr>
              <w:t xml:space="preserve">s </w:t>
            </w:r>
            <w:r>
              <w:rPr>
                <w:rFonts w:eastAsia="Calibri"/>
              </w:rPr>
              <w:t>(OP/</w:t>
            </w:r>
            <w:r w:rsidRPr="009A7C4A">
              <w:rPr>
                <w:rFonts w:eastAsia="Calibri"/>
              </w:rPr>
              <w:t xml:space="preserve">BP 7.50) </w:t>
            </w:r>
          </w:p>
          <w:p w:rsidR="009D5466" w:rsidRPr="00BF4913" w:rsidRDefault="009D5466" w:rsidP="003F52A8">
            <w:pPr>
              <w:ind w:left="720"/>
              <w:rPr>
                <w:rFonts w:eastAsia="Calibri"/>
              </w:rPr>
            </w:pPr>
            <w:r w:rsidRPr="009A7C4A">
              <w:rPr>
                <w:rFonts w:eastAsia="Calibri"/>
              </w:rPr>
              <w:t xml:space="preserve">Projects in Disputed Areas </w:t>
            </w:r>
            <w:r>
              <w:rPr>
                <w:rFonts w:eastAsia="Calibri"/>
              </w:rPr>
              <w:t>(OP/</w:t>
            </w:r>
            <w:r w:rsidRPr="009A7C4A">
              <w:rPr>
                <w:rFonts w:eastAsia="Calibri"/>
              </w:rPr>
              <w:t>BP 7.60)</w:t>
            </w:r>
          </w:p>
        </w:tc>
        <w:tc>
          <w:tcPr>
            <w:tcW w:w="2499" w:type="dxa"/>
            <w:gridSpan w:val="3"/>
            <w:tcBorders>
              <w:top w:val="single" w:sz="4" w:space="0" w:color="auto"/>
              <w:bottom w:val="single" w:sz="4" w:space="0" w:color="auto"/>
            </w:tcBorders>
            <w:shd w:val="clear" w:color="auto" w:fill="auto"/>
          </w:tcPr>
          <w:p w:rsidR="009D5466" w:rsidRDefault="009D5466" w:rsidP="003F52A8">
            <w:pPr>
              <w:jc w:val="center"/>
            </w:pPr>
          </w:p>
          <w:p w:rsidR="009D5466" w:rsidRPr="00911833" w:rsidRDefault="009D5466" w:rsidP="00911833">
            <w:pPr>
              <w:jc w:val="center"/>
            </w:pPr>
            <w:r w:rsidRPr="00911833">
              <w:t>[X]Yes  [  ] No</w:t>
            </w:r>
          </w:p>
          <w:p w:rsidR="009D5466" w:rsidRPr="00911833" w:rsidRDefault="009D5466" w:rsidP="00911833">
            <w:pPr>
              <w:jc w:val="center"/>
            </w:pPr>
            <w:r w:rsidRPr="00911833">
              <w:t>[  ]Yes  [X] No</w:t>
            </w:r>
          </w:p>
          <w:p w:rsidR="009D5466" w:rsidRPr="00911833" w:rsidRDefault="009D5466" w:rsidP="00911833">
            <w:pPr>
              <w:jc w:val="center"/>
            </w:pPr>
            <w:r w:rsidRPr="00911833">
              <w:t>[  ]Yes  [X] No</w:t>
            </w:r>
          </w:p>
          <w:p w:rsidR="009D5466" w:rsidRPr="00911833" w:rsidRDefault="009D5466" w:rsidP="00911833">
            <w:pPr>
              <w:jc w:val="center"/>
            </w:pPr>
            <w:r w:rsidRPr="00911833">
              <w:t>[  ]Yes  [X] No</w:t>
            </w:r>
          </w:p>
          <w:p w:rsidR="009D5466" w:rsidRPr="00911833" w:rsidRDefault="009D5466" w:rsidP="00911833">
            <w:pPr>
              <w:jc w:val="center"/>
            </w:pPr>
            <w:r w:rsidRPr="00911833">
              <w:t>[  ]Yes  [X] No</w:t>
            </w:r>
          </w:p>
          <w:p w:rsidR="009D5466" w:rsidRPr="00911833" w:rsidRDefault="009D5466" w:rsidP="00911833">
            <w:pPr>
              <w:jc w:val="center"/>
            </w:pPr>
            <w:r w:rsidRPr="00911833">
              <w:t>[  ]Yes  [X] No</w:t>
            </w:r>
          </w:p>
          <w:p w:rsidR="009D5466" w:rsidRPr="00911833" w:rsidRDefault="009D5466" w:rsidP="00911833">
            <w:pPr>
              <w:jc w:val="center"/>
            </w:pPr>
            <w:r w:rsidRPr="00911833">
              <w:t>[X]Yes [  ] No</w:t>
            </w:r>
          </w:p>
          <w:p w:rsidR="009D5466" w:rsidRPr="00911833" w:rsidRDefault="009D5466" w:rsidP="00911833">
            <w:pPr>
              <w:jc w:val="center"/>
            </w:pPr>
            <w:r w:rsidRPr="00911833">
              <w:t>[  ]Yes  [X] No</w:t>
            </w:r>
          </w:p>
          <w:p w:rsidR="009D5466" w:rsidRPr="00911833" w:rsidRDefault="009D5466" w:rsidP="00911833">
            <w:pPr>
              <w:jc w:val="center"/>
            </w:pPr>
            <w:r w:rsidRPr="00911833">
              <w:t>[  ]Yes  [X] No</w:t>
            </w:r>
          </w:p>
          <w:p w:rsidR="009D5466" w:rsidRPr="00D13B01" w:rsidRDefault="009D5466" w:rsidP="00911833">
            <w:pPr>
              <w:jc w:val="center"/>
            </w:pPr>
            <w:r w:rsidRPr="00911833">
              <w:t>[  ]Yes  [X] No</w:t>
            </w:r>
          </w:p>
        </w:tc>
      </w:tr>
      <w:tr w:rsidR="009D5466" w:rsidRPr="00D13B01" w:rsidTr="009D3593">
        <w:tblPrEx>
          <w:tblBorders>
            <w:insideH w:val="single" w:sz="4" w:space="0" w:color="auto"/>
            <w:insideV w:val="single" w:sz="4" w:space="0" w:color="auto"/>
          </w:tblBorders>
        </w:tblPrEx>
        <w:trPr>
          <w:trHeight w:val="710"/>
          <w:jc w:val="center"/>
        </w:trPr>
        <w:tc>
          <w:tcPr>
            <w:tcW w:w="7053" w:type="dxa"/>
            <w:gridSpan w:val="8"/>
            <w:tcBorders>
              <w:top w:val="single" w:sz="4" w:space="0" w:color="auto"/>
              <w:bottom w:val="single" w:sz="4" w:space="0" w:color="auto"/>
              <w:right w:val="single" w:sz="4" w:space="0" w:color="auto"/>
            </w:tcBorders>
            <w:shd w:val="clear" w:color="auto" w:fill="auto"/>
          </w:tcPr>
          <w:p w:rsidR="009D5466" w:rsidRPr="00D13B01" w:rsidRDefault="009D5466" w:rsidP="003F52A8">
            <w:pPr>
              <w:spacing w:before="60"/>
              <w:ind w:left="720"/>
            </w:pPr>
            <w:r w:rsidRPr="00D13B01">
              <w:t xml:space="preserve">Does the project require any </w:t>
            </w:r>
            <w:r>
              <w:t>waiver</w:t>
            </w:r>
            <w:r w:rsidRPr="00D13B01">
              <w:t xml:space="preserve">s </w:t>
            </w:r>
            <w:r>
              <w:t>of</w:t>
            </w:r>
            <w:r w:rsidRPr="00D13B01">
              <w:t xml:space="preserve"> Bank policies?</w:t>
            </w:r>
          </w:p>
          <w:p w:rsidR="009D5466" w:rsidRDefault="009D5466" w:rsidP="003F52A8">
            <w:pPr>
              <w:ind w:left="720"/>
              <w:rPr>
                <w:b/>
                <w:bCs/>
              </w:rPr>
            </w:pPr>
            <w:r w:rsidRPr="00D13B01">
              <w:t xml:space="preserve">Have these been </w:t>
            </w:r>
            <w:r>
              <w:t xml:space="preserve">endorsed or </w:t>
            </w:r>
            <w:r w:rsidRPr="00D13B01">
              <w:t>approved by Bank management?</w:t>
            </w:r>
          </w:p>
        </w:tc>
        <w:tc>
          <w:tcPr>
            <w:tcW w:w="2499" w:type="dxa"/>
            <w:gridSpan w:val="3"/>
            <w:tcBorders>
              <w:top w:val="single" w:sz="4" w:space="0" w:color="auto"/>
              <w:left w:val="single" w:sz="4" w:space="0" w:color="auto"/>
              <w:bottom w:val="single" w:sz="4" w:space="0" w:color="auto"/>
            </w:tcBorders>
            <w:shd w:val="clear" w:color="auto" w:fill="auto"/>
          </w:tcPr>
          <w:p w:rsidR="009D5466" w:rsidRPr="00D13B01" w:rsidRDefault="009D5466" w:rsidP="003F52A8">
            <w:pPr>
              <w:spacing w:before="60"/>
              <w:jc w:val="center"/>
            </w:pPr>
            <w:r w:rsidRPr="00D13B01">
              <w:t>[  ]Yes  [</w:t>
            </w:r>
            <w:r>
              <w:t>X</w:t>
            </w:r>
            <w:r w:rsidRPr="00D13B01">
              <w:t>] No</w:t>
            </w:r>
          </w:p>
          <w:p w:rsidR="009D5466" w:rsidRDefault="009D5466" w:rsidP="003F52A8">
            <w:pPr>
              <w:spacing w:after="200" w:line="276" w:lineRule="auto"/>
              <w:jc w:val="center"/>
              <w:rPr>
                <w:b/>
                <w:bCs/>
              </w:rPr>
            </w:pPr>
            <w:r w:rsidRPr="00D13B01">
              <w:t>[  ]Yes  [  ] No</w:t>
            </w:r>
          </w:p>
        </w:tc>
      </w:tr>
      <w:tr w:rsidR="009D5466" w:rsidRPr="00D13B01" w:rsidTr="009D3593">
        <w:tblPrEx>
          <w:tblBorders>
            <w:insideH w:val="single" w:sz="4" w:space="0" w:color="auto"/>
            <w:insideV w:val="single" w:sz="4" w:space="0" w:color="auto"/>
          </w:tblBorders>
        </w:tblPrEx>
        <w:trPr>
          <w:jc w:val="center"/>
        </w:trPr>
        <w:tc>
          <w:tcPr>
            <w:tcW w:w="9552" w:type="dxa"/>
            <w:gridSpan w:val="11"/>
            <w:tcBorders>
              <w:top w:val="single" w:sz="4" w:space="0" w:color="auto"/>
              <w:bottom w:val="single" w:sz="4" w:space="0" w:color="auto"/>
            </w:tcBorders>
            <w:shd w:val="clear" w:color="auto" w:fill="D9D9D9"/>
          </w:tcPr>
          <w:p w:rsidR="009D5466" w:rsidRPr="00BF4913" w:rsidRDefault="009D5466" w:rsidP="003F52A8">
            <w:pPr>
              <w:ind w:left="720"/>
              <w:jc w:val="center"/>
              <w:rPr>
                <w:b/>
                <w:color w:val="000000"/>
              </w:rPr>
            </w:pPr>
            <w:r>
              <w:rPr>
                <w:b/>
                <w:color w:val="000000"/>
              </w:rPr>
              <w:t>Conditions and Legal C</w:t>
            </w:r>
            <w:r w:rsidRPr="004E7750">
              <w:rPr>
                <w:b/>
                <w:color w:val="000000"/>
              </w:rPr>
              <w:t>ovenants</w:t>
            </w:r>
            <w:r>
              <w:rPr>
                <w:b/>
                <w:color w:val="000000"/>
              </w:rPr>
              <w:t>:</w:t>
            </w:r>
          </w:p>
        </w:tc>
      </w:tr>
      <w:tr w:rsidR="009D5466" w:rsidRPr="00D13B01" w:rsidTr="009D3593">
        <w:tblPrEx>
          <w:tblBorders>
            <w:insideH w:val="single" w:sz="4" w:space="0" w:color="auto"/>
            <w:insideV w:val="single" w:sz="4" w:space="0" w:color="auto"/>
          </w:tblBorders>
        </w:tblPrEx>
        <w:trPr>
          <w:jc w:val="center"/>
        </w:trPr>
        <w:tc>
          <w:tcPr>
            <w:tcW w:w="2463" w:type="dxa"/>
            <w:tcBorders>
              <w:top w:val="single" w:sz="4" w:space="0" w:color="auto"/>
              <w:bottom w:val="single" w:sz="4" w:space="0" w:color="auto"/>
            </w:tcBorders>
            <w:shd w:val="clear" w:color="auto" w:fill="auto"/>
          </w:tcPr>
          <w:p w:rsidR="009D5466" w:rsidRPr="00A543F7" w:rsidRDefault="009D5466" w:rsidP="003F52A8">
            <w:pPr>
              <w:jc w:val="center"/>
              <w:rPr>
                <w:color w:val="000000"/>
              </w:rPr>
            </w:pPr>
            <w:r w:rsidRPr="00A543F7">
              <w:rPr>
                <w:color w:val="000000"/>
              </w:rPr>
              <w:t>Financing Agreement Reference</w:t>
            </w:r>
          </w:p>
        </w:tc>
        <w:tc>
          <w:tcPr>
            <w:tcW w:w="4590" w:type="dxa"/>
            <w:gridSpan w:val="7"/>
            <w:tcBorders>
              <w:top w:val="single" w:sz="4" w:space="0" w:color="auto"/>
              <w:bottom w:val="single" w:sz="4" w:space="0" w:color="auto"/>
            </w:tcBorders>
            <w:shd w:val="clear" w:color="auto" w:fill="auto"/>
          </w:tcPr>
          <w:p w:rsidR="009D5466" w:rsidRPr="00A543F7" w:rsidRDefault="009D5466" w:rsidP="003F52A8">
            <w:pPr>
              <w:jc w:val="center"/>
              <w:rPr>
                <w:color w:val="000000"/>
              </w:rPr>
            </w:pPr>
            <w:r w:rsidRPr="00A543F7">
              <w:rPr>
                <w:color w:val="000000"/>
              </w:rPr>
              <w:t>Description of Condition/Covenant</w:t>
            </w:r>
          </w:p>
        </w:tc>
        <w:tc>
          <w:tcPr>
            <w:tcW w:w="2499" w:type="dxa"/>
            <w:gridSpan w:val="3"/>
            <w:tcBorders>
              <w:top w:val="single" w:sz="4" w:space="0" w:color="auto"/>
              <w:bottom w:val="single" w:sz="4" w:space="0" w:color="auto"/>
            </w:tcBorders>
            <w:shd w:val="clear" w:color="auto" w:fill="auto"/>
          </w:tcPr>
          <w:p w:rsidR="009D5466" w:rsidRPr="00076382" w:rsidRDefault="009D5466" w:rsidP="003F52A8">
            <w:pPr>
              <w:jc w:val="center"/>
              <w:rPr>
                <w:color w:val="000000"/>
                <w:highlight w:val="yellow"/>
              </w:rPr>
            </w:pPr>
            <w:r w:rsidRPr="00A543F7">
              <w:rPr>
                <w:color w:val="000000"/>
              </w:rPr>
              <w:t>Date Due</w:t>
            </w:r>
          </w:p>
        </w:tc>
      </w:tr>
      <w:tr w:rsidR="009D5466" w:rsidRPr="00D13B01" w:rsidTr="009D3593">
        <w:tblPrEx>
          <w:tblBorders>
            <w:insideH w:val="single" w:sz="4" w:space="0" w:color="auto"/>
            <w:insideV w:val="single" w:sz="4" w:space="0" w:color="auto"/>
          </w:tblBorders>
        </w:tblPrEx>
        <w:trPr>
          <w:jc w:val="center"/>
        </w:trPr>
        <w:tc>
          <w:tcPr>
            <w:tcW w:w="2463" w:type="dxa"/>
            <w:tcBorders>
              <w:top w:val="single" w:sz="4" w:space="0" w:color="auto"/>
              <w:bottom w:val="single" w:sz="4" w:space="0" w:color="auto"/>
            </w:tcBorders>
            <w:shd w:val="clear" w:color="auto" w:fill="auto"/>
          </w:tcPr>
          <w:p w:rsidR="009D5466" w:rsidRPr="00D77AD5" w:rsidRDefault="009D5466" w:rsidP="00A543F7">
            <w:pPr>
              <w:spacing w:after="200" w:line="276" w:lineRule="auto"/>
            </w:pPr>
            <w:r w:rsidRPr="00D77AD5">
              <w:t>Section V.1</w:t>
            </w:r>
          </w:p>
        </w:tc>
        <w:tc>
          <w:tcPr>
            <w:tcW w:w="4590" w:type="dxa"/>
            <w:gridSpan w:val="7"/>
            <w:tcBorders>
              <w:top w:val="single" w:sz="4" w:space="0" w:color="auto"/>
              <w:bottom w:val="single" w:sz="4" w:space="0" w:color="auto"/>
            </w:tcBorders>
            <w:shd w:val="clear" w:color="auto" w:fill="auto"/>
          </w:tcPr>
          <w:p w:rsidR="009D5466" w:rsidRPr="00D77AD5" w:rsidRDefault="009D5466" w:rsidP="00A543F7">
            <w:r w:rsidRPr="00D77AD5">
              <w:t>The Recipient shall ensure the maintenance of a sound managerial capacity within the Project Implementation Entity as necessary for the successful implementation of the Project, in particular, that the defined technical core competencies, resources and performance standards of the Project Implementing Entity as have been furnished pursuant to the Management Contract shall remain in place during the implementation of the Project.  In the event of any premature termination of the Management Contract, to the extent that such termination may, in the opinion of the Association, result in an adverse effect on the successful accomplishment of the objectives of the Project, the Recipient shall ensure the provision of an adequate alternative capacity within the Project Implementing Entity, with comparable technical core competencies, resources and achievement of performance standards necessary to carry out the Project, acceptable to the Association.</w:t>
            </w:r>
          </w:p>
        </w:tc>
        <w:tc>
          <w:tcPr>
            <w:tcW w:w="2499" w:type="dxa"/>
            <w:gridSpan w:val="3"/>
            <w:tcBorders>
              <w:top w:val="single" w:sz="4" w:space="0" w:color="auto"/>
              <w:bottom w:val="single" w:sz="4" w:space="0" w:color="auto"/>
            </w:tcBorders>
            <w:shd w:val="clear" w:color="auto" w:fill="auto"/>
            <w:vAlign w:val="center"/>
          </w:tcPr>
          <w:p w:rsidR="009D5466" w:rsidRPr="00D77AD5" w:rsidRDefault="009D5466" w:rsidP="00A543F7">
            <w:pPr>
              <w:spacing w:line="276" w:lineRule="auto"/>
              <w:jc w:val="center"/>
            </w:pPr>
            <w:r w:rsidRPr="00D77AD5">
              <w:t>Recurrent</w:t>
            </w:r>
          </w:p>
        </w:tc>
      </w:tr>
      <w:tr w:rsidR="009D5466" w:rsidRPr="00D13B01" w:rsidTr="009D3593">
        <w:tblPrEx>
          <w:tblBorders>
            <w:insideH w:val="single" w:sz="4" w:space="0" w:color="auto"/>
            <w:insideV w:val="single" w:sz="4" w:space="0" w:color="auto"/>
          </w:tblBorders>
        </w:tblPrEx>
        <w:trPr>
          <w:jc w:val="center"/>
        </w:trPr>
        <w:tc>
          <w:tcPr>
            <w:tcW w:w="2463" w:type="dxa"/>
            <w:tcBorders>
              <w:top w:val="single" w:sz="4" w:space="0" w:color="auto"/>
              <w:bottom w:val="single" w:sz="4" w:space="0" w:color="auto"/>
            </w:tcBorders>
            <w:shd w:val="clear" w:color="auto" w:fill="auto"/>
          </w:tcPr>
          <w:p w:rsidR="009D5466" w:rsidRPr="00D77AD5" w:rsidRDefault="009D5466" w:rsidP="00A543F7">
            <w:pPr>
              <w:spacing w:after="200" w:line="276" w:lineRule="auto"/>
            </w:pPr>
            <w:r w:rsidRPr="00D77AD5">
              <w:t>Section V.2</w:t>
            </w:r>
          </w:p>
        </w:tc>
        <w:tc>
          <w:tcPr>
            <w:tcW w:w="4590" w:type="dxa"/>
            <w:gridSpan w:val="7"/>
            <w:tcBorders>
              <w:top w:val="single" w:sz="4" w:space="0" w:color="auto"/>
              <w:bottom w:val="single" w:sz="4" w:space="0" w:color="auto"/>
            </w:tcBorders>
            <w:shd w:val="clear" w:color="auto" w:fill="auto"/>
          </w:tcPr>
          <w:p w:rsidR="009D5466" w:rsidRPr="00D77AD5" w:rsidRDefault="009D5466" w:rsidP="00A543F7">
            <w:r w:rsidRPr="00D77AD5">
              <w:t xml:space="preserve">Without limitation upon the provisions of Paragraph 1 of this Section V, and except as the Association shall otherwise agree, the </w:t>
            </w:r>
            <w:r w:rsidRPr="00D77AD5">
              <w:lastRenderedPageBreak/>
              <w:t xml:space="preserve">Recipient shall exercise its rights under any material energy-related contract or arrangement in a manner which would not adversely affect the financial condition of the Project Implementing Entity or its ability to perform any of its obligations under the Project Agreement. </w:t>
            </w:r>
            <w:r>
              <w:t xml:space="preserve"> </w:t>
            </w:r>
            <w:r w:rsidRPr="00D77AD5">
              <w:t>In the event that the Recipient shall have exercised its rights under any such energy-related contract or arrangement which, independent of the Implementing Entity’s own actions, adversely affects the financial condition of the Project Implementing Entity or its ability to perform any of its obligations under the Project Agreement, the Recipient shall compensate the Project Implementing Entity on account of such contract or arrangement so as to ensure the continuing ability of the Project Implementing Entity to accomplish the objectives of the Project.</w:t>
            </w:r>
          </w:p>
        </w:tc>
        <w:tc>
          <w:tcPr>
            <w:tcW w:w="2499" w:type="dxa"/>
            <w:gridSpan w:val="3"/>
            <w:tcBorders>
              <w:top w:val="single" w:sz="4" w:space="0" w:color="auto"/>
              <w:bottom w:val="single" w:sz="4" w:space="0" w:color="auto"/>
            </w:tcBorders>
            <w:shd w:val="clear" w:color="auto" w:fill="auto"/>
            <w:vAlign w:val="center"/>
          </w:tcPr>
          <w:p w:rsidR="009D5466" w:rsidRPr="00D77AD5" w:rsidRDefault="009D5466" w:rsidP="00A543F7">
            <w:pPr>
              <w:spacing w:line="276" w:lineRule="auto"/>
              <w:jc w:val="center"/>
            </w:pPr>
            <w:r w:rsidRPr="00D77AD5">
              <w:lastRenderedPageBreak/>
              <w:t>Recurrent</w:t>
            </w:r>
          </w:p>
        </w:tc>
      </w:tr>
      <w:tr w:rsidR="009D5466" w:rsidRPr="00D13B01" w:rsidTr="009D3593">
        <w:tblPrEx>
          <w:tblBorders>
            <w:insideH w:val="single" w:sz="4" w:space="0" w:color="auto"/>
            <w:insideV w:val="single" w:sz="4" w:space="0" w:color="auto"/>
          </w:tblBorders>
        </w:tblPrEx>
        <w:trPr>
          <w:jc w:val="center"/>
        </w:trPr>
        <w:tc>
          <w:tcPr>
            <w:tcW w:w="2463" w:type="dxa"/>
            <w:tcBorders>
              <w:top w:val="single" w:sz="4" w:space="0" w:color="auto"/>
              <w:bottom w:val="single" w:sz="4" w:space="0" w:color="auto"/>
            </w:tcBorders>
            <w:shd w:val="clear" w:color="auto" w:fill="auto"/>
          </w:tcPr>
          <w:p w:rsidR="009D5466" w:rsidRPr="00D77AD5" w:rsidRDefault="009D5466" w:rsidP="00A543F7">
            <w:pPr>
              <w:spacing w:after="200" w:line="276" w:lineRule="auto"/>
            </w:pPr>
            <w:r w:rsidRPr="00D77AD5">
              <w:lastRenderedPageBreak/>
              <w:t>Section V.3</w:t>
            </w:r>
          </w:p>
        </w:tc>
        <w:tc>
          <w:tcPr>
            <w:tcW w:w="4590" w:type="dxa"/>
            <w:gridSpan w:val="7"/>
            <w:tcBorders>
              <w:top w:val="single" w:sz="4" w:space="0" w:color="auto"/>
              <w:bottom w:val="single" w:sz="4" w:space="0" w:color="auto"/>
            </w:tcBorders>
            <w:shd w:val="clear" w:color="auto" w:fill="auto"/>
          </w:tcPr>
          <w:p w:rsidR="009D5466" w:rsidRPr="00D77AD5" w:rsidRDefault="009D5466" w:rsidP="00A543F7">
            <w:r w:rsidRPr="00D77AD5">
              <w:t>Without limitation upon the provisions of Paragraphs 1 and 2 of this Section V, and except as the Association shall otherwise agree, in the event that the Recipient enters into any material energy-related contract or arrangement which could, independent of the Project Implementing Entity’s own actions, adversely affect the financial condition of the Project Implementing Entity or its ability to perform any of its obligations under the Project Agreement, the Recipient shall compensate the Project Implementing Entity on account of such contract or arrangement so as to ensure the continuing ability of the Project Implementing Entity to accomplish the objectives of the Project.</w:t>
            </w:r>
          </w:p>
        </w:tc>
        <w:tc>
          <w:tcPr>
            <w:tcW w:w="2499" w:type="dxa"/>
            <w:gridSpan w:val="3"/>
            <w:tcBorders>
              <w:top w:val="single" w:sz="4" w:space="0" w:color="auto"/>
              <w:bottom w:val="single" w:sz="4" w:space="0" w:color="auto"/>
            </w:tcBorders>
            <w:shd w:val="clear" w:color="auto" w:fill="auto"/>
            <w:vAlign w:val="center"/>
          </w:tcPr>
          <w:p w:rsidR="009D5466" w:rsidRPr="00D77AD5" w:rsidRDefault="009D5466" w:rsidP="00A543F7">
            <w:pPr>
              <w:spacing w:line="276" w:lineRule="auto"/>
              <w:jc w:val="center"/>
            </w:pPr>
            <w:r w:rsidRPr="00D77AD5">
              <w:t>Recurrent</w:t>
            </w:r>
          </w:p>
        </w:tc>
      </w:tr>
    </w:tbl>
    <w:p w:rsidR="003F52A8" w:rsidRDefault="003F52A8" w:rsidP="003F52A8"/>
    <w:p w:rsidR="003F52A8" w:rsidRDefault="003F52A8" w:rsidP="003F52A8">
      <w:pPr>
        <w:pStyle w:val="BankNormal"/>
        <w:spacing w:after="0"/>
        <w:rPr>
          <w:b/>
          <w:color w:val="000000"/>
        </w:rPr>
        <w:sectPr w:rsidR="003F52A8" w:rsidSect="003A33B6">
          <w:pgSz w:w="12240" w:h="15840" w:code="1"/>
          <w:pgMar w:top="720" w:right="1440" w:bottom="720" w:left="720" w:header="720" w:footer="720" w:gutter="0"/>
          <w:pgNumType w:fmt="lowerRoman" w:start="1"/>
          <w:cols w:space="720"/>
          <w:docGrid w:linePitch="360"/>
        </w:sectPr>
      </w:pPr>
    </w:p>
    <w:p w:rsidR="003F52A8" w:rsidRPr="00AB26E9" w:rsidRDefault="003F52A8" w:rsidP="003D2522">
      <w:pPr>
        <w:pStyle w:val="Heading1"/>
      </w:pPr>
      <w:bookmarkStart w:id="3" w:name="_Toc308712763"/>
      <w:r>
        <w:lastRenderedPageBreak/>
        <w:t>I.  Introduction</w:t>
      </w:r>
      <w:bookmarkEnd w:id="3"/>
    </w:p>
    <w:p w:rsidR="00AB26E9" w:rsidRDefault="00AB26E9" w:rsidP="003F52A8">
      <w:pPr>
        <w:pStyle w:val="Header"/>
        <w:tabs>
          <w:tab w:val="clear" w:pos="4320"/>
          <w:tab w:val="clear" w:pos="8640"/>
        </w:tabs>
        <w:jc w:val="both"/>
        <w:rPr>
          <w:szCs w:val="20"/>
        </w:rPr>
      </w:pPr>
    </w:p>
    <w:p w:rsidR="00A543F7" w:rsidRPr="00501C90" w:rsidRDefault="00FE6DF0" w:rsidP="00D940CF">
      <w:pPr>
        <w:pStyle w:val="ListParagraph"/>
        <w:numPr>
          <w:ilvl w:val="0"/>
          <w:numId w:val="7"/>
        </w:numPr>
        <w:ind w:left="0" w:firstLine="0"/>
        <w:rPr>
          <w:szCs w:val="20"/>
        </w:rPr>
      </w:pPr>
      <w:r w:rsidRPr="00501C90">
        <w:rPr>
          <w:szCs w:val="20"/>
        </w:rPr>
        <w:t>In support of the Government of Liberia’s (</w:t>
      </w:r>
      <w:proofErr w:type="spellStart"/>
      <w:r w:rsidRPr="00501C90">
        <w:rPr>
          <w:szCs w:val="20"/>
        </w:rPr>
        <w:t>GoL</w:t>
      </w:r>
      <w:proofErr w:type="spellEnd"/>
      <w:r w:rsidRPr="00501C90">
        <w:rPr>
          <w:szCs w:val="20"/>
        </w:rPr>
        <w:t>) efforts to improve and increase access to electricity, t</w:t>
      </w:r>
      <w:r w:rsidR="008A6C9F">
        <w:rPr>
          <w:szCs w:val="20"/>
        </w:rPr>
        <w:t>his Project Paper seeks the approval of the Executive Directors to provide an Additional Financing in an amount of US$22 million equivalent to SDR 14.2</w:t>
      </w:r>
      <w:r w:rsidR="009B4D85" w:rsidRPr="00501C90">
        <w:rPr>
          <w:szCs w:val="20"/>
        </w:rPr>
        <w:t xml:space="preserve"> million in IDA credit financing to the Republic of Liberia for the Liberia Electricity System Enhancement Project (LESEP - </w:t>
      </w:r>
      <w:r w:rsidR="008A6C9F">
        <w:rPr>
          <w:szCs w:val="20"/>
        </w:rPr>
        <w:t>P129097). The proposed Additional Financing is being processed in accordance with the Rapid Response to Crisis and Emergency OP/BP 8.0. This Project Paper also seeks the approval of the Executive Directors to extend the closing date of the project by 6 months, from June 16, 2014, to December 31, 2014.</w:t>
      </w:r>
    </w:p>
    <w:p w:rsidR="009701AF" w:rsidRDefault="009701AF" w:rsidP="009701AF">
      <w:pPr>
        <w:pStyle w:val="Header"/>
        <w:tabs>
          <w:tab w:val="center" w:pos="540"/>
        </w:tabs>
        <w:rPr>
          <w:szCs w:val="20"/>
        </w:rPr>
      </w:pPr>
    </w:p>
    <w:p w:rsidR="004D66C4" w:rsidRPr="00301651" w:rsidRDefault="00B00D12" w:rsidP="00D940CF">
      <w:pPr>
        <w:pStyle w:val="ListParagraph"/>
        <w:numPr>
          <w:ilvl w:val="0"/>
          <w:numId w:val="7"/>
        </w:numPr>
        <w:ind w:left="0" w:firstLine="0"/>
        <w:rPr>
          <w:szCs w:val="20"/>
        </w:rPr>
      </w:pPr>
      <w:r w:rsidRPr="00301651">
        <w:rPr>
          <w:szCs w:val="20"/>
        </w:rPr>
        <w:t xml:space="preserve">Given the emergency situation in </w:t>
      </w:r>
      <w:r w:rsidR="005E0EE6">
        <w:rPr>
          <w:szCs w:val="20"/>
        </w:rPr>
        <w:t>Liberia’s</w:t>
      </w:r>
      <w:r w:rsidRPr="00301651">
        <w:rPr>
          <w:szCs w:val="20"/>
        </w:rPr>
        <w:t xml:space="preserve"> power sector, the Bank processed LESEP under Rapid Response to Crisis and Emergency OP/BP 8.00 in 2010</w:t>
      </w:r>
      <w:r w:rsidR="004D66C4" w:rsidRPr="00301651">
        <w:rPr>
          <w:szCs w:val="20"/>
        </w:rPr>
        <w:t xml:space="preserve">. </w:t>
      </w:r>
      <w:r w:rsidR="009D3593">
        <w:rPr>
          <w:szCs w:val="20"/>
        </w:rPr>
        <w:t xml:space="preserve"> </w:t>
      </w:r>
      <w:r w:rsidRPr="00301651">
        <w:rPr>
          <w:szCs w:val="20"/>
        </w:rPr>
        <w:t xml:space="preserve">LESEP supports directly the rehabilitation efforts to improve and increase access to electricity through </w:t>
      </w:r>
      <w:r w:rsidR="004D66C4" w:rsidRPr="00301651">
        <w:rPr>
          <w:szCs w:val="20"/>
        </w:rPr>
        <w:t xml:space="preserve">the </w:t>
      </w:r>
      <w:r w:rsidRPr="00301651">
        <w:rPr>
          <w:szCs w:val="20"/>
        </w:rPr>
        <w:t>financ</w:t>
      </w:r>
      <w:r w:rsidR="004D66C4" w:rsidRPr="00301651">
        <w:rPr>
          <w:szCs w:val="20"/>
        </w:rPr>
        <w:t>ing of</w:t>
      </w:r>
      <w:r w:rsidRPr="00301651">
        <w:rPr>
          <w:szCs w:val="20"/>
        </w:rPr>
        <w:t xml:space="preserve"> distribution services and enhancement of supply generation options on-grid and off-grid.  </w:t>
      </w:r>
      <w:r w:rsidR="004D66C4" w:rsidRPr="00301651">
        <w:rPr>
          <w:szCs w:val="20"/>
        </w:rPr>
        <w:t xml:space="preserve">However, the situation in the power sector remains highly critical.  Continued unavailability of electricity could result in deterioration of the fragile security situation in the country and adversely affect public services for health and education especially in Monrovia where one-third of the population resides.  Thus, the Additional Financing is prepared under the same circumstances as its parent project at the end of 2010. </w:t>
      </w:r>
    </w:p>
    <w:p w:rsidR="006B5DBC" w:rsidRPr="006B5DBC" w:rsidRDefault="006B5DBC" w:rsidP="00B31079">
      <w:pPr>
        <w:pStyle w:val="Header"/>
        <w:tabs>
          <w:tab w:val="center" w:pos="540"/>
        </w:tabs>
        <w:rPr>
          <w:szCs w:val="20"/>
        </w:rPr>
      </w:pPr>
    </w:p>
    <w:p w:rsidR="00A543F7" w:rsidRDefault="00FE742E" w:rsidP="00D940CF">
      <w:pPr>
        <w:pStyle w:val="ListParagraph"/>
        <w:numPr>
          <w:ilvl w:val="0"/>
          <w:numId w:val="7"/>
        </w:numPr>
        <w:ind w:left="0" w:firstLine="0"/>
        <w:rPr>
          <w:szCs w:val="20"/>
        </w:rPr>
      </w:pPr>
      <w:r w:rsidRPr="00FE742E">
        <w:rPr>
          <w:szCs w:val="20"/>
        </w:rPr>
        <w:t>The</w:t>
      </w:r>
      <w:r w:rsidR="0073111A" w:rsidRPr="001B2175">
        <w:t xml:space="preserve"> </w:t>
      </w:r>
      <w:r w:rsidR="002F08E8">
        <w:t>A</w:t>
      </w:r>
      <w:r w:rsidR="0073111A" w:rsidRPr="001B2175">
        <w:t xml:space="preserve">dditional </w:t>
      </w:r>
      <w:r w:rsidR="002F08E8">
        <w:t>F</w:t>
      </w:r>
      <w:r w:rsidR="0073111A" w:rsidRPr="001B2175">
        <w:t xml:space="preserve">inancing will </w:t>
      </w:r>
      <w:r w:rsidR="002F08E8">
        <w:t>provide for</w:t>
      </w:r>
      <w:r w:rsidR="002F08E8" w:rsidRPr="002F08E8">
        <w:t xml:space="preserve"> additional or expanded activities that scale up </w:t>
      </w:r>
      <w:r w:rsidR="00B97DA3">
        <w:t>LESEP</w:t>
      </w:r>
      <w:r w:rsidR="002F08E8" w:rsidRPr="002F08E8">
        <w:t>s impact and development effectiveness</w:t>
      </w:r>
      <w:r w:rsidR="00B97DA3">
        <w:t xml:space="preserve"> in the following areas</w:t>
      </w:r>
      <w:r w:rsidR="0073111A" w:rsidRPr="001B2175">
        <w:t xml:space="preserve">: </w:t>
      </w:r>
      <w:r w:rsidR="00DC299A">
        <w:t>(</w:t>
      </w:r>
      <w:proofErr w:type="spellStart"/>
      <w:r w:rsidR="00DC299A">
        <w:t>i</w:t>
      </w:r>
      <w:proofErr w:type="spellEnd"/>
      <w:r w:rsidR="00DC299A">
        <w:t xml:space="preserve">) distribution network reinforcement and extension, </w:t>
      </w:r>
      <w:r w:rsidR="0073111A" w:rsidRPr="001B2175">
        <w:t>(i</w:t>
      </w:r>
      <w:r w:rsidR="00DC299A">
        <w:t>i</w:t>
      </w:r>
      <w:r w:rsidR="0073111A" w:rsidRPr="001B2175">
        <w:t>)</w:t>
      </w:r>
      <w:r w:rsidR="0073111A" w:rsidRPr="006B5DBC">
        <w:rPr>
          <w:szCs w:val="20"/>
        </w:rPr>
        <w:t xml:space="preserve"> enhancing</w:t>
      </w:r>
      <w:r w:rsidR="0073111A" w:rsidRPr="001B2175">
        <w:t xml:space="preserve"> options for power generation through the procurement of a </w:t>
      </w:r>
      <w:r w:rsidR="00DC299A">
        <w:t xml:space="preserve">thermal </w:t>
      </w:r>
      <w:r w:rsidR="0073111A" w:rsidRPr="0088531F">
        <w:t xml:space="preserve">power </w:t>
      </w:r>
      <w:r w:rsidR="00DC299A">
        <w:t>plant</w:t>
      </w:r>
      <w:r w:rsidR="00B97DA3">
        <w:t xml:space="preserve"> of approximately 10MW</w:t>
      </w:r>
      <w:r w:rsidR="0073111A" w:rsidRPr="001B2175">
        <w:t>; and, (ii</w:t>
      </w:r>
      <w:r w:rsidR="00DC299A">
        <w:t>i</w:t>
      </w:r>
      <w:r w:rsidR="0073111A" w:rsidRPr="001B2175">
        <w:t xml:space="preserve">) providing modern renewable energy </w:t>
      </w:r>
      <w:r w:rsidR="00B97DA3">
        <w:t>services</w:t>
      </w:r>
      <w:r w:rsidR="0073111A" w:rsidRPr="001B2175">
        <w:t xml:space="preserve"> through</w:t>
      </w:r>
      <w:r w:rsidR="00B97DA3">
        <w:t xml:space="preserve"> a Global Environment Facility (GEF) financed</w:t>
      </w:r>
      <w:r w:rsidR="0073111A" w:rsidRPr="001B2175">
        <w:t xml:space="preserve"> lantern exchange program.</w:t>
      </w:r>
      <w:r w:rsidR="00DC299A">
        <w:t xml:space="preserve"> </w:t>
      </w:r>
      <w:r w:rsidR="009D3593">
        <w:t xml:space="preserve"> </w:t>
      </w:r>
      <w:r w:rsidR="00DC299A">
        <w:t xml:space="preserve">The </w:t>
      </w:r>
      <w:r w:rsidR="0073111A" w:rsidRPr="001B2175">
        <w:t xml:space="preserve">components can be readily scaled-up </w:t>
      </w:r>
      <w:r w:rsidR="00B00D12">
        <w:t xml:space="preserve">to </w:t>
      </w:r>
      <w:r w:rsidR="00B00D12" w:rsidRPr="004D66C4">
        <w:rPr>
          <w:szCs w:val="20"/>
        </w:rPr>
        <w:t>i</w:t>
      </w:r>
      <w:r w:rsidR="00B00D12">
        <w:t xml:space="preserve">ncrease </w:t>
      </w:r>
      <w:r w:rsidR="0073111A" w:rsidRPr="001B2175">
        <w:t>the project’s impact and development effectiveness.</w:t>
      </w:r>
      <w:r w:rsidR="0073111A" w:rsidRPr="006B5DBC">
        <w:rPr>
          <w:szCs w:val="20"/>
        </w:rPr>
        <w:t xml:space="preserve"> </w:t>
      </w:r>
      <w:r w:rsidR="009B4D85" w:rsidRPr="006B5DBC">
        <w:rPr>
          <w:szCs w:val="20"/>
        </w:rPr>
        <w:t xml:space="preserve">The proposed </w:t>
      </w:r>
      <w:r w:rsidR="0073111A" w:rsidRPr="006B5DBC">
        <w:rPr>
          <w:szCs w:val="20"/>
        </w:rPr>
        <w:t>a</w:t>
      </w:r>
      <w:r w:rsidR="009B4D85" w:rsidRPr="006B5DBC">
        <w:rPr>
          <w:szCs w:val="20"/>
        </w:rPr>
        <w:t xml:space="preserve">dditional </w:t>
      </w:r>
      <w:r w:rsidR="0073111A" w:rsidRPr="006B5DBC">
        <w:rPr>
          <w:szCs w:val="20"/>
        </w:rPr>
        <w:t>financing</w:t>
      </w:r>
      <w:r w:rsidR="009B4D85" w:rsidRPr="006B5DBC">
        <w:rPr>
          <w:szCs w:val="20"/>
        </w:rPr>
        <w:t xml:space="preserve"> retains the same project development objective (PDO) and </w:t>
      </w:r>
      <w:r w:rsidR="0073111A" w:rsidRPr="006B5DBC">
        <w:rPr>
          <w:szCs w:val="20"/>
        </w:rPr>
        <w:t>scale</w:t>
      </w:r>
      <w:r w:rsidR="00B00D12">
        <w:rPr>
          <w:szCs w:val="20"/>
        </w:rPr>
        <w:t>s</w:t>
      </w:r>
      <w:r w:rsidR="0073111A" w:rsidRPr="006B5DBC">
        <w:rPr>
          <w:szCs w:val="20"/>
        </w:rPr>
        <w:t xml:space="preserve"> up the </w:t>
      </w:r>
      <w:r w:rsidR="009B4D85" w:rsidRPr="006B5DBC">
        <w:rPr>
          <w:szCs w:val="20"/>
        </w:rPr>
        <w:t>results indicators</w:t>
      </w:r>
      <w:r w:rsidR="0073111A" w:rsidRPr="006B5DBC">
        <w:rPr>
          <w:szCs w:val="20"/>
        </w:rPr>
        <w:t xml:space="preserve"> of</w:t>
      </w:r>
      <w:r w:rsidR="009B4D85" w:rsidRPr="006B5DBC">
        <w:rPr>
          <w:szCs w:val="20"/>
        </w:rPr>
        <w:t xml:space="preserve"> the original project.  Institutional and implementation arrangements remain the same as for the original project.  </w:t>
      </w:r>
      <w:r w:rsidR="009B4D85" w:rsidRPr="00FE6DF0">
        <w:rPr>
          <w:szCs w:val="20"/>
        </w:rPr>
        <w:t>There is no change in the environmental category of the project and the A</w:t>
      </w:r>
      <w:r w:rsidR="00B97DA3">
        <w:rPr>
          <w:szCs w:val="20"/>
        </w:rPr>
        <w:t xml:space="preserve">dditional </w:t>
      </w:r>
      <w:r w:rsidR="009B4D85" w:rsidRPr="00FE6DF0">
        <w:rPr>
          <w:szCs w:val="20"/>
        </w:rPr>
        <w:t>F</w:t>
      </w:r>
      <w:r w:rsidR="00B97DA3">
        <w:rPr>
          <w:szCs w:val="20"/>
        </w:rPr>
        <w:t>inancing</w:t>
      </w:r>
      <w:r w:rsidR="009B4D85" w:rsidRPr="00FE6DF0">
        <w:rPr>
          <w:szCs w:val="20"/>
        </w:rPr>
        <w:t xml:space="preserve"> does not trigger any new safeguard policies.  </w:t>
      </w:r>
    </w:p>
    <w:p w:rsidR="0073111A" w:rsidRDefault="0073111A" w:rsidP="0073111A">
      <w:pPr>
        <w:pStyle w:val="ListParagraph"/>
      </w:pPr>
    </w:p>
    <w:p w:rsidR="00A543F7" w:rsidRDefault="0073111A" w:rsidP="00D940CF">
      <w:pPr>
        <w:pStyle w:val="ListParagraph"/>
        <w:numPr>
          <w:ilvl w:val="0"/>
          <w:numId w:val="7"/>
        </w:numPr>
        <w:ind w:left="0" w:firstLine="0"/>
      </w:pPr>
      <w:r>
        <w:t xml:space="preserve">The </w:t>
      </w:r>
      <w:r w:rsidR="00B97DA3">
        <w:t>A</w:t>
      </w:r>
      <w:r>
        <w:t xml:space="preserve">dditional </w:t>
      </w:r>
      <w:r w:rsidR="00B97DA3">
        <w:t>F</w:t>
      </w:r>
      <w:r>
        <w:t xml:space="preserve">inancing is co-financed </w:t>
      </w:r>
      <w:r w:rsidR="00B97DA3">
        <w:t>with</w:t>
      </w:r>
      <w:r>
        <w:t xml:space="preserve"> the Global Environmental Facility</w:t>
      </w:r>
      <w:r w:rsidR="00B97DA3">
        <w:t xml:space="preserve"> (GEF)</w:t>
      </w:r>
      <w:r>
        <w:t xml:space="preserve"> in the amount of US$1</w:t>
      </w:r>
      <w:r w:rsidR="007A35E5">
        <w:t>,454,540</w:t>
      </w:r>
      <w:r>
        <w:t xml:space="preserve"> and will </w:t>
      </w:r>
      <w:r w:rsidR="00B00D12">
        <w:t xml:space="preserve">directly </w:t>
      </w:r>
      <w:r>
        <w:t xml:space="preserve">support the </w:t>
      </w:r>
      <w:r w:rsidR="00ED3EE1">
        <w:t>activities envisaged in the component</w:t>
      </w:r>
      <w:r w:rsidR="009D3593">
        <w:t xml:space="preserve"> </w:t>
      </w:r>
      <w:r w:rsidR="00ED3EE1">
        <w:t xml:space="preserve">of </w:t>
      </w:r>
      <w:r w:rsidR="00ED3EE1" w:rsidRPr="00ED3EE1">
        <w:t xml:space="preserve">providing modern renewable energy </w:t>
      </w:r>
      <w:r w:rsidR="00846CDF">
        <w:t xml:space="preserve">in </w:t>
      </w:r>
      <w:r w:rsidR="00ED3EE1" w:rsidRPr="00ED3EE1">
        <w:t>areas</w:t>
      </w:r>
      <w:r w:rsidR="00076382">
        <w:t xml:space="preserve"> originally financed by the </w:t>
      </w:r>
      <w:r w:rsidR="00076382" w:rsidRPr="00076382">
        <w:t xml:space="preserve">Africa Renewable Energy Access trust fund </w:t>
      </w:r>
      <w:r w:rsidR="00076382">
        <w:t>(AFREA).</w:t>
      </w:r>
    </w:p>
    <w:p w:rsidR="003F52A8" w:rsidRDefault="003F52A8" w:rsidP="003F52A8">
      <w:pPr>
        <w:pStyle w:val="Header"/>
        <w:tabs>
          <w:tab w:val="clear" w:pos="4320"/>
          <w:tab w:val="clear" w:pos="8640"/>
        </w:tabs>
        <w:jc w:val="both"/>
        <w:rPr>
          <w:i/>
          <w:szCs w:val="20"/>
        </w:rPr>
      </w:pPr>
    </w:p>
    <w:p w:rsidR="003F52A8" w:rsidRDefault="003F52A8" w:rsidP="003D2522">
      <w:pPr>
        <w:pStyle w:val="Heading1"/>
      </w:pPr>
      <w:bookmarkStart w:id="4" w:name="_Toc308712764"/>
      <w:r>
        <w:t>II</w:t>
      </w:r>
      <w:proofErr w:type="gramStart"/>
      <w:r w:rsidR="008458B0">
        <w:t xml:space="preserve">. </w:t>
      </w:r>
      <w:r w:rsidR="009D3593">
        <w:t xml:space="preserve"> </w:t>
      </w:r>
      <w:r w:rsidR="008458B0">
        <w:t>Background</w:t>
      </w:r>
      <w:proofErr w:type="gramEnd"/>
      <w:r>
        <w:t xml:space="preserve"> and Rationale for Additional Financing in the amount of </w:t>
      </w:r>
      <w:r w:rsidR="00ED3EE1">
        <w:t>US</w:t>
      </w:r>
      <w:r>
        <w:t>$</w:t>
      </w:r>
      <w:r w:rsidR="00ED3EE1">
        <w:t>2</w:t>
      </w:r>
      <w:r w:rsidR="00B422A2">
        <w:t>2</w:t>
      </w:r>
      <w:r w:rsidR="00ED3EE1">
        <w:t xml:space="preserve"> million.</w:t>
      </w:r>
      <w:bookmarkEnd w:id="4"/>
      <w:r w:rsidR="00ED3EE1">
        <w:t xml:space="preserve"> </w:t>
      </w:r>
      <w:r>
        <w:t xml:space="preserve"> </w:t>
      </w:r>
    </w:p>
    <w:p w:rsidR="003D2522" w:rsidRPr="003D2522" w:rsidRDefault="003D2522" w:rsidP="003D2522"/>
    <w:p w:rsidR="00F33A85" w:rsidRPr="0096171B" w:rsidRDefault="00F33A85" w:rsidP="00D940CF">
      <w:pPr>
        <w:pStyle w:val="ListParagraph"/>
        <w:numPr>
          <w:ilvl w:val="0"/>
          <w:numId w:val="7"/>
        </w:numPr>
        <w:ind w:left="0" w:firstLine="0"/>
      </w:pPr>
      <w:r>
        <w:t xml:space="preserve">In response </w:t>
      </w:r>
      <w:r w:rsidRPr="0096171B">
        <w:t xml:space="preserve">to the Government </w:t>
      </w:r>
      <w:r>
        <w:t xml:space="preserve">of Liberia’s </w:t>
      </w:r>
      <w:r w:rsidR="00B422A2">
        <w:t xml:space="preserve">2010 </w:t>
      </w:r>
      <w:r w:rsidRPr="0096171B">
        <w:t xml:space="preserve">request to support </w:t>
      </w:r>
      <w:r w:rsidR="00B422A2">
        <w:t>its</w:t>
      </w:r>
      <w:r w:rsidRPr="0096171B">
        <w:t xml:space="preserve"> electricity sector, </w:t>
      </w:r>
      <w:r>
        <w:t>development partners provided emergency funding to the national electricity utility, L</w:t>
      </w:r>
      <w:r w:rsidR="00B00D12">
        <w:t xml:space="preserve">iberia Electricity </w:t>
      </w:r>
      <w:r>
        <w:t>C</w:t>
      </w:r>
      <w:r w:rsidR="00B00D12">
        <w:t>orporation (LEC)</w:t>
      </w:r>
      <w:r>
        <w:t xml:space="preserve">, to procure a management contractor to improve the utility performance </w:t>
      </w:r>
      <w:r w:rsidRPr="0096171B">
        <w:t xml:space="preserve">and </w:t>
      </w:r>
      <w:r>
        <w:t xml:space="preserve">to </w:t>
      </w:r>
      <w:r w:rsidRPr="0096171B">
        <w:t>build up the customer base over a five-year period.</w:t>
      </w:r>
      <w:r>
        <w:t xml:space="preserve"> </w:t>
      </w:r>
      <w:r w:rsidR="00B422A2">
        <w:t xml:space="preserve"> The financing of the management contractor is ensured by the Government of Norway, while the International Finance Corporation (IFC) acted as transaction advisor. An investment package in support of the </w:t>
      </w:r>
      <w:r w:rsidR="00B422A2">
        <w:lastRenderedPageBreak/>
        <w:t>management contractor’s targets was made available by IDA, the Global Partnership on Output-Based Aid (GPOBA), and the Government of Norway.</w:t>
      </w:r>
      <w:r>
        <w:t xml:space="preserve"> </w:t>
      </w:r>
      <w:r w:rsidRPr="00B06A00">
        <w:t xml:space="preserve">LEC’s </w:t>
      </w:r>
      <w:r>
        <w:t>m</w:t>
      </w:r>
      <w:r w:rsidRPr="00B06A00">
        <w:t xml:space="preserve">anagement </w:t>
      </w:r>
      <w:r>
        <w:t>c</w:t>
      </w:r>
      <w:r w:rsidRPr="00B06A00">
        <w:t>ontractor</w:t>
      </w:r>
      <w:r w:rsidR="00846CDF">
        <w:t>,</w:t>
      </w:r>
      <w:r w:rsidRPr="00B06A00">
        <w:t xml:space="preserve"> Manitoba Hydro International</w:t>
      </w:r>
      <w:r w:rsidR="00846CDF">
        <w:t>,</w:t>
      </w:r>
      <w:r w:rsidRPr="00B06A00">
        <w:t xml:space="preserve"> </w:t>
      </w:r>
      <w:r>
        <w:t xml:space="preserve">has been in </w:t>
      </w:r>
      <w:r w:rsidRPr="00B06A00">
        <w:t>place since July 2010</w:t>
      </w:r>
      <w:r>
        <w:t>.  The</w:t>
      </w:r>
      <w:r w:rsidRPr="0096171B">
        <w:t xml:space="preserve"> </w:t>
      </w:r>
      <w:r>
        <w:t xml:space="preserve">support provided </w:t>
      </w:r>
      <w:r w:rsidRPr="0096171B">
        <w:t xml:space="preserve">has significantly </w:t>
      </w:r>
      <w:r w:rsidR="00B00D12" w:rsidRPr="00B00D12">
        <w:t xml:space="preserve">accelerated </w:t>
      </w:r>
      <w:r w:rsidRPr="0096171B">
        <w:t xml:space="preserve">the rehabilitation and expansion of the electricity utility. </w:t>
      </w:r>
      <w:r w:rsidR="00B422A2" w:rsidRPr="00B422A2">
        <w:t xml:space="preserve">LEC is now engaged in a large on-grid electrification program that will extend access to some 33,000 new customers over a five year period. </w:t>
      </w:r>
      <w:r w:rsidRPr="0096171B">
        <w:t>Th</w:t>
      </w:r>
      <w:r>
        <w:t>e customer base increased by 88 percent to 4,659 customers in July 2011 compared with</w:t>
      </w:r>
      <w:r w:rsidRPr="0096171B">
        <w:t xml:space="preserve"> </w:t>
      </w:r>
      <w:r w:rsidRPr="00127E58">
        <w:t xml:space="preserve">2,469 </w:t>
      </w:r>
      <w:r w:rsidRPr="0096171B">
        <w:t xml:space="preserve">customers in July 2010. </w:t>
      </w:r>
    </w:p>
    <w:p w:rsidR="002811CA" w:rsidRDefault="002811CA" w:rsidP="001C12B4">
      <w:pPr>
        <w:pStyle w:val="ListParagraph"/>
        <w:ind w:left="0"/>
      </w:pPr>
    </w:p>
    <w:p w:rsidR="008B0C66" w:rsidRPr="001B2175" w:rsidRDefault="008B0C66" w:rsidP="00D940CF">
      <w:pPr>
        <w:pStyle w:val="ListParagraph"/>
        <w:numPr>
          <w:ilvl w:val="0"/>
          <w:numId w:val="7"/>
        </w:numPr>
        <w:ind w:left="0" w:firstLine="0"/>
      </w:pPr>
      <w:r>
        <w:t>T</w:t>
      </w:r>
      <w:r w:rsidR="00B00D12">
        <w:t>he Bank</w:t>
      </w:r>
      <w:r w:rsidR="00D726D1">
        <w:t>’s support for this investment package was prepared through</w:t>
      </w:r>
      <w:r w:rsidRPr="001B2175">
        <w:t xml:space="preserve"> LESEP </w:t>
      </w:r>
      <w:r>
        <w:t xml:space="preserve">with </w:t>
      </w:r>
      <w:r w:rsidR="00D726D1">
        <w:t>a credit</w:t>
      </w:r>
      <w:r>
        <w:t xml:space="preserve"> </w:t>
      </w:r>
      <w:r w:rsidR="00D726D1">
        <w:t>from</w:t>
      </w:r>
      <w:r w:rsidRPr="001B2175">
        <w:t xml:space="preserve"> IDA </w:t>
      </w:r>
      <w:r w:rsidR="00D726D1">
        <w:t>in the amount</w:t>
      </w:r>
      <w:r w:rsidR="00D726D1" w:rsidRPr="001B2175">
        <w:t xml:space="preserve"> </w:t>
      </w:r>
      <w:r w:rsidRPr="001B2175">
        <w:t xml:space="preserve">of </w:t>
      </w:r>
      <w:r>
        <w:t>SDR 6.5 million (</w:t>
      </w:r>
      <w:r w:rsidRPr="001B2175">
        <w:t xml:space="preserve">US$10 million </w:t>
      </w:r>
      <w:r>
        <w:t xml:space="preserve">equivalent) </w:t>
      </w:r>
      <w:r w:rsidRPr="001B2175">
        <w:t xml:space="preserve">in FY11. </w:t>
      </w:r>
      <w:r>
        <w:t xml:space="preserve"> </w:t>
      </w:r>
      <w:r w:rsidRPr="001B2175">
        <w:t>This credit allowed for the</w:t>
      </w:r>
      <w:r>
        <w:t xml:space="preserve"> provision of investment</w:t>
      </w:r>
      <w:r w:rsidRPr="001B2175">
        <w:t xml:space="preserve"> financing </w:t>
      </w:r>
      <w:r w:rsidR="00D726D1">
        <w:t>for</w:t>
      </w:r>
      <w:r w:rsidRPr="001B2175">
        <w:t xml:space="preserve"> urgently needed distribution equipment and </w:t>
      </w:r>
      <w:r w:rsidR="00DB49F1">
        <w:t xml:space="preserve">for </w:t>
      </w:r>
      <w:r w:rsidRPr="001B2175">
        <w:t xml:space="preserve">enhancing options for power generation. </w:t>
      </w:r>
      <w:r>
        <w:t xml:space="preserve"> </w:t>
      </w:r>
      <w:r w:rsidRPr="001B2175">
        <w:t xml:space="preserve">Most of these funds have already been committed. </w:t>
      </w:r>
      <w:r>
        <w:t xml:space="preserve"> </w:t>
      </w:r>
      <w:r w:rsidRPr="001B2175">
        <w:t>During project</w:t>
      </w:r>
      <w:r w:rsidR="00DB49F1">
        <w:t xml:space="preserve"> preparation</w:t>
      </w:r>
      <w:r w:rsidRPr="001B2175">
        <w:t>,</w:t>
      </w:r>
      <w:r>
        <w:t xml:space="preserve"> and as reflected in the </w:t>
      </w:r>
      <w:r w:rsidR="00221C98" w:rsidRPr="00221C98">
        <w:t>Emergency Project Paper</w:t>
      </w:r>
      <w:r>
        <w:t>,</w:t>
      </w:r>
      <w:r w:rsidRPr="001B2175">
        <w:t xml:space="preserve"> </w:t>
      </w:r>
      <w:r w:rsidR="00DB49F1">
        <w:t>the urgent need of additional investments both in distribution and generation were highlighted. However, due to limited availability of IDA funds, these could not be responded to at the time.</w:t>
      </w:r>
      <w:r w:rsidRPr="001B2175">
        <w:t xml:space="preserve"> </w:t>
      </w:r>
    </w:p>
    <w:p w:rsidR="002F18F5" w:rsidRDefault="002F18F5" w:rsidP="002F18F5">
      <w:pPr>
        <w:pStyle w:val="ListParagraph"/>
      </w:pPr>
    </w:p>
    <w:p w:rsidR="00A543F7" w:rsidRDefault="00281358" w:rsidP="00D940CF">
      <w:pPr>
        <w:pStyle w:val="ListParagraph"/>
        <w:numPr>
          <w:ilvl w:val="0"/>
          <w:numId w:val="7"/>
        </w:numPr>
        <w:ind w:left="0" w:firstLine="0"/>
      </w:pPr>
      <w:r w:rsidRPr="001B2175">
        <w:t>The development objective of LESEP, as stated in the Financing Agreement (Credit Number 4842-LR), is to improve and increase access to electricity in Liberia.</w:t>
      </w:r>
      <w:r>
        <w:t xml:space="preserve"> The project has f</w:t>
      </w:r>
      <w:r w:rsidR="00E124A3">
        <w:t>our</w:t>
      </w:r>
      <w:r>
        <w:t xml:space="preserve"> components</w:t>
      </w:r>
      <w:r w:rsidR="008B0C66">
        <w:t xml:space="preserve"> with associated co</w:t>
      </w:r>
      <w:r w:rsidR="00DB49F1">
        <w:t>-</w:t>
      </w:r>
      <w:r w:rsidR="008B0C66">
        <w:t>financing:</w:t>
      </w:r>
      <w:r>
        <w:t xml:space="preserve"> (</w:t>
      </w:r>
      <w:proofErr w:type="spellStart"/>
      <w:r>
        <w:t>i</w:t>
      </w:r>
      <w:proofErr w:type="spellEnd"/>
      <w:r>
        <w:t>)</w:t>
      </w:r>
      <w:r w:rsidR="001C12B4">
        <w:t xml:space="preserve"> </w:t>
      </w:r>
      <w:r w:rsidRPr="001B2175">
        <w:t>enhancement of distribution services</w:t>
      </w:r>
      <w:r w:rsidR="002811CA">
        <w:t xml:space="preserve"> (</w:t>
      </w:r>
      <w:r w:rsidR="002811CA" w:rsidRPr="002811CA">
        <w:t>US$3.8 million IDA, US$10 million GPOBA, US</w:t>
      </w:r>
      <w:r w:rsidR="002811CA">
        <w:t>$29 million Government of Norway)</w:t>
      </w:r>
      <w:r w:rsidRPr="001B2175">
        <w:t>; (b) enhancement of options for power generation</w:t>
      </w:r>
      <w:r w:rsidR="002811CA">
        <w:t xml:space="preserve"> </w:t>
      </w:r>
      <w:r w:rsidR="002811CA" w:rsidRPr="002811CA">
        <w:t>(US$4.7 million IDA)</w:t>
      </w:r>
      <w:r w:rsidRPr="001B2175">
        <w:t>; (c) provision of modern renewable energy to off-g</w:t>
      </w:r>
      <w:r w:rsidR="00DB49F1">
        <w:t>ri</w:t>
      </w:r>
      <w:r w:rsidRPr="001B2175">
        <w:t>d users</w:t>
      </w:r>
      <w:r w:rsidR="00DB49F1">
        <w:t xml:space="preserve"> </w:t>
      </w:r>
      <w:r w:rsidR="002811CA">
        <w:t xml:space="preserve">(US$2 million </w:t>
      </w:r>
      <w:r w:rsidR="00DB49F1" w:rsidRPr="00DB49F1">
        <w:t xml:space="preserve">Africa Renewable Energy Access Program </w:t>
      </w:r>
      <w:r w:rsidR="001C7DC3">
        <w:t>(</w:t>
      </w:r>
      <w:r w:rsidR="002811CA">
        <w:t>AFREA</w:t>
      </w:r>
      <w:r w:rsidR="001C7DC3">
        <w:t>)</w:t>
      </w:r>
      <w:r w:rsidR="002811CA">
        <w:t xml:space="preserve">); and </w:t>
      </w:r>
      <w:r w:rsidRPr="001B2175">
        <w:t>(d) technical</w:t>
      </w:r>
      <w:r w:rsidRPr="004A46FE">
        <w:t xml:space="preserve"> assistance</w:t>
      </w:r>
      <w:r w:rsidR="002811CA">
        <w:t xml:space="preserve"> </w:t>
      </w:r>
      <w:r w:rsidR="002811CA" w:rsidRPr="002811CA">
        <w:t>(US$0.8 million IDA)</w:t>
      </w:r>
      <w:r w:rsidRPr="004A46FE">
        <w:t>.</w:t>
      </w:r>
      <w:r w:rsidR="002811CA">
        <w:t xml:space="preserve"> </w:t>
      </w:r>
      <w:r w:rsidR="009D3593">
        <w:t xml:space="preserve"> </w:t>
      </w:r>
      <w:r w:rsidR="002811CA">
        <w:t xml:space="preserve">There are also </w:t>
      </w:r>
      <w:r w:rsidR="00DB49F1">
        <w:t>unallocated amounts of</w:t>
      </w:r>
      <w:r w:rsidR="002811CA">
        <w:t xml:space="preserve"> US$0.7 million. </w:t>
      </w:r>
      <w:r w:rsidR="00593816" w:rsidRPr="00593816">
        <w:t xml:space="preserve">Board approval was on November 30, 2010 and the project became effective on July 7, 2011.  </w:t>
      </w:r>
      <w:r w:rsidR="00B31079">
        <w:t>Table 1</w:t>
      </w:r>
      <w:r w:rsidR="00B31079" w:rsidRPr="00B31079">
        <w:t xml:space="preserve"> presents </w:t>
      </w:r>
      <w:r w:rsidR="00B31079">
        <w:t>LESEP</w:t>
      </w:r>
      <w:r w:rsidR="00DB49F1">
        <w:t>’s financing plan</w:t>
      </w:r>
      <w:r w:rsidR="00B31079">
        <w:t xml:space="preserve"> and a</w:t>
      </w:r>
      <w:r w:rsidR="00B31079" w:rsidRPr="00B31079">
        <w:t xml:space="preserve">ll </w:t>
      </w:r>
      <w:r w:rsidR="00B31079">
        <w:t xml:space="preserve">parallel </w:t>
      </w:r>
      <w:r w:rsidR="00B31079" w:rsidRPr="00B31079">
        <w:t xml:space="preserve">co-financing for which separate accounts </w:t>
      </w:r>
      <w:r w:rsidR="00B31079">
        <w:t xml:space="preserve">were </w:t>
      </w:r>
      <w:r w:rsidR="00B31079" w:rsidRPr="00B31079">
        <w:t>established</w:t>
      </w:r>
      <w:r w:rsidR="00B31079">
        <w:t>.</w:t>
      </w:r>
    </w:p>
    <w:p w:rsidR="00A543F7" w:rsidRDefault="00A543F7">
      <w:pPr>
        <w:pStyle w:val="ListParagraph"/>
        <w:ind w:left="0"/>
      </w:pPr>
    </w:p>
    <w:p w:rsidR="00B31079" w:rsidRDefault="00221C98" w:rsidP="00B31079">
      <w:pPr>
        <w:pStyle w:val="Header"/>
        <w:tabs>
          <w:tab w:val="clear" w:pos="4320"/>
          <w:tab w:val="center" w:pos="540"/>
        </w:tabs>
        <w:jc w:val="center"/>
        <w:rPr>
          <w:b/>
        </w:rPr>
      </w:pPr>
      <w:r w:rsidRPr="00221C98">
        <w:rPr>
          <w:b/>
        </w:rPr>
        <w:t>Table 1: Project cost for parent project LESEP</w:t>
      </w:r>
    </w:p>
    <w:p w:rsidR="00F37C24" w:rsidRPr="00604321" w:rsidRDefault="00F37C24" w:rsidP="00B31079">
      <w:pPr>
        <w:pStyle w:val="Header"/>
        <w:tabs>
          <w:tab w:val="clear" w:pos="4320"/>
          <w:tab w:val="center" w:pos="540"/>
        </w:tabs>
        <w:jc w:val="center"/>
        <w:rPr>
          <w:b/>
        </w:rPr>
      </w:pPr>
    </w:p>
    <w:p w:rsidR="002811CA" w:rsidRDefault="0035474B" w:rsidP="002811CA">
      <w:pPr>
        <w:pStyle w:val="ListParagraph"/>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124.65pt;visibility:visible">
            <v:imagedata r:id="rId14" o:title=""/>
          </v:shape>
        </w:pict>
      </w:r>
    </w:p>
    <w:p w:rsidR="00B31079" w:rsidRDefault="00B31079" w:rsidP="002811CA">
      <w:pPr>
        <w:pStyle w:val="ListParagraph"/>
        <w:ind w:left="0"/>
      </w:pPr>
    </w:p>
    <w:p w:rsidR="00A543F7" w:rsidRDefault="001C12B4" w:rsidP="00D940CF">
      <w:pPr>
        <w:pStyle w:val="ListParagraph"/>
        <w:numPr>
          <w:ilvl w:val="0"/>
          <w:numId w:val="7"/>
        </w:numPr>
        <w:ind w:left="0" w:firstLine="0"/>
      </w:pPr>
      <w:r w:rsidRPr="001C12B4">
        <w:t xml:space="preserve">The </w:t>
      </w:r>
      <w:r w:rsidR="00DB49F1">
        <w:t>P</w:t>
      </w:r>
      <w:r w:rsidRPr="001C12B4">
        <w:t>roject’s development outcome and implementation ratings are bot</w:t>
      </w:r>
      <w:r w:rsidR="00F33A85">
        <w:t>h</w:t>
      </w:r>
      <w:r w:rsidR="00DB49F1">
        <w:t xml:space="preserve"> rated</w:t>
      </w:r>
      <w:r w:rsidR="00F33A85">
        <w:t xml:space="preserve"> “satis</w:t>
      </w:r>
      <w:r w:rsidRPr="001C12B4">
        <w:t>factory</w:t>
      </w:r>
      <w:r w:rsidR="008B0C66">
        <w:t>”</w:t>
      </w:r>
      <w:r>
        <w:t xml:space="preserve"> </w:t>
      </w:r>
      <w:r w:rsidRPr="001C12B4">
        <w:t>in the latest Implementation and Status and Results</w:t>
      </w:r>
      <w:r w:rsidR="001C7DC3">
        <w:t xml:space="preserve"> Report</w:t>
      </w:r>
      <w:r w:rsidRPr="001C12B4">
        <w:t xml:space="preserve"> </w:t>
      </w:r>
      <w:r>
        <w:t>(</w:t>
      </w:r>
      <w:r w:rsidRPr="001C12B4">
        <w:t>ISR</w:t>
      </w:r>
      <w:r>
        <w:t xml:space="preserve">), </w:t>
      </w:r>
      <w:r w:rsidRPr="001C12B4">
        <w:t>which was completed short</w:t>
      </w:r>
      <w:r>
        <w:t>ly before project effectiveness</w:t>
      </w:r>
      <w:r w:rsidRPr="001C12B4">
        <w:t xml:space="preserve">. </w:t>
      </w:r>
      <w:r w:rsidR="00F33A85" w:rsidRPr="00F33A85">
        <w:t>Tangible results are already apparent under the LESEP project as evidenced by the following facts</w:t>
      </w:r>
      <w:r w:rsidR="00F33A85">
        <w:t xml:space="preserve">: </w:t>
      </w:r>
    </w:p>
    <w:p w:rsidR="00F33A85" w:rsidRPr="00762306" w:rsidRDefault="00F33A85" w:rsidP="00F33A85">
      <w:pPr>
        <w:pStyle w:val="Header"/>
        <w:tabs>
          <w:tab w:val="clear" w:pos="4320"/>
          <w:tab w:val="center" w:pos="540"/>
        </w:tabs>
      </w:pPr>
    </w:p>
    <w:p w:rsidR="005D2488" w:rsidRDefault="00B53232" w:rsidP="00D940CF">
      <w:pPr>
        <w:pStyle w:val="ListParagraph"/>
        <w:numPr>
          <w:ilvl w:val="0"/>
          <w:numId w:val="8"/>
        </w:numPr>
        <w:ind w:left="540" w:hanging="540"/>
      </w:pPr>
      <w:r w:rsidRPr="00F33A85">
        <w:rPr>
          <w:i/>
        </w:rPr>
        <w:t>Enhancement of distribution services</w:t>
      </w:r>
      <w:r>
        <w:t xml:space="preserve">. </w:t>
      </w:r>
      <w:r w:rsidR="00F33A85" w:rsidRPr="001B2175">
        <w:t xml:space="preserve">Contracts for </w:t>
      </w:r>
      <w:r w:rsidR="00F33A85">
        <w:t xml:space="preserve">the supply of </w:t>
      </w:r>
      <w:r w:rsidR="00F33A85" w:rsidRPr="001B2175">
        <w:t xml:space="preserve">transformers, cables, prepayment meters, and other distribution materials </w:t>
      </w:r>
      <w:r w:rsidR="00F33A85">
        <w:t>are in place</w:t>
      </w:r>
      <w:r w:rsidR="00F33A85" w:rsidRPr="001B2175">
        <w:t xml:space="preserve">. </w:t>
      </w:r>
      <w:r w:rsidR="00F33A85">
        <w:t xml:space="preserve"> </w:t>
      </w:r>
      <w:r w:rsidR="00F33A85" w:rsidRPr="0021254C">
        <w:t xml:space="preserve">Delivery of the material </w:t>
      </w:r>
      <w:r w:rsidR="00F33A85" w:rsidRPr="0021254C">
        <w:lastRenderedPageBreak/>
        <w:t>and its installation and use for network strengthening and expansion is on-going.</w:t>
      </w:r>
      <w:r w:rsidR="00F33A85">
        <w:t xml:space="preserve">  </w:t>
      </w:r>
      <w:r w:rsidR="00F33A85" w:rsidRPr="001B2175">
        <w:t xml:space="preserve">LESEP is financing transformers and cables. </w:t>
      </w:r>
      <w:r w:rsidR="00F33A85">
        <w:t xml:space="preserve"> </w:t>
      </w:r>
      <w:r w:rsidR="00F33A85" w:rsidRPr="001B2175">
        <w:t>Due to the delay in effective</w:t>
      </w:r>
      <w:r w:rsidR="00F33A85">
        <w:t>nes</w:t>
      </w:r>
      <w:r w:rsidR="00F33A85" w:rsidRPr="001B2175">
        <w:t xml:space="preserve">s of the LESEP credit, it was agreed that these contracts </w:t>
      </w:r>
      <w:r w:rsidR="00B00D12">
        <w:t xml:space="preserve">would </w:t>
      </w:r>
      <w:r w:rsidR="00F33A85" w:rsidRPr="001B2175">
        <w:t>be pr</w:t>
      </w:r>
      <w:r w:rsidR="00F33A85">
        <w:t>e</w:t>
      </w:r>
      <w:r w:rsidR="00F33A85" w:rsidRPr="001B2175">
        <w:t xml:space="preserve">-financed </w:t>
      </w:r>
      <w:r w:rsidR="00F33A85">
        <w:t>with funding from Norway</w:t>
      </w:r>
      <w:r w:rsidR="00F33A85" w:rsidRPr="001B2175">
        <w:t xml:space="preserve">. </w:t>
      </w:r>
      <w:r w:rsidR="00F33A85">
        <w:t xml:space="preserve"> </w:t>
      </w:r>
      <w:r w:rsidR="00F33A85" w:rsidRPr="001B2175">
        <w:t xml:space="preserve">LEC is currently finalizing applications for the reimbursement from IDA, using the retroactive financing clause under the financing agreement. </w:t>
      </w:r>
      <w:r w:rsidR="00F33A85">
        <w:t xml:space="preserve"> These activities </w:t>
      </w:r>
      <w:r w:rsidR="00F33A85" w:rsidRPr="001B2175">
        <w:t>represent around 40 percent of the total funding</w:t>
      </w:r>
      <w:r w:rsidR="00F33A85">
        <w:t xml:space="preserve"> towards this component.  </w:t>
      </w:r>
    </w:p>
    <w:p w:rsidR="005D2488" w:rsidRPr="005D2488" w:rsidRDefault="005D2488" w:rsidP="005D2488">
      <w:pPr>
        <w:pStyle w:val="ListParagraph"/>
        <w:ind w:left="540"/>
      </w:pPr>
    </w:p>
    <w:p w:rsidR="005D2488" w:rsidRDefault="00B53232" w:rsidP="00D940CF">
      <w:pPr>
        <w:pStyle w:val="ListParagraph"/>
        <w:numPr>
          <w:ilvl w:val="0"/>
          <w:numId w:val="8"/>
        </w:numPr>
        <w:ind w:left="540" w:hanging="540"/>
      </w:pPr>
      <w:r w:rsidRPr="005D2488">
        <w:rPr>
          <w:i/>
        </w:rPr>
        <w:t xml:space="preserve">Enhancement of options for power generation. </w:t>
      </w:r>
      <w:r w:rsidR="00F33A85" w:rsidRPr="001B2175">
        <w:t xml:space="preserve">Under this component, the diesel plants operating at LEC </w:t>
      </w:r>
      <w:r w:rsidR="00F33A85">
        <w:t>will</w:t>
      </w:r>
      <w:r w:rsidR="00F33A85" w:rsidRPr="001B2175">
        <w:t xml:space="preserve"> be overhauled </w:t>
      </w:r>
      <w:r w:rsidR="006D6311">
        <w:t xml:space="preserve">and </w:t>
      </w:r>
      <w:r w:rsidR="00F33A85" w:rsidRPr="001B2175">
        <w:t>synchroniz</w:t>
      </w:r>
      <w:r w:rsidR="006D6311">
        <w:t>ed to the national grid</w:t>
      </w:r>
      <w:r w:rsidR="00F33A85">
        <w:t>.</w:t>
      </w:r>
      <w:r w:rsidR="00F33A85" w:rsidRPr="001B2175">
        <w:t xml:space="preserve"> </w:t>
      </w:r>
      <w:r w:rsidR="00F33A85">
        <w:t xml:space="preserve"> </w:t>
      </w:r>
      <w:r w:rsidR="00F33A85" w:rsidRPr="001B2175">
        <w:t xml:space="preserve">The procurement process is complete and the Bank team </w:t>
      </w:r>
      <w:r w:rsidR="00F33A85">
        <w:t>has extended its no objection for the signature of the draft contract for generation overhaul</w:t>
      </w:r>
      <w:r w:rsidR="00F33A85" w:rsidRPr="001B2175">
        <w:t xml:space="preserve">. </w:t>
      </w:r>
      <w:r w:rsidR="00F33A85">
        <w:t xml:space="preserve"> </w:t>
      </w:r>
      <w:r w:rsidR="00F33A85" w:rsidRPr="001B2175">
        <w:t>A feasibility study and draft bidding document</w:t>
      </w:r>
      <w:r w:rsidR="00F33A85">
        <w:t>s</w:t>
      </w:r>
      <w:r w:rsidR="00F33A85" w:rsidRPr="001B2175">
        <w:t xml:space="preserve"> for the Heavy Fuel Oil</w:t>
      </w:r>
      <w:r w:rsidR="00F33A85">
        <w:t xml:space="preserve"> (HFO) storage facility</w:t>
      </w:r>
      <w:r w:rsidR="00F33A85" w:rsidRPr="001B2175">
        <w:t xml:space="preserve"> and </w:t>
      </w:r>
      <w:r w:rsidR="005D2488">
        <w:t xml:space="preserve">the pipeline infrastructure has </w:t>
      </w:r>
      <w:r w:rsidR="00F33A85" w:rsidRPr="001B2175">
        <w:t>been prepared indicating the most economic and commercial</w:t>
      </w:r>
      <w:r w:rsidR="00F33A85">
        <w:t>ly</w:t>
      </w:r>
      <w:r w:rsidR="00F33A85" w:rsidRPr="001B2175">
        <w:t xml:space="preserve"> viable option for HFO as a future fuel in the power generation mix for LEC.  </w:t>
      </w:r>
      <w:r w:rsidR="00F33A85" w:rsidRPr="00CD3955">
        <w:t xml:space="preserve">These activities represent </w:t>
      </w:r>
      <w:r w:rsidR="00F33A85" w:rsidRPr="001B2175">
        <w:t xml:space="preserve">around </w:t>
      </w:r>
      <w:r w:rsidR="00F33A85">
        <w:t xml:space="preserve">37 percent of total funding </w:t>
      </w:r>
      <w:r w:rsidR="00F33A85" w:rsidRPr="00C95652">
        <w:t>towards this component</w:t>
      </w:r>
      <w:r w:rsidR="00F33A85">
        <w:t xml:space="preserve">. </w:t>
      </w:r>
    </w:p>
    <w:p w:rsidR="005D2488" w:rsidRPr="005D2488" w:rsidRDefault="005D2488" w:rsidP="005D2488">
      <w:pPr>
        <w:pStyle w:val="ListParagraph"/>
        <w:rPr>
          <w:i/>
        </w:rPr>
      </w:pPr>
    </w:p>
    <w:p w:rsidR="00F33A85" w:rsidRDefault="00B53232" w:rsidP="00D940CF">
      <w:pPr>
        <w:pStyle w:val="ListParagraph"/>
        <w:numPr>
          <w:ilvl w:val="0"/>
          <w:numId w:val="8"/>
        </w:numPr>
        <w:ind w:left="540" w:hanging="540"/>
      </w:pPr>
      <w:r w:rsidRPr="005D2488">
        <w:rPr>
          <w:i/>
        </w:rPr>
        <w:t>Provision of modern renewable energy to off-g</w:t>
      </w:r>
      <w:r w:rsidR="003F4E6D">
        <w:rPr>
          <w:i/>
        </w:rPr>
        <w:t>ri</w:t>
      </w:r>
      <w:r w:rsidRPr="005D2488">
        <w:rPr>
          <w:i/>
        </w:rPr>
        <w:t xml:space="preserve">d users. </w:t>
      </w:r>
      <w:r w:rsidR="003F4E6D">
        <w:t>The c</w:t>
      </w:r>
      <w:r w:rsidR="00F33A85" w:rsidRPr="001B2175">
        <w:t xml:space="preserve">ontract for the rehabilitation of the micro-hydro power plant at </w:t>
      </w:r>
      <w:proofErr w:type="spellStart"/>
      <w:r w:rsidR="00F33A85" w:rsidRPr="001B2175">
        <w:t>Yandohun</w:t>
      </w:r>
      <w:proofErr w:type="spellEnd"/>
      <w:r w:rsidR="00F33A85" w:rsidRPr="001B2175">
        <w:t xml:space="preserve"> in </w:t>
      </w:r>
      <w:proofErr w:type="spellStart"/>
      <w:r w:rsidR="00F33A85" w:rsidRPr="001B2175">
        <w:t>Kolahun</w:t>
      </w:r>
      <w:proofErr w:type="spellEnd"/>
      <w:r w:rsidR="00F33A85" w:rsidRPr="001B2175">
        <w:t xml:space="preserve"> District, </w:t>
      </w:r>
      <w:proofErr w:type="spellStart"/>
      <w:r w:rsidR="00F33A85" w:rsidRPr="001B2175">
        <w:t>Lofa</w:t>
      </w:r>
      <w:proofErr w:type="spellEnd"/>
      <w:r w:rsidR="00F33A85" w:rsidRPr="001B2175">
        <w:t xml:space="preserve"> County has been awarded and work has commenced. </w:t>
      </w:r>
      <w:r w:rsidR="00F33A85">
        <w:t xml:space="preserve"> </w:t>
      </w:r>
      <w:r w:rsidR="00F33A85" w:rsidRPr="00CD3955">
        <w:t xml:space="preserve">These activities represent </w:t>
      </w:r>
      <w:r w:rsidR="00F33A85" w:rsidRPr="001B2175">
        <w:t xml:space="preserve">around </w:t>
      </w:r>
      <w:r w:rsidR="00F33A85">
        <w:t>25</w:t>
      </w:r>
      <w:r w:rsidR="00F33A85" w:rsidRPr="001B2175">
        <w:t xml:space="preserve"> percent of total funding from AFREA</w:t>
      </w:r>
      <w:r w:rsidR="00F33A85">
        <w:t xml:space="preserve"> for this component. </w:t>
      </w:r>
    </w:p>
    <w:p w:rsidR="00C203E1" w:rsidRDefault="00C203E1" w:rsidP="00C203E1">
      <w:pPr>
        <w:pStyle w:val="Heading2"/>
        <w:spacing w:before="0" w:after="0"/>
        <w:jc w:val="left"/>
        <w:rPr>
          <w:i/>
          <w:smallCaps w:val="0"/>
          <w:szCs w:val="24"/>
        </w:rPr>
      </w:pPr>
    </w:p>
    <w:p w:rsidR="00C203E1" w:rsidRDefault="00C203E1" w:rsidP="00C203E1">
      <w:pPr>
        <w:pStyle w:val="Heading2"/>
        <w:spacing w:before="0" w:after="0"/>
        <w:jc w:val="left"/>
        <w:rPr>
          <w:i/>
          <w:smallCaps w:val="0"/>
          <w:szCs w:val="24"/>
        </w:rPr>
      </w:pPr>
      <w:r w:rsidRPr="00C203E1">
        <w:rPr>
          <w:i/>
          <w:smallCaps w:val="0"/>
          <w:szCs w:val="24"/>
        </w:rPr>
        <w:t>Rationale for Additional Financing</w:t>
      </w:r>
    </w:p>
    <w:p w:rsidR="00091AAE" w:rsidRPr="00091AAE" w:rsidRDefault="00091AAE" w:rsidP="00091AAE"/>
    <w:p w:rsidR="00A543F7" w:rsidRDefault="00DB4E7A" w:rsidP="00D940CF">
      <w:pPr>
        <w:pStyle w:val="ListParagraph"/>
        <w:numPr>
          <w:ilvl w:val="0"/>
          <w:numId w:val="7"/>
        </w:numPr>
        <w:ind w:left="0" w:firstLine="0"/>
      </w:pPr>
      <w:r w:rsidRPr="00DB4E7A">
        <w:rPr>
          <w:b/>
        </w:rPr>
        <w:t>Scaling up of LESEP:</w:t>
      </w:r>
      <w:r>
        <w:t xml:space="preserve"> t</w:t>
      </w:r>
      <w:r w:rsidR="00B31079">
        <w:t xml:space="preserve">here is an </w:t>
      </w:r>
      <w:r w:rsidR="00B31079" w:rsidRPr="00522362">
        <w:t>urgent</w:t>
      </w:r>
      <w:r w:rsidR="00B31079">
        <w:t xml:space="preserve"> need in the sector </w:t>
      </w:r>
      <w:r w:rsidR="00C203E1" w:rsidRPr="00522362">
        <w:t>to fill the gap in avail</w:t>
      </w:r>
      <w:r w:rsidR="00C203E1">
        <w:t>able power generation, which is</w:t>
      </w:r>
      <w:r w:rsidR="00C203E1" w:rsidRPr="00522362">
        <w:t xml:space="preserve"> estimate</w:t>
      </w:r>
      <w:r w:rsidR="00C203E1">
        <w:t>d</w:t>
      </w:r>
      <w:r w:rsidR="00C203E1" w:rsidRPr="00522362">
        <w:t xml:space="preserve"> to be about 10 MW. </w:t>
      </w:r>
      <w:r w:rsidR="009D3593">
        <w:t xml:space="preserve"> </w:t>
      </w:r>
      <w:r w:rsidR="00C203E1" w:rsidRPr="00522362">
        <w:t xml:space="preserve">This need </w:t>
      </w:r>
      <w:r w:rsidR="006145E2">
        <w:t>was</w:t>
      </w:r>
      <w:r w:rsidR="00C203E1" w:rsidRPr="00522362">
        <w:t xml:space="preserve"> </w:t>
      </w:r>
      <w:r w:rsidR="00AE1804">
        <w:t>identified</w:t>
      </w:r>
      <w:r w:rsidR="00B00D12">
        <w:t xml:space="preserve"> through </w:t>
      </w:r>
      <w:r w:rsidR="00AE1804">
        <w:t xml:space="preserve">the </w:t>
      </w:r>
      <w:r w:rsidR="00C203E1">
        <w:t>Economic Sector Work prepared by the Bank</w:t>
      </w:r>
      <w:r w:rsidR="00AE1804">
        <w:t xml:space="preserve"> in early 2010</w:t>
      </w:r>
      <w:r w:rsidR="00B31079">
        <w:t xml:space="preserve"> and </w:t>
      </w:r>
      <w:r w:rsidR="006145E2">
        <w:t xml:space="preserve">was </w:t>
      </w:r>
      <w:r w:rsidR="00B31079">
        <w:t xml:space="preserve">recently </w:t>
      </w:r>
      <w:r w:rsidR="006145E2">
        <w:t xml:space="preserve">confirmed </w:t>
      </w:r>
      <w:r w:rsidR="00B31079">
        <w:t>through the Master Plan for expanding LEC</w:t>
      </w:r>
      <w:r w:rsidR="00AE1804">
        <w:t xml:space="preserve"> prepared in early 2011.</w:t>
      </w:r>
      <w:r w:rsidR="00C203E1" w:rsidRPr="00522362">
        <w:t xml:space="preserve"> </w:t>
      </w:r>
      <w:r w:rsidR="00AE1804">
        <w:t>However,</w:t>
      </w:r>
      <w:r w:rsidR="00C203E1" w:rsidRPr="00522362">
        <w:t xml:space="preserve"> </w:t>
      </w:r>
      <w:r w:rsidR="003F4E6D">
        <w:t>conventional donor finance</w:t>
      </w:r>
      <w:r w:rsidR="006145E2">
        <w:t xml:space="preserve"> has been </w:t>
      </w:r>
      <w:r w:rsidR="00C46673">
        <w:t>unavailable</w:t>
      </w:r>
      <w:r w:rsidR="003F4E6D">
        <w:t xml:space="preserve">. </w:t>
      </w:r>
      <w:r w:rsidR="009D3593">
        <w:t xml:space="preserve"> </w:t>
      </w:r>
      <w:r w:rsidR="003F4E6D">
        <w:t xml:space="preserve">Attempts for the provision of power generation from the private sector, such as independent power producers (IPPs) have been unable to get to financial </w:t>
      </w:r>
      <w:r w:rsidR="00AE1804">
        <w:t>closure due to the complexities of such an undertaking</w:t>
      </w:r>
      <w:r w:rsidR="00041D56">
        <w:t xml:space="preserve"> in Liberia’s post-conflict environment</w:t>
      </w:r>
      <w:r w:rsidR="003F4E6D">
        <w:t>.</w:t>
      </w:r>
      <w:r w:rsidR="00C203E1" w:rsidRPr="00522362">
        <w:t xml:space="preserve"> </w:t>
      </w:r>
      <w:r w:rsidR="00041D56">
        <w:t>Lack of sufficient</w:t>
      </w:r>
      <w:r w:rsidR="00626762" w:rsidRPr="00626762">
        <w:t xml:space="preserve"> power generation </w:t>
      </w:r>
      <w:r w:rsidR="00041D56">
        <w:t>sources</w:t>
      </w:r>
      <w:r w:rsidR="00626762" w:rsidRPr="00626762">
        <w:t xml:space="preserve"> creates a significant risk </w:t>
      </w:r>
      <w:r w:rsidR="00041D56">
        <w:t>for</w:t>
      </w:r>
      <w:r w:rsidR="00626762" w:rsidRPr="00626762">
        <w:t xml:space="preserve"> LEC’s management contractor</w:t>
      </w:r>
      <w:r w:rsidR="00041D56">
        <w:t xml:space="preserve"> to miss his</w:t>
      </w:r>
      <w:r w:rsidR="00626762" w:rsidRPr="00626762">
        <w:t xml:space="preserve"> targets </w:t>
      </w:r>
      <w:r w:rsidR="00041D56">
        <w:t>of connecting 33,000 customers and providing them with power</w:t>
      </w:r>
      <w:r w:rsidR="00626762">
        <w:t xml:space="preserve">. </w:t>
      </w:r>
      <w:r w:rsidR="009D3593">
        <w:t xml:space="preserve"> </w:t>
      </w:r>
      <w:r w:rsidR="00C203E1" w:rsidRPr="00522362">
        <w:t xml:space="preserve">Provision of this </w:t>
      </w:r>
      <w:r w:rsidR="00C203E1">
        <w:t xml:space="preserve">additional </w:t>
      </w:r>
      <w:r w:rsidR="00C203E1" w:rsidRPr="00522362">
        <w:t xml:space="preserve">power will </w:t>
      </w:r>
      <w:r w:rsidR="007258CB">
        <w:t xml:space="preserve">also </w:t>
      </w:r>
      <w:r w:rsidR="00C203E1" w:rsidRPr="00522362">
        <w:t xml:space="preserve">prevent outages for existing and future customers in accordance with the provisions of the </w:t>
      </w:r>
      <w:r w:rsidR="00C203E1">
        <w:t>m</w:t>
      </w:r>
      <w:r w:rsidR="00C203E1" w:rsidRPr="00522362">
        <w:t xml:space="preserve">anagement </w:t>
      </w:r>
      <w:r w:rsidR="00C203E1">
        <w:t>c</w:t>
      </w:r>
      <w:r w:rsidR="00C203E1" w:rsidRPr="00522362">
        <w:t xml:space="preserve">ontract. </w:t>
      </w:r>
      <w:r w:rsidR="00C203E1">
        <w:t xml:space="preserve"> </w:t>
      </w:r>
      <w:r w:rsidR="00CD3ADD">
        <w:t>Moreover, n</w:t>
      </w:r>
      <w:r w:rsidR="00626762" w:rsidRPr="00626762">
        <w:t xml:space="preserve">ew generation options will also provide </w:t>
      </w:r>
      <w:r w:rsidR="00CD3ADD">
        <w:t>power</w:t>
      </w:r>
      <w:r w:rsidR="00626762" w:rsidRPr="00626762">
        <w:t xml:space="preserve"> at lower costs.  </w:t>
      </w:r>
    </w:p>
    <w:p w:rsidR="00626762" w:rsidRDefault="00626762" w:rsidP="00626762">
      <w:pPr>
        <w:pStyle w:val="Header"/>
        <w:tabs>
          <w:tab w:val="center" w:pos="540"/>
        </w:tabs>
      </w:pPr>
    </w:p>
    <w:p w:rsidR="00A543F7" w:rsidRDefault="002E204D" w:rsidP="00D940CF">
      <w:pPr>
        <w:pStyle w:val="ListParagraph"/>
        <w:numPr>
          <w:ilvl w:val="0"/>
          <w:numId w:val="7"/>
        </w:numPr>
        <w:ind w:left="0" w:firstLine="0"/>
      </w:pPr>
      <w:r>
        <w:t xml:space="preserve">Following the arrival of the </w:t>
      </w:r>
      <w:r w:rsidR="00CD3ADD">
        <w:t>m</w:t>
      </w:r>
      <w:r>
        <w:t xml:space="preserve">anagement </w:t>
      </w:r>
      <w:r w:rsidR="00CD3ADD">
        <w:t>c</w:t>
      </w:r>
      <w:r>
        <w:t xml:space="preserve">ontractor, LEC’s performance has shown significant improvements providing the basis for scaling </w:t>
      </w:r>
      <w:r w:rsidR="007258CB">
        <w:t xml:space="preserve">up </w:t>
      </w:r>
      <w:r>
        <w:t xml:space="preserve">the development impacts of LESEP through an additional financing. </w:t>
      </w:r>
      <w:r w:rsidR="009D3593">
        <w:t xml:space="preserve"> </w:t>
      </w:r>
      <w:r w:rsidR="00CD3ADD">
        <w:t>Additional p</w:t>
      </w:r>
      <w:r>
        <w:t xml:space="preserve">ower supply availability will allow connecting residential and medium-commercial customers, which in turn will </w:t>
      </w:r>
      <w:r w:rsidRPr="00DA3A1D">
        <w:rPr>
          <w:iCs/>
          <w:lang w:val="en-GB"/>
        </w:rPr>
        <w:t>improve the financial sustainability of the electric utility</w:t>
      </w:r>
      <w:r w:rsidR="00CD3ADD">
        <w:rPr>
          <w:iCs/>
          <w:lang w:val="en-GB"/>
        </w:rPr>
        <w:t xml:space="preserve"> further</w:t>
      </w:r>
      <w:r w:rsidRPr="00DA3A1D">
        <w:rPr>
          <w:iCs/>
          <w:lang w:val="en-GB"/>
        </w:rPr>
        <w:t xml:space="preserve">. </w:t>
      </w:r>
      <w:r w:rsidR="009D3593">
        <w:rPr>
          <w:iCs/>
          <w:lang w:val="en-GB"/>
        </w:rPr>
        <w:t xml:space="preserve"> </w:t>
      </w:r>
      <w:r>
        <w:rPr>
          <w:iCs/>
          <w:lang w:val="en-GB"/>
        </w:rPr>
        <w:t>Likewise, the</w:t>
      </w:r>
      <w:r w:rsidR="00CD3ADD">
        <w:rPr>
          <w:iCs/>
          <w:lang w:val="en-GB"/>
        </w:rPr>
        <w:t xml:space="preserve"> additional</w:t>
      </w:r>
      <w:r>
        <w:rPr>
          <w:iCs/>
          <w:lang w:val="en-GB"/>
        </w:rPr>
        <w:t xml:space="preserve"> distribution equipment will allow coordinated dispatch among the four current power supply facilities, putting in place a mechanism for more </w:t>
      </w:r>
      <w:r w:rsidR="00626762">
        <w:rPr>
          <w:iCs/>
        </w:rPr>
        <w:t xml:space="preserve">efficient, reliable and </w:t>
      </w:r>
      <w:r w:rsidR="00626762" w:rsidRPr="004F13AF">
        <w:rPr>
          <w:iCs/>
        </w:rPr>
        <w:t>economic</w:t>
      </w:r>
      <w:r>
        <w:rPr>
          <w:iCs/>
          <w:lang w:val="en-GB"/>
        </w:rPr>
        <w:t xml:space="preserve"> operation of the system. </w:t>
      </w:r>
    </w:p>
    <w:p w:rsidR="00C203E1" w:rsidRDefault="00C203E1" w:rsidP="00E954BF">
      <w:pPr>
        <w:pStyle w:val="Header"/>
        <w:tabs>
          <w:tab w:val="center" w:pos="540"/>
        </w:tabs>
      </w:pPr>
    </w:p>
    <w:p w:rsidR="0037709C" w:rsidRDefault="00686DB2" w:rsidP="00D940CF">
      <w:pPr>
        <w:pStyle w:val="ListParagraph"/>
        <w:numPr>
          <w:ilvl w:val="0"/>
          <w:numId w:val="7"/>
        </w:numPr>
        <w:ind w:left="0" w:firstLine="0"/>
      </w:pPr>
      <w:r w:rsidRPr="00E954BF">
        <w:t xml:space="preserve">As indicated during the preparation of LESEP, the </w:t>
      </w:r>
      <w:r w:rsidR="00B6486E" w:rsidRPr="00E954BF">
        <w:t>m</w:t>
      </w:r>
      <w:r w:rsidRPr="00E954BF">
        <w:t xml:space="preserve">anagement </w:t>
      </w:r>
      <w:r w:rsidR="00B6486E" w:rsidRPr="00E954BF">
        <w:t>c</w:t>
      </w:r>
      <w:r w:rsidRPr="00E954BF">
        <w:t xml:space="preserve">ontractor </w:t>
      </w:r>
      <w:r w:rsidR="00345019" w:rsidRPr="00E954BF">
        <w:t>had</w:t>
      </w:r>
      <w:r w:rsidRPr="00E954BF">
        <w:t xml:space="preserve"> </w:t>
      </w:r>
      <w:r w:rsidR="00A42697" w:rsidRPr="00E954BF">
        <w:t>additional needs for</w:t>
      </w:r>
      <w:r w:rsidR="00593816" w:rsidRPr="00E954BF">
        <w:t xml:space="preserve"> distribution </w:t>
      </w:r>
      <w:r w:rsidR="00C203E1" w:rsidRPr="00E954BF">
        <w:t xml:space="preserve">services </w:t>
      </w:r>
      <w:r w:rsidR="00A42697" w:rsidRPr="00E954BF">
        <w:t>to ensure all</w:t>
      </w:r>
      <w:r w:rsidR="00C203E1" w:rsidRPr="00E954BF">
        <w:t xml:space="preserve"> new customers</w:t>
      </w:r>
      <w:r w:rsidR="00A42697" w:rsidRPr="00E954BF">
        <w:t xml:space="preserve"> would be connected as described </w:t>
      </w:r>
      <w:r w:rsidR="00A42697" w:rsidRPr="00E954BF">
        <w:lastRenderedPageBreak/>
        <w:t xml:space="preserve">under the Management Contract. More importantly, </w:t>
      </w:r>
      <w:r w:rsidR="00E954BF" w:rsidRPr="00E954BF">
        <w:t xml:space="preserve">however, </w:t>
      </w:r>
      <w:r w:rsidR="00A42697" w:rsidRPr="00E954BF">
        <w:t>a significant gap in the financing of</w:t>
      </w:r>
      <w:r w:rsidR="00593816" w:rsidRPr="00E954BF">
        <w:t xml:space="preserve"> </w:t>
      </w:r>
      <w:r w:rsidR="00A42697" w:rsidRPr="00E954BF">
        <w:t>power</w:t>
      </w:r>
      <w:r w:rsidR="00593816" w:rsidRPr="00E954BF">
        <w:t xml:space="preserve"> generation </w:t>
      </w:r>
      <w:r w:rsidR="00A42697" w:rsidRPr="00E954BF">
        <w:t>was identified</w:t>
      </w:r>
      <w:r w:rsidR="00C203E1" w:rsidRPr="00E954BF">
        <w:t xml:space="preserve">. </w:t>
      </w:r>
    </w:p>
    <w:p w:rsidR="0037709C" w:rsidRDefault="0037709C" w:rsidP="0037709C">
      <w:pPr>
        <w:pStyle w:val="ListParagraph"/>
      </w:pPr>
    </w:p>
    <w:p w:rsidR="0037709C" w:rsidRDefault="0037709C" w:rsidP="00D940CF">
      <w:pPr>
        <w:pStyle w:val="ListParagraph"/>
        <w:numPr>
          <w:ilvl w:val="0"/>
          <w:numId w:val="7"/>
        </w:numPr>
        <w:ind w:left="0" w:firstLine="0"/>
      </w:pPr>
      <w:r>
        <w:t xml:space="preserve">Upon the arrival of the management contactor, the existing system consisted of 9.3MW high speed diesel generation units at </w:t>
      </w:r>
      <w:proofErr w:type="spellStart"/>
      <w:r>
        <w:t>Kru</w:t>
      </w:r>
      <w:proofErr w:type="spellEnd"/>
      <w:r>
        <w:t xml:space="preserve"> Town, </w:t>
      </w:r>
      <w:proofErr w:type="spellStart"/>
      <w:r>
        <w:t>Bushrod</w:t>
      </w:r>
      <w:proofErr w:type="spellEnd"/>
      <w:r>
        <w:t xml:space="preserve"> Island, Congo Town and Paynesville. The units were provided by the emergency donor funded program </w:t>
      </w:r>
      <w:r w:rsidR="007258CB">
        <w:t>between</w:t>
      </w:r>
      <w:r>
        <w:t xml:space="preserve"> 2006 and 2008. The units were operated as isolated systems since the original distribution and transmission system</w:t>
      </w:r>
      <w:r w:rsidR="007258CB">
        <w:t>s</w:t>
      </w:r>
      <w:r>
        <w:t xml:space="preserve"> were destroyed. </w:t>
      </w:r>
    </w:p>
    <w:p w:rsidR="0037709C" w:rsidRDefault="0037709C" w:rsidP="0037709C">
      <w:pPr>
        <w:pStyle w:val="ListParagraph"/>
        <w:ind w:left="0"/>
      </w:pPr>
    </w:p>
    <w:p w:rsidR="0037709C" w:rsidRDefault="007258CB" w:rsidP="00D940CF">
      <w:pPr>
        <w:pStyle w:val="ListParagraph"/>
        <w:numPr>
          <w:ilvl w:val="0"/>
          <w:numId w:val="7"/>
        </w:numPr>
        <w:ind w:left="0" w:firstLine="0"/>
      </w:pPr>
      <w:r>
        <w:t>Whereas h</w:t>
      </w:r>
      <w:r w:rsidR="0037709C">
        <w:t xml:space="preserve">igh diesel speed diesel generation units </w:t>
      </w:r>
      <w:r>
        <w:t>should</w:t>
      </w:r>
      <w:r w:rsidR="0037709C">
        <w:t xml:space="preserve"> normally </w:t>
      </w:r>
      <w:r>
        <w:t xml:space="preserve">be </w:t>
      </w:r>
      <w:r w:rsidR="0037709C">
        <w:t xml:space="preserve">operated on </w:t>
      </w:r>
      <w:r>
        <w:t xml:space="preserve">a continuous </w:t>
      </w:r>
      <w:r w:rsidR="0037709C">
        <w:t xml:space="preserve">basis </w:t>
      </w:r>
      <w:r>
        <w:t>at</w:t>
      </w:r>
      <w:r w:rsidR="00C46673">
        <w:t xml:space="preserve"> </w:t>
      </w:r>
      <w:r w:rsidR="0037709C">
        <w:t>70 percent of the</w:t>
      </w:r>
      <w:r>
        <w:t>ir</w:t>
      </w:r>
      <w:r w:rsidR="0037709C">
        <w:t xml:space="preserve"> prime rating</w:t>
      </w:r>
      <w:r>
        <w:t xml:space="preserve"> or at</w:t>
      </w:r>
      <w:r w:rsidR="0037709C">
        <w:t xml:space="preserve"> their higher prime rating for few hours as peak output</w:t>
      </w:r>
      <w:r>
        <w:t>, these</w:t>
      </w:r>
      <w:r w:rsidR="0037709C">
        <w:t xml:space="preserve"> units were constantly use</w:t>
      </w:r>
      <w:r>
        <w:t>d</w:t>
      </w:r>
      <w:r w:rsidR="0037709C">
        <w:t xml:space="preserve"> above their higher prime rating</w:t>
      </w:r>
      <w:r>
        <w:t>, which</w:t>
      </w:r>
      <w:r w:rsidR="0037709C">
        <w:t xml:space="preserve"> ha</w:t>
      </w:r>
      <w:r>
        <w:t>s</w:t>
      </w:r>
      <w:r w:rsidR="0037709C">
        <w:t xml:space="preserve"> negatively impacted the</w:t>
      </w:r>
      <w:r>
        <w:t>ir</w:t>
      </w:r>
      <w:r w:rsidR="0037709C">
        <w:t xml:space="preserve"> reliability. Additionally, the reliability of the existing units was impacted by the following reasons:</w:t>
      </w:r>
    </w:p>
    <w:p w:rsidR="0037709C" w:rsidRDefault="0037709C" w:rsidP="0037709C">
      <w:pPr>
        <w:pStyle w:val="ListParagraph"/>
        <w:ind w:left="0"/>
      </w:pPr>
    </w:p>
    <w:p w:rsidR="0037709C" w:rsidRDefault="0037709C" w:rsidP="00D940CF">
      <w:pPr>
        <w:pStyle w:val="ListParagraph"/>
        <w:numPr>
          <w:ilvl w:val="0"/>
          <w:numId w:val="20"/>
        </w:numPr>
        <w:ind w:firstLine="0"/>
      </w:pPr>
      <w:r>
        <w:t>Corrosion of the radiators on several units due to the coastal conditions</w:t>
      </w:r>
    </w:p>
    <w:p w:rsidR="0037709C" w:rsidRDefault="0037709C" w:rsidP="00D940CF">
      <w:pPr>
        <w:pStyle w:val="ListParagraph"/>
        <w:numPr>
          <w:ilvl w:val="0"/>
          <w:numId w:val="20"/>
        </w:numPr>
        <w:ind w:firstLine="0"/>
      </w:pPr>
      <w:r>
        <w:t>Corrosion of electrical components due to the coastal conditions</w:t>
      </w:r>
    </w:p>
    <w:p w:rsidR="0037709C" w:rsidRDefault="0037709C" w:rsidP="00D940CF">
      <w:pPr>
        <w:pStyle w:val="ListParagraph"/>
        <w:numPr>
          <w:ilvl w:val="0"/>
          <w:numId w:val="20"/>
        </w:numPr>
        <w:ind w:firstLine="0"/>
      </w:pPr>
      <w:r>
        <w:t>A lack of spare parts</w:t>
      </w:r>
    </w:p>
    <w:p w:rsidR="0037709C" w:rsidRDefault="0037709C" w:rsidP="00D940CF">
      <w:pPr>
        <w:pStyle w:val="ListParagraph"/>
        <w:numPr>
          <w:ilvl w:val="0"/>
          <w:numId w:val="20"/>
        </w:numPr>
        <w:ind w:firstLine="0"/>
      </w:pPr>
      <w:r>
        <w:t>A lack of diagnostic equipment and tools for repairs</w:t>
      </w:r>
    </w:p>
    <w:p w:rsidR="0037709C" w:rsidRDefault="0037709C" w:rsidP="00D940CF">
      <w:pPr>
        <w:pStyle w:val="ListParagraph"/>
        <w:numPr>
          <w:ilvl w:val="0"/>
          <w:numId w:val="20"/>
        </w:numPr>
        <w:ind w:firstLine="0"/>
      </w:pPr>
      <w:r>
        <w:t>A need for improvement in the maintenance and repair procedures</w:t>
      </w:r>
    </w:p>
    <w:p w:rsidR="0037709C" w:rsidRDefault="0037709C" w:rsidP="00D940CF">
      <w:pPr>
        <w:pStyle w:val="ListParagraph"/>
        <w:numPr>
          <w:ilvl w:val="0"/>
          <w:numId w:val="20"/>
        </w:numPr>
        <w:ind w:firstLine="0"/>
      </w:pPr>
      <w:r>
        <w:t>Lack of O&amp;M procedures and preventative maintenance</w:t>
      </w:r>
    </w:p>
    <w:p w:rsidR="0037709C" w:rsidRDefault="0037709C" w:rsidP="00D940CF">
      <w:pPr>
        <w:pStyle w:val="ListParagraph"/>
        <w:numPr>
          <w:ilvl w:val="0"/>
          <w:numId w:val="20"/>
        </w:numPr>
        <w:tabs>
          <w:tab w:val="clear" w:pos="360"/>
        </w:tabs>
        <w:ind w:left="720" w:hanging="360"/>
      </w:pPr>
      <w:r w:rsidRPr="0037709C">
        <w:t>Accelerated deterioration of some components due to a lack of operating, maintenance and diagnostics experience</w:t>
      </w:r>
    </w:p>
    <w:p w:rsidR="0037709C" w:rsidRDefault="0037709C" w:rsidP="00D940CF">
      <w:pPr>
        <w:pStyle w:val="ListParagraph"/>
        <w:numPr>
          <w:ilvl w:val="0"/>
          <w:numId w:val="20"/>
        </w:numPr>
        <w:ind w:firstLine="0"/>
      </w:pPr>
      <w:r>
        <w:t>Removal of parts from inoperative units to keep others operating.</w:t>
      </w:r>
    </w:p>
    <w:p w:rsidR="0037709C" w:rsidRDefault="0037709C" w:rsidP="0037709C">
      <w:pPr>
        <w:pStyle w:val="ListParagraph"/>
        <w:ind w:left="0"/>
      </w:pPr>
    </w:p>
    <w:p w:rsidR="00A543F7" w:rsidRDefault="0037709C">
      <w:pPr>
        <w:pStyle w:val="ListParagraph"/>
        <w:ind w:left="0"/>
      </w:pPr>
      <w:r>
        <w:t xml:space="preserve">The above issues have reduced the lifespan of the units. </w:t>
      </w:r>
      <w:r w:rsidR="009D3593">
        <w:t xml:space="preserve"> </w:t>
      </w:r>
      <w:r w:rsidR="007258CB">
        <w:t xml:space="preserve">Although they </w:t>
      </w:r>
      <w:r>
        <w:t xml:space="preserve">are available today, their lifespan is likely to </w:t>
      </w:r>
      <w:r w:rsidR="007258CB">
        <w:t xml:space="preserve">have </w:t>
      </w:r>
      <w:r>
        <w:t>be</w:t>
      </w:r>
      <w:r w:rsidR="007258CB">
        <w:t>en</w:t>
      </w:r>
      <w:r>
        <w:t xml:space="preserve"> significantly shortened due to the way these units have been operated.  </w:t>
      </w:r>
    </w:p>
    <w:p w:rsidR="0037709C" w:rsidRDefault="0037709C" w:rsidP="00881D40">
      <w:pPr>
        <w:pStyle w:val="ListParagraph"/>
        <w:ind w:left="90"/>
      </w:pPr>
    </w:p>
    <w:p w:rsidR="007F38AB" w:rsidRPr="00E954BF" w:rsidRDefault="00C203E1" w:rsidP="00D940CF">
      <w:pPr>
        <w:pStyle w:val="ListParagraph"/>
        <w:numPr>
          <w:ilvl w:val="0"/>
          <w:numId w:val="7"/>
        </w:numPr>
        <w:ind w:left="0" w:firstLine="0"/>
      </w:pPr>
      <w:r w:rsidRPr="00E954BF">
        <w:t>In an effort to address these challenge</w:t>
      </w:r>
      <w:r w:rsidR="00B6486E" w:rsidRPr="00E954BF">
        <w:t>s</w:t>
      </w:r>
      <w:r w:rsidRPr="00E954BF">
        <w:t>, donors rea</w:t>
      </w:r>
      <w:r w:rsidR="00B00D12" w:rsidRPr="00E954BF">
        <w:t xml:space="preserve">llocated </w:t>
      </w:r>
      <w:r w:rsidRPr="00E954BF">
        <w:t xml:space="preserve">some of </w:t>
      </w:r>
      <w:r w:rsidR="00B6486E" w:rsidRPr="00E954BF">
        <w:t xml:space="preserve">the </w:t>
      </w:r>
      <w:r w:rsidRPr="00E954BF">
        <w:t xml:space="preserve">resources to </w:t>
      </w:r>
      <w:r w:rsidR="002E204D" w:rsidRPr="00E954BF">
        <w:t>address</w:t>
      </w:r>
      <w:r w:rsidRPr="00E954BF">
        <w:t xml:space="preserve"> the most urgent needs. </w:t>
      </w:r>
      <w:r w:rsidR="009D3593">
        <w:t xml:space="preserve"> </w:t>
      </w:r>
      <w:r w:rsidR="002E204D" w:rsidRPr="00E954BF">
        <w:t>Following a reques</w:t>
      </w:r>
      <w:r w:rsidR="00626762" w:rsidRPr="00E954BF">
        <w:t xml:space="preserve">t from the </w:t>
      </w:r>
      <w:proofErr w:type="spellStart"/>
      <w:r w:rsidR="00626762" w:rsidRPr="00E954BF">
        <w:t>GoL</w:t>
      </w:r>
      <w:proofErr w:type="spellEnd"/>
      <w:r w:rsidR="00626762" w:rsidRPr="00E954BF">
        <w:t xml:space="preserve">, USAID </w:t>
      </w:r>
      <w:r w:rsidR="00A42697" w:rsidRPr="00E954BF">
        <w:t xml:space="preserve">reallocated financing originally earmarked for distribution to </w:t>
      </w:r>
      <w:r w:rsidR="00091AAE" w:rsidRPr="00E954BF">
        <w:t>the purchasing</w:t>
      </w:r>
      <w:r w:rsidR="00345019" w:rsidRPr="00E954BF">
        <w:t xml:space="preserve"> and </w:t>
      </w:r>
      <w:r w:rsidR="00E124A3" w:rsidRPr="00E954BF">
        <w:t xml:space="preserve">commissioning </w:t>
      </w:r>
      <w:r w:rsidR="00345019" w:rsidRPr="00E954BF">
        <w:t>of 10 MW of additional high speed diesel generation</w:t>
      </w:r>
      <w:r w:rsidR="00054F75" w:rsidRPr="00E954BF">
        <w:t xml:space="preserve">. </w:t>
      </w:r>
      <w:r w:rsidR="009D3593">
        <w:t xml:space="preserve"> </w:t>
      </w:r>
      <w:r w:rsidR="00A84D3F" w:rsidRPr="00E954BF">
        <w:t>To minimize th</w:t>
      </w:r>
      <w:r w:rsidR="00A42697" w:rsidRPr="00E954BF">
        <w:t xml:space="preserve">e </w:t>
      </w:r>
      <w:r w:rsidR="00E954BF">
        <w:t xml:space="preserve">then arising </w:t>
      </w:r>
      <w:r w:rsidR="00A42697" w:rsidRPr="00E954BF">
        <w:t>shortfall for distribution</w:t>
      </w:r>
      <w:r w:rsidR="00A84D3F" w:rsidRPr="00E954BF">
        <w:t xml:space="preserve">, </w:t>
      </w:r>
      <w:r w:rsidR="005826A2" w:rsidRPr="00E954BF">
        <w:t xml:space="preserve">additional funding for the enhancement of the distribution network and connections was made available </w:t>
      </w:r>
      <w:r w:rsidR="00345019" w:rsidRPr="00E954BF">
        <w:t>under USAID</w:t>
      </w:r>
      <w:r w:rsidR="002E204D" w:rsidRPr="00E954BF">
        <w:t>’s rural electrification program</w:t>
      </w:r>
      <w:r w:rsidR="00345019" w:rsidRPr="00E954BF">
        <w:t xml:space="preserve">, and through funding from LESEP. </w:t>
      </w:r>
      <w:r w:rsidR="00E954BF">
        <w:t xml:space="preserve">By early 2011 </w:t>
      </w:r>
      <w:r w:rsidR="00E954BF" w:rsidRPr="00E954BF">
        <w:t xml:space="preserve">an additional 10 MW </w:t>
      </w:r>
      <w:r w:rsidR="00E954BF">
        <w:t>of diesel generation</w:t>
      </w:r>
      <w:r w:rsidR="00E954BF" w:rsidRPr="00E954BF">
        <w:t xml:space="preserve"> were installed on </w:t>
      </w:r>
      <w:proofErr w:type="spellStart"/>
      <w:r w:rsidR="00E954BF" w:rsidRPr="00E954BF">
        <w:t>Bushrod</w:t>
      </w:r>
      <w:proofErr w:type="spellEnd"/>
      <w:r w:rsidR="00E954BF" w:rsidRPr="00E954BF">
        <w:t xml:space="preserve"> Island, which is part of the city of Monrovia</w:t>
      </w:r>
      <w:r w:rsidR="00DB4E7A">
        <w:t>.</w:t>
      </w:r>
    </w:p>
    <w:p w:rsidR="00A543F7" w:rsidRDefault="00A543F7">
      <w:pPr>
        <w:pStyle w:val="ListParagraph"/>
      </w:pPr>
    </w:p>
    <w:p w:rsidR="00A543F7" w:rsidRPr="00C565F0" w:rsidRDefault="002E204D" w:rsidP="00D940CF">
      <w:pPr>
        <w:pStyle w:val="ListParagraph"/>
        <w:numPr>
          <w:ilvl w:val="0"/>
          <w:numId w:val="7"/>
        </w:numPr>
        <w:ind w:left="0" w:firstLine="0"/>
      </w:pPr>
      <w:r w:rsidRPr="00C565F0">
        <w:t>Despite this assistance</w:t>
      </w:r>
      <w:r w:rsidR="00054F75" w:rsidRPr="00C565F0">
        <w:t xml:space="preserve">, </w:t>
      </w:r>
      <w:r w:rsidR="00626762" w:rsidRPr="00C565F0">
        <w:t>it is estimated</w:t>
      </w:r>
      <w:r w:rsidR="00054F75" w:rsidRPr="00C565F0">
        <w:t xml:space="preserve"> </w:t>
      </w:r>
      <w:r w:rsidRPr="00C565F0">
        <w:t xml:space="preserve">that a power supply gap will </w:t>
      </w:r>
      <w:r w:rsidR="00091AAE" w:rsidRPr="00C565F0">
        <w:t xml:space="preserve">re-emerge as early as 2013 (see Figure </w:t>
      </w:r>
      <w:r w:rsidR="00626762" w:rsidRPr="00C565F0">
        <w:t>2</w:t>
      </w:r>
      <w:r w:rsidR="005071E7" w:rsidRPr="00C565F0">
        <w:t>). The supply gap is at least 10</w:t>
      </w:r>
      <w:r w:rsidR="008A6C9F">
        <w:t xml:space="preserve"> MW in 2013, depending on the demand scenario, and will increase to 18 MW in 2014 and 24 MW in 2015. It is expected that JICA will fund heavy fuel oil (HFO) power generation of 10 MW, which is expected to be commissioned by 2015. However, a gap of around 10MW remains from 2014 onwards.  Based on current generation expansion plans and the expected load characteristics, it is expected that the most economic generation stacking would involve 18-20 MW of thermal power generation. From 2017, 18 MW of power from the WAPP transmission line could supply base and possibly </w:t>
      </w:r>
      <w:r w:rsidR="008A6C9F">
        <w:lastRenderedPageBreak/>
        <w:t>shoulder loads</w:t>
      </w:r>
      <w:r w:rsidR="008A6C9F">
        <w:rPr>
          <w:rStyle w:val="FootnoteReference"/>
        </w:rPr>
        <w:footnoteReference w:id="1"/>
      </w:r>
      <w:r w:rsidR="008A6C9F" w:rsidRPr="008A6C9F">
        <w:t>. Mount Coffee hydropower generation, that could be on-line from 201</w:t>
      </w:r>
      <w:r w:rsidR="00C565F0">
        <w:t>7</w:t>
      </w:r>
      <w:r w:rsidR="005071E7" w:rsidRPr="00C565F0">
        <w:t>, will supply electricity a</w:t>
      </w:r>
      <w:r w:rsidR="0097553A">
        <w:t>t a</w:t>
      </w:r>
      <w:r w:rsidR="005071E7" w:rsidRPr="00C565F0">
        <w:t xml:space="preserve"> lower cost. </w:t>
      </w:r>
      <w:r w:rsidR="009D3593" w:rsidRPr="00C565F0">
        <w:t xml:space="preserve"> </w:t>
      </w:r>
      <w:r w:rsidR="005071E7" w:rsidRPr="00C565F0">
        <w:t>However, there is still a need for thermal power generation to compensate the seasonal fluctuations of the Saint Paul River</w:t>
      </w:r>
      <w:r w:rsidR="008A6C9F" w:rsidRPr="008A6C9F">
        <w:t>, on which Mount Coffee hydropower plant is located.  Correspondingly, the supply from Mount Coffee hydropower plant will decline from 64 MW to 8 MW in the dry season.  To sum up, and as Figure 2 indicates</w:t>
      </w:r>
      <w:proofErr w:type="gramStart"/>
      <w:r w:rsidR="008A6C9F" w:rsidRPr="008A6C9F">
        <w:t>,</w:t>
      </w:r>
      <w:proofErr w:type="gramEnd"/>
      <w:r w:rsidR="008A6C9F" w:rsidRPr="008A6C9F">
        <w:t xml:space="preserve"> the generation gap will be in the order of 25 MW by 2015.  This clearly indicates the need for additional 10 MW of power by 2014/2015. </w:t>
      </w:r>
    </w:p>
    <w:p w:rsidR="00DB4E7A" w:rsidRDefault="00DB4E7A" w:rsidP="00DB4E7A">
      <w:pPr>
        <w:pStyle w:val="ListParagraph"/>
      </w:pPr>
    </w:p>
    <w:p w:rsidR="007F38AB" w:rsidRDefault="00054F75" w:rsidP="00D940CF">
      <w:pPr>
        <w:pStyle w:val="ListParagraph"/>
        <w:numPr>
          <w:ilvl w:val="0"/>
          <w:numId w:val="7"/>
        </w:numPr>
        <w:ind w:left="0" w:firstLine="0"/>
      </w:pPr>
      <w:r w:rsidRPr="00E954BF">
        <w:t>Moreover, more permanent and less costly power is needed for the electricity system to transition out of its current mode of emergency operation</w:t>
      </w:r>
      <w:r w:rsidR="002E204D" w:rsidRPr="00E954BF">
        <w:t>s</w:t>
      </w:r>
      <w:r w:rsidRPr="00E954BF">
        <w:t>, which is marked by insufficient supply and high costs of electricity</w:t>
      </w:r>
      <w:r w:rsidR="007E0513" w:rsidRPr="00E954BF">
        <w:t xml:space="preserve"> at US cents 52/kWh</w:t>
      </w:r>
      <w:r w:rsidR="00DB4E7A">
        <w:t xml:space="preserve">. </w:t>
      </w:r>
      <w:r w:rsidR="00881D40">
        <w:t xml:space="preserve"> </w:t>
      </w:r>
      <w:r w:rsidR="00DB4E7A">
        <w:t>Indeed, Liberia has among the highest electricity tariffs in the world</w:t>
      </w:r>
      <w:r w:rsidRPr="00E954BF">
        <w:t>.</w:t>
      </w:r>
      <w:r w:rsidR="00DB4E7A">
        <w:t xml:space="preserve"> </w:t>
      </w:r>
      <w:r w:rsidR="009D3593">
        <w:t xml:space="preserve"> </w:t>
      </w:r>
      <w:r w:rsidR="00DB4E7A">
        <w:t>This needs to change if the country is to develop economically.</w:t>
      </w:r>
      <w:r w:rsidRPr="00E954BF">
        <w:t xml:space="preserve"> The system thus needs to be expanded to reduce the relative share of overhead costs, and to introduce lower cost power generation such as Heavy Fuel Oil (HFO).  </w:t>
      </w:r>
    </w:p>
    <w:p w:rsidR="00C23B3E" w:rsidRDefault="00C23B3E" w:rsidP="00C23B3E">
      <w:pPr>
        <w:pStyle w:val="ListParagraph"/>
      </w:pPr>
    </w:p>
    <w:p w:rsidR="00C23B3E" w:rsidRPr="00E954BF" w:rsidRDefault="00C23B3E" w:rsidP="00D940CF">
      <w:pPr>
        <w:pStyle w:val="ListParagraph"/>
        <w:numPr>
          <w:ilvl w:val="0"/>
          <w:numId w:val="7"/>
        </w:numPr>
        <w:ind w:left="0" w:firstLine="0"/>
      </w:pPr>
      <w:r>
        <w:t xml:space="preserve">Finally, given the organic way in which the power supply has been augmented, there is an urgent need for it to be coordinated so that the power available can be </w:t>
      </w:r>
      <w:r w:rsidR="00A630EA">
        <w:t xml:space="preserve">more efficiently </w:t>
      </w:r>
      <w:r>
        <w:t xml:space="preserve">dispatched to the newly connected customers. </w:t>
      </w:r>
      <w:r w:rsidR="009D3593">
        <w:t xml:space="preserve"> </w:t>
      </w:r>
      <w:r>
        <w:t>While the original LESEP is already provid</w:t>
      </w:r>
      <w:r w:rsidR="00A630EA">
        <w:t>ing</w:t>
      </w:r>
      <w:r>
        <w:t xml:space="preserve"> support for synchronization of the existing generators</w:t>
      </w:r>
      <w:r w:rsidR="00A630EA">
        <w:t xml:space="preserve"> to the power grid</w:t>
      </w:r>
      <w:r>
        <w:t xml:space="preserve">, a more structured </w:t>
      </w:r>
      <w:r w:rsidR="00E955EF">
        <w:t>dispatch system is urgently required.</w:t>
      </w:r>
    </w:p>
    <w:p w:rsidR="00054F75" w:rsidRDefault="00054F75" w:rsidP="00F17216">
      <w:pPr>
        <w:pStyle w:val="Header"/>
        <w:tabs>
          <w:tab w:val="clear" w:pos="4320"/>
          <w:tab w:val="center" w:pos="540"/>
        </w:tabs>
      </w:pPr>
    </w:p>
    <w:p w:rsidR="007E0513" w:rsidRPr="007E0513" w:rsidRDefault="00DB4E7A" w:rsidP="00DB4E7A">
      <w:pPr>
        <w:pStyle w:val="Header"/>
        <w:tabs>
          <w:tab w:val="center" w:pos="540"/>
        </w:tabs>
      </w:pPr>
      <w:r>
        <w:rPr>
          <w:b/>
        </w:rPr>
        <w:tab/>
      </w:r>
      <w:r>
        <w:rPr>
          <w:b/>
        </w:rPr>
        <w:tab/>
      </w:r>
      <w:r w:rsidR="00091AAE">
        <w:rPr>
          <w:b/>
        </w:rPr>
        <w:t xml:space="preserve">Figure </w:t>
      </w:r>
      <w:r w:rsidR="00626762">
        <w:rPr>
          <w:b/>
        </w:rPr>
        <w:t>2</w:t>
      </w:r>
      <w:r>
        <w:rPr>
          <w:b/>
        </w:rPr>
        <w:t>:  Supply-Demand Forecast for the Medium-T</w:t>
      </w:r>
      <w:r w:rsidR="007E0513" w:rsidRPr="007E0513">
        <w:rPr>
          <w:b/>
        </w:rPr>
        <w:t>erm 2010 - 2015</w:t>
      </w:r>
      <w:r w:rsidR="00C61741">
        <w:rPr>
          <w:rStyle w:val="FootnoteReference"/>
          <w:b/>
        </w:rPr>
        <w:footnoteReference w:id="2"/>
      </w:r>
    </w:p>
    <w:p w:rsidR="007E0513" w:rsidRPr="007E0513" w:rsidRDefault="007E0513" w:rsidP="007E0513">
      <w:pPr>
        <w:pStyle w:val="Header"/>
        <w:tabs>
          <w:tab w:val="center" w:pos="540"/>
        </w:tabs>
      </w:pPr>
    </w:p>
    <w:p w:rsidR="00686DB2" w:rsidRDefault="0035474B" w:rsidP="00BE2758">
      <w:pPr>
        <w:pStyle w:val="Header"/>
        <w:tabs>
          <w:tab w:val="clear" w:pos="4320"/>
          <w:tab w:val="center" w:pos="540"/>
        </w:tabs>
        <w:jc w:val="center"/>
      </w:pPr>
      <w:r>
        <w:rPr>
          <w:noProof/>
        </w:rPr>
        <w:pict>
          <v:shape id="_x0000_i1026" type="#_x0000_t75" style="width:469.35pt;height:242.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">
            <v:imagedata r:id="rId15" o:title=""/>
            <o:lock v:ext="edit" aspectratio="f"/>
          </v:shape>
        </w:pict>
      </w:r>
    </w:p>
    <w:p w:rsidR="00B53232" w:rsidRPr="00041DDF" w:rsidRDefault="00B53232" w:rsidP="00B53232">
      <w:pPr>
        <w:pStyle w:val="Header"/>
        <w:tabs>
          <w:tab w:val="clear" w:pos="4320"/>
          <w:tab w:val="center" w:pos="540"/>
        </w:tabs>
      </w:pPr>
    </w:p>
    <w:p w:rsidR="00546C17" w:rsidRPr="00162973" w:rsidRDefault="002A1508" w:rsidP="00D940CF">
      <w:pPr>
        <w:pStyle w:val="ListParagraph"/>
        <w:numPr>
          <w:ilvl w:val="0"/>
          <w:numId w:val="7"/>
        </w:numPr>
        <w:ind w:left="0" w:firstLine="0"/>
        <w:rPr>
          <w:lang w:val="en-CA"/>
        </w:rPr>
      </w:pPr>
      <w:r>
        <w:lastRenderedPageBreak/>
        <w:t>The proposed investments will support the ability of LEC to meet p</w:t>
      </w:r>
      <w:r w:rsidR="00624843">
        <w:t xml:space="preserve">art of the demand. </w:t>
      </w:r>
      <w:r w:rsidR="00546C17">
        <w:t xml:space="preserve">It is expected that the residential customer base will increase due to the availability of </w:t>
      </w:r>
      <w:r w:rsidR="00604D99">
        <w:t>power</w:t>
      </w:r>
      <w:r w:rsidR="00546C17">
        <w:t xml:space="preserve"> generation, more efficient dispatch of the system</w:t>
      </w:r>
      <w:r w:rsidR="00604D99">
        <w:t>,</w:t>
      </w:r>
      <w:r w:rsidR="00546C17">
        <w:t xml:space="preserve"> and the</w:t>
      </w:r>
      <w:r w:rsidR="00604D99">
        <w:t xml:space="preserve"> GPOBA</w:t>
      </w:r>
      <w:r w:rsidR="00546C17">
        <w:t xml:space="preserve"> financing that will provide support to 16,000 poor and low income households. </w:t>
      </w:r>
      <w:r w:rsidR="00604D99">
        <w:t>In late 2011 t</w:t>
      </w:r>
      <w:r w:rsidR="00162973">
        <w:t xml:space="preserve">he customer base indicates that </w:t>
      </w:r>
      <w:r w:rsidR="00546C17">
        <w:t xml:space="preserve">residential customers represent 47 percent. Existing residential customers </w:t>
      </w:r>
      <w:r w:rsidR="00604D99">
        <w:t>may be</w:t>
      </w:r>
      <w:r w:rsidR="00546C17">
        <w:t xml:space="preserve"> further </w:t>
      </w:r>
      <w:r w:rsidR="00546C17" w:rsidRPr="00546C17">
        <w:rPr>
          <w:lang w:val="en-CA"/>
        </w:rPr>
        <w:t>broken down into kWh consumption ranges considered to be reasonably representative of income levels</w:t>
      </w:r>
      <w:r w:rsidR="00546C17">
        <w:rPr>
          <w:lang w:val="en-CA"/>
        </w:rPr>
        <w:t xml:space="preserve"> and the distribution is as follows: 26 </w:t>
      </w:r>
      <w:r w:rsidR="00162973">
        <w:rPr>
          <w:lang w:val="en-CA"/>
        </w:rPr>
        <w:t>percent poor</w:t>
      </w:r>
      <w:r w:rsidR="00546C17">
        <w:rPr>
          <w:lang w:val="en-CA"/>
        </w:rPr>
        <w:t>, 35 percent low income, 20</w:t>
      </w:r>
      <w:r w:rsidR="00162973">
        <w:rPr>
          <w:lang w:val="en-CA"/>
        </w:rPr>
        <w:t>.6</w:t>
      </w:r>
      <w:r w:rsidR="00546C17">
        <w:rPr>
          <w:lang w:val="en-CA"/>
        </w:rPr>
        <w:t xml:space="preserve"> percent </w:t>
      </w:r>
      <w:r w:rsidR="00162973">
        <w:rPr>
          <w:lang w:val="en-CA"/>
        </w:rPr>
        <w:t>middle income, 13 percent upper income, and 5.4 percent high income</w:t>
      </w:r>
      <w:r w:rsidR="00604D99">
        <w:rPr>
          <w:lang w:val="en-CA"/>
        </w:rPr>
        <w:t xml:space="preserve"> customers</w:t>
      </w:r>
      <w:r w:rsidR="00162973">
        <w:rPr>
          <w:lang w:val="en-CA"/>
        </w:rPr>
        <w:t xml:space="preserve">. </w:t>
      </w:r>
    </w:p>
    <w:p w:rsidR="00162973" w:rsidRPr="00162973" w:rsidRDefault="00162973" w:rsidP="00162973">
      <w:pPr>
        <w:pStyle w:val="ListParagraph"/>
        <w:ind w:left="0"/>
        <w:rPr>
          <w:lang w:val="en-CA"/>
        </w:rPr>
      </w:pPr>
    </w:p>
    <w:p w:rsidR="002A1508" w:rsidRPr="002A1508" w:rsidRDefault="002A1508" w:rsidP="002A1508">
      <w:pPr>
        <w:pStyle w:val="ListParagraph"/>
        <w:ind w:left="0"/>
      </w:pPr>
    </w:p>
    <w:p w:rsidR="00A543F7" w:rsidRDefault="00DB4E7A" w:rsidP="00D940CF">
      <w:pPr>
        <w:pStyle w:val="ListParagraph"/>
        <w:numPr>
          <w:ilvl w:val="0"/>
          <w:numId w:val="7"/>
        </w:numPr>
        <w:ind w:left="0" w:firstLine="0"/>
      </w:pPr>
      <w:r w:rsidRPr="00DB4E7A">
        <w:rPr>
          <w:b/>
        </w:rPr>
        <w:t>GEF Co-financing:</w:t>
      </w:r>
      <w:r>
        <w:t xml:space="preserve"> i</w:t>
      </w:r>
      <w:r w:rsidR="00626762">
        <w:t>n tandem with urban electrification efforts, t</w:t>
      </w:r>
      <w:r w:rsidR="005B6F3F" w:rsidRPr="005B6F3F">
        <w:t xml:space="preserve">he Government of </w:t>
      </w:r>
      <w:r w:rsidR="007A35E5">
        <w:t>Liberia requested a grant</w:t>
      </w:r>
      <w:r w:rsidR="005B6F3F" w:rsidRPr="005B6F3F">
        <w:t xml:space="preserve"> from the Global Environment Facility (GEF)</w:t>
      </w:r>
      <w:r w:rsidR="00574180" w:rsidRPr="00574180">
        <w:t xml:space="preserve"> to provide off-grid </w:t>
      </w:r>
      <w:r w:rsidR="00AC6B68" w:rsidRPr="00574180">
        <w:t xml:space="preserve">energy </w:t>
      </w:r>
      <w:r w:rsidR="00AC6B68">
        <w:t xml:space="preserve">services </w:t>
      </w:r>
      <w:r w:rsidR="00574180" w:rsidRPr="00574180">
        <w:t>outside of Monrovia</w:t>
      </w:r>
      <w:r w:rsidR="00574180">
        <w:t xml:space="preserve">. </w:t>
      </w:r>
      <w:r w:rsidR="009D3593">
        <w:t xml:space="preserve"> </w:t>
      </w:r>
      <w:r w:rsidR="00574180">
        <w:t xml:space="preserve">This grant will build on the </w:t>
      </w:r>
      <w:r w:rsidR="00574180" w:rsidRPr="00574180">
        <w:t>original Component C</w:t>
      </w:r>
      <w:r w:rsidR="00574180">
        <w:t xml:space="preserve"> for the provision of mo</w:t>
      </w:r>
      <w:r w:rsidR="006F0A42">
        <w:t>dern renewable energy off-grid financed by</w:t>
      </w:r>
      <w:r w:rsidR="00E60423">
        <w:t xml:space="preserve"> the</w:t>
      </w:r>
      <w:r w:rsidR="006F0A42">
        <w:t xml:space="preserve"> </w:t>
      </w:r>
      <w:r w:rsidR="006F0A42" w:rsidRPr="006F0A42">
        <w:t>Africa Renewable Energy Access (AFREA) trust funded program</w:t>
      </w:r>
      <w:r w:rsidR="00574180" w:rsidRPr="00574180">
        <w:t xml:space="preserve">.  </w:t>
      </w:r>
      <w:r w:rsidR="00574180">
        <w:t xml:space="preserve">The grant will </w:t>
      </w:r>
      <w:r w:rsidR="006F0A42">
        <w:t>support launching</w:t>
      </w:r>
      <w:r w:rsidR="00574180">
        <w:t xml:space="preserve"> </w:t>
      </w:r>
      <w:r w:rsidR="005B6F3F" w:rsidRPr="005B6F3F">
        <w:t xml:space="preserve">the World Bank/IFC Lighting Africa program in Liberia, which would primarily comprise a solar lantern exchange program entitled “Lighting lives in Liberia.” </w:t>
      </w:r>
      <w:r w:rsidR="009D3593">
        <w:t xml:space="preserve"> </w:t>
      </w:r>
      <w:r w:rsidR="005B6F3F" w:rsidRPr="005B6F3F">
        <w:t>This grant will scale up the development of sustainable energy in off-grid areas through facilitating the provision of modern</w:t>
      </w:r>
      <w:r w:rsidR="00E60423">
        <w:t>, solar-based</w:t>
      </w:r>
      <w:r w:rsidR="005B6F3F" w:rsidRPr="005B6F3F">
        <w:t xml:space="preserve"> lighting supplies and services. </w:t>
      </w:r>
      <w:r w:rsidR="009D3593">
        <w:t xml:space="preserve"> </w:t>
      </w:r>
      <w:r w:rsidR="005B6F3F" w:rsidRPr="005B6F3F">
        <w:t xml:space="preserve">The activity will transfer knowledge, tools, and lessons from Lighting Africa’s pilot activities in Kenya and Ghana and adapt these instruments for use by the key stakeholders in </w:t>
      </w:r>
      <w:r w:rsidR="005B6F3F" w:rsidRPr="00DB4E7A">
        <w:t xml:space="preserve">Liberia.  The co-financing has been approved by the GEF CEO </w:t>
      </w:r>
      <w:r w:rsidR="00221C98">
        <w:t>and the GEF Council</w:t>
      </w:r>
      <w:r w:rsidR="005B6F3F" w:rsidRPr="00DB4E7A">
        <w:t xml:space="preserve">, as of September 18 </w:t>
      </w:r>
      <w:r w:rsidR="00221C98">
        <w:t xml:space="preserve">and November </w:t>
      </w:r>
      <w:r>
        <w:t>9</w:t>
      </w:r>
      <w:r w:rsidR="00AC6B68">
        <w:t>,</w:t>
      </w:r>
      <w:r>
        <w:t xml:space="preserve"> 2011</w:t>
      </w:r>
      <w:r w:rsidR="005B6F3F" w:rsidRPr="00DB4E7A">
        <w:t>, resp</w:t>
      </w:r>
      <w:r w:rsidR="005B6F3F" w:rsidRPr="005B6F3F">
        <w:t>ectively</w:t>
      </w:r>
      <w:r w:rsidR="005B6F3F">
        <w:t xml:space="preserve">. </w:t>
      </w:r>
    </w:p>
    <w:p w:rsidR="00342C68" w:rsidRDefault="00342C68" w:rsidP="00342C68">
      <w:pPr>
        <w:pStyle w:val="ListParagraph"/>
      </w:pPr>
    </w:p>
    <w:p w:rsidR="00A543F7" w:rsidRDefault="005B6F3F" w:rsidP="00D940CF">
      <w:pPr>
        <w:pStyle w:val="ListParagraph"/>
        <w:numPr>
          <w:ilvl w:val="0"/>
          <w:numId w:val="7"/>
        </w:numPr>
        <w:ind w:left="0" w:firstLine="0"/>
      </w:pPr>
      <w:r w:rsidRPr="005B6F3F">
        <w:t xml:space="preserve">The RREA is the first agency of its kind in the history of Liberia, and its establishment reflects the emphasis put on rural energy access as well as environmental sustainability in Liberia’s National Energy Policy (NEP), which calls for electrifying 15% of rural Liberia and 30% of the country’s urban and </w:t>
      </w:r>
      <w:proofErr w:type="spellStart"/>
      <w:r w:rsidRPr="005B6F3F">
        <w:t>peri</w:t>
      </w:r>
      <w:proofErr w:type="spellEnd"/>
      <w:r w:rsidRPr="005B6F3F">
        <w:t xml:space="preserve">-urban areas by 2015. </w:t>
      </w:r>
      <w:r w:rsidR="009D3593">
        <w:t xml:space="preserve"> </w:t>
      </w:r>
      <w:r w:rsidRPr="005B6F3F">
        <w:t xml:space="preserve">Toward this end, the establishment and capacity building of the RREA has been supported by the AFREA program since August 2009, and has benefited from application of international best practices as well as regional knowledge exchange.  The solar market pilot project of the AFREA program represents a sound opportunity for scale-up that would result in delivery of renewable energy hardware on the ground, as the AFREA work is designed to address barriers to commercial off-grid lighting development.  </w:t>
      </w:r>
    </w:p>
    <w:p w:rsidR="00A543F7" w:rsidRDefault="00A543F7">
      <w:pPr>
        <w:pStyle w:val="ListParagraph"/>
      </w:pPr>
    </w:p>
    <w:p w:rsidR="00A543F7" w:rsidRDefault="005B6F3F" w:rsidP="00D940CF">
      <w:pPr>
        <w:pStyle w:val="ListParagraph"/>
        <w:numPr>
          <w:ilvl w:val="0"/>
          <w:numId w:val="7"/>
        </w:numPr>
        <w:ind w:left="0" w:firstLine="0"/>
      </w:pPr>
      <w:r w:rsidRPr="005B6F3F">
        <w:t xml:space="preserve">The GEF co-financing will allow for leveraging the gains made, by actually testing the market.  The success of the AFREA program has also leveraged co-financing from the EU Energy Facility toward further development of the RREA’s rural energy strategy and application of the SSMP approach in one county.  These accomplishments and the NEP notwithstanding, the financing available for scaling up Liberia’s rural access agenda is far from what is needed to achieve Liberia’s policy objectives.  The proposed GEF </w:t>
      </w:r>
      <w:r w:rsidR="004242B7">
        <w:t>financing</w:t>
      </w:r>
      <w:r w:rsidRPr="005B6F3F">
        <w:t xml:space="preserve"> presents a unique opportunity to increase the flow of resources to supporting the adoption and acceleration of solar technologies in Liberia on a semi-commercial basis, so that Liberia can begin making real progress toward its sustainable energy goals.  </w:t>
      </w:r>
    </w:p>
    <w:p w:rsidR="002E204D" w:rsidRDefault="002E204D" w:rsidP="002E204D">
      <w:pPr>
        <w:pStyle w:val="Header"/>
        <w:tabs>
          <w:tab w:val="clear" w:pos="4320"/>
          <w:tab w:val="center" w:pos="540"/>
        </w:tabs>
      </w:pPr>
    </w:p>
    <w:p w:rsidR="00A543F7" w:rsidRDefault="004242B7" w:rsidP="00D940CF">
      <w:pPr>
        <w:pStyle w:val="ListParagraph"/>
        <w:numPr>
          <w:ilvl w:val="0"/>
          <w:numId w:val="7"/>
        </w:numPr>
        <w:ind w:left="0" w:firstLine="0"/>
      </w:pPr>
      <w:r>
        <w:t>To sum up</w:t>
      </w:r>
      <w:r w:rsidR="002E204D">
        <w:t>, t</w:t>
      </w:r>
      <w:r w:rsidR="002E204D" w:rsidRPr="001B2175">
        <w:t>he additional financing will support the original project design in the areas of: (</w:t>
      </w:r>
      <w:proofErr w:type="spellStart"/>
      <w:r w:rsidR="002E204D" w:rsidRPr="001B2175">
        <w:t>i</w:t>
      </w:r>
      <w:proofErr w:type="spellEnd"/>
      <w:r w:rsidR="002E204D" w:rsidRPr="001B2175">
        <w:t xml:space="preserve">) </w:t>
      </w:r>
      <w:r w:rsidR="002E204D" w:rsidRPr="00342C68">
        <w:t>enhancement of distribution services</w:t>
      </w:r>
      <w:r>
        <w:t xml:space="preserve"> and </w:t>
      </w:r>
      <w:r w:rsidR="002E204D">
        <w:t xml:space="preserve">(ii) </w:t>
      </w:r>
      <w:r w:rsidR="002E204D" w:rsidRPr="001B2175">
        <w:t xml:space="preserve">enhancing options </w:t>
      </w:r>
      <w:r w:rsidR="002E204D">
        <w:t>for power generation</w:t>
      </w:r>
      <w:r>
        <w:t xml:space="preserve">. </w:t>
      </w:r>
      <w:r>
        <w:lastRenderedPageBreak/>
        <w:t>T</w:t>
      </w:r>
      <w:r w:rsidR="002E204D">
        <w:t>hrough</w:t>
      </w:r>
      <w:r>
        <w:t xml:space="preserve"> the GEF grant it also</w:t>
      </w:r>
      <w:r w:rsidR="002E204D" w:rsidRPr="001B2175">
        <w:t xml:space="preserve"> provid</w:t>
      </w:r>
      <w:r>
        <w:t>es</w:t>
      </w:r>
      <w:r w:rsidR="002E204D" w:rsidRPr="001B2175">
        <w:t xml:space="preserve"> modern renewable energy </w:t>
      </w:r>
      <w:r>
        <w:t xml:space="preserve">to remote </w:t>
      </w:r>
      <w:r w:rsidR="002E204D" w:rsidRPr="001B2175">
        <w:t xml:space="preserve">areas through </w:t>
      </w:r>
      <w:r>
        <w:t>a</w:t>
      </w:r>
      <w:r w:rsidR="002E204D" w:rsidRPr="001B2175">
        <w:t xml:space="preserve"> lantern exchange program</w:t>
      </w:r>
      <w:r w:rsidR="002E204D">
        <w:t xml:space="preserve">. </w:t>
      </w:r>
      <w:r w:rsidR="009D3593">
        <w:t xml:space="preserve"> </w:t>
      </w:r>
      <w:r w:rsidR="002E204D">
        <w:t>These</w:t>
      </w:r>
      <w:r w:rsidR="002E204D" w:rsidRPr="001B2175">
        <w:t xml:space="preserve"> components can</w:t>
      </w:r>
      <w:r w:rsidR="002E204D">
        <w:t xml:space="preserve"> be readily scaled-up to increase </w:t>
      </w:r>
      <w:r w:rsidR="002E204D" w:rsidRPr="001B2175">
        <w:t>the project’s impact and development effectiveness.</w:t>
      </w:r>
      <w:r w:rsidR="006F0A42">
        <w:t xml:space="preserve"> </w:t>
      </w:r>
      <w:r w:rsidR="009D3593">
        <w:t xml:space="preserve"> </w:t>
      </w:r>
      <w:r w:rsidR="001874D9">
        <w:t>P</w:t>
      </w:r>
      <w:r w:rsidR="004F13AF" w:rsidRPr="00522362">
        <w:t>rovi</w:t>
      </w:r>
      <w:r w:rsidR="004F13AF">
        <w:t xml:space="preserve">ding </w:t>
      </w:r>
      <w:r>
        <w:t xml:space="preserve">modern </w:t>
      </w:r>
      <w:r w:rsidR="004F13AF" w:rsidRPr="00522362">
        <w:t xml:space="preserve">energy </w:t>
      </w:r>
      <w:r>
        <w:t>services to</w:t>
      </w:r>
      <w:r w:rsidR="001874D9">
        <w:t xml:space="preserve"> rural areas will also mitigate the current </w:t>
      </w:r>
      <w:r w:rsidR="004F13AF" w:rsidRPr="00522362">
        <w:t xml:space="preserve">pressure on </w:t>
      </w:r>
      <w:r w:rsidR="001874D9">
        <w:t xml:space="preserve">the </w:t>
      </w:r>
      <w:r w:rsidR="004F13AF" w:rsidRPr="00522362">
        <w:t>fragile infrastructure in Monrovia which is</w:t>
      </w:r>
      <w:r>
        <w:t xml:space="preserve"> already home to one third of Liberia’s population</w:t>
      </w:r>
      <w:r w:rsidR="004F13AF" w:rsidRPr="00522362">
        <w:t>.</w:t>
      </w:r>
    </w:p>
    <w:p w:rsidR="006F0A42" w:rsidRDefault="006F0A42" w:rsidP="003F52A8">
      <w:pPr>
        <w:rPr>
          <w:color w:val="000000"/>
          <w:sz w:val="20"/>
        </w:rPr>
      </w:pPr>
    </w:p>
    <w:p w:rsidR="003F52A8" w:rsidRDefault="003F52A8" w:rsidP="003D2522">
      <w:pPr>
        <w:pStyle w:val="Heading1"/>
      </w:pPr>
      <w:bookmarkStart w:id="5" w:name="_Toc308712765"/>
      <w:r>
        <w:t>III</w:t>
      </w:r>
      <w:proofErr w:type="gramStart"/>
      <w:r>
        <w:t xml:space="preserve">. </w:t>
      </w:r>
      <w:r w:rsidR="009D3593">
        <w:t xml:space="preserve"> </w:t>
      </w:r>
      <w:r>
        <w:t>Proposed</w:t>
      </w:r>
      <w:proofErr w:type="gramEnd"/>
      <w:r>
        <w:t xml:space="preserve"> Changes</w:t>
      </w:r>
      <w:bookmarkEnd w:id="5"/>
      <w:r>
        <w:t xml:space="preserve"> </w:t>
      </w:r>
    </w:p>
    <w:p w:rsidR="005B6F3F" w:rsidRPr="005B6F3F" w:rsidRDefault="005B6F3F" w:rsidP="00F5069D">
      <w:pPr>
        <w:pStyle w:val="Header"/>
        <w:tabs>
          <w:tab w:val="clear" w:pos="4320"/>
          <w:tab w:val="center" w:pos="540"/>
        </w:tabs>
      </w:pPr>
    </w:p>
    <w:p w:rsidR="00A543F7" w:rsidRDefault="00ED3EE1" w:rsidP="00D940CF">
      <w:pPr>
        <w:pStyle w:val="ListParagraph"/>
        <w:numPr>
          <w:ilvl w:val="0"/>
          <w:numId w:val="7"/>
        </w:numPr>
        <w:ind w:left="0" w:firstLine="0"/>
      </w:pPr>
      <w:r>
        <w:t>The proposed A</w:t>
      </w:r>
      <w:r w:rsidR="00BE2758">
        <w:t xml:space="preserve">dditional </w:t>
      </w:r>
      <w:r>
        <w:t>F</w:t>
      </w:r>
      <w:r w:rsidR="00BE2758">
        <w:t xml:space="preserve">inancing </w:t>
      </w:r>
      <w:r>
        <w:t xml:space="preserve">retains the same Project Development Objectives (PDO). </w:t>
      </w:r>
      <w:r w:rsidR="009D3593">
        <w:t xml:space="preserve"> </w:t>
      </w:r>
      <w:r w:rsidR="00EC408D">
        <w:t>The Project Outcome Indicator will rem</w:t>
      </w:r>
      <w:r w:rsidR="004242B7">
        <w:t>ain</w:t>
      </w:r>
      <w:r w:rsidR="00EC408D">
        <w:t xml:space="preserve"> the same</w:t>
      </w:r>
      <w:r w:rsidR="00DE03BF">
        <w:t xml:space="preserve"> as well</w:t>
      </w:r>
      <w:r w:rsidR="00EC408D">
        <w:t xml:space="preserve">. </w:t>
      </w:r>
      <w:r w:rsidR="00881D40">
        <w:t xml:space="preserve"> </w:t>
      </w:r>
      <w:r w:rsidR="008B60DC">
        <w:t xml:space="preserve">However, </w:t>
      </w:r>
      <w:r w:rsidR="008B60DC" w:rsidRPr="00BE2758">
        <w:t>intermediate results</w:t>
      </w:r>
      <w:r w:rsidR="008B60DC">
        <w:t xml:space="preserve"> </w:t>
      </w:r>
      <w:r w:rsidR="00762306" w:rsidRPr="00762306">
        <w:t xml:space="preserve">will be </w:t>
      </w:r>
      <w:r w:rsidR="00E07943" w:rsidRPr="00762306">
        <w:t>scaled up</w:t>
      </w:r>
      <w:r w:rsidR="004242B7">
        <w:t xml:space="preserve"> with a few additional indicators added</w:t>
      </w:r>
      <w:r w:rsidR="00B93A71">
        <w:t xml:space="preserve"> as indicated in Table 2</w:t>
      </w:r>
      <w:r w:rsidR="00C86584" w:rsidRPr="00762306">
        <w:t>.</w:t>
      </w:r>
      <w:r>
        <w:t xml:space="preserve">  </w:t>
      </w:r>
      <w:r w:rsidR="00EC408D">
        <w:t>In particular, the following intermediate results will be scaled up with the propose</w:t>
      </w:r>
      <w:r w:rsidR="00B93A71">
        <w:t>d</w:t>
      </w:r>
      <w:r w:rsidR="00EC408D">
        <w:t xml:space="preserve"> expansion: </w:t>
      </w:r>
    </w:p>
    <w:p w:rsidR="009E37F6" w:rsidRDefault="009E37F6" w:rsidP="009E37F6">
      <w:pPr>
        <w:pStyle w:val="Header"/>
        <w:tabs>
          <w:tab w:val="clear" w:pos="4320"/>
          <w:tab w:val="center" w:pos="540"/>
        </w:tabs>
      </w:pPr>
    </w:p>
    <w:p w:rsidR="00EC408D" w:rsidRDefault="00EC408D" w:rsidP="00D940CF">
      <w:pPr>
        <w:pStyle w:val="Header"/>
        <w:numPr>
          <w:ilvl w:val="0"/>
          <w:numId w:val="2"/>
        </w:numPr>
        <w:tabs>
          <w:tab w:val="clear" w:pos="2160"/>
          <w:tab w:val="clear" w:pos="4320"/>
          <w:tab w:val="center" w:pos="540"/>
          <w:tab w:val="left" w:pos="900"/>
        </w:tabs>
        <w:ind w:left="900"/>
      </w:pPr>
      <w:r w:rsidRPr="00F5069D">
        <w:rPr>
          <w:i/>
          <w:u w:val="single"/>
        </w:rPr>
        <w:t>Intermediate result (b)</w:t>
      </w:r>
      <w:r w:rsidR="00027FEF" w:rsidRPr="00F5069D">
        <w:rPr>
          <w:i/>
          <w:u w:val="single"/>
        </w:rPr>
        <w:t>:</w:t>
      </w:r>
      <w:r w:rsidR="00027FEF" w:rsidRPr="00BE2758">
        <w:rPr>
          <w:i/>
          <w:u w:val="single"/>
        </w:rPr>
        <w:t xml:space="preserve"> </w:t>
      </w:r>
      <w:r w:rsidRPr="00BE2758">
        <w:rPr>
          <w:i/>
          <w:u w:val="single"/>
        </w:rPr>
        <w:t>Construction of dis</w:t>
      </w:r>
      <w:r w:rsidR="00027FEF" w:rsidRPr="00BE2758">
        <w:rPr>
          <w:i/>
          <w:u w:val="single"/>
        </w:rPr>
        <w:t>tribution network</w:t>
      </w:r>
      <w:r w:rsidR="00027FEF" w:rsidRPr="009E37F6">
        <w:rPr>
          <w:i/>
        </w:rPr>
        <w:t>:</w:t>
      </w:r>
    </w:p>
    <w:p w:rsidR="00027FEF" w:rsidRDefault="00B93A71" w:rsidP="009D3593">
      <w:pPr>
        <w:pStyle w:val="Header"/>
        <w:numPr>
          <w:ilvl w:val="1"/>
          <w:numId w:val="2"/>
        </w:numPr>
        <w:tabs>
          <w:tab w:val="clear" w:pos="2880"/>
          <w:tab w:val="clear" w:pos="4320"/>
          <w:tab w:val="center" w:pos="540"/>
          <w:tab w:val="left" w:pos="900"/>
          <w:tab w:val="num" w:pos="2160"/>
        </w:tabs>
        <w:ind w:left="2160" w:hanging="720"/>
      </w:pPr>
      <w:r>
        <w:t xml:space="preserve">Original: </w:t>
      </w:r>
      <w:r w:rsidR="00027FEF">
        <w:t xml:space="preserve">Number of transformers and auxiliary services </w:t>
      </w:r>
    </w:p>
    <w:p w:rsidR="00027FEF" w:rsidRDefault="00DE03BF" w:rsidP="009D3593">
      <w:pPr>
        <w:pStyle w:val="Header"/>
        <w:numPr>
          <w:ilvl w:val="1"/>
          <w:numId w:val="2"/>
        </w:numPr>
        <w:tabs>
          <w:tab w:val="clear" w:pos="2880"/>
          <w:tab w:val="clear" w:pos="4320"/>
          <w:tab w:val="center" w:pos="540"/>
          <w:tab w:val="left" w:pos="900"/>
          <w:tab w:val="num" w:pos="2160"/>
        </w:tabs>
        <w:ind w:left="2160" w:hanging="720"/>
      </w:pPr>
      <w:r>
        <w:t xml:space="preserve">Additional: </w:t>
      </w:r>
      <w:r w:rsidR="00A55570">
        <w:t>S</w:t>
      </w:r>
      <w:r w:rsidR="00A55570" w:rsidRPr="00A55570">
        <w:t xml:space="preserve">ystem control and communications system </w:t>
      </w:r>
      <w:r w:rsidR="00A55570">
        <w:t>procured and installed</w:t>
      </w:r>
    </w:p>
    <w:p w:rsidR="00B93A71" w:rsidRDefault="00B93A71" w:rsidP="00B93A71">
      <w:pPr>
        <w:pStyle w:val="Header"/>
        <w:tabs>
          <w:tab w:val="clear" w:pos="4320"/>
          <w:tab w:val="center" w:pos="540"/>
          <w:tab w:val="left" w:pos="900"/>
        </w:tabs>
        <w:ind w:left="2880"/>
      </w:pPr>
    </w:p>
    <w:p w:rsidR="00EC408D" w:rsidRPr="00F5069D" w:rsidRDefault="00EC408D" w:rsidP="00D940CF">
      <w:pPr>
        <w:pStyle w:val="Header"/>
        <w:numPr>
          <w:ilvl w:val="0"/>
          <w:numId w:val="2"/>
        </w:numPr>
        <w:tabs>
          <w:tab w:val="clear" w:pos="2160"/>
          <w:tab w:val="clear" w:pos="4320"/>
          <w:tab w:val="center" w:pos="540"/>
          <w:tab w:val="left" w:pos="900"/>
        </w:tabs>
        <w:ind w:left="900"/>
        <w:rPr>
          <w:i/>
          <w:u w:val="single"/>
        </w:rPr>
      </w:pPr>
      <w:r w:rsidRPr="00F5069D">
        <w:rPr>
          <w:i/>
          <w:u w:val="single"/>
        </w:rPr>
        <w:t>Intermediate result (d</w:t>
      </w:r>
      <w:r w:rsidR="00027FEF" w:rsidRPr="00F5069D">
        <w:rPr>
          <w:i/>
          <w:u w:val="single"/>
        </w:rPr>
        <w:t xml:space="preserve">): Enhancing options for power generation: </w:t>
      </w:r>
    </w:p>
    <w:p w:rsidR="00B93A71" w:rsidRDefault="00B93A71" w:rsidP="009D3593">
      <w:pPr>
        <w:pStyle w:val="Header"/>
        <w:numPr>
          <w:ilvl w:val="1"/>
          <w:numId w:val="2"/>
        </w:numPr>
        <w:tabs>
          <w:tab w:val="clear" w:pos="2880"/>
          <w:tab w:val="clear" w:pos="4320"/>
          <w:tab w:val="clear" w:pos="8640"/>
          <w:tab w:val="center" w:pos="540"/>
          <w:tab w:val="left" w:pos="900"/>
        </w:tabs>
        <w:ind w:left="2160" w:hanging="720"/>
      </w:pPr>
      <w:r>
        <w:t>Original: First phase of main generating units overhaul completed</w:t>
      </w:r>
    </w:p>
    <w:p w:rsidR="00027FEF" w:rsidRPr="00F5069D" w:rsidRDefault="00B93A71" w:rsidP="009D3593">
      <w:pPr>
        <w:pStyle w:val="Header"/>
        <w:numPr>
          <w:ilvl w:val="1"/>
          <w:numId w:val="2"/>
        </w:numPr>
        <w:tabs>
          <w:tab w:val="clear" w:pos="2880"/>
          <w:tab w:val="clear" w:pos="4320"/>
          <w:tab w:val="clear" w:pos="8640"/>
          <w:tab w:val="center" w:pos="540"/>
          <w:tab w:val="left" w:pos="900"/>
        </w:tabs>
        <w:ind w:left="2160" w:hanging="720"/>
      </w:pPr>
      <w:r w:rsidRPr="00F5069D">
        <w:t xml:space="preserve">Original: </w:t>
      </w:r>
      <w:r w:rsidR="00027FEF" w:rsidRPr="00F5069D">
        <w:t>HFO pipeline and storage facility operational</w:t>
      </w:r>
    </w:p>
    <w:p w:rsidR="00027FEF" w:rsidRDefault="00B93A71" w:rsidP="009D3593">
      <w:pPr>
        <w:pStyle w:val="Header"/>
        <w:numPr>
          <w:ilvl w:val="1"/>
          <w:numId w:val="2"/>
        </w:numPr>
        <w:tabs>
          <w:tab w:val="clear" w:pos="2880"/>
          <w:tab w:val="clear" w:pos="4320"/>
          <w:tab w:val="clear" w:pos="8640"/>
          <w:tab w:val="center" w:pos="540"/>
          <w:tab w:val="left" w:pos="900"/>
        </w:tabs>
        <w:ind w:left="2160" w:hanging="720"/>
      </w:pPr>
      <w:r w:rsidRPr="00F5069D">
        <w:t xml:space="preserve">Additional: </w:t>
      </w:r>
      <w:r w:rsidR="006A33B3">
        <w:t xml:space="preserve">approximately </w:t>
      </w:r>
      <w:r w:rsidRPr="00F5069D">
        <w:t xml:space="preserve">10 MW of thermal power generation plant </w:t>
      </w:r>
      <w:r w:rsidR="00027FEF" w:rsidRPr="00F5069D">
        <w:t xml:space="preserve">procured </w:t>
      </w:r>
      <w:r w:rsidR="00A55570">
        <w:t xml:space="preserve">and commissioned </w:t>
      </w:r>
    </w:p>
    <w:p w:rsidR="00F5069D" w:rsidRPr="00F5069D" w:rsidRDefault="00F5069D" w:rsidP="00F5069D">
      <w:pPr>
        <w:pStyle w:val="Header"/>
        <w:tabs>
          <w:tab w:val="clear" w:pos="4320"/>
          <w:tab w:val="center" w:pos="540"/>
          <w:tab w:val="left" w:pos="900"/>
        </w:tabs>
        <w:ind w:left="2880"/>
      </w:pPr>
    </w:p>
    <w:p w:rsidR="00DE03BF" w:rsidRPr="00F5069D" w:rsidRDefault="00F5069D" w:rsidP="00D940CF">
      <w:pPr>
        <w:pStyle w:val="Header"/>
        <w:numPr>
          <w:ilvl w:val="0"/>
          <w:numId w:val="2"/>
        </w:numPr>
        <w:tabs>
          <w:tab w:val="clear" w:pos="2160"/>
          <w:tab w:val="clear" w:pos="4320"/>
          <w:tab w:val="center" w:pos="540"/>
          <w:tab w:val="left" w:pos="900"/>
        </w:tabs>
        <w:ind w:left="900"/>
        <w:rPr>
          <w:i/>
          <w:u w:val="single"/>
        </w:rPr>
      </w:pPr>
      <w:r w:rsidRPr="00F5069D">
        <w:rPr>
          <w:i/>
          <w:u w:val="single"/>
        </w:rPr>
        <w:t>Intermediate result (e):</w:t>
      </w:r>
      <w:r w:rsidRPr="00F5069D">
        <w:rPr>
          <w:u w:val="single"/>
        </w:rPr>
        <w:t xml:space="preserve"> </w:t>
      </w:r>
      <w:r w:rsidRPr="00F5069D">
        <w:rPr>
          <w:i/>
          <w:u w:val="single"/>
        </w:rPr>
        <w:t>Providing Modern Renewable Energy Services to off-grid components:</w:t>
      </w:r>
    </w:p>
    <w:p w:rsidR="00F5069D" w:rsidRPr="00F5069D" w:rsidRDefault="00F5069D" w:rsidP="00093992">
      <w:pPr>
        <w:pStyle w:val="Header"/>
        <w:numPr>
          <w:ilvl w:val="1"/>
          <w:numId w:val="2"/>
        </w:numPr>
        <w:tabs>
          <w:tab w:val="clear" w:pos="2880"/>
          <w:tab w:val="clear" w:pos="4320"/>
          <w:tab w:val="clear" w:pos="8640"/>
          <w:tab w:val="center" w:pos="540"/>
          <w:tab w:val="left" w:pos="900"/>
        </w:tabs>
        <w:ind w:left="2160" w:hanging="720"/>
      </w:pPr>
      <w:r w:rsidRPr="00F5069D">
        <w:t>Original: Micro-hydro power pilot built</w:t>
      </w:r>
    </w:p>
    <w:p w:rsidR="00F5069D" w:rsidRPr="00F5069D" w:rsidRDefault="00F5069D" w:rsidP="00093992">
      <w:pPr>
        <w:pStyle w:val="Header"/>
        <w:numPr>
          <w:ilvl w:val="1"/>
          <w:numId w:val="2"/>
        </w:numPr>
        <w:tabs>
          <w:tab w:val="clear" w:pos="2880"/>
          <w:tab w:val="clear" w:pos="4320"/>
          <w:tab w:val="clear" w:pos="8640"/>
          <w:tab w:val="center" w:pos="540"/>
          <w:tab w:val="left" w:pos="900"/>
        </w:tabs>
        <w:ind w:left="2160" w:hanging="720"/>
      </w:pPr>
      <w:r w:rsidRPr="00F5069D">
        <w:t>Original: SSM</w:t>
      </w:r>
      <w:r w:rsidR="00134DD8">
        <w:t>F</w:t>
      </w:r>
      <w:r w:rsidRPr="00F5069D">
        <w:t xml:space="preserve"> delivered </w:t>
      </w:r>
    </w:p>
    <w:p w:rsidR="00F5069D" w:rsidRPr="00F5069D" w:rsidRDefault="00A55570" w:rsidP="00093992">
      <w:pPr>
        <w:pStyle w:val="Header"/>
        <w:numPr>
          <w:ilvl w:val="1"/>
          <w:numId w:val="2"/>
        </w:numPr>
        <w:tabs>
          <w:tab w:val="clear" w:pos="2880"/>
          <w:tab w:val="clear" w:pos="4320"/>
          <w:tab w:val="clear" w:pos="8640"/>
          <w:tab w:val="center" w:pos="540"/>
          <w:tab w:val="left" w:pos="900"/>
        </w:tabs>
        <w:ind w:left="2160" w:hanging="720"/>
      </w:pPr>
      <w:r>
        <w:t xml:space="preserve">Additional: </w:t>
      </w:r>
      <w:r w:rsidR="00F5069D" w:rsidRPr="00F5069D">
        <w:t xml:space="preserve">100,000 Lighting Africa approved solar lanterns in use.  </w:t>
      </w:r>
    </w:p>
    <w:p w:rsidR="00EC408D" w:rsidRDefault="00EC408D" w:rsidP="00EC408D">
      <w:pPr>
        <w:pStyle w:val="Header"/>
        <w:tabs>
          <w:tab w:val="clear" w:pos="4320"/>
          <w:tab w:val="center" w:pos="540"/>
        </w:tabs>
      </w:pPr>
    </w:p>
    <w:p w:rsidR="00A543F7" w:rsidRDefault="00ED3EE1" w:rsidP="00D940CF">
      <w:pPr>
        <w:pStyle w:val="ListParagraph"/>
        <w:numPr>
          <w:ilvl w:val="0"/>
          <w:numId w:val="7"/>
        </w:numPr>
        <w:ind w:left="0" w:firstLine="0"/>
      </w:pPr>
      <w:r>
        <w:t xml:space="preserve">There is no change in the </w:t>
      </w:r>
      <w:r w:rsidR="007622D6">
        <w:t xml:space="preserve">overall </w:t>
      </w:r>
      <w:r>
        <w:t xml:space="preserve">design of the project. </w:t>
      </w:r>
      <w:r w:rsidR="00093992">
        <w:t xml:space="preserve"> </w:t>
      </w:r>
      <w:r>
        <w:t>The institutional, financial, disbursement</w:t>
      </w:r>
      <w:r w:rsidR="008A797A">
        <w:t xml:space="preserve">, procurement </w:t>
      </w:r>
      <w:r>
        <w:t xml:space="preserve">and implementation arrangements are the same as for the original project.  </w:t>
      </w:r>
      <w:r w:rsidRPr="00BE2758">
        <w:t xml:space="preserve">There is also no change in </w:t>
      </w:r>
      <w:r w:rsidR="004242B7">
        <w:t xml:space="preserve">the </w:t>
      </w:r>
      <w:r w:rsidR="007622D6">
        <w:t>safeguards</w:t>
      </w:r>
      <w:r w:rsidR="007622D6" w:rsidRPr="00BE2758">
        <w:t xml:space="preserve"> </w:t>
      </w:r>
      <w:r w:rsidR="00E07943" w:rsidRPr="00BE2758">
        <w:t xml:space="preserve">category and the additional financing </w:t>
      </w:r>
      <w:r w:rsidRPr="00BE2758">
        <w:t>does not trigger a</w:t>
      </w:r>
      <w:r>
        <w:t xml:space="preserve">ny new safeguard policies.  </w:t>
      </w:r>
    </w:p>
    <w:p w:rsidR="00EC408D" w:rsidRDefault="00EC408D" w:rsidP="00EC408D">
      <w:pPr>
        <w:pStyle w:val="Header"/>
        <w:tabs>
          <w:tab w:val="clear" w:pos="4320"/>
          <w:tab w:val="center" w:pos="540"/>
        </w:tabs>
      </w:pPr>
    </w:p>
    <w:p w:rsidR="00A543F7" w:rsidRDefault="001A3BA8" w:rsidP="00D940CF">
      <w:pPr>
        <w:pStyle w:val="ListParagraph"/>
        <w:numPr>
          <w:ilvl w:val="0"/>
          <w:numId w:val="7"/>
        </w:numPr>
        <w:ind w:left="0" w:firstLine="0"/>
      </w:pPr>
      <w:r>
        <w:t xml:space="preserve">The additional financing will scale up the PDO and will require additional time for the implementation compared with the original closing date of </w:t>
      </w:r>
      <w:r w:rsidR="006E2A6B" w:rsidRPr="00F5069D">
        <w:t>June 16, 2014</w:t>
      </w:r>
      <w:r w:rsidRPr="00F5069D">
        <w:t xml:space="preserve">. </w:t>
      </w:r>
      <w:r w:rsidR="00093992">
        <w:t xml:space="preserve"> </w:t>
      </w:r>
      <w:r w:rsidRPr="00F5069D">
        <w:t xml:space="preserve">The design, procurement, construction and commissioning of the proposed </w:t>
      </w:r>
      <w:r w:rsidR="00B93A71" w:rsidRPr="00F5069D">
        <w:t xml:space="preserve">thermal power plant </w:t>
      </w:r>
      <w:r w:rsidR="007622D6">
        <w:t>has been estimated to</w:t>
      </w:r>
      <w:r w:rsidRPr="00F5069D">
        <w:t xml:space="preserve"> be implemented in a timeframe of 18 months. </w:t>
      </w:r>
      <w:r w:rsidR="00093992">
        <w:t xml:space="preserve"> </w:t>
      </w:r>
      <w:r w:rsidR="007622D6">
        <w:t xml:space="preserve">Therefore an extension of the closing date of the original credit by six months is </w:t>
      </w:r>
      <w:r w:rsidR="00027FEF" w:rsidRPr="00F5069D">
        <w:t>requir</w:t>
      </w:r>
      <w:r w:rsidR="007622D6">
        <w:t>ed.</w:t>
      </w:r>
      <w:r w:rsidR="00027FEF" w:rsidRPr="00F5069D">
        <w:t xml:space="preserve"> </w:t>
      </w:r>
      <w:r w:rsidR="0008000D">
        <w:t>As</w:t>
      </w:r>
      <w:r w:rsidR="007622D6">
        <w:t xml:space="preserve"> confirm</w:t>
      </w:r>
      <w:r w:rsidR="0008000D">
        <w:t>ed during</w:t>
      </w:r>
      <w:r w:rsidR="007622D6">
        <w:t xml:space="preserve"> appraisal, </w:t>
      </w:r>
      <w:proofErr w:type="spellStart"/>
      <w:r w:rsidR="007622D6">
        <w:t>t</w:t>
      </w:r>
      <w:r w:rsidRPr="00F5069D">
        <w:t>he</w:t>
      </w:r>
      <w:r w:rsidR="007622D6">
        <w:t>new</w:t>
      </w:r>
      <w:proofErr w:type="spellEnd"/>
      <w:r w:rsidR="007622D6">
        <w:t xml:space="preserve"> </w:t>
      </w:r>
      <w:r w:rsidR="00F5069D">
        <w:t>closing date is</w:t>
      </w:r>
      <w:r w:rsidRPr="00F5069D">
        <w:t xml:space="preserve"> </w:t>
      </w:r>
      <w:r w:rsidR="008A797A" w:rsidRPr="00F5069D">
        <w:t xml:space="preserve">December </w:t>
      </w:r>
      <w:r w:rsidR="0008000D">
        <w:t>3</w:t>
      </w:r>
      <w:r w:rsidR="008A797A" w:rsidRPr="00F5069D">
        <w:t>1, 2014</w:t>
      </w:r>
      <w:r w:rsidRPr="00F5069D">
        <w:t xml:space="preserve">. </w:t>
      </w:r>
    </w:p>
    <w:p w:rsidR="008B60DC" w:rsidRDefault="008B60DC" w:rsidP="008B60DC">
      <w:pPr>
        <w:pStyle w:val="ListParagraph"/>
      </w:pPr>
    </w:p>
    <w:p w:rsidR="003F52A8" w:rsidRPr="00604321" w:rsidRDefault="00221C98" w:rsidP="00027FEF">
      <w:pPr>
        <w:autoSpaceDE w:val="0"/>
        <w:autoSpaceDN w:val="0"/>
        <w:adjustRightInd w:val="0"/>
        <w:spacing w:after="240"/>
        <w:jc w:val="center"/>
        <w:rPr>
          <w:b/>
          <w:bCs/>
        </w:rPr>
      </w:pPr>
      <w:r w:rsidRPr="00221C98">
        <w:rPr>
          <w:b/>
          <w:bCs/>
        </w:rPr>
        <w:t xml:space="preserve">Table 2: </w:t>
      </w:r>
      <w:r w:rsidR="00093992">
        <w:rPr>
          <w:b/>
          <w:bCs/>
        </w:rPr>
        <w:t xml:space="preserve"> </w:t>
      </w:r>
      <w:r w:rsidRPr="00221C98">
        <w:rPr>
          <w:b/>
          <w:bCs/>
        </w:rPr>
        <w:t>Project outcome indicators</w:t>
      </w:r>
    </w:p>
    <w:tbl>
      <w:tblPr>
        <w:tblW w:w="0" w:type="auto"/>
        <w:jc w:val="center"/>
        <w:tblLayout w:type="fixed"/>
        <w:tblLook w:val="00BF"/>
      </w:tblPr>
      <w:tblGrid>
        <w:gridCol w:w="2898"/>
        <w:gridCol w:w="2340"/>
        <w:gridCol w:w="1971"/>
        <w:gridCol w:w="2169"/>
      </w:tblGrid>
      <w:tr w:rsidR="003F52A8"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3F52A8" w:rsidRPr="00B93A71" w:rsidRDefault="003F52A8" w:rsidP="003F52A8">
            <w:pPr>
              <w:autoSpaceDE w:val="0"/>
              <w:autoSpaceDN w:val="0"/>
              <w:adjustRightInd w:val="0"/>
              <w:rPr>
                <w:b/>
                <w:bCs/>
                <w:i/>
                <w:sz w:val="20"/>
                <w:szCs w:val="20"/>
              </w:rPr>
            </w:pPr>
            <w:r w:rsidRPr="00B93A71">
              <w:rPr>
                <w:b/>
                <w:bCs/>
                <w:i/>
                <w:sz w:val="20"/>
                <w:szCs w:val="20"/>
              </w:rPr>
              <w:t>Indicator</w:t>
            </w:r>
          </w:p>
        </w:tc>
        <w:tc>
          <w:tcPr>
            <w:tcW w:w="2340" w:type="dxa"/>
            <w:tcBorders>
              <w:top w:val="single" w:sz="6" w:space="0" w:color="000000"/>
              <w:left w:val="single" w:sz="6" w:space="0" w:color="000000"/>
              <w:bottom w:val="single" w:sz="6" w:space="0" w:color="000000"/>
              <w:right w:val="single" w:sz="6" w:space="0" w:color="000000"/>
            </w:tcBorders>
          </w:tcPr>
          <w:p w:rsidR="003F52A8" w:rsidRPr="00B93A71" w:rsidRDefault="003F52A8" w:rsidP="003F52A8">
            <w:pPr>
              <w:autoSpaceDE w:val="0"/>
              <w:autoSpaceDN w:val="0"/>
              <w:adjustRightInd w:val="0"/>
              <w:rPr>
                <w:b/>
                <w:bCs/>
                <w:i/>
                <w:sz w:val="20"/>
                <w:szCs w:val="20"/>
              </w:rPr>
            </w:pPr>
            <w:r w:rsidRPr="00B93A71">
              <w:rPr>
                <w:b/>
                <w:bCs/>
                <w:i/>
                <w:sz w:val="20"/>
                <w:szCs w:val="20"/>
              </w:rPr>
              <w:t>Original target</w:t>
            </w:r>
          </w:p>
        </w:tc>
        <w:tc>
          <w:tcPr>
            <w:tcW w:w="1971" w:type="dxa"/>
            <w:tcBorders>
              <w:top w:val="single" w:sz="6" w:space="0" w:color="000000"/>
              <w:left w:val="single" w:sz="6" w:space="0" w:color="000000"/>
              <w:bottom w:val="single" w:sz="6" w:space="0" w:color="000000"/>
              <w:right w:val="single" w:sz="6" w:space="0" w:color="000000"/>
            </w:tcBorders>
          </w:tcPr>
          <w:p w:rsidR="003F52A8" w:rsidRPr="00B93A71" w:rsidRDefault="003F52A8" w:rsidP="003F52A8">
            <w:pPr>
              <w:autoSpaceDE w:val="0"/>
              <w:autoSpaceDN w:val="0"/>
              <w:adjustRightInd w:val="0"/>
              <w:rPr>
                <w:b/>
                <w:bCs/>
                <w:i/>
                <w:sz w:val="20"/>
                <w:szCs w:val="20"/>
              </w:rPr>
            </w:pPr>
            <w:r w:rsidRPr="00B93A71">
              <w:rPr>
                <w:b/>
                <w:bCs/>
                <w:i/>
                <w:sz w:val="20"/>
                <w:szCs w:val="20"/>
              </w:rPr>
              <w:t>Changes with AF</w:t>
            </w:r>
          </w:p>
        </w:tc>
        <w:tc>
          <w:tcPr>
            <w:tcW w:w="2169" w:type="dxa"/>
            <w:tcBorders>
              <w:top w:val="single" w:sz="6" w:space="0" w:color="000000"/>
              <w:left w:val="single" w:sz="6" w:space="0" w:color="000000"/>
              <w:bottom w:val="single" w:sz="6" w:space="0" w:color="000000"/>
              <w:right w:val="single" w:sz="6" w:space="0" w:color="000000"/>
            </w:tcBorders>
          </w:tcPr>
          <w:p w:rsidR="003F52A8" w:rsidRPr="00B93A71" w:rsidRDefault="003F52A8" w:rsidP="003F52A8">
            <w:pPr>
              <w:autoSpaceDE w:val="0"/>
              <w:autoSpaceDN w:val="0"/>
              <w:adjustRightInd w:val="0"/>
              <w:rPr>
                <w:b/>
                <w:bCs/>
                <w:i/>
                <w:sz w:val="20"/>
                <w:szCs w:val="20"/>
              </w:rPr>
            </w:pPr>
            <w:r w:rsidRPr="00B93A71">
              <w:rPr>
                <w:b/>
                <w:bCs/>
                <w:i/>
                <w:sz w:val="20"/>
                <w:szCs w:val="20"/>
              </w:rPr>
              <w:t>Revised target</w:t>
            </w:r>
          </w:p>
        </w:tc>
      </w:tr>
      <w:tr w:rsidR="003F52A8"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3F52A8" w:rsidRPr="00B93A71" w:rsidRDefault="00F75445" w:rsidP="003F52A8">
            <w:pPr>
              <w:autoSpaceDE w:val="0"/>
              <w:autoSpaceDN w:val="0"/>
              <w:adjustRightInd w:val="0"/>
              <w:rPr>
                <w:sz w:val="20"/>
                <w:szCs w:val="20"/>
              </w:rPr>
            </w:pPr>
            <w:r w:rsidRPr="00B93A71">
              <w:rPr>
                <w:sz w:val="20"/>
                <w:szCs w:val="20"/>
              </w:rPr>
              <w:t>No. of connections to electricity grid</w:t>
            </w:r>
          </w:p>
        </w:tc>
        <w:tc>
          <w:tcPr>
            <w:tcW w:w="2340" w:type="dxa"/>
            <w:tcBorders>
              <w:top w:val="single" w:sz="6" w:space="0" w:color="000000"/>
              <w:left w:val="single" w:sz="6" w:space="0" w:color="000000"/>
              <w:bottom w:val="single" w:sz="6" w:space="0" w:color="000000"/>
              <w:right w:val="single" w:sz="6" w:space="0" w:color="000000"/>
            </w:tcBorders>
          </w:tcPr>
          <w:p w:rsidR="003F52A8" w:rsidRPr="00B93A71" w:rsidRDefault="00F75445" w:rsidP="003F52A8">
            <w:pPr>
              <w:autoSpaceDE w:val="0"/>
              <w:autoSpaceDN w:val="0"/>
              <w:adjustRightInd w:val="0"/>
              <w:rPr>
                <w:sz w:val="20"/>
                <w:szCs w:val="20"/>
              </w:rPr>
            </w:pPr>
            <w:r w:rsidRPr="00B93A71">
              <w:rPr>
                <w:sz w:val="20"/>
                <w:szCs w:val="20"/>
              </w:rPr>
              <w:t>4,066</w:t>
            </w:r>
          </w:p>
        </w:tc>
        <w:tc>
          <w:tcPr>
            <w:tcW w:w="1971" w:type="dxa"/>
            <w:tcBorders>
              <w:top w:val="single" w:sz="6" w:space="0" w:color="000000"/>
              <w:left w:val="single" w:sz="6" w:space="0" w:color="000000"/>
              <w:bottom w:val="single" w:sz="6" w:space="0" w:color="000000"/>
              <w:right w:val="single" w:sz="6" w:space="0" w:color="000000"/>
            </w:tcBorders>
          </w:tcPr>
          <w:p w:rsidR="003F52A8" w:rsidRPr="00B93A71" w:rsidRDefault="00F75445" w:rsidP="003F52A8">
            <w:pPr>
              <w:autoSpaceDE w:val="0"/>
              <w:autoSpaceDN w:val="0"/>
              <w:adjustRightInd w:val="0"/>
              <w:rPr>
                <w:sz w:val="20"/>
                <w:szCs w:val="20"/>
              </w:rPr>
            </w:pPr>
            <w:r w:rsidRPr="00B93A71">
              <w:rPr>
                <w:sz w:val="20"/>
                <w:szCs w:val="20"/>
              </w:rPr>
              <w:t>-</w:t>
            </w:r>
          </w:p>
        </w:tc>
        <w:tc>
          <w:tcPr>
            <w:tcW w:w="2169" w:type="dxa"/>
            <w:tcBorders>
              <w:top w:val="single" w:sz="6" w:space="0" w:color="000000"/>
              <w:left w:val="single" w:sz="6" w:space="0" w:color="000000"/>
              <w:bottom w:val="single" w:sz="6" w:space="0" w:color="000000"/>
              <w:right w:val="single" w:sz="6" w:space="0" w:color="000000"/>
            </w:tcBorders>
          </w:tcPr>
          <w:p w:rsidR="003F52A8" w:rsidRPr="00B93A71" w:rsidRDefault="00F75445" w:rsidP="003F52A8">
            <w:pPr>
              <w:autoSpaceDE w:val="0"/>
              <w:autoSpaceDN w:val="0"/>
              <w:adjustRightInd w:val="0"/>
              <w:rPr>
                <w:sz w:val="20"/>
                <w:szCs w:val="20"/>
              </w:rPr>
            </w:pPr>
            <w:r w:rsidRPr="00B93A71">
              <w:rPr>
                <w:sz w:val="20"/>
                <w:szCs w:val="20"/>
              </w:rPr>
              <w:t>4,066</w:t>
            </w:r>
          </w:p>
        </w:tc>
      </w:tr>
      <w:tr w:rsidR="003F52A8"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3F52A8" w:rsidRPr="00B93A71" w:rsidRDefault="00F75445" w:rsidP="003F52A8">
            <w:pPr>
              <w:autoSpaceDE w:val="0"/>
              <w:autoSpaceDN w:val="0"/>
              <w:adjustRightInd w:val="0"/>
              <w:rPr>
                <w:sz w:val="20"/>
                <w:szCs w:val="20"/>
              </w:rPr>
            </w:pPr>
            <w:r w:rsidRPr="00B93A71">
              <w:rPr>
                <w:sz w:val="20"/>
                <w:szCs w:val="20"/>
              </w:rPr>
              <w:lastRenderedPageBreak/>
              <w:t>No. of urban households connected to electricity</w:t>
            </w:r>
          </w:p>
        </w:tc>
        <w:tc>
          <w:tcPr>
            <w:tcW w:w="2340" w:type="dxa"/>
            <w:tcBorders>
              <w:top w:val="single" w:sz="6" w:space="0" w:color="000000"/>
              <w:left w:val="single" w:sz="6" w:space="0" w:color="000000"/>
              <w:bottom w:val="single" w:sz="6" w:space="0" w:color="000000"/>
              <w:right w:val="single" w:sz="6" w:space="0" w:color="000000"/>
            </w:tcBorders>
          </w:tcPr>
          <w:p w:rsidR="003F52A8" w:rsidRPr="00B93A71" w:rsidRDefault="00F75445" w:rsidP="003F52A8">
            <w:pPr>
              <w:autoSpaceDE w:val="0"/>
              <w:autoSpaceDN w:val="0"/>
              <w:adjustRightInd w:val="0"/>
              <w:rPr>
                <w:sz w:val="20"/>
                <w:szCs w:val="20"/>
              </w:rPr>
            </w:pPr>
            <w:r w:rsidRPr="00B93A71">
              <w:rPr>
                <w:sz w:val="20"/>
                <w:szCs w:val="20"/>
              </w:rPr>
              <w:t>1,020</w:t>
            </w:r>
          </w:p>
        </w:tc>
        <w:tc>
          <w:tcPr>
            <w:tcW w:w="1971" w:type="dxa"/>
            <w:tcBorders>
              <w:top w:val="single" w:sz="6" w:space="0" w:color="000000"/>
              <w:left w:val="single" w:sz="6" w:space="0" w:color="000000"/>
              <w:bottom w:val="single" w:sz="6" w:space="0" w:color="000000"/>
              <w:right w:val="single" w:sz="6" w:space="0" w:color="000000"/>
            </w:tcBorders>
          </w:tcPr>
          <w:p w:rsidR="003F52A8" w:rsidRPr="00B93A71" w:rsidRDefault="003F52A8" w:rsidP="003F52A8">
            <w:pPr>
              <w:autoSpaceDE w:val="0"/>
              <w:autoSpaceDN w:val="0"/>
              <w:adjustRightInd w:val="0"/>
              <w:rPr>
                <w:sz w:val="20"/>
                <w:szCs w:val="20"/>
              </w:rPr>
            </w:pPr>
            <w:r w:rsidRPr="00B93A71">
              <w:rPr>
                <w:sz w:val="20"/>
                <w:szCs w:val="20"/>
              </w:rPr>
              <w:t>-</w:t>
            </w:r>
          </w:p>
        </w:tc>
        <w:tc>
          <w:tcPr>
            <w:tcW w:w="2169" w:type="dxa"/>
            <w:tcBorders>
              <w:top w:val="single" w:sz="6" w:space="0" w:color="000000"/>
              <w:left w:val="single" w:sz="6" w:space="0" w:color="000000"/>
              <w:bottom w:val="single" w:sz="6" w:space="0" w:color="000000"/>
              <w:right w:val="single" w:sz="6" w:space="0" w:color="000000"/>
            </w:tcBorders>
          </w:tcPr>
          <w:p w:rsidR="003F52A8" w:rsidRPr="00B93A71" w:rsidRDefault="00F75445" w:rsidP="003F52A8">
            <w:pPr>
              <w:autoSpaceDE w:val="0"/>
              <w:autoSpaceDN w:val="0"/>
              <w:adjustRightInd w:val="0"/>
              <w:rPr>
                <w:sz w:val="20"/>
                <w:szCs w:val="20"/>
              </w:rPr>
            </w:pPr>
            <w:r w:rsidRPr="00B93A71">
              <w:rPr>
                <w:sz w:val="20"/>
                <w:szCs w:val="20"/>
              </w:rPr>
              <w:t>1,020</w:t>
            </w:r>
          </w:p>
        </w:tc>
      </w:tr>
      <w:tr w:rsidR="00F75445"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F75445" w:rsidRPr="00B93A71" w:rsidRDefault="00F75445" w:rsidP="00F75445">
            <w:pPr>
              <w:pStyle w:val="FootnoteText"/>
            </w:pPr>
            <w:r w:rsidRPr="00B93A71">
              <w:t xml:space="preserve">No. of transformers and auxiliary services supplied </w:t>
            </w:r>
          </w:p>
        </w:tc>
        <w:tc>
          <w:tcPr>
            <w:tcW w:w="2340" w:type="dxa"/>
            <w:tcBorders>
              <w:top w:val="single" w:sz="6" w:space="0" w:color="000000"/>
              <w:left w:val="single" w:sz="6" w:space="0" w:color="000000"/>
              <w:bottom w:val="single" w:sz="6" w:space="0" w:color="000000"/>
              <w:right w:val="single" w:sz="6" w:space="0" w:color="000000"/>
            </w:tcBorders>
          </w:tcPr>
          <w:p w:rsidR="00F75445" w:rsidRPr="00B93A71" w:rsidRDefault="00F75445" w:rsidP="00D54121">
            <w:pPr>
              <w:autoSpaceDE w:val="0"/>
              <w:autoSpaceDN w:val="0"/>
              <w:adjustRightInd w:val="0"/>
              <w:rPr>
                <w:sz w:val="20"/>
                <w:szCs w:val="20"/>
              </w:rPr>
            </w:pPr>
            <w:r w:rsidRPr="00B93A71">
              <w:rPr>
                <w:sz w:val="20"/>
                <w:szCs w:val="20"/>
              </w:rPr>
              <w:t xml:space="preserve">375 transformers </w:t>
            </w:r>
            <w:r w:rsidR="00D54121">
              <w:rPr>
                <w:sz w:val="20"/>
                <w:szCs w:val="20"/>
              </w:rPr>
              <w:t>s</w:t>
            </w:r>
            <w:r w:rsidRPr="00B93A71">
              <w:rPr>
                <w:sz w:val="20"/>
                <w:szCs w:val="20"/>
              </w:rPr>
              <w:t>upplied</w:t>
            </w:r>
          </w:p>
        </w:tc>
        <w:tc>
          <w:tcPr>
            <w:tcW w:w="1971"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p>
        </w:tc>
        <w:tc>
          <w:tcPr>
            <w:tcW w:w="2169" w:type="dxa"/>
            <w:tcBorders>
              <w:top w:val="single" w:sz="6" w:space="0" w:color="000000"/>
              <w:left w:val="single" w:sz="6" w:space="0" w:color="000000"/>
              <w:bottom w:val="single" w:sz="6" w:space="0" w:color="000000"/>
              <w:right w:val="single" w:sz="6" w:space="0" w:color="000000"/>
            </w:tcBorders>
          </w:tcPr>
          <w:p w:rsidR="00F75445" w:rsidRPr="00B93A71" w:rsidRDefault="00C46673" w:rsidP="003F52A8">
            <w:pPr>
              <w:autoSpaceDE w:val="0"/>
              <w:autoSpaceDN w:val="0"/>
              <w:adjustRightInd w:val="0"/>
              <w:rPr>
                <w:sz w:val="20"/>
                <w:szCs w:val="20"/>
              </w:rPr>
            </w:pPr>
            <w:r>
              <w:rPr>
                <w:sz w:val="20"/>
                <w:szCs w:val="20"/>
              </w:rPr>
              <w:t>375 transformers supplied</w:t>
            </w:r>
          </w:p>
        </w:tc>
      </w:tr>
      <w:tr w:rsidR="00B93A71"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B93A71" w:rsidRPr="00B93A71" w:rsidRDefault="00A55570" w:rsidP="00F75445">
            <w:pPr>
              <w:pStyle w:val="FootnoteText"/>
            </w:pPr>
            <w:r w:rsidRPr="00A55570">
              <w:t>System control and communications system procured and installed</w:t>
            </w:r>
          </w:p>
        </w:tc>
        <w:tc>
          <w:tcPr>
            <w:tcW w:w="2340" w:type="dxa"/>
            <w:tcBorders>
              <w:top w:val="single" w:sz="6" w:space="0" w:color="000000"/>
              <w:left w:val="single" w:sz="6" w:space="0" w:color="000000"/>
              <w:bottom w:val="single" w:sz="6" w:space="0" w:color="000000"/>
              <w:right w:val="single" w:sz="6" w:space="0" w:color="000000"/>
            </w:tcBorders>
          </w:tcPr>
          <w:p w:rsidR="00B93A71" w:rsidRPr="00B93A71" w:rsidRDefault="00B93A71" w:rsidP="003F52A8">
            <w:pPr>
              <w:autoSpaceDE w:val="0"/>
              <w:autoSpaceDN w:val="0"/>
              <w:adjustRightInd w:val="0"/>
              <w:rPr>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B93A71" w:rsidRPr="00B93A71" w:rsidRDefault="00F5069D" w:rsidP="003F52A8">
            <w:pPr>
              <w:autoSpaceDE w:val="0"/>
              <w:autoSpaceDN w:val="0"/>
              <w:adjustRightInd w:val="0"/>
              <w:rPr>
                <w:sz w:val="20"/>
                <w:szCs w:val="20"/>
              </w:rPr>
            </w:pPr>
            <w:r>
              <w:rPr>
                <w:sz w:val="20"/>
                <w:szCs w:val="20"/>
              </w:rPr>
              <w:t xml:space="preserve">1 distribution </w:t>
            </w:r>
            <w:r w:rsidR="00A55570">
              <w:rPr>
                <w:sz w:val="20"/>
                <w:szCs w:val="20"/>
              </w:rPr>
              <w:t xml:space="preserve">control and communication </w:t>
            </w:r>
            <w:r>
              <w:rPr>
                <w:sz w:val="20"/>
                <w:szCs w:val="20"/>
              </w:rPr>
              <w:t xml:space="preserve">system procured </w:t>
            </w:r>
          </w:p>
        </w:tc>
        <w:tc>
          <w:tcPr>
            <w:tcW w:w="2169" w:type="dxa"/>
            <w:tcBorders>
              <w:top w:val="single" w:sz="6" w:space="0" w:color="000000"/>
              <w:left w:val="single" w:sz="6" w:space="0" w:color="000000"/>
              <w:bottom w:val="single" w:sz="6" w:space="0" w:color="000000"/>
              <w:right w:val="single" w:sz="6" w:space="0" w:color="000000"/>
            </w:tcBorders>
          </w:tcPr>
          <w:p w:rsidR="00B93A71" w:rsidRPr="00B93A71" w:rsidRDefault="00A55570" w:rsidP="003F52A8">
            <w:pPr>
              <w:autoSpaceDE w:val="0"/>
              <w:autoSpaceDN w:val="0"/>
              <w:adjustRightInd w:val="0"/>
              <w:rPr>
                <w:sz w:val="20"/>
                <w:szCs w:val="20"/>
              </w:rPr>
            </w:pPr>
            <w:r w:rsidRPr="00A55570">
              <w:rPr>
                <w:sz w:val="20"/>
                <w:szCs w:val="20"/>
              </w:rPr>
              <w:t>1 distribution control and communication system procured</w:t>
            </w:r>
          </w:p>
        </w:tc>
      </w:tr>
      <w:tr w:rsidR="00F75445"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F75445" w:rsidRPr="00B93A71" w:rsidRDefault="00F75445" w:rsidP="00F75445">
            <w:pPr>
              <w:pStyle w:val="FootnoteText"/>
            </w:pPr>
            <w:r w:rsidRPr="00B93A71">
              <w:t>First Phase of main generating units overhaul completed</w:t>
            </w:r>
          </w:p>
        </w:tc>
        <w:tc>
          <w:tcPr>
            <w:tcW w:w="2340"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r w:rsidRPr="00B93A71">
              <w:rPr>
                <w:sz w:val="20"/>
                <w:szCs w:val="20"/>
              </w:rPr>
              <w:t>First phase completed</w:t>
            </w:r>
          </w:p>
        </w:tc>
        <w:tc>
          <w:tcPr>
            <w:tcW w:w="1971"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r w:rsidRPr="00B93A71">
              <w:rPr>
                <w:sz w:val="20"/>
                <w:szCs w:val="20"/>
              </w:rPr>
              <w:t>-</w:t>
            </w:r>
          </w:p>
        </w:tc>
        <w:tc>
          <w:tcPr>
            <w:tcW w:w="2169"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r w:rsidRPr="00B93A71">
              <w:rPr>
                <w:sz w:val="20"/>
                <w:szCs w:val="20"/>
              </w:rPr>
              <w:t>First phase completed</w:t>
            </w:r>
          </w:p>
        </w:tc>
      </w:tr>
      <w:tr w:rsidR="00F75445"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F75445" w:rsidRPr="00B93A71" w:rsidRDefault="00F75445" w:rsidP="00F75445">
            <w:pPr>
              <w:pStyle w:val="FootnoteText"/>
            </w:pPr>
            <w:r w:rsidRPr="00B93A71">
              <w:t>HFO pipeline and storage facility operational</w:t>
            </w:r>
          </w:p>
        </w:tc>
        <w:tc>
          <w:tcPr>
            <w:tcW w:w="2340"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r w:rsidRPr="00B93A71">
              <w:rPr>
                <w:sz w:val="20"/>
                <w:szCs w:val="20"/>
              </w:rPr>
              <w:t>HFO pipeline and storage facility operational</w:t>
            </w:r>
          </w:p>
        </w:tc>
        <w:tc>
          <w:tcPr>
            <w:tcW w:w="1971"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p>
        </w:tc>
        <w:tc>
          <w:tcPr>
            <w:tcW w:w="2169"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r w:rsidRPr="00B93A71">
              <w:rPr>
                <w:sz w:val="20"/>
                <w:szCs w:val="20"/>
              </w:rPr>
              <w:t>HFO pipeline and storage facility operational</w:t>
            </w:r>
          </w:p>
        </w:tc>
      </w:tr>
      <w:tr w:rsidR="00F75445"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DE3C1D" w:rsidRDefault="004242B7">
            <w:pPr>
              <w:pStyle w:val="FootnoteText"/>
              <w:rPr>
                <w:highlight w:val="yellow"/>
              </w:rPr>
            </w:pPr>
            <w:r>
              <w:t>T</w:t>
            </w:r>
            <w:r w:rsidR="00F5069D" w:rsidRPr="00F5069D">
              <w:t>hermal power plant procured and commissioned</w:t>
            </w:r>
          </w:p>
        </w:tc>
        <w:tc>
          <w:tcPr>
            <w:tcW w:w="2340"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highlight w:val="yellow"/>
              </w:rPr>
            </w:pPr>
          </w:p>
        </w:tc>
        <w:tc>
          <w:tcPr>
            <w:tcW w:w="1971" w:type="dxa"/>
            <w:tcBorders>
              <w:top w:val="single" w:sz="6" w:space="0" w:color="000000"/>
              <w:left w:val="single" w:sz="6" w:space="0" w:color="000000"/>
              <w:bottom w:val="single" w:sz="6" w:space="0" w:color="000000"/>
              <w:right w:val="single" w:sz="6" w:space="0" w:color="000000"/>
            </w:tcBorders>
            <w:shd w:val="clear" w:color="auto" w:fill="FFFFFF"/>
          </w:tcPr>
          <w:p w:rsidR="00F75445" w:rsidRPr="004242B7" w:rsidRDefault="007622D6" w:rsidP="003F52A8">
            <w:pPr>
              <w:autoSpaceDE w:val="0"/>
              <w:autoSpaceDN w:val="0"/>
              <w:adjustRightInd w:val="0"/>
              <w:rPr>
                <w:sz w:val="20"/>
                <w:szCs w:val="20"/>
              </w:rPr>
            </w:pPr>
            <w:r>
              <w:rPr>
                <w:sz w:val="20"/>
                <w:szCs w:val="20"/>
              </w:rPr>
              <w:t>T</w:t>
            </w:r>
            <w:r w:rsidR="00221C98" w:rsidRPr="00221C98">
              <w:rPr>
                <w:sz w:val="20"/>
                <w:szCs w:val="20"/>
              </w:rPr>
              <w:t>hermal plant procured</w:t>
            </w:r>
          </w:p>
        </w:tc>
        <w:tc>
          <w:tcPr>
            <w:tcW w:w="2169" w:type="dxa"/>
            <w:tcBorders>
              <w:top w:val="single" w:sz="6" w:space="0" w:color="000000"/>
              <w:left w:val="single" w:sz="6" w:space="0" w:color="000000"/>
              <w:bottom w:val="single" w:sz="6" w:space="0" w:color="000000"/>
              <w:right w:val="single" w:sz="6" w:space="0" w:color="000000"/>
            </w:tcBorders>
            <w:shd w:val="clear" w:color="auto" w:fill="FFFFFF"/>
          </w:tcPr>
          <w:p w:rsidR="00F75445" w:rsidRPr="004242B7" w:rsidRDefault="007622D6" w:rsidP="003F52A8">
            <w:pPr>
              <w:autoSpaceDE w:val="0"/>
              <w:autoSpaceDN w:val="0"/>
              <w:adjustRightInd w:val="0"/>
              <w:rPr>
                <w:sz w:val="20"/>
                <w:szCs w:val="20"/>
              </w:rPr>
            </w:pPr>
            <w:r>
              <w:rPr>
                <w:sz w:val="20"/>
                <w:szCs w:val="20"/>
              </w:rPr>
              <w:t>T</w:t>
            </w:r>
            <w:r w:rsidR="00221C98" w:rsidRPr="00221C98">
              <w:rPr>
                <w:sz w:val="20"/>
                <w:szCs w:val="20"/>
              </w:rPr>
              <w:t>hermal plant commissioned</w:t>
            </w:r>
          </w:p>
        </w:tc>
      </w:tr>
      <w:tr w:rsidR="00F75445"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F75445" w:rsidRPr="00B93A71" w:rsidRDefault="00F75445" w:rsidP="00F75445">
            <w:pPr>
              <w:pStyle w:val="FootnoteText"/>
            </w:pPr>
            <w:r w:rsidRPr="00B93A71">
              <w:t>Micro hydro-power pilot built</w:t>
            </w:r>
          </w:p>
        </w:tc>
        <w:tc>
          <w:tcPr>
            <w:tcW w:w="2340"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r w:rsidRPr="00B93A71">
              <w:rPr>
                <w:sz w:val="20"/>
                <w:szCs w:val="20"/>
              </w:rPr>
              <w:t>1</w:t>
            </w:r>
          </w:p>
        </w:tc>
        <w:tc>
          <w:tcPr>
            <w:tcW w:w="1971"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p>
        </w:tc>
        <w:tc>
          <w:tcPr>
            <w:tcW w:w="2169"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r w:rsidRPr="00B93A71">
              <w:rPr>
                <w:sz w:val="20"/>
                <w:szCs w:val="20"/>
              </w:rPr>
              <w:t>1</w:t>
            </w:r>
          </w:p>
        </w:tc>
      </w:tr>
      <w:tr w:rsidR="00F75445"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F75445" w:rsidRPr="00B93A71" w:rsidRDefault="00F75445" w:rsidP="00134DD8">
            <w:pPr>
              <w:pStyle w:val="FootnoteText"/>
            </w:pPr>
            <w:r w:rsidRPr="00B93A71">
              <w:t>SSM</w:t>
            </w:r>
            <w:r w:rsidR="00134DD8">
              <w:t>F</w:t>
            </w:r>
            <w:r w:rsidRPr="00B93A71">
              <w:t xml:space="preserve"> delivered</w:t>
            </w:r>
          </w:p>
        </w:tc>
        <w:tc>
          <w:tcPr>
            <w:tcW w:w="2340"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r w:rsidRPr="00B93A71">
              <w:rPr>
                <w:sz w:val="20"/>
                <w:szCs w:val="20"/>
              </w:rPr>
              <w:t>1</w:t>
            </w:r>
          </w:p>
        </w:tc>
        <w:tc>
          <w:tcPr>
            <w:tcW w:w="1971"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p>
        </w:tc>
        <w:tc>
          <w:tcPr>
            <w:tcW w:w="2169"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r w:rsidRPr="00B93A71">
              <w:rPr>
                <w:sz w:val="20"/>
                <w:szCs w:val="20"/>
              </w:rPr>
              <w:t>1</w:t>
            </w:r>
          </w:p>
        </w:tc>
      </w:tr>
      <w:tr w:rsidR="00AC6B68"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AC6B68" w:rsidRPr="00B93A71" w:rsidRDefault="00AC6B68" w:rsidP="00F75445">
            <w:pPr>
              <w:pStyle w:val="FootnoteText"/>
            </w:pPr>
            <w:r w:rsidRPr="00F5069D">
              <w:t>100,000 Lighting Africa approved solar lanterns in use</w:t>
            </w:r>
          </w:p>
        </w:tc>
        <w:tc>
          <w:tcPr>
            <w:tcW w:w="2340" w:type="dxa"/>
            <w:tcBorders>
              <w:top w:val="single" w:sz="6" w:space="0" w:color="000000"/>
              <w:left w:val="single" w:sz="6" w:space="0" w:color="000000"/>
              <w:bottom w:val="single" w:sz="6" w:space="0" w:color="000000"/>
              <w:right w:val="single" w:sz="6" w:space="0" w:color="000000"/>
            </w:tcBorders>
          </w:tcPr>
          <w:p w:rsidR="00AC6B68" w:rsidRPr="00B93A71" w:rsidRDefault="00AC6B68">
            <w:pPr>
              <w:autoSpaceDE w:val="0"/>
              <w:autoSpaceDN w:val="0"/>
              <w:adjustRightInd w:val="0"/>
              <w:rPr>
                <w:sz w:val="20"/>
                <w:szCs w:val="20"/>
              </w:rPr>
            </w:pPr>
          </w:p>
        </w:tc>
        <w:tc>
          <w:tcPr>
            <w:tcW w:w="1971" w:type="dxa"/>
            <w:tcBorders>
              <w:top w:val="single" w:sz="6" w:space="0" w:color="000000"/>
              <w:left w:val="single" w:sz="6" w:space="0" w:color="000000"/>
              <w:bottom w:val="single" w:sz="6" w:space="0" w:color="000000"/>
              <w:right w:val="single" w:sz="6" w:space="0" w:color="000000"/>
            </w:tcBorders>
          </w:tcPr>
          <w:p w:rsidR="00AC6B68" w:rsidRPr="00B93A71" w:rsidRDefault="00AC6B68" w:rsidP="003F52A8">
            <w:pPr>
              <w:autoSpaceDE w:val="0"/>
              <w:autoSpaceDN w:val="0"/>
              <w:adjustRightInd w:val="0"/>
              <w:rPr>
                <w:sz w:val="20"/>
                <w:szCs w:val="20"/>
              </w:rPr>
            </w:pPr>
            <w:r>
              <w:rPr>
                <w:sz w:val="20"/>
                <w:szCs w:val="20"/>
              </w:rPr>
              <w:t xml:space="preserve">100,000 </w:t>
            </w:r>
            <w:r w:rsidR="00A159C0">
              <w:rPr>
                <w:sz w:val="20"/>
                <w:szCs w:val="20"/>
              </w:rPr>
              <w:t xml:space="preserve">approved solar </w:t>
            </w:r>
            <w:r>
              <w:rPr>
                <w:sz w:val="20"/>
                <w:szCs w:val="20"/>
              </w:rPr>
              <w:t>products in use</w:t>
            </w:r>
          </w:p>
        </w:tc>
        <w:tc>
          <w:tcPr>
            <w:tcW w:w="2169" w:type="dxa"/>
            <w:tcBorders>
              <w:top w:val="single" w:sz="6" w:space="0" w:color="000000"/>
              <w:left w:val="single" w:sz="6" w:space="0" w:color="000000"/>
              <w:bottom w:val="single" w:sz="6" w:space="0" w:color="000000"/>
              <w:right w:val="single" w:sz="6" w:space="0" w:color="000000"/>
            </w:tcBorders>
          </w:tcPr>
          <w:p w:rsidR="00AC6B68" w:rsidRPr="00B93A71" w:rsidRDefault="00A159C0" w:rsidP="003F52A8">
            <w:pPr>
              <w:autoSpaceDE w:val="0"/>
              <w:autoSpaceDN w:val="0"/>
              <w:adjustRightInd w:val="0"/>
              <w:rPr>
                <w:sz w:val="20"/>
                <w:szCs w:val="20"/>
              </w:rPr>
            </w:pPr>
            <w:r>
              <w:rPr>
                <w:sz w:val="20"/>
                <w:szCs w:val="20"/>
              </w:rPr>
              <w:t>100,000</w:t>
            </w:r>
          </w:p>
        </w:tc>
      </w:tr>
      <w:tr w:rsidR="00F75445" w:rsidRPr="00B93A71" w:rsidTr="00881D40">
        <w:trPr>
          <w:jc w:val="center"/>
        </w:trPr>
        <w:tc>
          <w:tcPr>
            <w:tcW w:w="2898" w:type="dxa"/>
            <w:tcBorders>
              <w:top w:val="single" w:sz="6" w:space="0" w:color="000000"/>
              <w:left w:val="single" w:sz="6" w:space="0" w:color="000000"/>
              <w:bottom w:val="single" w:sz="6" w:space="0" w:color="000000"/>
              <w:right w:val="single" w:sz="6" w:space="0" w:color="000000"/>
            </w:tcBorders>
          </w:tcPr>
          <w:p w:rsidR="00F75445" w:rsidRPr="00B93A71" w:rsidRDefault="00F75445" w:rsidP="00F75445">
            <w:pPr>
              <w:pStyle w:val="FootnoteText"/>
            </w:pPr>
            <w:r w:rsidRPr="00B93A71">
              <w:t xml:space="preserve">LEC staff trained </w:t>
            </w:r>
          </w:p>
          <w:p w:rsidR="00F75445" w:rsidRPr="00B93A71" w:rsidRDefault="00F75445" w:rsidP="00F75445">
            <w:pPr>
              <w:pStyle w:val="FootnoteText"/>
            </w:pPr>
            <w:r w:rsidRPr="00B93A71">
              <w:t>(cumulatively)</w:t>
            </w:r>
          </w:p>
        </w:tc>
        <w:tc>
          <w:tcPr>
            <w:tcW w:w="2340" w:type="dxa"/>
            <w:tcBorders>
              <w:top w:val="single" w:sz="6" w:space="0" w:color="000000"/>
              <w:left w:val="single" w:sz="6" w:space="0" w:color="000000"/>
              <w:bottom w:val="single" w:sz="6" w:space="0" w:color="000000"/>
              <w:right w:val="single" w:sz="6" w:space="0" w:color="000000"/>
            </w:tcBorders>
          </w:tcPr>
          <w:p w:rsidR="00DE3C1D" w:rsidRDefault="00F75445">
            <w:pPr>
              <w:autoSpaceDE w:val="0"/>
              <w:autoSpaceDN w:val="0"/>
              <w:adjustRightInd w:val="0"/>
              <w:rPr>
                <w:sz w:val="20"/>
                <w:szCs w:val="20"/>
              </w:rPr>
            </w:pPr>
            <w:r w:rsidRPr="00B93A71">
              <w:rPr>
                <w:sz w:val="20"/>
                <w:szCs w:val="20"/>
              </w:rPr>
              <w:t>50</w:t>
            </w:r>
          </w:p>
        </w:tc>
        <w:tc>
          <w:tcPr>
            <w:tcW w:w="1971"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p>
        </w:tc>
        <w:tc>
          <w:tcPr>
            <w:tcW w:w="2169" w:type="dxa"/>
            <w:tcBorders>
              <w:top w:val="single" w:sz="6" w:space="0" w:color="000000"/>
              <w:left w:val="single" w:sz="6" w:space="0" w:color="000000"/>
              <w:bottom w:val="single" w:sz="6" w:space="0" w:color="000000"/>
              <w:right w:val="single" w:sz="6" w:space="0" w:color="000000"/>
            </w:tcBorders>
          </w:tcPr>
          <w:p w:rsidR="00F75445" w:rsidRPr="00B93A71" w:rsidRDefault="00F75445" w:rsidP="003F52A8">
            <w:pPr>
              <w:autoSpaceDE w:val="0"/>
              <w:autoSpaceDN w:val="0"/>
              <w:adjustRightInd w:val="0"/>
              <w:rPr>
                <w:sz w:val="20"/>
                <w:szCs w:val="20"/>
              </w:rPr>
            </w:pPr>
          </w:p>
        </w:tc>
      </w:tr>
    </w:tbl>
    <w:p w:rsidR="00B93A71" w:rsidRDefault="00B93A71" w:rsidP="00B93A71">
      <w:pPr>
        <w:pStyle w:val="Header"/>
        <w:tabs>
          <w:tab w:val="clear" w:pos="4320"/>
          <w:tab w:val="center" w:pos="540"/>
        </w:tabs>
      </w:pPr>
    </w:p>
    <w:p w:rsidR="00B93A71" w:rsidRDefault="00B93A71" w:rsidP="00B93A71">
      <w:pPr>
        <w:pStyle w:val="Header"/>
        <w:tabs>
          <w:tab w:val="clear" w:pos="4320"/>
          <w:tab w:val="center" w:pos="540"/>
        </w:tabs>
      </w:pPr>
    </w:p>
    <w:p w:rsidR="00A543F7" w:rsidRDefault="00B93A71" w:rsidP="00D940CF">
      <w:pPr>
        <w:pStyle w:val="ListParagraph"/>
        <w:numPr>
          <w:ilvl w:val="0"/>
          <w:numId w:val="7"/>
        </w:numPr>
        <w:ind w:left="0" w:firstLine="0"/>
      </w:pPr>
      <w:r>
        <w:t>Table 3</w:t>
      </w:r>
      <w:r w:rsidRPr="00B93A71">
        <w:t xml:space="preserve"> below sets out the </w:t>
      </w:r>
      <w:r w:rsidR="00DE3C1D">
        <w:t>revised</w:t>
      </w:r>
      <w:r w:rsidRPr="00B93A71">
        <w:t xml:space="preserve"> Project</w:t>
      </w:r>
      <w:r w:rsidR="00DE3C1D">
        <w:t xml:space="preserve"> costs by component</w:t>
      </w:r>
      <w:r w:rsidRPr="00B93A71">
        <w:t xml:space="preserve"> indicating the </w:t>
      </w:r>
      <w:r>
        <w:t xml:space="preserve">original </w:t>
      </w:r>
      <w:r w:rsidRPr="00B93A71">
        <w:t>allocation, as well as the proposed allocation for additional financing</w:t>
      </w:r>
      <w:r w:rsidR="004242B7">
        <w:t xml:space="preserve"> on a component by component basis</w:t>
      </w:r>
      <w:r w:rsidRPr="00B93A71">
        <w:t xml:space="preserve">.  </w:t>
      </w:r>
    </w:p>
    <w:p w:rsidR="00A543F7" w:rsidRDefault="00A543F7">
      <w:pPr>
        <w:pStyle w:val="ListParagraph"/>
        <w:ind w:left="0"/>
      </w:pPr>
    </w:p>
    <w:p w:rsidR="003F52A8" w:rsidRDefault="00F75445" w:rsidP="005C5A9F">
      <w:pPr>
        <w:autoSpaceDE w:val="0"/>
        <w:autoSpaceDN w:val="0"/>
        <w:adjustRightInd w:val="0"/>
        <w:spacing w:after="240"/>
        <w:jc w:val="center"/>
        <w:rPr>
          <w:b/>
          <w:bCs/>
        </w:rPr>
      </w:pPr>
      <w:r>
        <w:rPr>
          <w:b/>
          <w:bCs/>
        </w:rPr>
        <w:t>Tabl</w:t>
      </w:r>
      <w:r w:rsidR="00B93A71">
        <w:rPr>
          <w:b/>
          <w:bCs/>
        </w:rPr>
        <w:t>e</w:t>
      </w:r>
      <w:r>
        <w:rPr>
          <w:b/>
          <w:bCs/>
        </w:rPr>
        <w:t xml:space="preserve"> </w:t>
      </w:r>
      <w:r w:rsidR="00B93A71">
        <w:rPr>
          <w:b/>
          <w:bCs/>
        </w:rPr>
        <w:t>3</w:t>
      </w:r>
      <w:r w:rsidR="00604321">
        <w:rPr>
          <w:b/>
          <w:bCs/>
        </w:rPr>
        <w:t>:</w:t>
      </w:r>
      <w:r>
        <w:rPr>
          <w:b/>
          <w:bCs/>
        </w:rPr>
        <w:t xml:space="preserve"> </w:t>
      </w:r>
      <w:r w:rsidR="00D54121">
        <w:rPr>
          <w:b/>
          <w:bCs/>
        </w:rPr>
        <w:t xml:space="preserve"> </w:t>
      </w:r>
      <w:r w:rsidR="003F52A8">
        <w:rPr>
          <w:b/>
          <w:bCs/>
        </w:rPr>
        <w:t>Costs by component</w:t>
      </w:r>
      <w:r w:rsidR="00286DB4">
        <w:rPr>
          <w:b/>
          <w:bCs/>
        </w:rPr>
        <w:t xml:space="preserve"> financed by IDA</w:t>
      </w:r>
      <w:r w:rsidR="003D3081">
        <w:rPr>
          <w:b/>
          <w:bCs/>
        </w:rPr>
        <w:t xml:space="preserve"> only</w:t>
      </w:r>
      <w:r w:rsidR="00B85BD8">
        <w:rPr>
          <w:b/>
          <w:bCs/>
        </w:rPr>
        <w:t xml:space="preserve"> (in US$)</w:t>
      </w:r>
    </w:p>
    <w:tbl>
      <w:tblPr>
        <w:tblW w:w="0" w:type="auto"/>
        <w:jc w:val="center"/>
        <w:tblLayout w:type="fixed"/>
        <w:tblLook w:val="00BF"/>
      </w:tblPr>
      <w:tblGrid>
        <w:gridCol w:w="5724"/>
        <w:gridCol w:w="1134"/>
        <w:gridCol w:w="1116"/>
        <w:gridCol w:w="954"/>
      </w:tblGrid>
      <w:tr w:rsidR="004951AD" w:rsidRPr="00F37C24" w:rsidTr="00881D40">
        <w:trPr>
          <w:jc w:val="center"/>
        </w:trPr>
        <w:tc>
          <w:tcPr>
            <w:tcW w:w="5724" w:type="dxa"/>
            <w:tcBorders>
              <w:top w:val="single" w:sz="6" w:space="0" w:color="000000"/>
              <w:left w:val="single" w:sz="6" w:space="0" w:color="000000"/>
              <w:bottom w:val="single" w:sz="6" w:space="0" w:color="000000"/>
              <w:right w:val="single" w:sz="6" w:space="0" w:color="000000"/>
            </w:tcBorders>
          </w:tcPr>
          <w:p w:rsidR="004951AD" w:rsidRPr="00F37C24" w:rsidRDefault="004951AD" w:rsidP="00286DB4">
            <w:pPr>
              <w:autoSpaceDE w:val="0"/>
              <w:autoSpaceDN w:val="0"/>
              <w:adjustRightInd w:val="0"/>
              <w:jc w:val="center"/>
              <w:rPr>
                <w:b/>
                <w:bCs/>
                <w:sz w:val="22"/>
                <w:szCs w:val="22"/>
              </w:rPr>
            </w:pPr>
            <w:r w:rsidRPr="00F37C24">
              <w:rPr>
                <w:b/>
                <w:bCs/>
                <w:sz w:val="22"/>
                <w:szCs w:val="22"/>
              </w:rPr>
              <w:t>Component</w:t>
            </w:r>
          </w:p>
        </w:tc>
        <w:tc>
          <w:tcPr>
            <w:tcW w:w="1134" w:type="dxa"/>
            <w:tcBorders>
              <w:top w:val="single" w:sz="6" w:space="0" w:color="000000"/>
              <w:left w:val="single" w:sz="6" w:space="0" w:color="000000"/>
              <w:bottom w:val="single" w:sz="6" w:space="0" w:color="000000"/>
              <w:right w:val="single" w:sz="6" w:space="0" w:color="000000"/>
            </w:tcBorders>
          </w:tcPr>
          <w:p w:rsidR="004951AD" w:rsidRPr="00F37C24" w:rsidRDefault="004951AD" w:rsidP="00286DB4">
            <w:pPr>
              <w:autoSpaceDE w:val="0"/>
              <w:autoSpaceDN w:val="0"/>
              <w:adjustRightInd w:val="0"/>
              <w:jc w:val="center"/>
              <w:rPr>
                <w:b/>
                <w:bCs/>
                <w:sz w:val="22"/>
                <w:szCs w:val="22"/>
              </w:rPr>
            </w:pPr>
            <w:r w:rsidRPr="00F37C24">
              <w:rPr>
                <w:b/>
                <w:bCs/>
                <w:sz w:val="22"/>
                <w:szCs w:val="22"/>
              </w:rPr>
              <w:t xml:space="preserve">Original cost </w:t>
            </w:r>
          </w:p>
        </w:tc>
        <w:tc>
          <w:tcPr>
            <w:tcW w:w="1116" w:type="dxa"/>
            <w:tcBorders>
              <w:top w:val="single" w:sz="6" w:space="0" w:color="000000"/>
              <w:left w:val="single" w:sz="6" w:space="0" w:color="000000"/>
              <w:bottom w:val="single" w:sz="6" w:space="0" w:color="000000"/>
              <w:right w:val="single" w:sz="6" w:space="0" w:color="000000"/>
            </w:tcBorders>
          </w:tcPr>
          <w:p w:rsidR="004951AD" w:rsidRPr="00F37C24" w:rsidRDefault="004951AD" w:rsidP="00286DB4">
            <w:pPr>
              <w:autoSpaceDE w:val="0"/>
              <w:autoSpaceDN w:val="0"/>
              <w:adjustRightInd w:val="0"/>
              <w:jc w:val="center"/>
              <w:rPr>
                <w:b/>
                <w:bCs/>
                <w:sz w:val="22"/>
                <w:szCs w:val="22"/>
              </w:rPr>
            </w:pPr>
            <w:r w:rsidRPr="00F37C24">
              <w:rPr>
                <w:b/>
                <w:bCs/>
                <w:sz w:val="22"/>
                <w:szCs w:val="22"/>
              </w:rPr>
              <w:t xml:space="preserve">Changes with AF </w:t>
            </w:r>
          </w:p>
        </w:tc>
        <w:tc>
          <w:tcPr>
            <w:tcW w:w="954" w:type="dxa"/>
            <w:tcBorders>
              <w:top w:val="single" w:sz="6" w:space="0" w:color="000000"/>
              <w:left w:val="single" w:sz="6" w:space="0" w:color="000000"/>
              <w:bottom w:val="single" w:sz="6" w:space="0" w:color="000000"/>
              <w:right w:val="single" w:sz="6" w:space="0" w:color="000000"/>
            </w:tcBorders>
          </w:tcPr>
          <w:p w:rsidR="004951AD" w:rsidRPr="00F37C24" w:rsidRDefault="004951AD" w:rsidP="00286DB4">
            <w:pPr>
              <w:autoSpaceDE w:val="0"/>
              <w:autoSpaceDN w:val="0"/>
              <w:adjustRightInd w:val="0"/>
              <w:jc w:val="center"/>
              <w:rPr>
                <w:b/>
                <w:bCs/>
                <w:sz w:val="22"/>
                <w:szCs w:val="22"/>
              </w:rPr>
            </w:pPr>
            <w:r w:rsidRPr="00F37C24">
              <w:rPr>
                <w:b/>
                <w:bCs/>
                <w:sz w:val="22"/>
                <w:szCs w:val="22"/>
              </w:rPr>
              <w:t>Revised cost</w:t>
            </w:r>
          </w:p>
        </w:tc>
      </w:tr>
      <w:tr w:rsidR="004951AD" w:rsidRPr="00F37C24" w:rsidTr="00881D40">
        <w:trPr>
          <w:trHeight w:val="2028"/>
          <w:jc w:val="center"/>
        </w:trPr>
        <w:tc>
          <w:tcPr>
            <w:tcW w:w="5724" w:type="dxa"/>
            <w:tcBorders>
              <w:top w:val="single" w:sz="6" w:space="0" w:color="000000"/>
              <w:left w:val="single" w:sz="6" w:space="0" w:color="000000"/>
              <w:bottom w:val="single" w:sz="6" w:space="0" w:color="000000"/>
              <w:right w:val="single" w:sz="6" w:space="0" w:color="000000"/>
            </w:tcBorders>
          </w:tcPr>
          <w:p w:rsidR="004951AD" w:rsidRPr="00F37C24" w:rsidRDefault="004951AD" w:rsidP="003F52A8">
            <w:pPr>
              <w:autoSpaceDE w:val="0"/>
              <w:autoSpaceDN w:val="0"/>
              <w:adjustRightInd w:val="0"/>
              <w:rPr>
                <w:b/>
                <w:sz w:val="22"/>
                <w:szCs w:val="22"/>
              </w:rPr>
            </w:pPr>
          </w:p>
          <w:p w:rsidR="004951AD" w:rsidRPr="00F37C24" w:rsidRDefault="004951AD" w:rsidP="003F52A8">
            <w:pPr>
              <w:autoSpaceDE w:val="0"/>
              <w:autoSpaceDN w:val="0"/>
              <w:adjustRightInd w:val="0"/>
              <w:rPr>
                <w:b/>
                <w:sz w:val="22"/>
                <w:szCs w:val="22"/>
              </w:rPr>
            </w:pPr>
            <w:r w:rsidRPr="00F37C24">
              <w:rPr>
                <w:b/>
                <w:sz w:val="22"/>
                <w:szCs w:val="22"/>
              </w:rPr>
              <w:t>Component A.1:  Distribution Services</w:t>
            </w:r>
          </w:p>
          <w:p w:rsidR="004951AD" w:rsidRPr="00F37C24" w:rsidRDefault="004951AD" w:rsidP="00D940CF">
            <w:pPr>
              <w:pStyle w:val="ListParagraph"/>
              <w:numPr>
                <w:ilvl w:val="0"/>
                <w:numId w:val="9"/>
              </w:numPr>
              <w:autoSpaceDE w:val="0"/>
              <w:autoSpaceDN w:val="0"/>
              <w:adjustRightInd w:val="0"/>
              <w:rPr>
                <w:sz w:val="22"/>
                <w:szCs w:val="22"/>
              </w:rPr>
            </w:pPr>
            <w:r w:rsidRPr="00F37C24">
              <w:rPr>
                <w:sz w:val="22"/>
                <w:szCs w:val="22"/>
              </w:rPr>
              <w:t xml:space="preserve">Sub-component A.1:  Distribution network reinforcement and extension (US$3.8 million of IDA)  </w:t>
            </w:r>
          </w:p>
          <w:p w:rsidR="004951AD" w:rsidRPr="00F37C24" w:rsidRDefault="004951AD" w:rsidP="00D940CF">
            <w:pPr>
              <w:pStyle w:val="ListParagraph"/>
              <w:numPr>
                <w:ilvl w:val="0"/>
                <w:numId w:val="9"/>
              </w:numPr>
              <w:autoSpaceDE w:val="0"/>
              <w:autoSpaceDN w:val="0"/>
              <w:adjustRightInd w:val="0"/>
              <w:rPr>
                <w:sz w:val="22"/>
                <w:szCs w:val="22"/>
              </w:rPr>
            </w:pPr>
            <w:r w:rsidRPr="00F37C24">
              <w:rPr>
                <w:sz w:val="22"/>
                <w:szCs w:val="22"/>
              </w:rPr>
              <w:t>Sub-Component A.2:  Connection of new low-income customers (US$10 million of GPOBA)</w:t>
            </w:r>
          </w:p>
          <w:p w:rsidR="004951AD" w:rsidRPr="00F37C24" w:rsidRDefault="004951AD" w:rsidP="005C5A9F">
            <w:pPr>
              <w:pStyle w:val="ListParagraph"/>
              <w:numPr>
                <w:ilvl w:val="0"/>
                <w:numId w:val="9"/>
              </w:numPr>
              <w:autoSpaceDE w:val="0"/>
              <w:autoSpaceDN w:val="0"/>
              <w:adjustRightInd w:val="0"/>
              <w:rPr>
                <w:sz w:val="22"/>
                <w:szCs w:val="22"/>
              </w:rPr>
            </w:pPr>
            <w:r w:rsidRPr="00F37C24">
              <w:rPr>
                <w:sz w:val="22"/>
                <w:szCs w:val="22"/>
              </w:rPr>
              <w:t xml:space="preserve">Sub-Component A.3:  Distribution network reinforcement and extension (US$29 million of Norway) </w:t>
            </w:r>
          </w:p>
        </w:tc>
        <w:tc>
          <w:tcPr>
            <w:tcW w:w="1134" w:type="dxa"/>
            <w:tcBorders>
              <w:top w:val="single" w:sz="6" w:space="0" w:color="000000"/>
              <w:left w:val="single" w:sz="6" w:space="0" w:color="000000"/>
              <w:bottom w:val="single" w:sz="6" w:space="0" w:color="000000"/>
              <w:right w:val="single" w:sz="6" w:space="0" w:color="000000"/>
            </w:tcBorders>
          </w:tcPr>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r w:rsidRPr="00F37C24">
              <w:rPr>
                <w:sz w:val="22"/>
                <w:szCs w:val="22"/>
              </w:rPr>
              <w:t>3.8</w:t>
            </w: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r w:rsidRPr="00F37C24">
              <w:rPr>
                <w:sz w:val="22"/>
                <w:szCs w:val="22"/>
              </w:rPr>
              <w:t>-</w:t>
            </w: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r w:rsidRPr="00F37C24">
              <w:rPr>
                <w:sz w:val="22"/>
                <w:szCs w:val="22"/>
              </w:rPr>
              <w:t>-</w:t>
            </w:r>
          </w:p>
          <w:p w:rsidR="004951AD" w:rsidRPr="00F37C24" w:rsidRDefault="004951AD" w:rsidP="00D940CF">
            <w:pPr>
              <w:pStyle w:val="ListParagraph"/>
              <w:numPr>
                <w:ilvl w:val="2"/>
                <w:numId w:val="2"/>
              </w:numPr>
              <w:autoSpaceDE w:val="0"/>
              <w:autoSpaceDN w:val="0"/>
              <w:adjustRightInd w:val="0"/>
              <w:jc w:val="center"/>
              <w:rPr>
                <w:sz w:val="22"/>
                <w:szCs w:val="22"/>
              </w:rPr>
            </w:pPr>
          </w:p>
        </w:tc>
        <w:tc>
          <w:tcPr>
            <w:tcW w:w="1116" w:type="dxa"/>
            <w:tcBorders>
              <w:top w:val="single" w:sz="6" w:space="0" w:color="000000"/>
              <w:left w:val="single" w:sz="6" w:space="0" w:color="000000"/>
              <w:bottom w:val="single" w:sz="6" w:space="0" w:color="000000"/>
              <w:right w:val="single" w:sz="6" w:space="0" w:color="000000"/>
            </w:tcBorders>
          </w:tcPr>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p>
          <w:p w:rsidR="004951AD" w:rsidRPr="00F37C24" w:rsidRDefault="00134DD8" w:rsidP="00286DB4">
            <w:pPr>
              <w:autoSpaceDE w:val="0"/>
              <w:autoSpaceDN w:val="0"/>
              <w:adjustRightInd w:val="0"/>
              <w:jc w:val="center"/>
              <w:rPr>
                <w:sz w:val="22"/>
                <w:szCs w:val="22"/>
              </w:rPr>
            </w:pPr>
            <w:r>
              <w:rPr>
                <w:sz w:val="22"/>
                <w:szCs w:val="22"/>
              </w:rPr>
              <w:t>3</w:t>
            </w:r>
            <w:r w:rsidR="004951AD" w:rsidRPr="00F37C24">
              <w:rPr>
                <w:sz w:val="22"/>
                <w:szCs w:val="22"/>
              </w:rPr>
              <w:t>.0</w:t>
            </w: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r w:rsidRPr="00F37C24">
              <w:rPr>
                <w:sz w:val="22"/>
                <w:szCs w:val="22"/>
              </w:rPr>
              <w:t>-</w:t>
            </w: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r w:rsidRPr="00F37C24">
              <w:rPr>
                <w:sz w:val="22"/>
                <w:szCs w:val="22"/>
              </w:rPr>
              <w:t>-</w:t>
            </w:r>
          </w:p>
        </w:tc>
        <w:tc>
          <w:tcPr>
            <w:tcW w:w="954" w:type="dxa"/>
            <w:tcBorders>
              <w:top w:val="single" w:sz="6" w:space="0" w:color="000000"/>
              <w:left w:val="single" w:sz="6" w:space="0" w:color="000000"/>
              <w:bottom w:val="single" w:sz="6" w:space="0" w:color="000000"/>
              <w:right w:val="single" w:sz="6" w:space="0" w:color="000000"/>
            </w:tcBorders>
          </w:tcPr>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r w:rsidRPr="00F37C24">
              <w:rPr>
                <w:sz w:val="22"/>
                <w:szCs w:val="22"/>
              </w:rPr>
              <w:t>5.8</w:t>
            </w: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r w:rsidRPr="00F37C24">
              <w:rPr>
                <w:sz w:val="22"/>
                <w:szCs w:val="22"/>
              </w:rPr>
              <w:t>-</w:t>
            </w: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p>
          <w:p w:rsidR="004951AD" w:rsidRPr="00F37C24" w:rsidRDefault="004951AD" w:rsidP="00286DB4">
            <w:pPr>
              <w:autoSpaceDE w:val="0"/>
              <w:autoSpaceDN w:val="0"/>
              <w:adjustRightInd w:val="0"/>
              <w:jc w:val="center"/>
              <w:rPr>
                <w:sz w:val="22"/>
                <w:szCs w:val="22"/>
              </w:rPr>
            </w:pPr>
            <w:r w:rsidRPr="00F37C24">
              <w:rPr>
                <w:sz w:val="22"/>
                <w:szCs w:val="22"/>
              </w:rPr>
              <w:t>-</w:t>
            </w:r>
          </w:p>
        </w:tc>
      </w:tr>
      <w:tr w:rsidR="004951AD" w:rsidRPr="00F37C24" w:rsidTr="00881D40">
        <w:trPr>
          <w:trHeight w:val="300"/>
          <w:jc w:val="center"/>
        </w:trPr>
        <w:tc>
          <w:tcPr>
            <w:tcW w:w="5724" w:type="dxa"/>
            <w:tcBorders>
              <w:top w:val="single" w:sz="6" w:space="0" w:color="000000"/>
              <w:left w:val="single" w:sz="6" w:space="0" w:color="000000"/>
              <w:bottom w:val="single" w:sz="6" w:space="0" w:color="000000"/>
              <w:right w:val="single" w:sz="6" w:space="0" w:color="000000"/>
            </w:tcBorders>
          </w:tcPr>
          <w:p w:rsidR="004951AD" w:rsidRPr="00F37C24" w:rsidRDefault="004951AD" w:rsidP="00F37C24">
            <w:pPr>
              <w:autoSpaceDE w:val="0"/>
              <w:autoSpaceDN w:val="0"/>
              <w:adjustRightInd w:val="0"/>
              <w:rPr>
                <w:sz w:val="22"/>
                <w:szCs w:val="22"/>
              </w:rPr>
            </w:pPr>
            <w:r w:rsidRPr="00F37C24">
              <w:rPr>
                <w:b/>
                <w:sz w:val="22"/>
                <w:szCs w:val="22"/>
              </w:rPr>
              <w:t>Component B:  Enhancing Options for Power Generation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4951AD" w:rsidP="00FC0414">
            <w:pPr>
              <w:autoSpaceDE w:val="0"/>
              <w:autoSpaceDN w:val="0"/>
              <w:adjustRightInd w:val="0"/>
              <w:jc w:val="center"/>
              <w:rPr>
                <w:sz w:val="22"/>
                <w:szCs w:val="22"/>
              </w:rPr>
            </w:pPr>
            <w:r w:rsidRPr="00F37C24">
              <w:rPr>
                <w:sz w:val="22"/>
                <w:szCs w:val="22"/>
              </w:rPr>
              <w:t>4.7</w:t>
            </w:r>
          </w:p>
        </w:tc>
        <w:tc>
          <w:tcPr>
            <w:tcW w:w="1116"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4951AD" w:rsidP="00FC0414">
            <w:pPr>
              <w:autoSpaceDE w:val="0"/>
              <w:autoSpaceDN w:val="0"/>
              <w:adjustRightInd w:val="0"/>
              <w:jc w:val="center"/>
              <w:rPr>
                <w:sz w:val="22"/>
                <w:szCs w:val="22"/>
                <w:highlight w:val="yellow"/>
              </w:rPr>
            </w:pPr>
            <w:r w:rsidRPr="00F37C24">
              <w:rPr>
                <w:sz w:val="22"/>
                <w:szCs w:val="22"/>
              </w:rPr>
              <w:t>16.0</w:t>
            </w:r>
          </w:p>
        </w:tc>
        <w:tc>
          <w:tcPr>
            <w:tcW w:w="954"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4951AD" w:rsidP="00FC0414">
            <w:pPr>
              <w:autoSpaceDE w:val="0"/>
              <w:autoSpaceDN w:val="0"/>
              <w:adjustRightInd w:val="0"/>
              <w:jc w:val="center"/>
              <w:rPr>
                <w:sz w:val="22"/>
                <w:szCs w:val="22"/>
              </w:rPr>
            </w:pPr>
            <w:r w:rsidRPr="00F37C24">
              <w:rPr>
                <w:sz w:val="22"/>
                <w:szCs w:val="22"/>
              </w:rPr>
              <w:t>20.7</w:t>
            </w:r>
          </w:p>
        </w:tc>
      </w:tr>
      <w:tr w:rsidR="004951AD" w:rsidRPr="00F37C24" w:rsidTr="00881D40">
        <w:trPr>
          <w:jc w:val="center"/>
        </w:trPr>
        <w:tc>
          <w:tcPr>
            <w:tcW w:w="5724" w:type="dxa"/>
            <w:tcBorders>
              <w:top w:val="single" w:sz="6" w:space="0" w:color="000000"/>
              <w:left w:val="single" w:sz="6" w:space="0" w:color="000000"/>
              <w:bottom w:val="single" w:sz="6" w:space="0" w:color="000000"/>
              <w:right w:val="single" w:sz="6" w:space="0" w:color="000000"/>
            </w:tcBorders>
          </w:tcPr>
          <w:p w:rsidR="004951AD" w:rsidRPr="00F37C24" w:rsidRDefault="004951AD" w:rsidP="00881D40">
            <w:pPr>
              <w:autoSpaceDE w:val="0"/>
              <w:autoSpaceDN w:val="0"/>
              <w:adjustRightInd w:val="0"/>
              <w:rPr>
                <w:b/>
                <w:bCs/>
                <w:sz w:val="22"/>
                <w:szCs w:val="22"/>
              </w:rPr>
            </w:pPr>
            <w:r w:rsidRPr="00F37C24">
              <w:rPr>
                <w:b/>
                <w:bCs/>
                <w:sz w:val="22"/>
                <w:szCs w:val="22"/>
              </w:rPr>
              <w:t>Component C:  Providing Modern Renewable Energy Services (US$2 million of AFREA)</w:t>
            </w:r>
          </w:p>
        </w:tc>
        <w:tc>
          <w:tcPr>
            <w:tcW w:w="1134" w:type="dxa"/>
            <w:tcBorders>
              <w:top w:val="single" w:sz="6" w:space="0" w:color="000000"/>
              <w:left w:val="single" w:sz="6" w:space="0" w:color="000000"/>
              <w:bottom w:val="single" w:sz="6" w:space="0" w:color="000000"/>
              <w:right w:val="single" w:sz="6" w:space="0" w:color="000000"/>
            </w:tcBorders>
            <w:vAlign w:val="center"/>
          </w:tcPr>
          <w:p w:rsidR="00A543F7" w:rsidRPr="00F37C24" w:rsidRDefault="004951AD">
            <w:pPr>
              <w:autoSpaceDE w:val="0"/>
              <w:autoSpaceDN w:val="0"/>
              <w:adjustRightInd w:val="0"/>
              <w:jc w:val="center"/>
              <w:rPr>
                <w:sz w:val="22"/>
                <w:szCs w:val="22"/>
              </w:rPr>
            </w:pPr>
            <w:r w:rsidRPr="00F37C24">
              <w:rPr>
                <w:sz w:val="22"/>
                <w:szCs w:val="22"/>
              </w:rPr>
              <w:t>-</w:t>
            </w:r>
          </w:p>
        </w:tc>
        <w:tc>
          <w:tcPr>
            <w:tcW w:w="1116" w:type="dxa"/>
            <w:tcBorders>
              <w:top w:val="single" w:sz="6" w:space="0" w:color="000000"/>
              <w:left w:val="single" w:sz="6" w:space="0" w:color="000000"/>
              <w:bottom w:val="single" w:sz="6" w:space="0" w:color="000000"/>
              <w:right w:val="single" w:sz="6" w:space="0" w:color="000000"/>
            </w:tcBorders>
            <w:vAlign w:val="center"/>
          </w:tcPr>
          <w:p w:rsidR="00A543F7" w:rsidRPr="00F37C24" w:rsidRDefault="004951AD">
            <w:pPr>
              <w:autoSpaceDE w:val="0"/>
              <w:autoSpaceDN w:val="0"/>
              <w:adjustRightInd w:val="0"/>
              <w:jc w:val="center"/>
              <w:rPr>
                <w:sz w:val="22"/>
                <w:szCs w:val="22"/>
              </w:rPr>
            </w:pPr>
            <w:r w:rsidRPr="00F37C24">
              <w:rPr>
                <w:sz w:val="22"/>
                <w:szCs w:val="22"/>
              </w:rPr>
              <w:t>-</w:t>
            </w:r>
          </w:p>
        </w:tc>
        <w:tc>
          <w:tcPr>
            <w:tcW w:w="954"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4951AD" w:rsidP="00F75445">
            <w:pPr>
              <w:autoSpaceDE w:val="0"/>
              <w:autoSpaceDN w:val="0"/>
              <w:adjustRightInd w:val="0"/>
              <w:jc w:val="right"/>
              <w:rPr>
                <w:sz w:val="22"/>
                <w:szCs w:val="22"/>
              </w:rPr>
            </w:pPr>
          </w:p>
        </w:tc>
      </w:tr>
      <w:tr w:rsidR="004951AD" w:rsidRPr="00F37C24" w:rsidTr="00881D40">
        <w:trPr>
          <w:jc w:val="center"/>
        </w:trPr>
        <w:tc>
          <w:tcPr>
            <w:tcW w:w="5724" w:type="dxa"/>
            <w:tcBorders>
              <w:top w:val="single" w:sz="6" w:space="0" w:color="000000"/>
              <w:left w:val="single" w:sz="6" w:space="0" w:color="000000"/>
              <w:bottom w:val="single" w:sz="6" w:space="0" w:color="000000"/>
              <w:right w:val="single" w:sz="6" w:space="0" w:color="000000"/>
            </w:tcBorders>
          </w:tcPr>
          <w:p w:rsidR="004951AD" w:rsidRPr="00F37C24" w:rsidRDefault="004951AD" w:rsidP="00F37C24">
            <w:pPr>
              <w:autoSpaceDE w:val="0"/>
              <w:autoSpaceDN w:val="0"/>
              <w:adjustRightInd w:val="0"/>
              <w:rPr>
                <w:b/>
                <w:bCs/>
                <w:sz w:val="22"/>
                <w:szCs w:val="22"/>
              </w:rPr>
            </w:pPr>
            <w:r w:rsidRPr="00F37C24">
              <w:rPr>
                <w:b/>
                <w:bCs/>
                <w:sz w:val="22"/>
                <w:szCs w:val="22"/>
              </w:rPr>
              <w:t>Component D: Technical Assistance</w:t>
            </w:r>
          </w:p>
        </w:tc>
        <w:tc>
          <w:tcPr>
            <w:tcW w:w="1134"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4951AD" w:rsidP="004951AD">
            <w:pPr>
              <w:autoSpaceDE w:val="0"/>
              <w:autoSpaceDN w:val="0"/>
              <w:adjustRightInd w:val="0"/>
              <w:jc w:val="center"/>
              <w:rPr>
                <w:sz w:val="22"/>
                <w:szCs w:val="22"/>
              </w:rPr>
            </w:pPr>
            <w:r w:rsidRPr="00F37C24">
              <w:rPr>
                <w:sz w:val="22"/>
                <w:szCs w:val="22"/>
              </w:rPr>
              <w:t>0.80</w:t>
            </w:r>
          </w:p>
        </w:tc>
        <w:tc>
          <w:tcPr>
            <w:tcW w:w="1116" w:type="dxa"/>
            <w:tcBorders>
              <w:top w:val="single" w:sz="6" w:space="0" w:color="000000"/>
              <w:left w:val="single" w:sz="6" w:space="0" w:color="000000"/>
              <w:bottom w:val="single" w:sz="6" w:space="0" w:color="000000"/>
              <w:right w:val="single" w:sz="6" w:space="0" w:color="000000"/>
            </w:tcBorders>
            <w:vAlign w:val="center"/>
          </w:tcPr>
          <w:p w:rsidR="00A543F7" w:rsidRPr="00F37C24" w:rsidRDefault="00134DD8">
            <w:pPr>
              <w:autoSpaceDE w:val="0"/>
              <w:autoSpaceDN w:val="0"/>
              <w:adjustRightInd w:val="0"/>
              <w:jc w:val="center"/>
              <w:rPr>
                <w:sz w:val="22"/>
                <w:szCs w:val="22"/>
              </w:rPr>
            </w:pPr>
            <w:r>
              <w:rPr>
                <w:sz w:val="22"/>
                <w:szCs w:val="22"/>
              </w:rPr>
              <w:t>0.5</w:t>
            </w:r>
          </w:p>
        </w:tc>
        <w:tc>
          <w:tcPr>
            <w:tcW w:w="954"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4951AD" w:rsidP="004951AD">
            <w:pPr>
              <w:autoSpaceDE w:val="0"/>
              <w:autoSpaceDN w:val="0"/>
              <w:adjustRightInd w:val="0"/>
              <w:jc w:val="center"/>
              <w:rPr>
                <w:sz w:val="22"/>
                <w:szCs w:val="22"/>
              </w:rPr>
            </w:pPr>
            <w:r w:rsidRPr="00F37C24">
              <w:rPr>
                <w:sz w:val="22"/>
                <w:szCs w:val="22"/>
              </w:rPr>
              <w:t>0.80</w:t>
            </w:r>
          </w:p>
        </w:tc>
      </w:tr>
      <w:tr w:rsidR="004951AD" w:rsidRPr="00F37C24" w:rsidTr="00881D40">
        <w:trPr>
          <w:jc w:val="center"/>
        </w:trPr>
        <w:tc>
          <w:tcPr>
            <w:tcW w:w="5724" w:type="dxa"/>
            <w:tcBorders>
              <w:top w:val="single" w:sz="6" w:space="0" w:color="000000"/>
              <w:left w:val="single" w:sz="6" w:space="0" w:color="000000"/>
              <w:bottom w:val="single" w:sz="6" w:space="0" w:color="000000"/>
              <w:right w:val="single" w:sz="6" w:space="0" w:color="000000"/>
            </w:tcBorders>
          </w:tcPr>
          <w:p w:rsidR="004951AD" w:rsidRPr="00F37C24" w:rsidRDefault="004951AD" w:rsidP="00F37C24">
            <w:pPr>
              <w:autoSpaceDE w:val="0"/>
              <w:autoSpaceDN w:val="0"/>
              <w:adjustRightInd w:val="0"/>
              <w:rPr>
                <w:b/>
                <w:bCs/>
                <w:sz w:val="22"/>
                <w:szCs w:val="22"/>
              </w:rPr>
            </w:pPr>
            <w:r w:rsidRPr="00F37C24">
              <w:rPr>
                <w:b/>
                <w:bCs/>
                <w:sz w:val="22"/>
                <w:szCs w:val="22"/>
              </w:rPr>
              <w:t>Unallocated</w:t>
            </w:r>
          </w:p>
        </w:tc>
        <w:tc>
          <w:tcPr>
            <w:tcW w:w="1134"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4951AD" w:rsidP="004951AD">
            <w:pPr>
              <w:autoSpaceDE w:val="0"/>
              <w:autoSpaceDN w:val="0"/>
              <w:adjustRightInd w:val="0"/>
              <w:jc w:val="center"/>
              <w:rPr>
                <w:sz w:val="22"/>
                <w:szCs w:val="22"/>
              </w:rPr>
            </w:pPr>
            <w:r w:rsidRPr="00F37C24">
              <w:rPr>
                <w:sz w:val="22"/>
                <w:szCs w:val="22"/>
              </w:rPr>
              <w:t>0.70</w:t>
            </w:r>
          </w:p>
        </w:tc>
        <w:tc>
          <w:tcPr>
            <w:tcW w:w="1116" w:type="dxa"/>
            <w:tcBorders>
              <w:top w:val="single" w:sz="6" w:space="0" w:color="000000"/>
              <w:left w:val="single" w:sz="6" w:space="0" w:color="000000"/>
              <w:bottom w:val="single" w:sz="6" w:space="0" w:color="000000"/>
              <w:right w:val="single" w:sz="6" w:space="0" w:color="000000"/>
            </w:tcBorders>
            <w:vAlign w:val="center"/>
          </w:tcPr>
          <w:p w:rsidR="00A543F7" w:rsidRPr="00F37C24" w:rsidRDefault="00134DD8" w:rsidP="00B007CD">
            <w:pPr>
              <w:autoSpaceDE w:val="0"/>
              <w:autoSpaceDN w:val="0"/>
              <w:adjustRightInd w:val="0"/>
              <w:jc w:val="center"/>
              <w:rPr>
                <w:sz w:val="22"/>
                <w:szCs w:val="22"/>
              </w:rPr>
            </w:pPr>
            <w:r>
              <w:rPr>
                <w:sz w:val="22"/>
                <w:szCs w:val="22"/>
              </w:rPr>
              <w:t>2.5</w:t>
            </w:r>
          </w:p>
        </w:tc>
        <w:tc>
          <w:tcPr>
            <w:tcW w:w="954"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B007CD" w:rsidP="004951AD">
            <w:pPr>
              <w:autoSpaceDE w:val="0"/>
              <w:autoSpaceDN w:val="0"/>
              <w:adjustRightInd w:val="0"/>
              <w:jc w:val="center"/>
              <w:rPr>
                <w:sz w:val="22"/>
                <w:szCs w:val="22"/>
              </w:rPr>
            </w:pPr>
            <w:r>
              <w:rPr>
                <w:sz w:val="22"/>
                <w:szCs w:val="22"/>
              </w:rPr>
              <w:t>4</w:t>
            </w:r>
            <w:r w:rsidR="004951AD" w:rsidRPr="00F37C24">
              <w:rPr>
                <w:sz w:val="22"/>
                <w:szCs w:val="22"/>
              </w:rPr>
              <w:t>.70</w:t>
            </w:r>
          </w:p>
        </w:tc>
      </w:tr>
      <w:tr w:rsidR="004951AD" w:rsidRPr="00F37C24" w:rsidTr="00881D40">
        <w:trPr>
          <w:jc w:val="center"/>
        </w:trPr>
        <w:tc>
          <w:tcPr>
            <w:tcW w:w="5724" w:type="dxa"/>
            <w:tcBorders>
              <w:top w:val="single" w:sz="6" w:space="0" w:color="000000"/>
              <w:left w:val="single" w:sz="6" w:space="0" w:color="000000"/>
              <w:bottom w:val="single" w:sz="6" w:space="0" w:color="000000"/>
              <w:right w:val="single" w:sz="6" w:space="0" w:color="000000"/>
            </w:tcBorders>
          </w:tcPr>
          <w:p w:rsidR="004951AD" w:rsidRPr="00F37C24" w:rsidRDefault="004951AD" w:rsidP="00F37C24">
            <w:pPr>
              <w:autoSpaceDE w:val="0"/>
              <w:autoSpaceDN w:val="0"/>
              <w:adjustRightInd w:val="0"/>
              <w:rPr>
                <w:b/>
                <w:bCs/>
                <w:sz w:val="22"/>
                <w:szCs w:val="22"/>
              </w:rPr>
            </w:pPr>
            <w:r w:rsidRPr="00F37C24">
              <w:rPr>
                <w:b/>
                <w:bCs/>
                <w:sz w:val="22"/>
                <w:szCs w:val="22"/>
              </w:rPr>
              <w:t>Total</w:t>
            </w:r>
          </w:p>
        </w:tc>
        <w:tc>
          <w:tcPr>
            <w:tcW w:w="1134"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4951AD" w:rsidP="004951AD">
            <w:pPr>
              <w:autoSpaceDE w:val="0"/>
              <w:autoSpaceDN w:val="0"/>
              <w:adjustRightInd w:val="0"/>
              <w:jc w:val="center"/>
              <w:rPr>
                <w:b/>
                <w:bCs/>
                <w:sz w:val="22"/>
                <w:szCs w:val="22"/>
              </w:rPr>
            </w:pPr>
            <w:r w:rsidRPr="00F37C24">
              <w:rPr>
                <w:b/>
                <w:bCs/>
                <w:sz w:val="22"/>
                <w:szCs w:val="22"/>
              </w:rPr>
              <w:t>10.00</w:t>
            </w:r>
          </w:p>
        </w:tc>
        <w:tc>
          <w:tcPr>
            <w:tcW w:w="1116"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4951AD" w:rsidP="004951AD">
            <w:pPr>
              <w:autoSpaceDE w:val="0"/>
              <w:autoSpaceDN w:val="0"/>
              <w:adjustRightInd w:val="0"/>
              <w:jc w:val="center"/>
              <w:rPr>
                <w:b/>
                <w:bCs/>
                <w:sz w:val="22"/>
                <w:szCs w:val="22"/>
              </w:rPr>
            </w:pPr>
            <w:r w:rsidRPr="00F37C24">
              <w:rPr>
                <w:b/>
                <w:bCs/>
                <w:sz w:val="22"/>
                <w:szCs w:val="22"/>
              </w:rPr>
              <w:t>22.00</w:t>
            </w:r>
          </w:p>
        </w:tc>
        <w:tc>
          <w:tcPr>
            <w:tcW w:w="954" w:type="dxa"/>
            <w:tcBorders>
              <w:top w:val="single" w:sz="6" w:space="0" w:color="000000"/>
              <w:left w:val="single" w:sz="6" w:space="0" w:color="000000"/>
              <w:bottom w:val="single" w:sz="6" w:space="0" w:color="000000"/>
              <w:right w:val="single" w:sz="6" w:space="0" w:color="000000"/>
            </w:tcBorders>
            <w:vAlign w:val="center"/>
          </w:tcPr>
          <w:p w:rsidR="004951AD" w:rsidRPr="00F37C24" w:rsidRDefault="004951AD" w:rsidP="004951AD">
            <w:pPr>
              <w:autoSpaceDE w:val="0"/>
              <w:autoSpaceDN w:val="0"/>
              <w:adjustRightInd w:val="0"/>
              <w:jc w:val="center"/>
              <w:rPr>
                <w:b/>
                <w:bCs/>
                <w:sz w:val="22"/>
                <w:szCs w:val="22"/>
              </w:rPr>
            </w:pPr>
            <w:r w:rsidRPr="00F37C24">
              <w:rPr>
                <w:b/>
                <w:bCs/>
                <w:sz w:val="22"/>
                <w:szCs w:val="22"/>
              </w:rPr>
              <w:t>32.00</w:t>
            </w:r>
          </w:p>
        </w:tc>
      </w:tr>
    </w:tbl>
    <w:p w:rsidR="005C5A9F" w:rsidRDefault="005C5A9F" w:rsidP="003F52A8">
      <w:pPr>
        <w:pStyle w:val="BankNormal"/>
      </w:pPr>
    </w:p>
    <w:p w:rsidR="003F52A8" w:rsidRDefault="008C4763" w:rsidP="003F52A8">
      <w:pPr>
        <w:pStyle w:val="BankNormal"/>
      </w:pPr>
      <w:r>
        <w:t>Table 4 below shows the different contribution of other donors to the Additional Financing proposed for IDA as well as a breakdown of activities to be financed.</w:t>
      </w:r>
    </w:p>
    <w:p w:rsidR="008C4763" w:rsidRPr="007A35E5" w:rsidRDefault="008C4763" w:rsidP="008C4763">
      <w:pPr>
        <w:pStyle w:val="BankNormal"/>
        <w:jc w:val="center"/>
        <w:rPr>
          <w:b/>
        </w:rPr>
      </w:pPr>
      <w:r w:rsidRPr="007A35E5">
        <w:rPr>
          <w:b/>
        </w:rPr>
        <w:lastRenderedPageBreak/>
        <w:t xml:space="preserve">Table 4: </w:t>
      </w:r>
      <w:r w:rsidR="005C5A9F">
        <w:rPr>
          <w:b/>
        </w:rPr>
        <w:t xml:space="preserve"> </w:t>
      </w:r>
      <w:r w:rsidRPr="007A35E5">
        <w:rPr>
          <w:b/>
        </w:rPr>
        <w:t>Financing Plan for the Additional Financing for LESEP</w:t>
      </w:r>
    </w:p>
    <w:p w:rsidR="008C4763" w:rsidRDefault="002B3F19" w:rsidP="005C5A9F">
      <w:pPr>
        <w:pStyle w:val="BankNormal"/>
      </w:pPr>
      <w:r>
        <w:rPr>
          <w:noProof/>
        </w:rPr>
        <w:drawing>
          <wp:inline distT="0" distB="0" distL="0" distR="0">
            <wp:extent cx="5943600" cy="1966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43600" cy="1966000"/>
                    </a:xfrm>
                    <a:prstGeom prst="rect">
                      <a:avLst/>
                    </a:prstGeom>
                    <a:noFill/>
                    <a:ln w="9525">
                      <a:noFill/>
                      <a:miter lim="800000"/>
                      <a:headEnd/>
                      <a:tailEnd/>
                    </a:ln>
                  </pic:spPr>
                </pic:pic>
              </a:graphicData>
            </a:graphic>
          </wp:inline>
        </w:drawing>
      </w:r>
    </w:p>
    <w:p w:rsidR="005C5A9F" w:rsidRDefault="005C5A9F" w:rsidP="003F52A8">
      <w:pPr>
        <w:pStyle w:val="BankNormal"/>
        <w:rPr>
          <w:b/>
        </w:rPr>
      </w:pPr>
    </w:p>
    <w:p w:rsidR="003F52A8" w:rsidRDefault="008333FC" w:rsidP="003D2522">
      <w:pPr>
        <w:pStyle w:val="Heading1"/>
      </w:pPr>
      <w:bookmarkStart w:id="6" w:name="_Toc308712766"/>
      <w:r>
        <w:t>I</w:t>
      </w:r>
      <w:r w:rsidR="003F52A8">
        <w:t>V</w:t>
      </w:r>
      <w:proofErr w:type="gramStart"/>
      <w:r w:rsidR="003F52A8">
        <w:t xml:space="preserve">. </w:t>
      </w:r>
      <w:r w:rsidR="005C5A9F">
        <w:t xml:space="preserve"> </w:t>
      </w:r>
      <w:r w:rsidR="003F52A8">
        <w:t>Appraisal</w:t>
      </w:r>
      <w:proofErr w:type="gramEnd"/>
      <w:r w:rsidR="003F52A8">
        <w:t xml:space="preserve"> Summary</w:t>
      </w:r>
      <w:bookmarkEnd w:id="6"/>
      <w:r w:rsidR="003F52A8">
        <w:t xml:space="preserve"> </w:t>
      </w:r>
    </w:p>
    <w:p w:rsidR="003D2522" w:rsidRPr="003D2522" w:rsidRDefault="003D2522" w:rsidP="003D2522"/>
    <w:p w:rsidR="00A543F7" w:rsidRDefault="006731CC" w:rsidP="00D940CF">
      <w:pPr>
        <w:pStyle w:val="ListParagraph"/>
        <w:numPr>
          <w:ilvl w:val="0"/>
          <w:numId w:val="7"/>
        </w:numPr>
        <w:ind w:left="0" w:firstLine="0"/>
        <w:rPr>
          <w:szCs w:val="20"/>
        </w:rPr>
      </w:pPr>
      <w:r w:rsidRPr="00862D60">
        <w:rPr>
          <w:b/>
          <w:szCs w:val="20"/>
          <w:lang w:val="en-GB"/>
        </w:rPr>
        <w:t>Technical.</w:t>
      </w:r>
      <w:r w:rsidRPr="00862D60">
        <w:rPr>
          <w:szCs w:val="20"/>
          <w:lang w:val="en-GB"/>
        </w:rPr>
        <w:t xml:space="preserve"> </w:t>
      </w:r>
      <w:r w:rsidR="005C5A9F">
        <w:rPr>
          <w:szCs w:val="20"/>
          <w:lang w:val="en-GB"/>
        </w:rPr>
        <w:t xml:space="preserve"> </w:t>
      </w:r>
      <w:r w:rsidR="006F2013" w:rsidRPr="006F2013">
        <w:rPr>
          <w:szCs w:val="20"/>
          <w:lang w:val="en-GB"/>
        </w:rPr>
        <w:t>The</w:t>
      </w:r>
      <w:r w:rsidR="006F2013" w:rsidRPr="006F2013">
        <w:rPr>
          <w:szCs w:val="20"/>
        </w:rPr>
        <w:t xml:space="preserve"> </w:t>
      </w:r>
      <w:r w:rsidR="009A0AD4">
        <w:rPr>
          <w:szCs w:val="20"/>
        </w:rPr>
        <w:t>proposed a</w:t>
      </w:r>
      <w:r w:rsidR="00DE2CF5">
        <w:rPr>
          <w:szCs w:val="20"/>
        </w:rPr>
        <w:t xml:space="preserve">dditional activities under the </w:t>
      </w:r>
      <w:r w:rsidR="006F2013" w:rsidRPr="006F2013">
        <w:rPr>
          <w:szCs w:val="20"/>
        </w:rPr>
        <w:t>P</w:t>
      </w:r>
      <w:r w:rsidR="00DE2CF5">
        <w:rPr>
          <w:szCs w:val="20"/>
        </w:rPr>
        <w:t>roject present</w:t>
      </w:r>
      <w:r w:rsidR="006F2013" w:rsidRPr="006F2013">
        <w:rPr>
          <w:szCs w:val="20"/>
        </w:rPr>
        <w:t xml:space="preserve"> no unusual construction or operational challenges. </w:t>
      </w:r>
      <w:r w:rsidR="005C5A9F">
        <w:rPr>
          <w:szCs w:val="20"/>
        </w:rPr>
        <w:t xml:space="preserve"> </w:t>
      </w:r>
      <w:r w:rsidR="006F2013">
        <w:rPr>
          <w:szCs w:val="20"/>
        </w:rPr>
        <w:t xml:space="preserve">Under </w:t>
      </w:r>
      <w:r w:rsidR="00DE2CF5">
        <w:rPr>
          <w:szCs w:val="20"/>
        </w:rPr>
        <w:t>C</w:t>
      </w:r>
      <w:r w:rsidR="006F2013">
        <w:rPr>
          <w:szCs w:val="20"/>
        </w:rPr>
        <w:t xml:space="preserve">omponent A, </w:t>
      </w:r>
      <w:r w:rsidR="006F2013">
        <w:rPr>
          <w:szCs w:val="20"/>
          <w:lang w:val="en-GB"/>
        </w:rPr>
        <w:t>t</w:t>
      </w:r>
      <w:r w:rsidR="00862D60" w:rsidRPr="008D6A51">
        <w:rPr>
          <w:szCs w:val="20"/>
          <w:lang w:val="en-GB"/>
        </w:rPr>
        <w:t>he project supports conventional investments on the distribution network to enhance</w:t>
      </w:r>
      <w:r w:rsidR="00FD4BF9">
        <w:rPr>
          <w:szCs w:val="20"/>
          <w:lang w:val="en-GB"/>
        </w:rPr>
        <w:t xml:space="preserve"> the</w:t>
      </w:r>
      <w:r w:rsidR="00862D60" w:rsidRPr="008D6A51">
        <w:rPr>
          <w:szCs w:val="20"/>
          <w:lang w:val="en-GB"/>
        </w:rPr>
        <w:t xml:space="preserve"> delivery of </w:t>
      </w:r>
      <w:r w:rsidR="00221C98" w:rsidRPr="00221C98">
        <w:t>electricity</w:t>
      </w:r>
      <w:r w:rsidR="00862D60" w:rsidRPr="008D6A51">
        <w:rPr>
          <w:szCs w:val="20"/>
          <w:lang w:val="en-GB"/>
        </w:rPr>
        <w:t xml:space="preserve"> that will include the installation of distribution equipment with the aim of increasing connection</w:t>
      </w:r>
      <w:r w:rsidR="00957D6F">
        <w:rPr>
          <w:szCs w:val="20"/>
          <w:lang w:val="en-GB"/>
        </w:rPr>
        <w:t>s</w:t>
      </w:r>
      <w:r w:rsidR="00862D60" w:rsidRPr="008D6A51">
        <w:rPr>
          <w:szCs w:val="20"/>
          <w:lang w:val="en-GB"/>
        </w:rPr>
        <w:t xml:space="preserve"> </w:t>
      </w:r>
      <w:r w:rsidR="00957D6F">
        <w:rPr>
          <w:szCs w:val="20"/>
          <w:lang w:val="en-GB"/>
        </w:rPr>
        <w:t>to</w:t>
      </w:r>
      <w:r w:rsidR="00862D60" w:rsidRPr="008D6A51">
        <w:rPr>
          <w:szCs w:val="20"/>
          <w:lang w:val="en-GB"/>
        </w:rPr>
        <w:t xml:space="preserve"> new customers, including low-income households. The </w:t>
      </w:r>
      <w:r w:rsidR="00957D6F">
        <w:rPr>
          <w:szCs w:val="20"/>
          <w:lang w:val="en-GB"/>
        </w:rPr>
        <w:t>P</w:t>
      </w:r>
      <w:r w:rsidR="00862D60" w:rsidRPr="008D6A51">
        <w:rPr>
          <w:szCs w:val="20"/>
          <w:lang w:val="en-GB"/>
        </w:rPr>
        <w:t xml:space="preserve">roject also supports conventional investments for communication and </w:t>
      </w:r>
      <w:r w:rsidR="00E00B22" w:rsidRPr="00E00B22">
        <w:rPr>
          <w:szCs w:val="20"/>
          <w:lang w:val="en-GB"/>
        </w:rPr>
        <w:t>synchronisation</w:t>
      </w:r>
      <w:r w:rsidR="00862D60" w:rsidRPr="008D6A51">
        <w:rPr>
          <w:szCs w:val="20"/>
          <w:lang w:val="en-GB"/>
        </w:rPr>
        <w:t xml:space="preserve"> equipment that would allow the system </w:t>
      </w:r>
      <w:r w:rsidR="00957D6F">
        <w:rPr>
          <w:szCs w:val="20"/>
          <w:lang w:val="en-GB"/>
        </w:rPr>
        <w:t xml:space="preserve">to be </w:t>
      </w:r>
      <w:r w:rsidR="00862D60" w:rsidRPr="008D6A51">
        <w:rPr>
          <w:szCs w:val="20"/>
          <w:lang w:val="en-GB"/>
        </w:rPr>
        <w:t xml:space="preserve">centrally dispatched </w:t>
      </w:r>
      <w:r w:rsidR="00957D6F">
        <w:rPr>
          <w:szCs w:val="20"/>
          <w:lang w:val="en-GB"/>
        </w:rPr>
        <w:t>with the aim of</w:t>
      </w:r>
      <w:r w:rsidR="00862D60">
        <w:rPr>
          <w:szCs w:val="20"/>
          <w:lang w:val="en-GB"/>
        </w:rPr>
        <w:t xml:space="preserve"> </w:t>
      </w:r>
      <w:r w:rsidR="00862D60" w:rsidRPr="008D6A51">
        <w:rPr>
          <w:szCs w:val="20"/>
          <w:lang w:val="en-GB"/>
        </w:rPr>
        <w:t>achiev</w:t>
      </w:r>
      <w:r w:rsidR="00957D6F">
        <w:rPr>
          <w:szCs w:val="20"/>
          <w:lang w:val="en-GB"/>
        </w:rPr>
        <w:t>ing</w:t>
      </w:r>
      <w:r w:rsidR="00862D60" w:rsidRPr="008D6A51">
        <w:rPr>
          <w:szCs w:val="20"/>
          <w:lang w:val="en-GB"/>
        </w:rPr>
        <w:t xml:space="preserve"> operation efficiencies. </w:t>
      </w:r>
      <w:r w:rsidR="00DE2CF5">
        <w:rPr>
          <w:szCs w:val="20"/>
          <w:lang w:val="en-GB"/>
        </w:rPr>
        <w:t xml:space="preserve"> Under Component C,</w:t>
      </w:r>
      <w:r w:rsidR="00862D60" w:rsidRPr="008D6A51">
        <w:rPr>
          <w:szCs w:val="20"/>
          <w:lang w:val="en-GB"/>
        </w:rPr>
        <w:t xml:space="preserve"> </w:t>
      </w:r>
      <w:r w:rsidR="00DE2CF5">
        <w:rPr>
          <w:szCs w:val="20"/>
          <w:lang w:val="en-GB"/>
        </w:rPr>
        <w:t>t</w:t>
      </w:r>
      <w:r w:rsidR="00862D60" w:rsidRPr="008D6A51">
        <w:rPr>
          <w:szCs w:val="20"/>
          <w:lang w:val="en-GB"/>
        </w:rPr>
        <w:t xml:space="preserve">he project will provide </w:t>
      </w:r>
      <w:r w:rsidR="00862D60">
        <w:rPr>
          <w:szCs w:val="20"/>
          <w:lang w:val="en-GB"/>
        </w:rPr>
        <w:t xml:space="preserve">additional </w:t>
      </w:r>
      <w:r w:rsidR="00862D60" w:rsidRPr="008D6A51">
        <w:rPr>
          <w:szCs w:val="20"/>
          <w:lang w:val="en-GB"/>
        </w:rPr>
        <w:t xml:space="preserve">financing for the procurement of </w:t>
      </w:r>
      <w:r w:rsidR="00862D60">
        <w:rPr>
          <w:szCs w:val="20"/>
          <w:lang w:val="en-GB"/>
        </w:rPr>
        <w:t xml:space="preserve">thermal power </w:t>
      </w:r>
      <w:r w:rsidR="007E79D5">
        <w:rPr>
          <w:szCs w:val="20"/>
          <w:lang w:val="en-GB"/>
        </w:rPr>
        <w:t xml:space="preserve">plant </w:t>
      </w:r>
      <w:r w:rsidR="00E00B22">
        <w:rPr>
          <w:szCs w:val="20"/>
          <w:lang w:val="en-GB"/>
        </w:rPr>
        <w:t>in order to</w:t>
      </w:r>
      <w:r w:rsidR="007E79D5">
        <w:rPr>
          <w:szCs w:val="20"/>
          <w:lang w:val="en-GB"/>
        </w:rPr>
        <w:t xml:space="preserve"> ensure that new customers can be reliably supplied with electricity in the medium-run</w:t>
      </w:r>
      <w:r w:rsidR="00862D60" w:rsidRPr="008D6A51">
        <w:rPr>
          <w:szCs w:val="20"/>
          <w:lang w:val="en-GB"/>
        </w:rPr>
        <w:t xml:space="preserve">. </w:t>
      </w:r>
      <w:r w:rsidR="005C5A9F">
        <w:rPr>
          <w:szCs w:val="20"/>
          <w:lang w:val="en-GB"/>
        </w:rPr>
        <w:t xml:space="preserve"> </w:t>
      </w:r>
      <w:r w:rsidR="006F2013">
        <w:rPr>
          <w:szCs w:val="20"/>
          <w:lang w:val="en-GB"/>
        </w:rPr>
        <w:t>This is also conventional and well known technology.</w:t>
      </w:r>
    </w:p>
    <w:p w:rsidR="00A543F7" w:rsidRDefault="00A543F7">
      <w:pPr>
        <w:pStyle w:val="ListParagraph"/>
        <w:ind w:left="0"/>
        <w:rPr>
          <w:szCs w:val="20"/>
        </w:rPr>
      </w:pPr>
    </w:p>
    <w:p w:rsidR="00A543F7" w:rsidRDefault="00DE2CF5" w:rsidP="00D940CF">
      <w:pPr>
        <w:pStyle w:val="ListParagraph"/>
        <w:numPr>
          <w:ilvl w:val="0"/>
          <w:numId w:val="7"/>
        </w:numPr>
        <w:ind w:left="0" w:firstLine="0"/>
        <w:rPr>
          <w:szCs w:val="20"/>
        </w:rPr>
      </w:pPr>
      <w:r w:rsidRPr="00DE2CF5">
        <w:rPr>
          <w:szCs w:val="20"/>
        </w:rPr>
        <w:t>The investments undertaken will be implemented according to internationally accepted technical criteria and standards.  The technical parameters and estimated costs for all the project components have been evaluated by</w:t>
      </w:r>
      <w:r w:rsidRPr="00DE2CF5">
        <w:rPr>
          <w:szCs w:val="20"/>
          <w:lang w:val="en-GB"/>
        </w:rPr>
        <w:t xml:space="preserve"> the</w:t>
      </w:r>
      <w:r w:rsidRPr="00DE2CF5">
        <w:rPr>
          <w:szCs w:val="20"/>
        </w:rPr>
        <w:t xml:space="preserve"> engineering department of Manitoba Hydro International (MHI), LEC’s management contractor. MHI disposes of cutting edge knowledge in this area, which enables MHI to readily craft technical specifications; to </w:t>
      </w:r>
      <w:r w:rsidR="009A0AD4">
        <w:rPr>
          <w:szCs w:val="20"/>
        </w:rPr>
        <w:t xml:space="preserve">smoothly </w:t>
      </w:r>
      <w:r w:rsidRPr="00DE2CF5">
        <w:rPr>
          <w:szCs w:val="20"/>
        </w:rPr>
        <w:t>evaluate proposals received during calls for bids; and to supervise and monitor the execution of works as has been demonstrated during 2010/2011, which was their first year as management contractors.</w:t>
      </w:r>
    </w:p>
    <w:p w:rsidR="00862D60" w:rsidRPr="00862D60" w:rsidRDefault="00862D60" w:rsidP="00862D60">
      <w:pPr>
        <w:pStyle w:val="Header"/>
        <w:tabs>
          <w:tab w:val="clear" w:pos="4320"/>
          <w:tab w:val="center" w:pos="540"/>
        </w:tabs>
        <w:rPr>
          <w:szCs w:val="20"/>
        </w:rPr>
      </w:pPr>
    </w:p>
    <w:p w:rsidR="00A543F7" w:rsidRDefault="00862D60" w:rsidP="00D940CF">
      <w:pPr>
        <w:pStyle w:val="ListParagraph"/>
        <w:numPr>
          <w:ilvl w:val="0"/>
          <w:numId w:val="7"/>
        </w:numPr>
        <w:ind w:left="0" w:firstLine="0"/>
        <w:rPr>
          <w:szCs w:val="20"/>
        </w:rPr>
      </w:pPr>
      <w:r w:rsidRPr="00862D60">
        <w:rPr>
          <w:szCs w:val="20"/>
          <w:lang w:val="en-GB"/>
        </w:rPr>
        <w:t>The</w:t>
      </w:r>
      <w:r w:rsidR="00DE2CF5">
        <w:rPr>
          <w:szCs w:val="20"/>
          <w:lang w:val="en-GB"/>
        </w:rPr>
        <w:t xml:space="preserve"> new GEF grant in support of</w:t>
      </w:r>
      <w:r w:rsidRPr="00862D60">
        <w:rPr>
          <w:szCs w:val="20"/>
          <w:lang w:val="en-GB"/>
        </w:rPr>
        <w:t xml:space="preserve"> </w:t>
      </w:r>
      <w:r w:rsidR="00DE2CF5">
        <w:rPr>
          <w:szCs w:val="20"/>
          <w:lang w:val="en-GB"/>
        </w:rPr>
        <w:t>C</w:t>
      </w:r>
      <w:r w:rsidRPr="00862D60">
        <w:rPr>
          <w:szCs w:val="20"/>
          <w:lang w:val="en-GB"/>
        </w:rPr>
        <w:t xml:space="preserve">omponent </w:t>
      </w:r>
      <w:r w:rsidR="00DE2CF5">
        <w:rPr>
          <w:szCs w:val="20"/>
          <w:lang w:val="en-GB"/>
        </w:rPr>
        <w:t xml:space="preserve">C </w:t>
      </w:r>
      <w:r w:rsidRPr="00862D60">
        <w:rPr>
          <w:szCs w:val="20"/>
          <w:lang w:val="en-GB"/>
        </w:rPr>
        <w:t xml:space="preserve">of the </w:t>
      </w:r>
      <w:r w:rsidR="00E66B01">
        <w:rPr>
          <w:szCs w:val="20"/>
          <w:lang w:val="en-GB"/>
        </w:rPr>
        <w:t>P</w:t>
      </w:r>
      <w:r w:rsidRPr="00862D60">
        <w:rPr>
          <w:szCs w:val="20"/>
          <w:lang w:val="en-GB"/>
        </w:rPr>
        <w:t xml:space="preserve">roject supports the scale-up of the solar market facilitation effort </w:t>
      </w:r>
      <w:r w:rsidR="00DE2CF5">
        <w:rPr>
          <w:szCs w:val="20"/>
          <w:lang w:val="en-GB"/>
        </w:rPr>
        <w:t xml:space="preserve">already </w:t>
      </w:r>
      <w:r w:rsidRPr="00862D60">
        <w:rPr>
          <w:szCs w:val="20"/>
          <w:lang w:val="en-GB"/>
        </w:rPr>
        <w:t>underway through a solar lantern exchange program.  The program represents an innovative approach for seeding the market on a private-public partnership basis, which is meant to catalyze a fully private sector driven approach</w:t>
      </w:r>
      <w:r>
        <w:rPr>
          <w:szCs w:val="20"/>
          <w:lang w:val="en-GB"/>
        </w:rPr>
        <w:t xml:space="preserve">. </w:t>
      </w:r>
      <w:r w:rsidR="006F2013">
        <w:rPr>
          <w:szCs w:val="20"/>
        </w:rPr>
        <w:t>However, t</w:t>
      </w:r>
      <w:r w:rsidR="006F2013" w:rsidRPr="006F2013">
        <w:rPr>
          <w:szCs w:val="20"/>
        </w:rPr>
        <w:t xml:space="preserve">he proposed off-grid lighting products for use in the lantern exchange program have undergone rigorous testing through the </w:t>
      </w:r>
      <w:r w:rsidR="00DE2CF5">
        <w:rPr>
          <w:szCs w:val="20"/>
        </w:rPr>
        <w:t>“</w:t>
      </w:r>
      <w:r w:rsidR="006F2013" w:rsidRPr="006F2013">
        <w:rPr>
          <w:szCs w:val="20"/>
        </w:rPr>
        <w:t>Lighting Africa</w:t>
      </w:r>
      <w:r w:rsidR="00DE2CF5">
        <w:rPr>
          <w:szCs w:val="20"/>
        </w:rPr>
        <w:t>”</w:t>
      </w:r>
      <w:r w:rsidR="006F2013" w:rsidRPr="006F2013">
        <w:rPr>
          <w:szCs w:val="20"/>
        </w:rPr>
        <w:t xml:space="preserve"> quality assurance program, and commercial dissemination has been supported in Sub-Saharan Africa since 2007 </w:t>
      </w:r>
      <w:r w:rsidR="007D3B47">
        <w:rPr>
          <w:szCs w:val="20"/>
        </w:rPr>
        <w:t>indicating high technical reliability of these products</w:t>
      </w:r>
      <w:r w:rsidR="006F2013" w:rsidRPr="006F2013">
        <w:rPr>
          <w:szCs w:val="20"/>
        </w:rPr>
        <w:t>.</w:t>
      </w:r>
      <w:r w:rsidR="00DE2CF5">
        <w:rPr>
          <w:szCs w:val="20"/>
        </w:rPr>
        <w:t xml:space="preserve"> T</w:t>
      </w:r>
      <w:r w:rsidR="00DE2CF5" w:rsidRPr="00DE2CF5">
        <w:rPr>
          <w:szCs w:val="20"/>
        </w:rPr>
        <w:t>he RREA</w:t>
      </w:r>
      <w:r w:rsidR="00DE2CF5">
        <w:rPr>
          <w:szCs w:val="20"/>
        </w:rPr>
        <w:t>, which is the implementing agency for this component</w:t>
      </w:r>
      <w:r w:rsidR="00FC5D78">
        <w:rPr>
          <w:szCs w:val="20"/>
        </w:rPr>
        <w:t>,</w:t>
      </w:r>
      <w:r w:rsidR="00DE2CF5" w:rsidRPr="00DE2CF5">
        <w:rPr>
          <w:szCs w:val="20"/>
        </w:rPr>
        <w:t xml:space="preserve"> has </w:t>
      </w:r>
      <w:r w:rsidR="00DE2CF5">
        <w:rPr>
          <w:szCs w:val="20"/>
        </w:rPr>
        <w:t>been able to build</w:t>
      </w:r>
      <w:r w:rsidR="00DE2CF5" w:rsidRPr="00DE2CF5">
        <w:rPr>
          <w:szCs w:val="20"/>
        </w:rPr>
        <w:t xml:space="preserve"> adequate technical and administrative capacity in </w:t>
      </w:r>
      <w:r w:rsidR="00DE2CF5">
        <w:rPr>
          <w:szCs w:val="20"/>
        </w:rPr>
        <w:t xml:space="preserve">the </w:t>
      </w:r>
      <w:r w:rsidR="00DE2CF5" w:rsidRPr="00DE2CF5">
        <w:rPr>
          <w:szCs w:val="20"/>
        </w:rPr>
        <w:t xml:space="preserve">implementation of </w:t>
      </w:r>
      <w:r w:rsidR="00DE2CF5" w:rsidRPr="00DE2CF5">
        <w:rPr>
          <w:szCs w:val="20"/>
        </w:rPr>
        <w:lastRenderedPageBreak/>
        <w:t>the AFREA program, and the proposed co-financing does not impose any new requirements in that regard.</w:t>
      </w:r>
    </w:p>
    <w:p w:rsidR="00A543F7" w:rsidRDefault="00A543F7">
      <w:pPr>
        <w:pStyle w:val="ListParagraph"/>
        <w:rPr>
          <w:szCs w:val="20"/>
        </w:rPr>
      </w:pPr>
    </w:p>
    <w:p w:rsidR="00A543F7" w:rsidRDefault="00221C98" w:rsidP="00D940CF">
      <w:pPr>
        <w:pStyle w:val="ListParagraph"/>
        <w:numPr>
          <w:ilvl w:val="0"/>
          <w:numId w:val="7"/>
        </w:numPr>
        <w:ind w:left="0" w:firstLine="0"/>
        <w:rPr>
          <w:szCs w:val="20"/>
        </w:rPr>
      </w:pPr>
      <w:r w:rsidRPr="00221C98">
        <w:rPr>
          <w:b/>
          <w:szCs w:val="20"/>
          <w:lang w:val="en-GB"/>
        </w:rPr>
        <w:t>Financial</w:t>
      </w:r>
      <w:r w:rsidR="00FE3B3C" w:rsidRPr="00DE2CF5">
        <w:rPr>
          <w:b/>
          <w:szCs w:val="20"/>
        </w:rPr>
        <w:t xml:space="preserve"> Management.</w:t>
      </w:r>
      <w:r w:rsidR="00FE3B3C" w:rsidRPr="00DE2CF5">
        <w:rPr>
          <w:szCs w:val="20"/>
        </w:rPr>
        <w:t xml:space="preserve">  </w:t>
      </w:r>
      <w:r w:rsidR="00CF4D3C" w:rsidRPr="00DE2CF5">
        <w:rPr>
          <w:szCs w:val="20"/>
        </w:rPr>
        <w:t xml:space="preserve">The financial management system in operation at both LEC and RREA meet the minimum standards required by the Bank.  </w:t>
      </w:r>
      <w:r w:rsidR="004A1FA9" w:rsidRPr="004A1FA9">
        <w:rPr>
          <w:szCs w:val="20"/>
        </w:rPr>
        <w:t>While the proposed financial management arrangements of the project satisfy the Bank’s minimum requirements under OP/BP 10.02, th</w:t>
      </w:r>
      <w:r w:rsidR="007F38AB" w:rsidRPr="007F38AB">
        <w:rPr>
          <w:szCs w:val="20"/>
        </w:rPr>
        <w:t>e overall fina</w:t>
      </w:r>
      <w:r w:rsidRPr="00221C98">
        <w:rPr>
          <w:szCs w:val="20"/>
        </w:rPr>
        <w:t>ncial management risk was assessed as ‘</w:t>
      </w:r>
      <w:r w:rsidRPr="00221C98">
        <w:rPr>
          <w:i/>
          <w:szCs w:val="20"/>
        </w:rPr>
        <w:t>Substantial’</w:t>
      </w:r>
      <w:r w:rsidRPr="00221C98">
        <w:rPr>
          <w:szCs w:val="20"/>
        </w:rPr>
        <w:t xml:space="preserve"> </w:t>
      </w:r>
      <w:r w:rsidR="00AC71EF">
        <w:rPr>
          <w:szCs w:val="20"/>
        </w:rPr>
        <w:t xml:space="preserve"> under the original operation </w:t>
      </w:r>
      <w:r w:rsidR="005B2CBC" w:rsidRPr="00DE2CF5">
        <w:rPr>
          <w:szCs w:val="20"/>
        </w:rPr>
        <w:t>but reduced to a residual risk rating of ‘</w:t>
      </w:r>
      <w:r w:rsidR="005B2CBC" w:rsidRPr="00DE2CF5">
        <w:rPr>
          <w:i/>
          <w:szCs w:val="20"/>
        </w:rPr>
        <w:t>Moderate</w:t>
      </w:r>
      <w:r w:rsidR="005B2CBC" w:rsidRPr="00DE2CF5">
        <w:rPr>
          <w:szCs w:val="20"/>
        </w:rPr>
        <w:t xml:space="preserve">’ in respect of LEC in view of the risk mitigation measures </w:t>
      </w:r>
      <w:r w:rsidR="00AC71EF">
        <w:rPr>
          <w:szCs w:val="20"/>
        </w:rPr>
        <w:t>implemented by MHI</w:t>
      </w:r>
      <w:r w:rsidR="005B2CBC" w:rsidRPr="00DE2CF5">
        <w:rPr>
          <w:szCs w:val="20"/>
        </w:rPr>
        <w:t>. LEC will be responsible for the i</w:t>
      </w:r>
      <w:r w:rsidR="00DE6421" w:rsidRPr="00DE2CF5">
        <w:rPr>
          <w:szCs w:val="20"/>
        </w:rPr>
        <w:t>mplementation of the IDA financing and RREA for the GEF grant.</w:t>
      </w:r>
    </w:p>
    <w:p w:rsidR="00DE6421" w:rsidRPr="00DE2CF5" w:rsidRDefault="00DE6421" w:rsidP="00DE6421">
      <w:pPr>
        <w:pStyle w:val="Header"/>
        <w:tabs>
          <w:tab w:val="clear" w:pos="4320"/>
          <w:tab w:val="center" w:pos="540"/>
        </w:tabs>
        <w:rPr>
          <w:szCs w:val="20"/>
        </w:rPr>
      </w:pPr>
    </w:p>
    <w:p w:rsidR="00A543F7" w:rsidRDefault="004A1FA9" w:rsidP="00D940CF">
      <w:pPr>
        <w:pStyle w:val="ListParagraph"/>
        <w:numPr>
          <w:ilvl w:val="0"/>
          <w:numId w:val="7"/>
        </w:numPr>
        <w:ind w:left="0" w:firstLine="0"/>
        <w:rPr>
          <w:szCs w:val="20"/>
        </w:rPr>
      </w:pPr>
      <w:r>
        <w:rPr>
          <w:b/>
          <w:szCs w:val="20"/>
        </w:rPr>
        <w:t>Procurement Arrangements</w:t>
      </w:r>
      <w:r>
        <w:rPr>
          <w:szCs w:val="20"/>
        </w:rPr>
        <w:t xml:space="preserve">. </w:t>
      </w:r>
      <w:r w:rsidR="005C5A9F">
        <w:rPr>
          <w:szCs w:val="20"/>
        </w:rPr>
        <w:t xml:space="preserve"> </w:t>
      </w:r>
      <w:r>
        <w:rPr>
          <w:szCs w:val="20"/>
        </w:rPr>
        <w:t>LEC</w:t>
      </w:r>
      <w:r>
        <w:rPr>
          <w:b/>
          <w:szCs w:val="20"/>
        </w:rPr>
        <w:t xml:space="preserve"> </w:t>
      </w:r>
      <w:r>
        <w:rPr>
          <w:szCs w:val="20"/>
        </w:rPr>
        <w:t>is in compliance with the Liberian Public Procurement and Concessions Act, has a pro</w:t>
      </w:r>
      <w:r w:rsidR="003B20C0" w:rsidRPr="003B20C0">
        <w:rPr>
          <w:szCs w:val="20"/>
        </w:rPr>
        <w:t>curement unit staffed with officers with good academic background, has adequate internal technical and administrative controls and anti-corruption measures and appeals mechanisms for bidders.  Further, th</w:t>
      </w:r>
      <w:r w:rsidR="003B20C0">
        <w:rPr>
          <w:szCs w:val="20"/>
        </w:rPr>
        <w:t xml:space="preserve">e Management Contractor MHI has </w:t>
      </w:r>
      <w:r w:rsidR="00537CEE">
        <w:rPr>
          <w:szCs w:val="20"/>
        </w:rPr>
        <w:t xml:space="preserve">started </w:t>
      </w:r>
      <w:r w:rsidR="003B20C0" w:rsidRPr="003B20C0">
        <w:rPr>
          <w:szCs w:val="20"/>
        </w:rPr>
        <w:t>the capacity of the local staff to handle donor funded projects</w:t>
      </w:r>
      <w:r w:rsidR="003B20C0" w:rsidRPr="008333FC">
        <w:rPr>
          <w:szCs w:val="20"/>
        </w:rPr>
        <w:t xml:space="preserve">.  However, the recent resignation of executive director of the procurement department has to be addressed in order to support the procurement activities of donor funded programs. </w:t>
      </w:r>
      <w:r w:rsidR="001D0C6E">
        <w:rPr>
          <w:szCs w:val="20"/>
        </w:rPr>
        <w:t xml:space="preserve">In order to remedy this risk, </w:t>
      </w:r>
      <w:r w:rsidR="001D0C6E" w:rsidRPr="001D0C6E">
        <w:rPr>
          <w:szCs w:val="20"/>
        </w:rPr>
        <w:t>the procurement capacity at LEC will be strengthened through the recruitment of a procurement officer and through dedicated training for LEC staff on procurement</w:t>
      </w:r>
      <w:r w:rsidR="001D0C6E">
        <w:rPr>
          <w:szCs w:val="20"/>
        </w:rPr>
        <w:t xml:space="preserve"> under the Additional Financing</w:t>
      </w:r>
      <w:r w:rsidR="001D0C6E" w:rsidRPr="001D0C6E">
        <w:rPr>
          <w:szCs w:val="20"/>
        </w:rPr>
        <w:t xml:space="preserve">. </w:t>
      </w:r>
    </w:p>
    <w:p w:rsidR="00CD025C" w:rsidRDefault="00CD025C" w:rsidP="00CD025C">
      <w:pPr>
        <w:pStyle w:val="ListParagraph"/>
        <w:rPr>
          <w:szCs w:val="20"/>
        </w:rPr>
      </w:pPr>
    </w:p>
    <w:p w:rsidR="00A543F7" w:rsidRDefault="003B20C0" w:rsidP="00D940CF">
      <w:pPr>
        <w:pStyle w:val="ListParagraph"/>
        <w:numPr>
          <w:ilvl w:val="0"/>
          <w:numId w:val="7"/>
        </w:numPr>
        <w:ind w:left="0" w:firstLine="0"/>
        <w:rPr>
          <w:szCs w:val="20"/>
        </w:rPr>
      </w:pPr>
      <w:r w:rsidRPr="00CD025C">
        <w:rPr>
          <w:szCs w:val="20"/>
        </w:rPr>
        <w:t xml:space="preserve">As a </w:t>
      </w:r>
      <w:r w:rsidR="00AC71EF">
        <w:rPr>
          <w:szCs w:val="20"/>
        </w:rPr>
        <w:t>G</w:t>
      </w:r>
      <w:r w:rsidRPr="00CD025C">
        <w:rPr>
          <w:szCs w:val="20"/>
        </w:rPr>
        <w:t xml:space="preserve">overnment agency, the RREA responds to the rules of the Liberian Public Procurement and Concessions Commission.  As the RREA is a newly established agency, however, </w:t>
      </w:r>
      <w:r w:rsidR="00CD025C" w:rsidRPr="00CD025C">
        <w:rPr>
          <w:szCs w:val="20"/>
        </w:rPr>
        <w:t>the full statutes establishing the Agency have been in final draft stage for over a year as the Legislature have not yet ratified the required legislation. It is hoped that the Legislature, which is currently on agricultural break until January 2012, will soon ratify the legislation. Through LESEP, RREA has now started building a procurement management track record, in procurement planning, preparation of bidding documents, management of bidding process from advertisement to bid opening, bid evaluation, contract award, preparation and signing of contract, contract management and the general handling of the procurement cycle</w:t>
      </w:r>
      <w:r w:rsidR="00AC71EF">
        <w:rPr>
          <w:szCs w:val="20"/>
        </w:rPr>
        <w:t>.</w:t>
      </w:r>
      <w:r w:rsidR="00CD025C" w:rsidRPr="00CD025C">
        <w:rPr>
          <w:szCs w:val="20"/>
        </w:rPr>
        <w:t xml:space="preserve"> The overall procurement risk is high</w:t>
      </w:r>
      <w:r w:rsidR="00CD025C">
        <w:rPr>
          <w:szCs w:val="20"/>
        </w:rPr>
        <w:t xml:space="preserve">. </w:t>
      </w:r>
    </w:p>
    <w:p w:rsidR="00CF4D3C" w:rsidRPr="00FE3B3C" w:rsidRDefault="00CF4D3C" w:rsidP="00FE3B3C">
      <w:pPr>
        <w:pStyle w:val="Header"/>
        <w:tabs>
          <w:tab w:val="clear" w:pos="4320"/>
          <w:tab w:val="center" w:pos="540"/>
        </w:tabs>
        <w:rPr>
          <w:szCs w:val="20"/>
        </w:rPr>
      </w:pPr>
    </w:p>
    <w:p w:rsidR="00A543F7" w:rsidRDefault="00FE3B3C" w:rsidP="00D940CF">
      <w:pPr>
        <w:pStyle w:val="ListParagraph"/>
        <w:numPr>
          <w:ilvl w:val="0"/>
          <w:numId w:val="7"/>
        </w:numPr>
        <w:ind w:left="0" w:firstLine="0"/>
        <w:rPr>
          <w:szCs w:val="20"/>
        </w:rPr>
      </w:pPr>
      <w:r w:rsidRPr="00FE3B3C">
        <w:rPr>
          <w:b/>
          <w:szCs w:val="20"/>
        </w:rPr>
        <w:t>Financial Analysis (project financials</w:t>
      </w:r>
      <w:r w:rsidRPr="00AC71EF">
        <w:rPr>
          <w:b/>
          <w:szCs w:val="20"/>
        </w:rPr>
        <w:t>)</w:t>
      </w:r>
      <w:bookmarkStart w:id="7" w:name="_Toc264468334"/>
      <w:r w:rsidR="00080ABA" w:rsidRPr="00AC71EF">
        <w:rPr>
          <w:szCs w:val="20"/>
        </w:rPr>
        <w:t xml:space="preserve">. </w:t>
      </w:r>
      <w:r w:rsidR="005C5A9F">
        <w:rPr>
          <w:szCs w:val="20"/>
        </w:rPr>
        <w:t xml:space="preserve"> </w:t>
      </w:r>
      <w:r w:rsidR="00221C98" w:rsidRPr="00221C98">
        <w:rPr>
          <w:szCs w:val="20"/>
        </w:rPr>
        <w:t xml:space="preserve">The financial analysis indicates that the proposed Additional Financing is financially viable under the two scenarios of possibilities for thermal generation.  Under the scenario of procuring an HFO thermal plant, LEC would achieve a Financial Internal Rate of Return (FIRR) of 22.7 percent and a Net Present Value (NPV) of US$29 million for this additional activity. If medium speed dual fuel plant were selected, LEC would achieve a FIRR of 13.5 percent and a NPV of $17 million for this additional activity.  Under both cases, LEC would be able to reimburse the </w:t>
      </w:r>
      <w:r w:rsidR="00AC71EF">
        <w:rPr>
          <w:szCs w:val="20"/>
        </w:rPr>
        <w:t>IDA credit</w:t>
      </w:r>
      <w:r w:rsidR="00221C98" w:rsidRPr="00221C98">
        <w:rPr>
          <w:szCs w:val="20"/>
        </w:rPr>
        <w:t xml:space="preserve">. </w:t>
      </w:r>
    </w:p>
    <w:p w:rsidR="00537CEE" w:rsidRPr="0088032D" w:rsidRDefault="00537CEE" w:rsidP="00537CEE">
      <w:pPr>
        <w:pStyle w:val="ListParagraph"/>
        <w:rPr>
          <w:szCs w:val="20"/>
          <w:highlight w:val="yellow"/>
          <w:lang w:val="en-GB"/>
        </w:rPr>
      </w:pPr>
    </w:p>
    <w:p w:rsidR="00A543F7" w:rsidRDefault="00221C98" w:rsidP="00D940CF">
      <w:pPr>
        <w:pStyle w:val="ListParagraph"/>
        <w:numPr>
          <w:ilvl w:val="0"/>
          <w:numId w:val="7"/>
        </w:numPr>
        <w:ind w:left="0" w:firstLine="0"/>
        <w:rPr>
          <w:b/>
          <w:szCs w:val="20"/>
        </w:rPr>
      </w:pPr>
      <w:r w:rsidRPr="00221C98">
        <w:rPr>
          <w:szCs w:val="20"/>
        </w:rPr>
        <w:t>Additional sensitivity analysis has been carried out to assess the financial viability of the additional investments under various scenarios including (</w:t>
      </w:r>
      <w:proofErr w:type="spellStart"/>
      <w:r w:rsidRPr="00221C98">
        <w:rPr>
          <w:szCs w:val="20"/>
        </w:rPr>
        <w:t>i</w:t>
      </w:r>
      <w:proofErr w:type="spellEnd"/>
      <w:r w:rsidRPr="00221C98">
        <w:rPr>
          <w:szCs w:val="20"/>
        </w:rPr>
        <w:t>) switching value in terms of number of years that medium speed dual fuel plan can run with diesel in order to be viable, (ii) changes in electricity tariffs</w:t>
      </w:r>
      <w:r w:rsidR="005C5A9F">
        <w:rPr>
          <w:szCs w:val="20"/>
        </w:rPr>
        <w:t xml:space="preserve">; </w:t>
      </w:r>
      <w:r w:rsidRPr="00221C98">
        <w:rPr>
          <w:szCs w:val="20"/>
        </w:rPr>
        <w:t xml:space="preserve">and (iii) changes of the capacity factor. </w:t>
      </w:r>
      <w:r w:rsidR="005C5A9F">
        <w:rPr>
          <w:szCs w:val="20"/>
        </w:rPr>
        <w:t xml:space="preserve"> </w:t>
      </w:r>
      <w:r w:rsidRPr="00221C98">
        <w:rPr>
          <w:szCs w:val="20"/>
        </w:rPr>
        <w:t>The project will start becoming financially unattractive (</w:t>
      </w:r>
      <w:proofErr w:type="spellStart"/>
      <w:r w:rsidRPr="00221C98">
        <w:rPr>
          <w:szCs w:val="20"/>
        </w:rPr>
        <w:t>i</w:t>
      </w:r>
      <w:proofErr w:type="spellEnd"/>
      <w:r w:rsidRPr="00221C98">
        <w:rPr>
          <w:szCs w:val="20"/>
        </w:rPr>
        <w:t xml:space="preserve">) if the medium speed dual fuel plant runs for more than 4 years on </w:t>
      </w:r>
      <w:r w:rsidRPr="00221C98">
        <w:rPr>
          <w:szCs w:val="20"/>
        </w:rPr>
        <w:lastRenderedPageBreak/>
        <w:t xml:space="preserve">diesel; (ii) if the tariff were decreased by over 22 percent for the HFO power plant and 13 percent for the medium speed dual fuel plant; and (iii) if the capacity factor is lower than 16 percent for the HFO power plant and lower than 24 percent for the medium speed dual fuel plant. </w:t>
      </w:r>
    </w:p>
    <w:p w:rsidR="00CF4D3C" w:rsidRDefault="00CF4D3C" w:rsidP="00FE3B3C">
      <w:pPr>
        <w:pStyle w:val="ListParagraph"/>
        <w:rPr>
          <w:b/>
          <w:szCs w:val="20"/>
        </w:rPr>
      </w:pPr>
    </w:p>
    <w:bookmarkEnd w:id="7"/>
    <w:p w:rsidR="00986F13" w:rsidRDefault="00271031" w:rsidP="00D940CF">
      <w:pPr>
        <w:pStyle w:val="ListParagraph"/>
        <w:numPr>
          <w:ilvl w:val="0"/>
          <w:numId w:val="7"/>
        </w:numPr>
        <w:tabs>
          <w:tab w:val="center" w:pos="540"/>
        </w:tabs>
        <w:ind w:left="0" w:firstLine="0"/>
      </w:pPr>
      <w:r w:rsidRPr="00986F13">
        <w:rPr>
          <w:b/>
          <w:szCs w:val="20"/>
        </w:rPr>
        <w:t>Environmental</w:t>
      </w:r>
      <w:r w:rsidRPr="00986F13">
        <w:rPr>
          <w:b/>
        </w:rPr>
        <w:t xml:space="preserve"> and Social Safeguards</w:t>
      </w:r>
      <w:r w:rsidR="00986F13">
        <w:rPr>
          <w:b/>
        </w:rPr>
        <w:t xml:space="preserve"> (Category B)</w:t>
      </w:r>
      <w:r w:rsidRPr="00986F13">
        <w:rPr>
          <w:b/>
        </w:rPr>
        <w:t>.</w:t>
      </w:r>
      <w:r>
        <w:t xml:space="preserve">  The safeguard category of the LESEP with the additional financing remains as B since there are no significant and/or irreversible adverse environmental and social issues expected from electricity infrastructure components financed under the proposed project. </w:t>
      </w:r>
      <w:r w:rsidR="005C5A9F">
        <w:t xml:space="preserve"> </w:t>
      </w:r>
      <w:r>
        <w:t xml:space="preserve">The World Bank policies for Environmental Assessment (OP/BP 4.01) and Involuntary Resettlement (OP/BP 4.12) are nevertheless triggered.  In general, the project is expected to positively impact the beneficiary communities and individuals as access to electricity will reduce the cost of engaging in productive uses, improve safety, and enable better education and health services. </w:t>
      </w:r>
      <w:r w:rsidR="00986F13">
        <w:t>P</w:t>
      </w:r>
      <w:r>
        <w:t xml:space="preserve">otential negative environmental and social impacts of the proposed project activities are expected to be small-scale and site-specific.  </w:t>
      </w:r>
    </w:p>
    <w:p w:rsidR="00986F13" w:rsidRDefault="00986F13" w:rsidP="00986F13">
      <w:pPr>
        <w:pStyle w:val="ListParagraph"/>
      </w:pPr>
    </w:p>
    <w:p w:rsidR="00090303" w:rsidRDefault="003F7461" w:rsidP="00D940CF">
      <w:pPr>
        <w:pStyle w:val="ListParagraph"/>
        <w:numPr>
          <w:ilvl w:val="0"/>
          <w:numId w:val="7"/>
        </w:numPr>
        <w:tabs>
          <w:tab w:val="center" w:pos="540"/>
        </w:tabs>
        <w:ind w:left="0" w:firstLine="0"/>
      </w:pPr>
      <w:r>
        <w:t>Under the original project,</w:t>
      </w:r>
      <w:r w:rsidR="00271031">
        <w:t xml:space="preserve"> </w:t>
      </w:r>
      <w:r>
        <w:t>an</w:t>
      </w:r>
      <w:r w:rsidR="00271031">
        <w:t xml:space="preserve"> Environment</w:t>
      </w:r>
      <w:r>
        <w:t>al</w:t>
      </w:r>
      <w:r w:rsidR="00271031">
        <w:t xml:space="preserve"> and Social Management Framework (ESMF) and the Resettlement Policy Framework (RPF) have been </w:t>
      </w:r>
      <w:r>
        <w:t>prepared</w:t>
      </w:r>
      <w:r w:rsidR="00271031">
        <w:t xml:space="preserve"> and disclosed. </w:t>
      </w:r>
      <w:r w:rsidR="005C5A9F">
        <w:t xml:space="preserve"> </w:t>
      </w:r>
      <w:r w:rsidR="00271031">
        <w:t xml:space="preserve">These frameworks </w:t>
      </w:r>
      <w:r w:rsidR="00411295">
        <w:t>describe what</w:t>
      </w:r>
      <w:r w:rsidR="00271031">
        <w:t xml:space="preserve"> actions </w:t>
      </w:r>
      <w:r w:rsidR="00411295">
        <w:t xml:space="preserve">are to be taken when encountering a safeguards issue in the energy sector. </w:t>
      </w:r>
      <w:r w:rsidR="00411295" w:rsidRPr="00411295">
        <w:t xml:space="preserve">Both instruments are designed to guide LEC and the RREA as implementing </w:t>
      </w:r>
      <w:r w:rsidR="00411295" w:rsidRPr="004E7E62">
        <w:t xml:space="preserve">agencies for their respective components. </w:t>
      </w:r>
      <w:r w:rsidR="00271031" w:rsidRPr="004E7E62">
        <w:t>The</w:t>
      </w:r>
      <w:r w:rsidR="00411295" w:rsidRPr="004E7E62">
        <w:t xml:space="preserve"> ESMF and RPF</w:t>
      </w:r>
      <w:r w:rsidR="00271031" w:rsidRPr="004E7E62">
        <w:t xml:space="preserve"> were disclosed </w:t>
      </w:r>
      <w:r w:rsidR="00932278">
        <w:t>in</w:t>
      </w:r>
      <w:r w:rsidR="00271031" w:rsidRPr="004E7E62">
        <w:t xml:space="preserve"> </w:t>
      </w:r>
      <w:proofErr w:type="spellStart"/>
      <w:r w:rsidR="00932278">
        <w:t>I</w:t>
      </w:r>
      <w:r w:rsidR="00271031" w:rsidRPr="004E7E62">
        <w:t>nfoshop</w:t>
      </w:r>
      <w:proofErr w:type="spellEnd"/>
      <w:r w:rsidR="00271031" w:rsidRPr="004E7E62">
        <w:t xml:space="preserve"> on </w:t>
      </w:r>
      <w:r w:rsidR="00800214">
        <w:t>September 14</w:t>
      </w:r>
      <w:r w:rsidR="00221C98" w:rsidRPr="004E7E62">
        <w:t>, 2010</w:t>
      </w:r>
      <w:r w:rsidR="00271031" w:rsidRPr="004E7E62">
        <w:t>.  The</w:t>
      </w:r>
      <w:r w:rsidR="00271031">
        <w:t xml:space="preserve"> activities under the </w:t>
      </w:r>
      <w:r w:rsidR="00411295">
        <w:t>A</w:t>
      </w:r>
      <w:r w:rsidR="00271031">
        <w:t xml:space="preserve">dditional </w:t>
      </w:r>
      <w:r w:rsidR="00411295">
        <w:t>F</w:t>
      </w:r>
      <w:r w:rsidR="00271031">
        <w:t>inancing will build on these two frameworks</w:t>
      </w:r>
      <w:r w:rsidR="00411295">
        <w:t>. For the proposed thermal power plant and fuel off-loading and storage facility both an</w:t>
      </w:r>
      <w:r w:rsidR="00271031">
        <w:t xml:space="preserve"> ESIA and </w:t>
      </w:r>
      <w:r w:rsidR="00411295">
        <w:t xml:space="preserve">a </w:t>
      </w:r>
      <w:r w:rsidR="00271031">
        <w:t>RAP</w:t>
      </w:r>
      <w:r w:rsidR="00411295">
        <w:t xml:space="preserve"> are being procured</w:t>
      </w:r>
      <w:r w:rsidR="00271031">
        <w:t xml:space="preserve">. </w:t>
      </w:r>
    </w:p>
    <w:p w:rsidR="003F36B3" w:rsidRDefault="003F36B3" w:rsidP="003F52A8">
      <w:pPr>
        <w:pStyle w:val="PDSAnnexHeading"/>
      </w:pPr>
    </w:p>
    <w:p w:rsidR="00460A8A" w:rsidRDefault="00460A8A">
      <w:pPr>
        <w:spacing w:after="200" w:line="276" w:lineRule="auto"/>
        <w:rPr>
          <w:b/>
          <w:szCs w:val="20"/>
        </w:rPr>
      </w:pPr>
      <w:r>
        <w:br w:type="page"/>
      </w:r>
    </w:p>
    <w:p w:rsidR="003F52A8" w:rsidRPr="00AF13E9" w:rsidRDefault="003F52A8" w:rsidP="003D2522">
      <w:pPr>
        <w:pStyle w:val="Heading1"/>
        <w:jc w:val="center"/>
      </w:pPr>
      <w:bookmarkStart w:id="8" w:name="_Toc308712767"/>
      <w:r w:rsidRPr="00AF13E9">
        <w:t>Annex 1:  Results Framework and Monitoring</w:t>
      </w:r>
      <w:bookmarkEnd w:id="8"/>
    </w:p>
    <w:p w:rsidR="005C5A9F" w:rsidRDefault="005C5A9F" w:rsidP="003F52A8">
      <w:pPr>
        <w:jc w:val="center"/>
        <w:rPr>
          <w:b/>
          <w:bCs/>
        </w:rPr>
      </w:pPr>
    </w:p>
    <w:p w:rsidR="005C5A9F" w:rsidRPr="005C5A9F" w:rsidRDefault="005C5A9F" w:rsidP="005C5A9F">
      <w:pPr>
        <w:jc w:val="center"/>
        <w:rPr>
          <w:b/>
          <w:bCs/>
        </w:rPr>
      </w:pPr>
      <w:r>
        <w:rPr>
          <w:b/>
          <w:bCs/>
        </w:rPr>
        <w:t xml:space="preserve">Additional Financing:  LIBERIA </w:t>
      </w:r>
      <w:r w:rsidRPr="005C5A9F">
        <w:rPr>
          <w:b/>
          <w:bCs/>
        </w:rPr>
        <w:t>Electricity System Enhancement Project</w:t>
      </w:r>
    </w:p>
    <w:p w:rsidR="005C5A9F" w:rsidRDefault="005C5A9F" w:rsidP="003F52A8">
      <w:pPr>
        <w:jc w:val="center"/>
        <w:rPr>
          <w:b/>
          <w:bCs/>
        </w:rPr>
      </w:pPr>
    </w:p>
    <w:p w:rsidR="005C5A9F" w:rsidRDefault="005C5A9F" w:rsidP="003F52A8">
      <w:pPr>
        <w:jc w:val="center"/>
        <w:rPr>
          <w:b/>
          <w:bCs/>
        </w:rPr>
      </w:pPr>
    </w:p>
    <w:p w:rsidR="003F52A8" w:rsidRPr="00AF13E9" w:rsidRDefault="003F52A8" w:rsidP="003F52A8">
      <w:pPr>
        <w:jc w:val="center"/>
        <w:rPr>
          <w:b/>
          <w:bCs/>
        </w:rPr>
      </w:pPr>
      <w:r w:rsidRPr="00AF13E9">
        <w:rPr>
          <w:b/>
          <w:bCs/>
        </w:rPr>
        <w:t>Results Framework</w:t>
      </w:r>
    </w:p>
    <w:p w:rsidR="003F52A8" w:rsidRDefault="003F52A8" w:rsidP="003F52A8">
      <w:pPr>
        <w:jc w:val="center"/>
        <w:rPr>
          <w:caps/>
        </w:rPr>
      </w:pPr>
    </w:p>
    <w:p w:rsidR="00D752D8" w:rsidRDefault="00D752D8" w:rsidP="003F52A8">
      <w:pPr>
        <w:jc w:val="center"/>
        <w:rPr>
          <w:cap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3690"/>
        <w:gridCol w:w="3060"/>
      </w:tblGrid>
      <w:tr w:rsidR="00D752D8" w:rsidRPr="001F6AFB" w:rsidTr="001F6AFB">
        <w:trPr>
          <w:trHeight w:val="377"/>
          <w:tblHeader/>
        </w:trPr>
        <w:tc>
          <w:tcPr>
            <w:tcW w:w="6408" w:type="dxa"/>
            <w:gridSpan w:val="2"/>
            <w:shd w:val="clear" w:color="auto" w:fill="E6E6E6"/>
            <w:vAlign w:val="center"/>
          </w:tcPr>
          <w:p w:rsidR="00D752D8" w:rsidRPr="001F6AFB" w:rsidRDefault="00D752D8" w:rsidP="001F6AFB">
            <w:pPr>
              <w:jc w:val="center"/>
              <w:rPr>
                <w:b/>
                <w:bCs/>
              </w:rPr>
            </w:pPr>
            <w:r w:rsidRPr="001F6AFB">
              <w:rPr>
                <w:b/>
                <w:bCs/>
                <w:sz w:val="22"/>
                <w:szCs w:val="22"/>
              </w:rPr>
              <w:t>Revisions to the Results Framework</w:t>
            </w:r>
          </w:p>
        </w:tc>
        <w:tc>
          <w:tcPr>
            <w:tcW w:w="3060" w:type="dxa"/>
            <w:shd w:val="clear" w:color="auto" w:fill="E6E6E6"/>
          </w:tcPr>
          <w:p w:rsidR="00D752D8" w:rsidRPr="001F6AFB" w:rsidRDefault="00D752D8" w:rsidP="00D752D8">
            <w:pPr>
              <w:jc w:val="center"/>
              <w:rPr>
                <w:b/>
                <w:bCs/>
              </w:rPr>
            </w:pPr>
            <w:r w:rsidRPr="001F6AFB">
              <w:rPr>
                <w:b/>
                <w:bCs/>
                <w:sz w:val="22"/>
                <w:szCs w:val="22"/>
              </w:rPr>
              <w:t>Comments/</w:t>
            </w:r>
            <w:r w:rsidRPr="001F6AFB">
              <w:rPr>
                <w:b/>
                <w:bCs/>
                <w:sz w:val="22"/>
                <w:szCs w:val="22"/>
              </w:rPr>
              <w:br/>
              <w:t>Rationale for Change</w:t>
            </w:r>
          </w:p>
        </w:tc>
      </w:tr>
      <w:tr w:rsidR="00D752D8" w:rsidRPr="001F6AFB" w:rsidTr="001F6AFB">
        <w:trPr>
          <w:trHeight w:val="377"/>
        </w:trPr>
        <w:tc>
          <w:tcPr>
            <w:tcW w:w="9468" w:type="dxa"/>
            <w:gridSpan w:val="3"/>
            <w:shd w:val="clear" w:color="auto" w:fill="E6E6E6"/>
            <w:vAlign w:val="center"/>
          </w:tcPr>
          <w:p w:rsidR="00D752D8" w:rsidRPr="001F6AFB" w:rsidRDefault="00D752D8" w:rsidP="001F6AFB">
            <w:pPr>
              <w:jc w:val="center"/>
              <w:rPr>
                <w:b/>
                <w:bCs/>
              </w:rPr>
            </w:pPr>
            <w:r w:rsidRPr="001F6AFB">
              <w:rPr>
                <w:b/>
                <w:bCs/>
                <w:sz w:val="22"/>
                <w:szCs w:val="22"/>
              </w:rPr>
              <w:t>PDO</w:t>
            </w:r>
          </w:p>
        </w:tc>
      </w:tr>
      <w:tr w:rsidR="00D752D8" w:rsidRPr="001F6AFB" w:rsidTr="00F71554">
        <w:trPr>
          <w:trHeight w:val="151"/>
        </w:trPr>
        <w:tc>
          <w:tcPr>
            <w:tcW w:w="2718" w:type="dxa"/>
            <w:tcBorders>
              <w:bottom w:val="single" w:sz="4" w:space="0" w:color="auto"/>
            </w:tcBorders>
            <w:shd w:val="clear" w:color="auto" w:fill="BFBFBF"/>
          </w:tcPr>
          <w:p w:rsidR="00D752D8" w:rsidRPr="001F6AFB" w:rsidRDefault="00D752D8" w:rsidP="00D752D8">
            <w:pPr>
              <w:jc w:val="center"/>
              <w:rPr>
                <w:b/>
                <w:bCs/>
              </w:rPr>
            </w:pPr>
            <w:r w:rsidRPr="001F6AFB">
              <w:rPr>
                <w:b/>
                <w:bCs/>
                <w:sz w:val="22"/>
                <w:szCs w:val="22"/>
              </w:rPr>
              <w:t>Current (PAD)</w:t>
            </w:r>
          </w:p>
        </w:tc>
        <w:tc>
          <w:tcPr>
            <w:tcW w:w="3690" w:type="dxa"/>
            <w:tcBorders>
              <w:bottom w:val="single" w:sz="4" w:space="0" w:color="auto"/>
            </w:tcBorders>
            <w:shd w:val="clear" w:color="auto" w:fill="BFBFBF"/>
          </w:tcPr>
          <w:p w:rsidR="00D752D8" w:rsidRPr="001F6AFB" w:rsidRDefault="00D752D8" w:rsidP="00D752D8">
            <w:pPr>
              <w:jc w:val="center"/>
              <w:rPr>
                <w:b/>
                <w:bCs/>
              </w:rPr>
            </w:pPr>
            <w:r w:rsidRPr="001F6AFB">
              <w:rPr>
                <w:b/>
                <w:bCs/>
                <w:sz w:val="22"/>
                <w:szCs w:val="22"/>
              </w:rPr>
              <w:t>Proposed</w:t>
            </w:r>
          </w:p>
        </w:tc>
        <w:tc>
          <w:tcPr>
            <w:tcW w:w="3060" w:type="dxa"/>
            <w:shd w:val="clear" w:color="auto" w:fill="BFBFBF"/>
          </w:tcPr>
          <w:p w:rsidR="00D752D8" w:rsidRPr="001F6AFB" w:rsidRDefault="00D752D8" w:rsidP="00D752D8">
            <w:pPr>
              <w:jc w:val="center"/>
              <w:rPr>
                <w:b/>
                <w:bCs/>
              </w:rPr>
            </w:pPr>
          </w:p>
        </w:tc>
      </w:tr>
      <w:tr w:rsidR="00D752D8" w:rsidRPr="001F6AFB" w:rsidTr="00906C59">
        <w:trPr>
          <w:trHeight w:val="557"/>
        </w:trPr>
        <w:tc>
          <w:tcPr>
            <w:tcW w:w="2718" w:type="dxa"/>
            <w:tcBorders>
              <w:bottom w:val="single" w:sz="4" w:space="0" w:color="auto"/>
            </w:tcBorders>
          </w:tcPr>
          <w:p w:rsidR="00D752D8" w:rsidRPr="001F6AFB" w:rsidRDefault="00D752D8" w:rsidP="001F6AFB">
            <w:pPr>
              <w:rPr>
                <w:bCs/>
              </w:rPr>
            </w:pPr>
            <w:r w:rsidRPr="001F6AFB">
              <w:rPr>
                <w:bCs/>
                <w:sz w:val="22"/>
                <w:szCs w:val="22"/>
              </w:rPr>
              <w:t>Improve and increase access to electricity</w:t>
            </w:r>
          </w:p>
        </w:tc>
        <w:tc>
          <w:tcPr>
            <w:tcW w:w="3690" w:type="dxa"/>
            <w:tcBorders>
              <w:bottom w:val="single" w:sz="4" w:space="0" w:color="auto"/>
            </w:tcBorders>
          </w:tcPr>
          <w:p w:rsidR="00D752D8" w:rsidRPr="001F6AFB" w:rsidRDefault="00D752D8" w:rsidP="00D752D8">
            <w:pPr>
              <w:jc w:val="center"/>
              <w:rPr>
                <w:b/>
                <w:bCs/>
              </w:rPr>
            </w:pPr>
          </w:p>
        </w:tc>
        <w:tc>
          <w:tcPr>
            <w:tcW w:w="3060" w:type="dxa"/>
            <w:tcBorders>
              <w:bottom w:val="single" w:sz="4" w:space="0" w:color="auto"/>
            </w:tcBorders>
          </w:tcPr>
          <w:p w:rsidR="00D752D8" w:rsidRPr="001F6AFB" w:rsidRDefault="00D752D8" w:rsidP="001F6AFB">
            <w:pPr>
              <w:rPr>
                <w:bCs/>
              </w:rPr>
            </w:pPr>
            <w:r w:rsidRPr="001F6AFB">
              <w:rPr>
                <w:bCs/>
                <w:sz w:val="22"/>
                <w:szCs w:val="22"/>
              </w:rPr>
              <w:t>(No change)</w:t>
            </w:r>
          </w:p>
        </w:tc>
      </w:tr>
      <w:tr w:rsidR="00D752D8" w:rsidRPr="001F6AFB" w:rsidTr="001F6AFB">
        <w:trPr>
          <w:trHeight w:val="377"/>
        </w:trPr>
        <w:tc>
          <w:tcPr>
            <w:tcW w:w="9468" w:type="dxa"/>
            <w:gridSpan w:val="3"/>
            <w:shd w:val="clear" w:color="auto" w:fill="E6E6E6"/>
            <w:vAlign w:val="center"/>
          </w:tcPr>
          <w:p w:rsidR="00D752D8" w:rsidRPr="001F6AFB" w:rsidRDefault="00D752D8" w:rsidP="001F6AFB">
            <w:pPr>
              <w:jc w:val="center"/>
              <w:rPr>
                <w:b/>
                <w:bCs/>
              </w:rPr>
            </w:pPr>
            <w:r w:rsidRPr="001F6AFB">
              <w:rPr>
                <w:b/>
                <w:bCs/>
                <w:sz w:val="22"/>
                <w:szCs w:val="22"/>
              </w:rPr>
              <w:t>PDO indicators</w:t>
            </w:r>
          </w:p>
        </w:tc>
      </w:tr>
      <w:tr w:rsidR="00D752D8" w:rsidRPr="001F6AFB" w:rsidTr="00F71554">
        <w:trPr>
          <w:trHeight w:val="233"/>
        </w:trPr>
        <w:tc>
          <w:tcPr>
            <w:tcW w:w="2718" w:type="dxa"/>
            <w:shd w:val="clear" w:color="auto" w:fill="BFBFBF"/>
          </w:tcPr>
          <w:p w:rsidR="00D752D8" w:rsidRPr="001F6AFB" w:rsidRDefault="00D752D8" w:rsidP="00D752D8">
            <w:pPr>
              <w:jc w:val="center"/>
              <w:rPr>
                <w:b/>
                <w:bCs/>
              </w:rPr>
            </w:pPr>
            <w:r w:rsidRPr="001F6AFB">
              <w:rPr>
                <w:b/>
                <w:bCs/>
                <w:sz w:val="22"/>
                <w:szCs w:val="22"/>
              </w:rPr>
              <w:t>Current (PAD)</w:t>
            </w:r>
          </w:p>
        </w:tc>
        <w:tc>
          <w:tcPr>
            <w:tcW w:w="3690" w:type="dxa"/>
            <w:shd w:val="clear" w:color="auto" w:fill="BFBFBF"/>
          </w:tcPr>
          <w:p w:rsidR="00D752D8" w:rsidRPr="001F6AFB" w:rsidRDefault="00D752D8" w:rsidP="00D752D8">
            <w:pPr>
              <w:jc w:val="center"/>
              <w:rPr>
                <w:b/>
                <w:bCs/>
              </w:rPr>
            </w:pPr>
            <w:r w:rsidRPr="001F6AFB">
              <w:rPr>
                <w:b/>
                <w:bCs/>
                <w:sz w:val="22"/>
                <w:szCs w:val="22"/>
              </w:rPr>
              <w:t>Proposed change*</w:t>
            </w:r>
          </w:p>
        </w:tc>
        <w:tc>
          <w:tcPr>
            <w:tcW w:w="3060" w:type="dxa"/>
            <w:shd w:val="clear" w:color="auto" w:fill="BFBFBF"/>
          </w:tcPr>
          <w:p w:rsidR="00D752D8" w:rsidRPr="001F6AFB" w:rsidRDefault="00D752D8" w:rsidP="00D752D8">
            <w:pPr>
              <w:jc w:val="center"/>
              <w:rPr>
                <w:b/>
                <w:bCs/>
              </w:rPr>
            </w:pPr>
          </w:p>
        </w:tc>
      </w:tr>
      <w:tr w:rsidR="00D752D8" w:rsidRPr="001F6AFB" w:rsidTr="00F71554">
        <w:trPr>
          <w:trHeight w:val="260"/>
        </w:trPr>
        <w:tc>
          <w:tcPr>
            <w:tcW w:w="2718" w:type="dxa"/>
          </w:tcPr>
          <w:p w:rsidR="00D752D8" w:rsidRPr="001F6AFB" w:rsidRDefault="00D752D8" w:rsidP="006742CA">
            <w:pPr>
              <w:rPr>
                <w:bCs/>
              </w:rPr>
            </w:pPr>
            <w:r w:rsidRPr="001F6AFB">
              <w:rPr>
                <w:bCs/>
                <w:sz w:val="22"/>
                <w:szCs w:val="22"/>
              </w:rPr>
              <w:t xml:space="preserve">Improve access to electricity in Monrovia </w:t>
            </w:r>
            <w:r w:rsidR="008A6C9F" w:rsidRPr="000313BC">
              <w:rPr>
                <w:bCs/>
                <w:sz w:val="22"/>
                <w:szCs w:val="22"/>
              </w:rPr>
              <w:t>post-conflict</w:t>
            </w:r>
          </w:p>
        </w:tc>
        <w:tc>
          <w:tcPr>
            <w:tcW w:w="3690" w:type="dxa"/>
          </w:tcPr>
          <w:p w:rsidR="00D752D8" w:rsidRPr="001F6AFB" w:rsidRDefault="00D752D8" w:rsidP="001F6AFB">
            <w:pPr>
              <w:rPr>
                <w:bCs/>
              </w:rPr>
            </w:pPr>
            <w:r w:rsidRPr="001F6AFB">
              <w:rPr>
                <w:bCs/>
                <w:sz w:val="22"/>
                <w:szCs w:val="22"/>
              </w:rPr>
              <w:t>Continued</w:t>
            </w:r>
          </w:p>
        </w:tc>
        <w:tc>
          <w:tcPr>
            <w:tcW w:w="3060" w:type="dxa"/>
          </w:tcPr>
          <w:p w:rsidR="00D752D8" w:rsidRPr="001F6AFB" w:rsidRDefault="00D752D8" w:rsidP="00D752D8">
            <w:pPr>
              <w:jc w:val="center"/>
              <w:rPr>
                <w:b/>
                <w:bCs/>
              </w:rPr>
            </w:pPr>
          </w:p>
        </w:tc>
      </w:tr>
      <w:tr w:rsidR="00D752D8" w:rsidRPr="001F6AFB" w:rsidTr="001F6AFB">
        <w:trPr>
          <w:trHeight w:val="377"/>
        </w:trPr>
        <w:tc>
          <w:tcPr>
            <w:tcW w:w="9468" w:type="dxa"/>
            <w:gridSpan w:val="3"/>
            <w:shd w:val="clear" w:color="auto" w:fill="E6E6E6"/>
            <w:vAlign w:val="center"/>
          </w:tcPr>
          <w:p w:rsidR="00D752D8" w:rsidRPr="001F6AFB" w:rsidRDefault="00D752D8" w:rsidP="001F6AFB">
            <w:pPr>
              <w:jc w:val="center"/>
              <w:rPr>
                <w:b/>
                <w:bCs/>
              </w:rPr>
            </w:pPr>
            <w:r w:rsidRPr="001F6AFB">
              <w:rPr>
                <w:b/>
                <w:bCs/>
                <w:sz w:val="22"/>
                <w:szCs w:val="22"/>
              </w:rPr>
              <w:t>Intermediate Results indicators</w:t>
            </w:r>
          </w:p>
        </w:tc>
      </w:tr>
      <w:tr w:rsidR="00D752D8" w:rsidRPr="001F6AFB" w:rsidTr="00F71554">
        <w:trPr>
          <w:trHeight w:val="233"/>
        </w:trPr>
        <w:tc>
          <w:tcPr>
            <w:tcW w:w="2718" w:type="dxa"/>
            <w:shd w:val="clear" w:color="auto" w:fill="BFBFBF"/>
          </w:tcPr>
          <w:p w:rsidR="00D752D8" w:rsidRPr="001F6AFB" w:rsidRDefault="00D752D8" w:rsidP="00D752D8">
            <w:pPr>
              <w:jc w:val="center"/>
              <w:rPr>
                <w:b/>
                <w:bCs/>
              </w:rPr>
            </w:pPr>
            <w:r w:rsidRPr="001F6AFB">
              <w:rPr>
                <w:b/>
                <w:bCs/>
                <w:sz w:val="22"/>
                <w:szCs w:val="22"/>
              </w:rPr>
              <w:t>Current (PAD)</w:t>
            </w:r>
          </w:p>
        </w:tc>
        <w:tc>
          <w:tcPr>
            <w:tcW w:w="3690" w:type="dxa"/>
            <w:shd w:val="clear" w:color="auto" w:fill="BFBFBF"/>
          </w:tcPr>
          <w:p w:rsidR="00D752D8" w:rsidRPr="001F6AFB" w:rsidRDefault="00D752D8" w:rsidP="00D752D8">
            <w:pPr>
              <w:jc w:val="center"/>
              <w:rPr>
                <w:b/>
                <w:bCs/>
              </w:rPr>
            </w:pPr>
            <w:r w:rsidRPr="001F6AFB">
              <w:rPr>
                <w:b/>
                <w:bCs/>
                <w:sz w:val="22"/>
                <w:szCs w:val="22"/>
              </w:rPr>
              <w:t>Proposed change*</w:t>
            </w:r>
          </w:p>
        </w:tc>
        <w:tc>
          <w:tcPr>
            <w:tcW w:w="3060" w:type="dxa"/>
            <w:shd w:val="clear" w:color="auto" w:fill="BFBFBF"/>
          </w:tcPr>
          <w:p w:rsidR="00D752D8" w:rsidRPr="001F6AFB" w:rsidRDefault="00D752D8" w:rsidP="00D752D8">
            <w:pPr>
              <w:jc w:val="center"/>
              <w:rPr>
                <w:b/>
                <w:bCs/>
              </w:rPr>
            </w:pPr>
          </w:p>
        </w:tc>
      </w:tr>
      <w:tr w:rsidR="00D752D8" w:rsidRPr="001F6AFB" w:rsidTr="00F71554">
        <w:trPr>
          <w:trHeight w:val="260"/>
        </w:trPr>
        <w:tc>
          <w:tcPr>
            <w:tcW w:w="2718" w:type="dxa"/>
          </w:tcPr>
          <w:p w:rsidR="00D752D8" w:rsidRPr="001F6AFB" w:rsidRDefault="00D752D8" w:rsidP="001F6AFB">
            <w:pPr>
              <w:rPr>
                <w:bCs/>
              </w:rPr>
            </w:pPr>
            <w:r w:rsidRPr="001F6AFB">
              <w:rPr>
                <w:bCs/>
                <w:sz w:val="22"/>
                <w:szCs w:val="22"/>
              </w:rPr>
              <w:t xml:space="preserve">Construction of distribution network </w:t>
            </w:r>
          </w:p>
        </w:tc>
        <w:tc>
          <w:tcPr>
            <w:tcW w:w="3690" w:type="dxa"/>
          </w:tcPr>
          <w:p w:rsidR="00D752D8" w:rsidRPr="001F6AFB" w:rsidRDefault="00D752D8" w:rsidP="001F6AFB">
            <w:pPr>
              <w:rPr>
                <w:bCs/>
              </w:rPr>
            </w:pPr>
            <w:r w:rsidRPr="001F6AFB">
              <w:rPr>
                <w:bCs/>
                <w:sz w:val="22"/>
                <w:szCs w:val="22"/>
              </w:rPr>
              <w:t>Continued</w:t>
            </w:r>
          </w:p>
        </w:tc>
        <w:tc>
          <w:tcPr>
            <w:tcW w:w="3060" w:type="dxa"/>
          </w:tcPr>
          <w:p w:rsidR="00D752D8" w:rsidRPr="001F6AFB" w:rsidRDefault="00D752D8" w:rsidP="001F6AFB">
            <w:pPr>
              <w:rPr>
                <w:bCs/>
              </w:rPr>
            </w:pPr>
          </w:p>
        </w:tc>
      </w:tr>
      <w:tr w:rsidR="00D752D8" w:rsidRPr="001F6AFB" w:rsidTr="00F71554">
        <w:trPr>
          <w:trHeight w:val="260"/>
        </w:trPr>
        <w:tc>
          <w:tcPr>
            <w:tcW w:w="2718" w:type="dxa"/>
          </w:tcPr>
          <w:p w:rsidR="00D752D8" w:rsidRPr="001F6AFB" w:rsidRDefault="00D752D8" w:rsidP="001F6AFB">
            <w:pPr>
              <w:rPr>
                <w:bCs/>
              </w:rPr>
            </w:pPr>
            <w:r w:rsidRPr="001F6AFB">
              <w:rPr>
                <w:bCs/>
                <w:sz w:val="22"/>
                <w:szCs w:val="22"/>
              </w:rPr>
              <w:t>Securing power generation</w:t>
            </w:r>
          </w:p>
        </w:tc>
        <w:tc>
          <w:tcPr>
            <w:tcW w:w="3690" w:type="dxa"/>
          </w:tcPr>
          <w:p w:rsidR="00D752D8" w:rsidRPr="001F6AFB" w:rsidRDefault="00D752D8" w:rsidP="001F6AFB">
            <w:pPr>
              <w:rPr>
                <w:bCs/>
              </w:rPr>
            </w:pPr>
            <w:r w:rsidRPr="001F6AFB">
              <w:rPr>
                <w:bCs/>
                <w:sz w:val="22"/>
                <w:szCs w:val="22"/>
              </w:rPr>
              <w:t>Continued</w:t>
            </w:r>
          </w:p>
        </w:tc>
        <w:tc>
          <w:tcPr>
            <w:tcW w:w="3060" w:type="dxa"/>
          </w:tcPr>
          <w:p w:rsidR="00D752D8" w:rsidRPr="001F6AFB" w:rsidRDefault="00D752D8" w:rsidP="001F6AFB">
            <w:pPr>
              <w:rPr>
                <w:bCs/>
              </w:rPr>
            </w:pPr>
          </w:p>
        </w:tc>
      </w:tr>
      <w:tr w:rsidR="00D752D8" w:rsidRPr="001F6AFB" w:rsidTr="00F71554">
        <w:trPr>
          <w:trHeight w:val="260"/>
        </w:trPr>
        <w:tc>
          <w:tcPr>
            <w:tcW w:w="2718" w:type="dxa"/>
          </w:tcPr>
          <w:p w:rsidR="00D752D8" w:rsidRPr="001F6AFB" w:rsidRDefault="00D752D8" w:rsidP="001F6AFB">
            <w:pPr>
              <w:rPr>
                <w:bCs/>
              </w:rPr>
            </w:pPr>
            <w:r w:rsidRPr="001F6AFB">
              <w:rPr>
                <w:bCs/>
                <w:sz w:val="22"/>
                <w:szCs w:val="22"/>
              </w:rPr>
              <w:t>Enhancing options for power generation</w:t>
            </w:r>
          </w:p>
        </w:tc>
        <w:tc>
          <w:tcPr>
            <w:tcW w:w="3690" w:type="dxa"/>
          </w:tcPr>
          <w:p w:rsidR="00D752D8" w:rsidRPr="001F6AFB" w:rsidRDefault="00D752D8" w:rsidP="001F6AFB">
            <w:pPr>
              <w:rPr>
                <w:bCs/>
              </w:rPr>
            </w:pPr>
            <w:r w:rsidRPr="001F6AFB">
              <w:rPr>
                <w:bCs/>
                <w:sz w:val="22"/>
                <w:szCs w:val="22"/>
              </w:rPr>
              <w:t xml:space="preserve">Enhancing options for power generation and supply of thermal power plant </w:t>
            </w:r>
          </w:p>
        </w:tc>
        <w:tc>
          <w:tcPr>
            <w:tcW w:w="3060" w:type="dxa"/>
          </w:tcPr>
          <w:p w:rsidR="00D752D8" w:rsidRPr="001F6AFB" w:rsidRDefault="00D752D8" w:rsidP="001F6AFB">
            <w:pPr>
              <w:rPr>
                <w:bCs/>
              </w:rPr>
            </w:pPr>
            <w:r w:rsidRPr="001F6AFB">
              <w:rPr>
                <w:bCs/>
                <w:sz w:val="22"/>
                <w:szCs w:val="22"/>
              </w:rPr>
              <w:t>“Enhancing options” is still valid as it pertains to the rehabilitation of the HFO offloading infrastructure; the additional financing for the power plant is also now reflected.  New unit of measurement added to reflect addition of power plant.</w:t>
            </w:r>
          </w:p>
        </w:tc>
      </w:tr>
      <w:tr w:rsidR="00D752D8" w:rsidRPr="001F6AFB" w:rsidTr="00F71554">
        <w:trPr>
          <w:trHeight w:val="260"/>
        </w:trPr>
        <w:tc>
          <w:tcPr>
            <w:tcW w:w="2718" w:type="dxa"/>
          </w:tcPr>
          <w:p w:rsidR="00D752D8" w:rsidRPr="001F6AFB" w:rsidRDefault="00D752D8" w:rsidP="001F6AFB">
            <w:pPr>
              <w:rPr>
                <w:bCs/>
              </w:rPr>
            </w:pPr>
            <w:r w:rsidRPr="001F6AFB">
              <w:rPr>
                <w:bCs/>
                <w:sz w:val="22"/>
                <w:szCs w:val="22"/>
              </w:rPr>
              <w:t>Demonstrating renewable power for modern energy services</w:t>
            </w:r>
          </w:p>
        </w:tc>
        <w:tc>
          <w:tcPr>
            <w:tcW w:w="3690" w:type="dxa"/>
          </w:tcPr>
          <w:p w:rsidR="00D752D8" w:rsidRPr="001F6AFB" w:rsidRDefault="00D752D8" w:rsidP="001F6AFB">
            <w:pPr>
              <w:rPr>
                <w:bCs/>
              </w:rPr>
            </w:pPr>
            <w:r w:rsidRPr="001F6AFB">
              <w:rPr>
                <w:bCs/>
                <w:sz w:val="22"/>
                <w:szCs w:val="22"/>
              </w:rPr>
              <w:t>Continued</w:t>
            </w:r>
          </w:p>
        </w:tc>
        <w:tc>
          <w:tcPr>
            <w:tcW w:w="3060" w:type="dxa"/>
          </w:tcPr>
          <w:p w:rsidR="00D752D8" w:rsidRPr="001F6AFB" w:rsidRDefault="00D752D8" w:rsidP="001F6AFB">
            <w:pPr>
              <w:rPr>
                <w:bCs/>
              </w:rPr>
            </w:pPr>
            <w:r w:rsidRPr="001F6AFB">
              <w:rPr>
                <w:bCs/>
                <w:sz w:val="22"/>
                <w:szCs w:val="22"/>
              </w:rPr>
              <w:t>New unit of measurement added: 100,000 Lighting Africa approved solar lanterns in use (cumulatively)</w:t>
            </w:r>
            <w:r w:rsidR="00881D40">
              <w:rPr>
                <w:bCs/>
                <w:sz w:val="22"/>
                <w:szCs w:val="22"/>
              </w:rPr>
              <w:t>.</w:t>
            </w:r>
          </w:p>
        </w:tc>
      </w:tr>
      <w:tr w:rsidR="00D752D8" w:rsidRPr="001F6AFB" w:rsidTr="00F71554">
        <w:trPr>
          <w:trHeight w:val="260"/>
        </w:trPr>
        <w:tc>
          <w:tcPr>
            <w:tcW w:w="2718" w:type="dxa"/>
          </w:tcPr>
          <w:p w:rsidR="00D752D8" w:rsidRPr="001F6AFB" w:rsidRDefault="00D752D8" w:rsidP="001F6AFB">
            <w:pPr>
              <w:rPr>
                <w:bCs/>
              </w:rPr>
            </w:pPr>
            <w:r w:rsidRPr="001F6AFB">
              <w:rPr>
                <w:bCs/>
                <w:sz w:val="22"/>
                <w:szCs w:val="22"/>
              </w:rPr>
              <w:t>Enhancing capacity to deliver electricity services</w:t>
            </w:r>
          </w:p>
        </w:tc>
        <w:tc>
          <w:tcPr>
            <w:tcW w:w="3690" w:type="dxa"/>
          </w:tcPr>
          <w:p w:rsidR="00D752D8" w:rsidRPr="001F6AFB" w:rsidRDefault="00D752D8" w:rsidP="001F6AFB">
            <w:pPr>
              <w:rPr>
                <w:bCs/>
              </w:rPr>
            </w:pPr>
            <w:r w:rsidRPr="001F6AFB">
              <w:rPr>
                <w:bCs/>
                <w:sz w:val="22"/>
                <w:szCs w:val="22"/>
              </w:rPr>
              <w:t>Continued</w:t>
            </w:r>
          </w:p>
        </w:tc>
        <w:tc>
          <w:tcPr>
            <w:tcW w:w="3060" w:type="dxa"/>
          </w:tcPr>
          <w:p w:rsidR="00D752D8" w:rsidRPr="001F6AFB" w:rsidRDefault="00D752D8" w:rsidP="001F6AFB">
            <w:pPr>
              <w:rPr>
                <w:bCs/>
              </w:rPr>
            </w:pPr>
          </w:p>
        </w:tc>
      </w:tr>
    </w:tbl>
    <w:p w:rsidR="00D752D8" w:rsidRDefault="00D752D8" w:rsidP="003F52A8">
      <w:pPr>
        <w:jc w:val="center"/>
        <w:rPr>
          <w:caps/>
        </w:rPr>
      </w:pPr>
    </w:p>
    <w:p w:rsidR="003F52A8" w:rsidRPr="00AF13E9" w:rsidRDefault="003F52A8" w:rsidP="003F52A8">
      <w:pPr>
        <w:jc w:val="center"/>
        <w:rPr>
          <w:caps/>
        </w:rPr>
      </w:pPr>
      <w:r w:rsidRPr="00AF13E9">
        <w:rPr>
          <w:b/>
          <w:sz w:val="18"/>
          <w:szCs w:val="18"/>
          <w:lang w:val="en-GB"/>
        </w:rPr>
        <w:t>* Indicate if the indicator is Dropped, Continued, New, Revised, or if there is a change in the end of project target value</w:t>
      </w:r>
    </w:p>
    <w:p w:rsidR="003F52A8" w:rsidRPr="00AF13E9" w:rsidRDefault="003F52A8" w:rsidP="003F52A8">
      <w:pPr>
        <w:jc w:val="center"/>
        <w:rPr>
          <w:caps/>
        </w:rPr>
      </w:pPr>
    </w:p>
    <w:p w:rsidR="003F52A8" w:rsidRPr="00AF13E9" w:rsidRDefault="003F52A8" w:rsidP="003F52A8">
      <w:pPr>
        <w:jc w:val="center"/>
        <w:rPr>
          <w:caps/>
        </w:rPr>
        <w:sectPr w:rsidR="003F52A8" w:rsidRPr="00AF13E9" w:rsidSect="003A33B6">
          <w:head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rsidR="003F52A8" w:rsidRPr="00AF13E9" w:rsidRDefault="003F52A8" w:rsidP="003F52A8">
      <w:pPr>
        <w:jc w:val="center"/>
        <w:rPr>
          <w:b/>
          <w:caps/>
        </w:rPr>
      </w:pPr>
      <w:r w:rsidRPr="00AF13E9">
        <w:rPr>
          <w:b/>
          <w:caps/>
        </w:rPr>
        <w:lastRenderedPageBreak/>
        <w:t>Revised PRoject Results Framework</w:t>
      </w:r>
    </w:p>
    <w:p w:rsidR="003F52A8" w:rsidRDefault="003F52A8" w:rsidP="003F52A8">
      <w:pPr>
        <w:jc w:val="center"/>
        <w:rPr>
          <w:b/>
          <w:caps/>
        </w:rPr>
      </w:pPr>
    </w:p>
    <w:p w:rsidR="00BA2C13" w:rsidRDefault="00BA2C13" w:rsidP="003F52A8">
      <w:pPr>
        <w:jc w:val="center"/>
        <w:rPr>
          <w:b/>
          <w:caps/>
        </w:rPr>
      </w:pPr>
    </w:p>
    <w:p w:rsidR="00BA2C13" w:rsidRDefault="00BA2C13" w:rsidP="003F52A8">
      <w:pPr>
        <w:jc w:val="center"/>
        <w:rPr>
          <w:b/>
          <w:caps/>
        </w:rPr>
      </w:pPr>
    </w:p>
    <w:p w:rsidR="00BA2C13" w:rsidRDefault="00BA2C13" w:rsidP="003F52A8">
      <w:pPr>
        <w:jc w:val="center"/>
        <w:rPr>
          <w:b/>
          <w:caps/>
        </w:rPr>
      </w:pPr>
    </w:p>
    <w:tbl>
      <w:tblPr>
        <w:tblW w:w="151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89"/>
        <w:gridCol w:w="450"/>
        <w:gridCol w:w="811"/>
        <w:gridCol w:w="899"/>
        <w:gridCol w:w="901"/>
        <w:gridCol w:w="810"/>
        <w:gridCol w:w="767"/>
        <w:gridCol w:w="819"/>
        <w:gridCol w:w="871"/>
        <w:gridCol w:w="1053"/>
        <w:gridCol w:w="1260"/>
        <w:gridCol w:w="1350"/>
        <w:gridCol w:w="2070"/>
      </w:tblGrid>
      <w:tr w:rsidR="00BA2C13" w:rsidRPr="001F6AFB" w:rsidTr="00AC6B68">
        <w:trPr>
          <w:trHeight w:val="323"/>
        </w:trPr>
        <w:tc>
          <w:tcPr>
            <w:tcW w:w="15120" w:type="dxa"/>
            <w:gridSpan w:val="14"/>
            <w:shd w:val="clear" w:color="auto" w:fill="E6E6E6"/>
            <w:vAlign w:val="center"/>
          </w:tcPr>
          <w:p w:rsidR="00BA2C13" w:rsidRPr="007F7BBF" w:rsidRDefault="00BA2C13" w:rsidP="00AC6B68">
            <w:pPr>
              <w:spacing w:after="120"/>
              <w:rPr>
                <w:b/>
                <w:bCs/>
              </w:rPr>
            </w:pPr>
            <w:r w:rsidRPr="007F7BBF">
              <w:rPr>
                <w:b/>
                <w:bCs/>
              </w:rPr>
              <w:t>Project Development Objective (PDO): Improve and increase access to electricity</w:t>
            </w:r>
          </w:p>
          <w:p w:rsidR="00BA2C13" w:rsidRPr="001F6AFB" w:rsidRDefault="00BA2C13" w:rsidP="00AC6B68">
            <w:pPr>
              <w:spacing w:after="120"/>
              <w:rPr>
                <w:b/>
                <w:bCs/>
                <w:sz w:val="18"/>
                <w:szCs w:val="18"/>
              </w:rPr>
            </w:pPr>
            <w:r w:rsidRPr="001F6AFB">
              <w:rPr>
                <w:b/>
                <w:bCs/>
                <w:sz w:val="18"/>
                <w:szCs w:val="18"/>
              </w:rPr>
              <w:t>Click here to enter the revised PDO of your operation</w:t>
            </w:r>
          </w:p>
        </w:tc>
      </w:tr>
      <w:tr w:rsidR="00BA2C13" w:rsidRPr="001F6AFB" w:rsidTr="00AC6B68">
        <w:trPr>
          <w:trHeight w:val="206"/>
        </w:trPr>
        <w:tc>
          <w:tcPr>
            <w:tcW w:w="3059" w:type="dxa"/>
            <w:gridSpan w:val="2"/>
            <w:vMerge w:val="restart"/>
            <w:shd w:val="clear" w:color="auto" w:fill="E6E6E6"/>
            <w:vAlign w:val="center"/>
          </w:tcPr>
          <w:p w:rsidR="00BA2C13" w:rsidRPr="001F6AFB" w:rsidRDefault="00BA2C13" w:rsidP="00AC6B68">
            <w:pPr>
              <w:spacing w:after="120"/>
              <w:rPr>
                <w:b/>
                <w:bCs/>
                <w:sz w:val="18"/>
                <w:szCs w:val="18"/>
              </w:rPr>
            </w:pPr>
            <w:r w:rsidRPr="001F6AFB">
              <w:rPr>
                <w:b/>
                <w:bCs/>
                <w:sz w:val="18"/>
                <w:szCs w:val="18"/>
              </w:rPr>
              <w:t>PDO Level Results Indicators</w:t>
            </w:r>
            <w:r w:rsidRPr="001F6AFB">
              <w:rPr>
                <w:b/>
                <w:bCs/>
                <w:sz w:val="18"/>
                <w:szCs w:val="18"/>
                <w:vertAlign w:val="superscript"/>
              </w:rPr>
              <w:footnoteReference w:id="3"/>
            </w:r>
          </w:p>
        </w:tc>
        <w:tc>
          <w:tcPr>
            <w:tcW w:w="450" w:type="dxa"/>
            <w:vMerge w:val="restart"/>
            <w:shd w:val="clear" w:color="auto" w:fill="E6E6E6"/>
            <w:textDirection w:val="btLr"/>
          </w:tcPr>
          <w:p w:rsidR="00BA2C13" w:rsidRPr="001F6AFB" w:rsidRDefault="00BA2C13" w:rsidP="00AC6B68">
            <w:pPr>
              <w:spacing w:after="120"/>
              <w:jc w:val="center"/>
              <w:rPr>
                <w:b/>
                <w:bCs/>
                <w:sz w:val="18"/>
                <w:szCs w:val="18"/>
              </w:rPr>
            </w:pPr>
            <w:r w:rsidRPr="001F6AFB">
              <w:rPr>
                <w:b/>
                <w:bCs/>
                <w:sz w:val="18"/>
                <w:szCs w:val="18"/>
              </w:rPr>
              <w:t>Core</w:t>
            </w:r>
          </w:p>
        </w:tc>
        <w:tc>
          <w:tcPr>
            <w:tcW w:w="811" w:type="dxa"/>
            <w:vMerge w:val="restart"/>
            <w:shd w:val="clear" w:color="auto" w:fill="E6E6E6"/>
            <w:vAlign w:val="center"/>
          </w:tcPr>
          <w:p w:rsidR="00BA2C13" w:rsidRPr="001F6AFB" w:rsidRDefault="00BA2C13" w:rsidP="00AC6B68">
            <w:pPr>
              <w:spacing w:after="120"/>
              <w:rPr>
                <w:b/>
                <w:bCs/>
                <w:sz w:val="18"/>
                <w:szCs w:val="18"/>
              </w:rPr>
            </w:pPr>
            <w:r w:rsidRPr="001F6AFB">
              <w:rPr>
                <w:b/>
                <w:bCs/>
                <w:sz w:val="18"/>
                <w:szCs w:val="18"/>
              </w:rPr>
              <w:t>UOM</w:t>
            </w:r>
            <w:r w:rsidRPr="001F6AFB">
              <w:rPr>
                <w:b/>
                <w:bCs/>
                <w:sz w:val="18"/>
                <w:szCs w:val="18"/>
                <w:vertAlign w:val="superscript"/>
              </w:rPr>
              <w:footnoteReference w:id="4"/>
            </w:r>
          </w:p>
        </w:tc>
        <w:tc>
          <w:tcPr>
            <w:tcW w:w="899" w:type="dxa"/>
            <w:vMerge w:val="restart"/>
            <w:shd w:val="clear" w:color="auto" w:fill="E6E6E6"/>
            <w:vAlign w:val="center"/>
          </w:tcPr>
          <w:p w:rsidR="00BA2C13" w:rsidRPr="001F6AFB" w:rsidRDefault="00BA2C13" w:rsidP="00AC6B68">
            <w:pPr>
              <w:jc w:val="center"/>
              <w:rPr>
                <w:b/>
                <w:bCs/>
                <w:sz w:val="18"/>
                <w:szCs w:val="18"/>
              </w:rPr>
            </w:pPr>
            <w:r w:rsidRPr="001F6AFB">
              <w:rPr>
                <w:b/>
                <w:bCs/>
                <w:sz w:val="18"/>
                <w:szCs w:val="18"/>
              </w:rPr>
              <w:t>Baseline</w:t>
            </w:r>
          </w:p>
          <w:p w:rsidR="00BA2C13" w:rsidRPr="001F6AFB" w:rsidRDefault="00BA2C13" w:rsidP="00AC6B68">
            <w:pPr>
              <w:jc w:val="center"/>
              <w:rPr>
                <w:b/>
                <w:bCs/>
                <w:sz w:val="18"/>
                <w:szCs w:val="18"/>
              </w:rPr>
            </w:pPr>
            <w:r w:rsidRPr="001F6AFB">
              <w:rPr>
                <w:b/>
                <w:bCs/>
                <w:sz w:val="18"/>
                <w:szCs w:val="18"/>
              </w:rPr>
              <w:t>Original Project</w:t>
            </w:r>
          </w:p>
          <w:p w:rsidR="00BA2C13" w:rsidRPr="001F6AFB" w:rsidRDefault="00BA2C13" w:rsidP="00AC6B68">
            <w:pPr>
              <w:jc w:val="center"/>
              <w:rPr>
                <w:b/>
                <w:bCs/>
                <w:sz w:val="18"/>
                <w:szCs w:val="18"/>
              </w:rPr>
            </w:pPr>
            <w:r w:rsidRPr="001F6AFB">
              <w:rPr>
                <w:b/>
                <w:bCs/>
                <w:sz w:val="18"/>
                <w:szCs w:val="18"/>
              </w:rPr>
              <w:t>Start</w:t>
            </w:r>
          </w:p>
          <w:p w:rsidR="00BA2C13" w:rsidRPr="001F6AFB" w:rsidRDefault="00BA2C13" w:rsidP="00AC6B68">
            <w:pPr>
              <w:jc w:val="center"/>
              <w:rPr>
                <w:b/>
                <w:bCs/>
                <w:sz w:val="18"/>
                <w:szCs w:val="18"/>
              </w:rPr>
            </w:pPr>
            <w:r w:rsidRPr="001F6AFB">
              <w:rPr>
                <w:b/>
                <w:bCs/>
                <w:sz w:val="18"/>
                <w:szCs w:val="18"/>
              </w:rPr>
              <w:t>(2010)</w:t>
            </w:r>
          </w:p>
        </w:tc>
        <w:tc>
          <w:tcPr>
            <w:tcW w:w="901" w:type="dxa"/>
            <w:vMerge w:val="restart"/>
            <w:shd w:val="clear" w:color="auto" w:fill="E6E6E6"/>
            <w:vAlign w:val="center"/>
          </w:tcPr>
          <w:p w:rsidR="00BA2C13" w:rsidRPr="001F6AFB" w:rsidRDefault="00BA2C13" w:rsidP="00AC6B68">
            <w:pPr>
              <w:jc w:val="center"/>
              <w:rPr>
                <w:b/>
                <w:bCs/>
                <w:sz w:val="18"/>
                <w:szCs w:val="18"/>
              </w:rPr>
            </w:pPr>
            <w:r w:rsidRPr="001F6AFB">
              <w:rPr>
                <w:b/>
                <w:bCs/>
                <w:sz w:val="18"/>
                <w:szCs w:val="18"/>
              </w:rPr>
              <w:t>Progress To Date</w:t>
            </w:r>
          </w:p>
          <w:p w:rsidR="00BA2C13" w:rsidRPr="001F6AFB" w:rsidRDefault="00BA2C13" w:rsidP="00AC6B68">
            <w:pPr>
              <w:jc w:val="center"/>
              <w:rPr>
                <w:b/>
                <w:bCs/>
                <w:sz w:val="18"/>
                <w:szCs w:val="18"/>
              </w:rPr>
            </w:pPr>
            <w:r w:rsidRPr="001F6AFB">
              <w:rPr>
                <w:b/>
                <w:bCs/>
                <w:sz w:val="18"/>
                <w:szCs w:val="18"/>
              </w:rPr>
              <w:t>(2011)</w:t>
            </w:r>
            <w:r w:rsidRPr="007F7BBF">
              <w:rPr>
                <w:sz w:val="18"/>
                <w:vertAlign w:val="superscript"/>
              </w:rPr>
              <w:t xml:space="preserve"> </w:t>
            </w:r>
            <w:r w:rsidRPr="007F7BBF">
              <w:rPr>
                <w:b/>
                <w:bCs/>
                <w:sz w:val="18"/>
                <w:szCs w:val="18"/>
                <w:vertAlign w:val="superscript"/>
              </w:rPr>
              <w:footnoteReference w:id="5"/>
            </w:r>
          </w:p>
        </w:tc>
        <w:tc>
          <w:tcPr>
            <w:tcW w:w="3267" w:type="dxa"/>
            <w:gridSpan w:val="4"/>
            <w:shd w:val="clear" w:color="auto" w:fill="E6E6E6"/>
            <w:vAlign w:val="center"/>
          </w:tcPr>
          <w:p w:rsidR="00BA2C13" w:rsidRPr="001F6AFB" w:rsidRDefault="00BA2C13" w:rsidP="00AC6B68">
            <w:pPr>
              <w:spacing w:after="120"/>
              <w:jc w:val="center"/>
              <w:rPr>
                <w:b/>
                <w:bCs/>
                <w:sz w:val="18"/>
                <w:szCs w:val="18"/>
              </w:rPr>
            </w:pPr>
            <w:r w:rsidRPr="001F6AFB">
              <w:rPr>
                <w:b/>
                <w:bCs/>
                <w:sz w:val="18"/>
                <w:szCs w:val="18"/>
              </w:rPr>
              <w:t>Cumulative Target Values</w:t>
            </w:r>
            <w:r w:rsidRPr="001F6AFB">
              <w:rPr>
                <w:b/>
                <w:bCs/>
                <w:sz w:val="18"/>
                <w:szCs w:val="18"/>
                <w:vertAlign w:val="superscript"/>
              </w:rPr>
              <w:footnoteReference w:id="6"/>
            </w:r>
          </w:p>
        </w:tc>
        <w:tc>
          <w:tcPr>
            <w:tcW w:w="1053" w:type="dxa"/>
            <w:vMerge w:val="restart"/>
            <w:shd w:val="clear" w:color="auto" w:fill="E6E6E6"/>
            <w:vAlign w:val="center"/>
          </w:tcPr>
          <w:p w:rsidR="00BA2C13" w:rsidRPr="001F6AFB" w:rsidRDefault="00BA2C13" w:rsidP="00AC6B68">
            <w:pPr>
              <w:spacing w:after="120"/>
              <w:rPr>
                <w:b/>
                <w:bCs/>
                <w:sz w:val="18"/>
                <w:szCs w:val="18"/>
              </w:rPr>
            </w:pPr>
            <w:r w:rsidRPr="001F6AFB">
              <w:rPr>
                <w:b/>
                <w:bCs/>
                <w:sz w:val="18"/>
                <w:szCs w:val="18"/>
              </w:rPr>
              <w:t>Frequency</w:t>
            </w:r>
          </w:p>
        </w:tc>
        <w:tc>
          <w:tcPr>
            <w:tcW w:w="1260" w:type="dxa"/>
            <w:vMerge w:val="restart"/>
            <w:shd w:val="clear" w:color="auto" w:fill="E6E6E6"/>
            <w:vAlign w:val="center"/>
          </w:tcPr>
          <w:p w:rsidR="00BA2C13" w:rsidRPr="00AF13E9" w:rsidRDefault="00BA2C13" w:rsidP="00AC6B68">
            <w:pPr>
              <w:jc w:val="center"/>
              <w:rPr>
                <w:b/>
                <w:bCs/>
                <w:sz w:val="18"/>
                <w:szCs w:val="18"/>
              </w:rPr>
            </w:pPr>
            <w:r w:rsidRPr="00AF13E9">
              <w:rPr>
                <w:b/>
                <w:bCs/>
                <w:sz w:val="18"/>
                <w:szCs w:val="18"/>
              </w:rPr>
              <w:t>Data Source/</w:t>
            </w:r>
          </w:p>
          <w:p w:rsidR="00BA2C13" w:rsidRPr="00AF13E9" w:rsidRDefault="00BA2C13" w:rsidP="00AC6B68">
            <w:pPr>
              <w:jc w:val="center"/>
              <w:rPr>
                <w:b/>
                <w:bCs/>
                <w:sz w:val="18"/>
                <w:szCs w:val="18"/>
              </w:rPr>
            </w:pPr>
            <w:r w:rsidRPr="00AF13E9">
              <w:rPr>
                <w:b/>
                <w:bCs/>
                <w:sz w:val="18"/>
                <w:szCs w:val="18"/>
              </w:rPr>
              <w:t>Methodology</w:t>
            </w:r>
          </w:p>
        </w:tc>
        <w:tc>
          <w:tcPr>
            <w:tcW w:w="1350" w:type="dxa"/>
            <w:vMerge w:val="restart"/>
            <w:shd w:val="clear" w:color="auto" w:fill="E6E6E6"/>
            <w:vAlign w:val="center"/>
          </w:tcPr>
          <w:p w:rsidR="00BA2C13" w:rsidRPr="00AF13E9" w:rsidRDefault="00BA2C13" w:rsidP="00AC6B68">
            <w:pPr>
              <w:jc w:val="center"/>
              <w:rPr>
                <w:b/>
                <w:bCs/>
                <w:sz w:val="18"/>
                <w:szCs w:val="18"/>
              </w:rPr>
            </w:pPr>
            <w:r w:rsidRPr="00AF13E9">
              <w:rPr>
                <w:b/>
                <w:bCs/>
                <w:sz w:val="18"/>
                <w:szCs w:val="18"/>
              </w:rPr>
              <w:t>Responsibility for Data Collection</w:t>
            </w:r>
          </w:p>
        </w:tc>
        <w:tc>
          <w:tcPr>
            <w:tcW w:w="2070" w:type="dxa"/>
            <w:vMerge w:val="restart"/>
            <w:shd w:val="clear" w:color="auto" w:fill="E6E6E6"/>
            <w:vAlign w:val="center"/>
          </w:tcPr>
          <w:p w:rsidR="00BA2C13" w:rsidRPr="001F6AFB" w:rsidRDefault="00BA2C13" w:rsidP="00AC6B68">
            <w:pPr>
              <w:spacing w:after="120"/>
              <w:rPr>
                <w:b/>
                <w:bCs/>
                <w:sz w:val="18"/>
                <w:szCs w:val="18"/>
              </w:rPr>
            </w:pPr>
            <w:r w:rsidRPr="001F6AFB">
              <w:rPr>
                <w:b/>
                <w:bCs/>
                <w:sz w:val="18"/>
                <w:szCs w:val="18"/>
              </w:rPr>
              <w:t>Comments</w:t>
            </w:r>
          </w:p>
        </w:tc>
      </w:tr>
      <w:tr w:rsidR="00BA2C13" w:rsidRPr="001F6AFB" w:rsidTr="00AC6B68">
        <w:trPr>
          <w:trHeight w:val="854"/>
        </w:trPr>
        <w:tc>
          <w:tcPr>
            <w:tcW w:w="3059" w:type="dxa"/>
            <w:gridSpan w:val="2"/>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450"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811"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899"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901"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810" w:type="dxa"/>
            <w:tcBorders>
              <w:bottom w:val="single" w:sz="4" w:space="0" w:color="auto"/>
            </w:tcBorders>
            <w:shd w:val="clear" w:color="auto" w:fill="E6E6E6"/>
          </w:tcPr>
          <w:p w:rsidR="00BA2C13" w:rsidRPr="001F6AFB" w:rsidRDefault="00BA2C13" w:rsidP="00AC6B68">
            <w:pPr>
              <w:spacing w:after="120"/>
              <w:rPr>
                <w:b/>
                <w:bCs/>
                <w:sz w:val="18"/>
                <w:szCs w:val="18"/>
              </w:rPr>
            </w:pPr>
            <w:r w:rsidRPr="001F6AFB">
              <w:rPr>
                <w:b/>
                <w:bCs/>
                <w:sz w:val="18"/>
                <w:szCs w:val="18"/>
              </w:rPr>
              <w:t>2011</w:t>
            </w:r>
          </w:p>
        </w:tc>
        <w:tc>
          <w:tcPr>
            <w:tcW w:w="767" w:type="dxa"/>
            <w:tcBorders>
              <w:bottom w:val="single" w:sz="4" w:space="0" w:color="auto"/>
            </w:tcBorders>
            <w:shd w:val="clear" w:color="auto" w:fill="E6E6E6"/>
          </w:tcPr>
          <w:p w:rsidR="00BA2C13" w:rsidRPr="001F6AFB" w:rsidRDefault="00BA2C13" w:rsidP="00AC6B68">
            <w:pPr>
              <w:spacing w:after="120"/>
              <w:rPr>
                <w:b/>
                <w:bCs/>
                <w:sz w:val="18"/>
                <w:szCs w:val="18"/>
              </w:rPr>
            </w:pPr>
            <w:r w:rsidRPr="001F6AFB">
              <w:rPr>
                <w:b/>
                <w:bCs/>
                <w:sz w:val="18"/>
                <w:szCs w:val="18"/>
              </w:rPr>
              <w:t>2012</w:t>
            </w:r>
          </w:p>
        </w:tc>
        <w:tc>
          <w:tcPr>
            <w:tcW w:w="819" w:type="dxa"/>
            <w:tcBorders>
              <w:bottom w:val="single" w:sz="4" w:space="0" w:color="auto"/>
            </w:tcBorders>
            <w:shd w:val="clear" w:color="auto" w:fill="E6E6E6"/>
          </w:tcPr>
          <w:p w:rsidR="00BA2C13" w:rsidRPr="001F6AFB" w:rsidRDefault="00BA2C13" w:rsidP="00AC6B68">
            <w:pPr>
              <w:spacing w:after="120"/>
              <w:rPr>
                <w:b/>
                <w:bCs/>
                <w:sz w:val="18"/>
                <w:szCs w:val="18"/>
              </w:rPr>
            </w:pPr>
            <w:r w:rsidRPr="001F6AFB">
              <w:rPr>
                <w:b/>
                <w:bCs/>
                <w:sz w:val="18"/>
                <w:szCs w:val="18"/>
              </w:rPr>
              <w:t>2013</w:t>
            </w:r>
          </w:p>
        </w:tc>
        <w:tc>
          <w:tcPr>
            <w:tcW w:w="871" w:type="dxa"/>
            <w:tcBorders>
              <w:bottom w:val="single" w:sz="4" w:space="0" w:color="auto"/>
            </w:tcBorders>
            <w:shd w:val="clear" w:color="auto" w:fill="E6E6E6"/>
          </w:tcPr>
          <w:p w:rsidR="00BA2C13" w:rsidRPr="001F6AFB" w:rsidRDefault="00BA2C13" w:rsidP="00AC6B68">
            <w:pPr>
              <w:spacing w:after="120"/>
              <w:rPr>
                <w:b/>
                <w:bCs/>
                <w:sz w:val="18"/>
                <w:szCs w:val="18"/>
              </w:rPr>
            </w:pPr>
            <w:r w:rsidRPr="001F6AFB">
              <w:rPr>
                <w:b/>
                <w:bCs/>
                <w:sz w:val="18"/>
                <w:szCs w:val="18"/>
              </w:rPr>
              <w:t>2014</w:t>
            </w:r>
          </w:p>
        </w:tc>
        <w:tc>
          <w:tcPr>
            <w:tcW w:w="1053"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1260"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1350"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2070" w:type="dxa"/>
            <w:vMerge/>
            <w:tcBorders>
              <w:bottom w:val="single" w:sz="4" w:space="0" w:color="auto"/>
            </w:tcBorders>
            <w:shd w:val="clear" w:color="auto" w:fill="E6E6E6"/>
          </w:tcPr>
          <w:p w:rsidR="00BA2C13" w:rsidRPr="001F6AFB" w:rsidRDefault="00BA2C13" w:rsidP="00AC6B68">
            <w:pPr>
              <w:spacing w:after="120"/>
              <w:rPr>
                <w:b/>
                <w:bCs/>
                <w:sz w:val="18"/>
                <w:szCs w:val="18"/>
              </w:rPr>
            </w:pPr>
          </w:p>
        </w:tc>
      </w:tr>
      <w:tr w:rsidR="00BA2C13" w:rsidRPr="001F6AFB" w:rsidTr="00AC6B68">
        <w:trPr>
          <w:trHeight w:val="631"/>
        </w:trPr>
        <w:tc>
          <w:tcPr>
            <w:tcW w:w="3059" w:type="dxa"/>
            <w:gridSpan w:val="2"/>
          </w:tcPr>
          <w:p w:rsidR="00BA2C13" w:rsidRPr="001F6AFB" w:rsidRDefault="00BA2C13" w:rsidP="00AC6B68">
            <w:pPr>
              <w:spacing w:after="120"/>
              <w:rPr>
                <w:bCs/>
                <w:sz w:val="18"/>
                <w:szCs w:val="18"/>
              </w:rPr>
            </w:pPr>
            <w:r>
              <w:rPr>
                <w:bCs/>
                <w:sz w:val="18"/>
                <w:szCs w:val="18"/>
              </w:rPr>
              <w:t>C</w:t>
            </w:r>
            <w:r w:rsidRPr="001F6AFB">
              <w:rPr>
                <w:bCs/>
                <w:sz w:val="18"/>
                <w:szCs w:val="18"/>
              </w:rPr>
              <w:t>onnections to electricity grid</w:t>
            </w:r>
            <w:r>
              <w:rPr>
                <w:bCs/>
                <w:sz w:val="18"/>
                <w:szCs w:val="18"/>
              </w:rPr>
              <w:t xml:space="preserve"> in Monrovia</w:t>
            </w:r>
          </w:p>
        </w:tc>
        <w:tc>
          <w:tcPr>
            <w:tcW w:w="450" w:type="dxa"/>
            <w:tcBorders>
              <w:bottom w:val="single" w:sz="4" w:space="0" w:color="auto"/>
            </w:tcBorders>
          </w:tcPr>
          <w:p w:rsidR="00BA2C13" w:rsidRPr="001F6AFB" w:rsidRDefault="00D526C8" w:rsidP="00AC6B68">
            <w:pPr>
              <w:spacing w:after="120"/>
              <w:rPr>
                <w:bCs/>
                <w:sz w:val="18"/>
                <w:szCs w:val="18"/>
              </w:rPr>
            </w:pPr>
            <w:r w:rsidRPr="001F6AFB">
              <w:rPr>
                <w:bCs/>
                <w:sz w:val="18"/>
                <w:szCs w:val="18"/>
              </w:rPr>
              <w:fldChar w:fldCharType="begin">
                <w:ffData>
                  <w:name w:val="Check1"/>
                  <w:enabled/>
                  <w:calcOnExit w:val="0"/>
                  <w:checkBox>
                    <w:sizeAuto/>
                    <w:default w:val="0"/>
                  </w:checkBox>
                </w:ffData>
              </w:fldChar>
            </w:r>
            <w:r w:rsidR="00BA2C13" w:rsidRPr="001F6AFB">
              <w:rPr>
                <w:bCs/>
                <w:sz w:val="18"/>
                <w:szCs w:val="18"/>
              </w:rPr>
              <w:instrText xml:space="preserve"> FORMCHECKBOX </w:instrText>
            </w:r>
            <w:r w:rsidRPr="001F6AFB">
              <w:rPr>
                <w:bCs/>
                <w:sz w:val="18"/>
                <w:szCs w:val="18"/>
              </w:rPr>
            </w:r>
            <w:r w:rsidRPr="001F6AFB">
              <w:rPr>
                <w:bCs/>
                <w:sz w:val="18"/>
                <w:szCs w:val="18"/>
              </w:rPr>
              <w:fldChar w:fldCharType="end"/>
            </w:r>
          </w:p>
        </w:tc>
        <w:tc>
          <w:tcPr>
            <w:tcW w:w="811" w:type="dxa"/>
            <w:tcBorders>
              <w:bottom w:val="single" w:sz="4" w:space="0" w:color="auto"/>
            </w:tcBorders>
          </w:tcPr>
          <w:p w:rsidR="00BA2C13" w:rsidRPr="001F6AFB" w:rsidRDefault="00BA2C13" w:rsidP="00AC6B68">
            <w:pPr>
              <w:spacing w:after="120"/>
              <w:rPr>
                <w:bCs/>
                <w:sz w:val="18"/>
                <w:szCs w:val="18"/>
              </w:rPr>
            </w:pPr>
            <w:r>
              <w:rPr>
                <w:bCs/>
                <w:sz w:val="18"/>
                <w:szCs w:val="18"/>
              </w:rPr>
              <w:t>Number</w:t>
            </w:r>
          </w:p>
        </w:tc>
        <w:tc>
          <w:tcPr>
            <w:tcW w:w="899" w:type="dxa"/>
            <w:tcBorders>
              <w:bottom w:val="single" w:sz="4" w:space="0" w:color="auto"/>
            </w:tcBorders>
            <w:shd w:val="clear" w:color="auto" w:fill="auto"/>
          </w:tcPr>
          <w:p w:rsidR="00BA2C13" w:rsidRPr="001F6AFB" w:rsidRDefault="00BA2C13" w:rsidP="00AC6B68">
            <w:pPr>
              <w:spacing w:after="120"/>
              <w:rPr>
                <w:bCs/>
                <w:sz w:val="18"/>
                <w:szCs w:val="18"/>
              </w:rPr>
            </w:pPr>
            <w:r w:rsidRPr="001F6AFB">
              <w:rPr>
                <w:bCs/>
                <w:sz w:val="18"/>
                <w:szCs w:val="18"/>
              </w:rPr>
              <w:t>2,162</w:t>
            </w:r>
          </w:p>
        </w:tc>
        <w:tc>
          <w:tcPr>
            <w:tcW w:w="901" w:type="dxa"/>
            <w:tcBorders>
              <w:bottom w:val="single" w:sz="4" w:space="0" w:color="auto"/>
            </w:tcBorders>
          </w:tcPr>
          <w:p w:rsidR="00BA2C13" w:rsidRPr="00C46673" w:rsidRDefault="006742CA" w:rsidP="00C91B1A">
            <w:pPr>
              <w:spacing w:after="120"/>
              <w:rPr>
                <w:bCs/>
                <w:sz w:val="18"/>
                <w:szCs w:val="18"/>
              </w:rPr>
            </w:pPr>
            <w:r w:rsidRPr="006742CA">
              <w:rPr>
                <w:bCs/>
                <w:sz w:val="18"/>
                <w:szCs w:val="18"/>
              </w:rPr>
              <w:t>5</w:t>
            </w:r>
            <w:r>
              <w:rPr>
                <w:bCs/>
                <w:sz w:val="18"/>
                <w:szCs w:val="18"/>
              </w:rPr>
              <w:t>,1</w:t>
            </w:r>
            <w:r w:rsidR="00C91B1A">
              <w:rPr>
                <w:bCs/>
                <w:sz w:val="18"/>
                <w:szCs w:val="18"/>
              </w:rPr>
              <w:t>58</w:t>
            </w:r>
          </w:p>
        </w:tc>
        <w:tc>
          <w:tcPr>
            <w:tcW w:w="810" w:type="dxa"/>
            <w:tcBorders>
              <w:bottom w:val="single" w:sz="4" w:space="0" w:color="auto"/>
            </w:tcBorders>
            <w:shd w:val="clear" w:color="auto" w:fill="auto"/>
          </w:tcPr>
          <w:p w:rsidR="00BA2C13" w:rsidRPr="00C46673" w:rsidRDefault="00BA2C13" w:rsidP="00AC6B68">
            <w:pPr>
              <w:spacing w:after="120"/>
              <w:rPr>
                <w:bCs/>
                <w:sz w:val="18"/>
                <w:szCs w:val="18"/>
              </w:rPr>
            </w:pPr>
            <w:r>
              <w:rPr>
                <w:bCs/>
                <w:sz w:val="18"/>
                <w:szCs w:val="18"/>
              </w:rPr>
              <w:t>8,050</w:t>
            </w:r>
          </w:p>
        </w:tc>
        <w:tc>
          <w:tcPr>
            <w:tcW w:w="767" w:type="dxa"/>
            <w:tcBorders>
              <w:bottom w:val="single" w:sz="4" w:space="0" w:color="auto"/>
            </w:tcBorders>
            <w:shd w:val="clear" w:color="auto" w:fill="auto"/>
          </w:tcPr>
          <w:p w:rsidR="00BA2C13" w:rsidRPr="001F6AFB" w:rsidRDefault="00BA2C13" w:rsidP="00AC6B68">
            <w:pPr>
              <w:spacing w:after="120"/>
              <w:rPr>
                <w:bCs/>
                <w:sz w:val="18"/>
                <w:szCs w:val="18"/>
              </w:rPr>
            </w:pPr>
            <w:r>
              <w:rPr>
                <w:bCs/>
                <w:sz w:val="18"/>
                <w:szCs w:val="18"/>
              </w:rPr>
              <w:t>12,033</w:t>
            </w:r>
          </w:p>
        </w:tc>
        <w:tc>
          <w:tcPr>
            <w:tcW w:w="819" w:type="dxa"/>
            <w:tcBorders>
              <w:bottom w:val="single" w:sz="4" w:space="0" w:color="auto"/>
            </w:tcBorders>
            <w:shd w:val="clear" w:color="auto" w:fill="auto"/>
          </w:tcPr>
          <w:p w:rsidR="00BA2C13" w:rsidRPr="001F6AFB" w:rsidRDefault="00BA2C13" w:rsidP="00AC6B68">
            <w:pPr>
              <w:spacing w:after="120"/>
              <w:rPr>
                <w:bCs/>
                <w:sz w:val="18"/>
                <w:szCs w:val="18"/>
              </w:rPr>
            </w:pPr>
            <w:r>
              <w:rPr>
                <w:bCs/>
                <w:sz w:val="18"/>
                <w:szCs w:val="18"/>
              </w:rPr>
              <w:t>16,017</w:t>
            </w:r>
          </w:p>
        </w:tc>
        <w:tc>
          <w:tcPr>
            <w:tcW w:w="871" w:type="dxa"/>
            <w:tcBorders>
              <w:bottom w:val="single" w:sz="4" w:space="0" w:color="auto"/>
            </w:tcBorders>
          </w:tcPr>
          <w:p w:rsidR="00BA2C13" w:rsidRPr="000F49D5" w:rsidRDefault="00BA2C13" w:rsidP="00AC6B68">
            <w:pPr>
              <w:spacing w:after="120"/>
              <w:rPr>
                <w:bCs/>
                <w:sz w:val="18"/>
                <w:szCs w:val="18"/>
              </w:rPr>
            </w:pPr>
            <w:r w:rsidRPr="000F49D5">
              <w:rPr>
                <w:bCs/>
                <w:sz w:val="18"/>
                <w:szCs w:val="18"/>
              </w:rPr>
              <w:t>20,000</w:t>
            </w:r>
          </w:p>
        </w:tc>
        <w:tc>
          <w:tcPr>
            <w:tcW w:w="1053" w:type="dxa"/>
            <w:tcBorders>
              <w:bottom w:val="single" w:sz="4" w:space="0" w:color="auto"/>
            </w:tcBorders>
            <w:shd w:val="clear" w:color="auto" w:fill="auto"/>
          </w:tcPr>
          <w:p w:rsidR="00BA2C13" w:rsidRPr="001F6AFB" w:rsidRDefault="00BA2C13" w:rsidP="00AC6B68">
            <w:pPr>
              <w:spacing w:after="120"/>
              <w:rPr>
                <w:bCs/>
                <w:sz w:val="18"/>
                <w:szCs w:val="18"/>
              </w:rPr>
            </w:pPr>
            <w:r>
              <w:rPr>
                <w:bCs/>
                <w:sz w:val="18"/>
                <w:szCs w:val="18"/>
              </w:rPr>
              <w:t>Annual</w:t>
            </w:r>
          </w:p>
        </w:tc>
        <w:tc>
          <w:tcPr>
            <w:tcW w:w="1260" w:type="dxa"/>
            <w:tcBorders>
              <w:bottom w:val="single" w:sz="4" w:space="0" w:color="auto"/>
            </w:tcBorders>
            <w:shd w:val="clear" w:color="auto" w:fill="auto"/>
          </w:tcPr>
          <w:p w:rsidR="00BA2C13" w:rsidRPr="001F6AFB" w:rsidRDefault="00BA2C13" w:rsidP="00AC6B68">
            <w:pPr>
              <w:spacing w:after="120"/>
              <w:rPr>
                <w:bCs/>
                <w:sz w:val="18"/>
                <w:szCs w:val="18"/>
              </w:rPr>
            </w:pPr>
            <w:r>
              <w:rPr>
                <w:bCs/>
                <w:sz w:val="18"/>
                <w:szCs w:val="18"/>
              </w:rPr>
              <w:t xml:space="preserve">LEC data system </w:t>
            </w:r>
          </w:p>
        </w:tc>
        <w:tc>
          <w:tcPr>
            <w:tcW w:w="1350" w:type="dxa"/>
            <w:tcBorders>
              <w:bottom w:val="single" w:sz="4" w:space="0" w:color="auto"/>
            </w:tcBorders>
            <w:shd w:val="clear" w:color="auto" w:fill="auto"/>
          </w:tcPr>
          <w:p w:rsidR="00BA2C13" w:rsidRPr="001F6AFB" w:rsidRDefault="00BA2C13" w:rsidP="00AC6B68">
            <w:pPr>
              <w:spacing w:after="120"/>
              <w:rPr>
                <w:bCs/>
                <w:sz w:val="18"/>
                <w:szCs w:val="18"/>
              </w:rPr>
            </w:pPr>
            <w:r w:rsidRPr="001F6AFB">
              <w:rPr>
                <w:bCs/>
                <w:sz w:val="18"/>
                <w:szCs w:val="18"/>
              </w:rPr>
              <w:t>LEC</w:t>
            </w:r>
          </w:p>
        </w:tc>
        <w:tc>
          <w:tcPr>
            <w:tcW w:w="2070" w:type="dxa"/>
            <w:tcBorders>
              <w:bottom w:val="single" w:sz="4" w:space="0" w:color="auto"/>
            </w:tcBorders>
          </w:tcPr>
          <w:p w:rsidR="00BA2C13" w:rsidRPr="001F6AFB" w:rsidRDefault="00BA2C13" w:rsidP="00AC6B68">
            <w:pPr>
              <w:spacing w:after="120"/>
              <w:rPr>
                <w:bCs/>
                <w:sz w:val="18"/>
                <w:szCs w:val="18"/>
              </w:rPr>
            </w:pPr>
          </w:p>
        </w:tc>
      </w:tr>
      <w:tr w:rsidR="00BA2C13" w:rsidRPr="001F6AFB" w:rsidTr="00AC6B68">
        <w:trPr>
          <w:trHeight w:val="215"/>
        </w:trPr>
        <w:tc>
          <w:tcPr>
            <w:tcW w:w="3059" w:type="dxa"/>
            <w:gridSpan w:val="2"/>
            <w:tcBorders>
              <w:bottom w:val="single" w:sz="4" w:space="0" w:color="auto"/>
            </w:tcBorders>
          </w:tcPr>
          <w:p w:rsidR="00BA2C13" w:rsidRPr="0008383E" w:rsidRDefault="00BA2C13" w:rsidP="00AC6B68">
            <w:pPr>
              <w:spacing w:after="120"/>
              <w:rPr>
                <w:b/>
                <w:bCs/>
              </w:rPr>
            </w:pPr>
            <w:r w:rsidRPr="0008383E">
              <w:rPr>
                <w:rStyle w:val="Strong"/>
                <w:b w:val="0"/>
                <w:color w:val="000000"/>
                <w:sz w:val="18"/>
                <w:szCs w:val="18"/>
              </w:rPr>
              <w:t xml:space="preserve">People in urban areas provided with access to electricity under the project by household connections </w:t>
            </w:r>
          </w:p>
        </w:tc>
        <w:tc>
          <w:tcPr>
            <w:tcW w:w="450" w:type="dxa"/>
            <w:tcBorders>
              <w:bottom w:val="single" w:sz="4" w:space="0" w:color="auto"/>
            </w:tcBorders>
          </w:tcPr>
          <w:p w:rsidR="00BA2C13" w:rsidRPr="001F6AFB" w:rsidRDefault="00D526C8" w:rsidP="00AC6B68">
            <w:pPr>
              <w:spacing w:after="120"/>
              <w:rPr>
                <w:b/>
                <w:bCs/>
                <w:sz w:val="18"/>
                <w:szCs w:val="18"/>
              </w:rPr>
            </w:pPr>
            <w:r>
              <w:rPr>
                <w:bCs/>
                <w:sz w:val="18"/>
                <w:szCs w:val="18"/>
              </w:rPr>
              <w:fldChar w:fldCharType="begin">
                <w:ffData>
                  <w:name w:val=""/>
                  <w:enabled/>
                  <w:calcOnExit w:val="0"/>
                  <w:checkBox>
                    <w:sizeAuto/>
                    <w:default w:val="0"/>
                  </w:checkBox>
                </w:ffData>
              </w:fldChar>
            </w:r>
            <w:r w:rsidR="00BA2C13">
              <w:rPr>
                <w:bCs/>
                <w:sz w:val="18"/>
                <w:szCs w:val="18"/>
              </w:rPr>
              <w:instrText xml:space="preserve"> FORMCHECKBOX </w:instrText>
            </w:r>
            <w:r>
              <w:rPr>
                <w:bCs/>
                <w:sz w:val="18"/>
                <w:szCs w:val="18"/>
              </w:rPr>
            </w:r>
            <w:r>
              <w:rPr>
                <w:bCs/>
                <w:sz w:val="18"/>
                <w:szCs w:val="18"/>
              </w:rPr>
              <w:fldChar w:fldCharType="end"/>
            </w:r>
          </w:p>
        </w:tc>
        <w:tc>
          <w:tcPr>
            <w:tcW w:w="811" w:type="dxa"/>
            <w:tcBorders>
              <w:bottom w:val="single" w:sz="4" w:space="0" w:color="auto"/>
            </w:tcBorders>
          </w:tcPr>
          <w:p w:rsidR="00BA2C13" w:rsidRPr="0008383E" w:rsidRDefault="00BA2C13" w:rsidP="00AC6B68">
            <w:pPr>
              <w:spacing w:after="120"/>
              <w:rPr>
                <w:bCs/>
                <w:sz w:val="18"/>
                <w:szCs w:val="18"/>
              </w:rPr>
            </w:pPr>
            <w:r w:rsidRPr="0008383E">
              <w:rPr>
                <w:bCs/>
                <w:sz w:val="18"/>
                <w:szCs w:val="18"/>
              </w:rPr>
              <w:t>Number</w:t>
            </w:r>
          </w:p>
        </w:tc>
        <w:tc>
          <w:tcPr>
            <w:tcW w:w="899" w:type="dxa"/>
            <w:tcBorders>
              <w:bottom w:val="single" w:sz="4" w:space="0" w:color="auto"/>
            </w:tcBorders>
            <w:shd w:val="clear" w:color="auto" w:fill="auto"/>
          </w:tcPr>
          <w:p w:rsidR="00BA2C13" w:rsidRPr="008D7EDC" w:rsidRDefault="00BA2C13" w:rsidP="00AC6B68">
            <w:pPr>
              <w:spacing w:after="120"/>
              <w:rPr>
                <w:bCs/>
                <w:sz w:val="18"/>
                <w:szCs w:val="18"/>
              </w:rPr>
            </w:pPr>
            <w:r w:rsidRPr="008D7EDC">
              <w:rPr>
                <w:bCs/>
                <w:sz w:val="18"/>
                <w:szCs w:val="18"/>
              </w:rPr>
              <w:t>0</w:t>
            </w:r>
          </w:p>
        </w:tc>
        <w:tc>
          <w:tcPr>
            <w:tcW w:w="901" w:type="dxa"/>
            <w:tcBorders>
              <w:bottom w:val="single" w:sz="4" w:space="0" w:color="auto"/>
            </w:tcBorders>
          </w:tcPr>
          <w:p w:rsidR="00BA2C13" w:rsidRPr="008D7EDC" w:rsidRDefault="00BA2C13" w:rsidP="00AC6B68">
            <w:pPr>
              <w:spacing w:after="120"/>
              <w:rPr>
                <w:bCs/>
                <w:sz w:val="18"/>
                <w:szCs w:val="18"/>
              </w:rPr>
            </w:pPr>
            <w:r>
              <w:rPr>
                <w:bCs/>
                <w:sz w:val="18"/>
                <w:szCs w:val="18"/>
              </w:rPr>
              <w:t>200</w:t>
            </w:r>
          </w:p>
        </w:tc>
        <w:tc>
          <w:tcPr>
            <w:tcW w:w="810" w:type="dxa"/>
            <w:tcBorders>
              <w:bottom w:val="single" w:sz="4" w:space="0" w:color="auto"/>
            </w:tcBorders>
            <w:shd w:val="clear" w:color="auto" w:fill="auto"/>
          </w:tcPr>
          <w:p w:rsidR="00BA2C13" w:rsidRPr="008D7EDC" w:rsidRDefault="00BA2C13" w:rsidP="00AC6B68">
            <w:pPr>
              <w:spacing w:after="120"/>
              <w:rPr>
                <w:bCs/>
                <w:sz w:val="18"/>
                <w:szCs w:val="18"/>
              </w:rPr>
            </w:pPr>
            <w:r>
              <w:rPr>
                <w:bCs/>
                <w:sz w:val="18"/>
                <w:szCs w:val="18"/>
              </w:rPr>
              <w:t>500</w:t>
            </w:r>
          </w:p>
        </w:tc>
        <w:tc>
          <w:tcPr>
            <w:tcW w:w="767" w:type="dxa"/>
            <w:tcBorders>
              <w:bottom w:val="single" w:sz="4" w:space="0" w:color="auto"/>
            </w:tcBorders>
            <w:shd w:val="clear" w:color="auto" w:fill="auto"/>
          </w:tcPr>
          <w:p w:rsidR="00BA2C13" w:rsidRPr="008D7EDC" w:rsidRDefault="00BA2C13" w:rsidP="00AC6B68">
            <w:pPr>
              <w:spacing w:after="120"/>
              <w:rPr>
                <w:bCs/>
                <w:sz w:val="18"/>
                <w:szCs w:val="18"/>
              </w:rPr>
            </w:pPr>
            <w:r>
              <w:rPr>
                <w:bCs/>
                <w:sz w:val="18"/>
                <w:szCs w:val="18"/>
              </w:rPr>
              <w:t>1,000</w:t>
            </w:r>
          </w:p>
        </w:tc>
        <w:tc>
          <w:tcPr>
            <w:tcW w:w="819" w:type="dxa"/>
            <w:tcBorders>
              <w:bottom w:val="single" w:sz="4" w:space="0" w:color="auto"/>
            </w:tcBorders>
            <w:shd w:val="clear" w:color="auto" w:fill="auto"/>
          </w:tcPr>
          <w:p w:rsidR="00BA2C13" w:rsidRPr="008D7EDC" w:rsidRDefault="00BA2C13" w:rsidP="00AC6B68">
            <w:pPr>
              <w:spacing w:after="120"/>
              <w:rPr>
                <w:bCs/>
                <w:sz w:val="18"/>
                <w:szCs w:val="18"/>
              </w:rPr>
            </w:pPr>
            <w:r>
              <w:rPr>
                <w:bCs/>
                <w:sz w:val="18"/>
                <w:szCs w:val="18"/>
              </w:rPr>
              <w:t>1,500</w:t>
            </w:r>
          </w:p>
        </w:tc>
        <w:tc>
          <w:tcPr>
            <w:tcW w:w="871" w:type="dxa"/>
            <w:tcBorders>
              <w:bottom w:val="single" w:sz="4" w:space="0" w:color="auto"/>
            </w:tcBorders>
          </w:tcPr>
          <w:p w:rsidR="00BA2C13" w:rsidRPr="000F49D5" w:rsidRDefault="00BA2C13" w:rsidP="00AC6B68">
            <w:pPr>
              <w:spacing w:after="120"/>
              <w:rPr>
                <w:bCs/>
                <w:sz w:val="18"/>
                <w:szCs w:val="18"/>
              </w:rPr>
            </w:pPr>
            <w:r w:rsidRPr="000F49D5">
              <w:rPr>
                <w:bCs/>
                <w:sz w:val="18"/>
                <w:szCs w:val="18"/>
              </w:rPr>
              <w:t>2,000</w:t>
            </w:r>
          </w:p>
        </w:tc>
        <w:tc>
          <w:tcPr>
            <w:tcW w:w="1053" w:type="dxa"/>
            <w:tcBorders>
              <w:bottom w:val="single" w:sz="4" w:space="0" w:color="auto"/>
            </w:tcBorders>
            <w:shd w:val="clear" w:color="auto" w:fill="auto"/>
          </w:tcPr>
          <w:p w:rsidR="00BA2C13" w:rsidRPr="008D7EDC" w:rsidRDefault="00BA2C13" w:rsidP="00AC6B68">
            <w:pPr>
              <w:spacing w:after="120"/>
              <w:rPr>
                <w:bCs/>
                <w:sz w:val="18"/>
                <w:szCs w:val="18"/>
              </w:rPr>
            </w:pPr>
            <w:r>
              <w:rPr>
                <w:bCs/>
                <w:sz w:val="18"/>
                <w:szCs w:val="18"/>
              </w:rPr>
              <w:t xml:space="preserve">Annual </w:t>
            </w:r>
          </w:p>
        </w:tc>
        <w:tc>
          <w:tcPr>
            <w:tcW w:w="1260" w:type="dxa"/>
            <w:tcBorders>
              <w:bottom w:val="single" w:sz="4" w:space="0" w:color="auto"/>
            </w:tcBorders>
            <w:shd w:val="clear" w:color="auto" w:fill="auto"/>
          </w:tcPr>
          <w:p w:rsidR="00BA2C13" w:rsidRPr="008D7EDC" w:rsidRDefault="00BA2C13" w:rsidP="00AC6B68">
            <w:pPr>
              <w:spacing w:after="120"/>
              <w:rPr>
                <w:bCs/>
                <w:sz w:val="18"/>
                <w:szCs w:val="18"/>
              </w:rPr>
            </w:pPr>
            <w:r w:rsidRPr="00843C0D">
              <w:rPr>
                <w:bCs/>
                <w:sz w:val="18"/>
                <w:szCs w:val="18"/>
              </w:rPr>
              <w:t>LEC data system</w:t>
            </w:r>
          </w:p>
        </w:tc>
        <w:tc>
          <w:tcPr>
            <w:tcW w:w="1350" w:type="dxa"/>
            <w:tcBorders>
              <w:bottom w:val="single" w:sz="4" w:space="0" w:color="auto"/>
            </w:tcBorders>
            <w:shd w:val="clear" w:color="auto" w:fill="auto"/>
          </w:tcPr>
          <w:p w:rsidR="00BA2C13" w:rsidRPr="008D7EDC" w:rsidRDefault="00BA2C13" w:rsidP="00AC6B68">
            <w:pPr>
              <w:spacing w:after="120"/>
              <w:rPr>
                <w:bCs/>
                <w:sz w:val="18"/>
                <w:szCs w:val="18"/>
              </w:rPr>
            </w:pPr>
            <w:r w:rsidRPr="008D7EDC">
              <w:rPr>
                <w:bCs/>
                <w:sz w:val="18"/>
                <w:szCs w:val="18"/>
              </w:rPr>
              <w:t>?</w:t>
            </w:r>
          </w:p>
        </w:tc>
        <w:tc>
          <w:tcPr>
            <w:tcW w:w="2070" w:type="dxa"/>
            <w:tcBorders>
              <w:bottom w:val="single" w:sz="4" w:space="0" w:color="auto"/>
            </w:tcBorders>
          </w:tcPr>
          <w:p w:rsidR="00BA2C13" w:rsidRPr="0008383E" w:rsidRDefault="00BA2C13" w:rsidP="00AC6B68">
            <w:pPr>
              <w:spacing w:after="120"/>
              <w:rPr>
                <w:bCs/>
                <w:sz w:val="18"/>
                <w:szCs w:val="18"/>
              </w:rPr>
            </w:pPr>
          </w:p>
        </w:tc>
      </w:tr>
      <w:tr w:rsidR="00BA2C13" w:rsidRPr="001F6AFB" w:rsidTr="00AC6B68">
        <w:trPr>
          <w:trHeight w:val="215"/>
        </w:trPr>
        <w:tc>
          <w:tcPr>
            <w:tcW w:w="3059" w:type="dxa"/>
            <w:gridSpan w:val="2"/>
            <w:tcBorders>
              <w:bottom w:val="single" w:sz="4" w:space="0" w:color="auto"/>
            </w:tcBorders>
          </w:tcPr>
          <w:p w:rsidR="00BA2C13" w:rsidRDefault="00BA2C13" w:rsidP="00AC6B68">
            <w:pPr>
              <w:spacing w:after="120"/>
              <w:rPr>
                <w:rStyle w:val="Strong"/>
                <w:b w:val="0"/>
                <w:color w:val="000000"/>
                <w:sz w:val="18"/>
                <w:szCs w:val="18"/>
              </w:rPr>
            </w:pPr>
            <w:r>
              <w:rPr>
                <w:rStyle w:val="Strong"/>
                <w:b w:val="0"/>
                <w:color w:val="000000"/>
                <w:sz w:val="18"/>
                <w:szCs w:val="18"/>
              </w:rPr>
              <w:t>Electrification rate in Monrovia</w:t>
            </w:r>
          </w:p>
          <w:p w:rsidR="00BA2C13" w:rsidRPr="0008383E" w:rsidRDefault="00BA2C13" w:rsidP="00AC6B68">
            <w:pPr>
              <w:spacing w:after="120"/>
              <w:rPr>
                <w:rStyle w:val="Strong"/>
                <w:b w:val="0"/>
                <w:color w:val="000000"/>
                <w:sz w:val="18"/>
                <w:szCs w:val="18"/>
              </w:rPr>
            </w:pPr>
          </w:p>
        </w:tc>
        <w:tc>
          <w:tcPr>
            <w:tcW w:w="450" w:type="dxa"/>
            <w:tcBorders>
              <w:bottom w:val="single" w:sz="4" w:space="0" w:color="auto"/>
            </w:tcBorders>
          </w:tcPr>
          <w:p w:rsidR="00BA2C13" w:rsidRPr="001F6AFB" w:rsidRDefault="00D526C8" w:rsidP="00AC6B68">
            <w:pPr>
              <w:spacing w:after="120"/>
              <w:rPr>
                <w:bCs/>
                <w:sz w:val="18"/>
                <w:szCs w:val="18"/>
              </w:rPr>
            </w:pPr>
            <w:r w:rsidRPr="001F6AFB">
              <w:rPr>
                <w:bCs/>
                <w:sz w:val="18"/>
                <w:szCs w:val="18"/>
              </w:rPr>
              <w:fldChar w:fldCharType="begin">
                <w:ffData>
                  <w:name w:val="Check1"/>
                  <w:enabled/>
                  <w:calcOnExit w:val="0"/>
                  <w:checkBox>
                    <w:sizeAuto/>
                    <w:default w:val="0"/>
                  </w:checkBox>
                </w:ffData>
              </w:fldChar>
            </w:r>
            <w:r w:rsidR="00BA2C13" w:rsidRPr="001F6AFB">
              <w:rPr>
                <w:bCs/>
                <w:sz w:val="18"/>
                <w:szCs w:val="18"/>
              </w:rPr>
              <w:instrText xml:space="preserve"> FORMCHECKBOX </w:instrText>
            </w:r>
            <w:r w:rsidRPr="001F6AFB">
              <w:rPr>
                <w:bCs/>
                <w:sz w:val="18"/>
                <w:szCs w:val="18"/>
              </w:rPr>
            </w:r>
            <w:r w:rsidRPr="001F6AFB">
              <w:rPr>
                <w:bCs/>
                <w:sz w:val="18"/>
                <w:szCs w:val="18"/>
              </w:rPr>
              <w:fldChar w:fldCharType="end"/>
            </w:r>
          </w:p>
        </w:tc>
        <w:tc>
          <w:tcPr>
            <w:tcW w:w="811" w:type="dxa"/>
            <w:tcBorders>
              <w:bottom w:val="single" w:sz="4" w:space="0" w:color="auto"/>
            </w:tcBorders>
          </w:tcPr>
          <w:p w:rsidR="00BA2C13" w:rsidRPr="0008383E" w:rsidRDefault="00BA2C13" w:rsidP="00AC6B68">
            <w:pPr>
              <w:spacing w:after="120"/>
              <w:rPr>
                <w:bCs/>
                <w:sz w:val="18"/>
                <w:szCs w:val="18"/>
              </w:rPr>
            </w:pPr>
            <w:r>
              <w:rPr>
                <w:bCs/>
                <w:sz w:val="18"/>
                <w:szCs w:val="18"/>
              </w:rPr>
              <w:t>%</w:t>
            </w:r>
          </w:p>
        </w:tc>
        <w:tc>
          <w:tcPr>
            <w:tcW w:w="899" w:type="dxa"/>
            <w:tcBorders>
              <w:bottom w:val="single" w:sz="4" w:space="0" w:color="auto"/>
            </w:tcBorders>
            <w:shd w:val="clear" w:color="auto" w:fill="auto"/>
          </w:tcPr>
          <w:p w:rsidR="00BA2C13" w:rsidRPr="001F6AFB" w:rsidRDefault="00BA2C13" w:rsidP="00AC6B68">
            <w:pPr>
              <w:spacing w:after="120"/>
              <w:rPr>
                <w:b/>
                <w:bCs/>
                <w:sz w:val="18"/>
                <w:szCs w:val="18"/>
              </w:rPr>
            </w:pPr>
            <w:r>
              <w:rPr>
                <w:bCs/>
                <w:sz w:val="18"/>
                <w:szCs w:val="18"/>
              </w:rPr>
              <w:t>0.53%</w:t>
            </w:r>
          </w:p>
        </w:tc>
        <w:tc>
          <w:tcPr>
            <w:tcW w:w="901" w:type="dxa"/>
            <w:tcBorders>
              <w:bottom w:val="single" w:sz="4" w:space="0" w:color="auto"/>
            </w:tcBorders>
          </w:tcPr>
          <w:p w:rsidR="00BA2C13" w:rsidRPr="000E7C1D" w:rsidRDefault="00C91B1A" w:rsidP="005949C5">
            <w:pPr>
              <w:spacing w:after="120"/>
              <w:rPr>
                <w:b/>
                <w:bCs/>
                <w:sz w:val="18"/>
                <w:szCs w:val="18"/>
              </w:rPr>
            </w:pPr>
            <w:r w:rsidRPr="000E7C1D">
              <w:rPr>
                <w:b/>
                <w:bCs/>
                <w:sz w:val="18"/>
                <w:szCs w:val="18"/>
              </w:rPr>
              <w:t>1.</w:t>
            </w:r>
            <w:r w:rsidR="005949C5" w:rsidRPr="000E7C1D">
              <w:rPr>
                <w:b/>
                <w:bCs/>
                <w:sz w:val="18"/>
                <w:szCs w:val="18"/>
              </w:rPr>
              <w:t>4</w:t>
            </w:r>
            <w:r w:rsidR="008A6C9F" w:rsidRPr="000E7C1D">
              <w:rPr>
                <w:b/>
                <w:bCs/>
                <w:sz w:val="18"/>
                <w:szCs w:val="18"/>
              </w:rPr>
              <w:t>%</w:t>
            </w:r>
          </w:p>
        </w:tc>
        <w:tc>
          <w:tcPr>
            <w:tcW w:w="810" w:type="dxa"/>
            <w:tcBorders>
              <w:bottom w:val="single" w:sz="4" w:space="0" w:color="auto"/>
            </w:tcBorders>
            <w:shd w:val="clear" w:color="auto" w:fill="auto"/>
          </w:tcPr>
          <w:p w:rsidR="00BA2C13" w:rsidRPr="00C46673" w:rsidRDefault="00BA2C13" w:rsidP="00AC6B68">
            <w:pPr>
              <w:spacing w:after="120"/>
              <w:rPr>
                <w:b/>
                <w:bCs/>
                <w:sz w:val="18"/>
                <w:szCs w:val="18"/>
              </w:rPr>
            </w:pPr>
            <w:r>
              <w:rPr>
                <w:bCs/>
                <w:sz w:val="18"/>
                <w:szCs w:val="18"/>
              </w:rPr>
              <w:t>2</w:t>
            </w:r>
            <w:r w:rsidR="006742CA">
              <w:rPr>
                <w:bCs/>
                <w:sz w:val="18"/>
                <w:szCs w:val="18"/>
              </w:rPr>
              <w:t>%</w:t>
            </w:r>
          </w:p>
        </w:tc>
        <w:tc>
          <w:tcPr>
            <w:tcW w:w="767" w:type="dxa"/>
            <w:tcBorders>
              <w:bottom w:val="single" w:sz="4" w:space="0" w:color="auto"/>
            </w:tcBorders>
            <w:shd w:val="clear" w:color="auto" w:fill="auto"/>
          </w:tcPr>
          <w:p w:rsidR="00BA2C13" w:rsidRPr="001F6AFB" w:rsidRDefault="00BA2C13" w:rsidP="00AC6B68">
            <w:pPr>
              <w:spacing w:after="120"/>
              <w:rPr>
                <w:b/>
                <w:bCs/>
                <w:sz w:val="18"/>
                <w:szCs w:val="18"/>
              </w:rPr>
            </w:pPr>
            <w:r>
              <w:rPr>
                <w:bCs/>
                <w:sz w:val="18"/>
                <w:szCs w:val="18"/>
              </w:rPr>
              <w:t>5</w:t>
            </w:r>
            <w:r w:rsidR="006742CA">
              <w:rPr>
                <w:bCs/>
                <w:sz w:val="18"/>
                <w:szCs w:val="18"/>
              </w:rPr>
              <w:t>%</w:t>
            </w:r>
          </w:p>
        </w:tc>
        <w:tc>
          <w:tcPr>
            <w:tcW w:w="819" w:type="dxa"/>
            <w:tcBorders>
              <w:bottom w:val="single" w:sz="4" w:space="0" w:color="auto"/>
            </w:tcBorders>
            <w:shd w:val="clear" w:color="auto" w:fill="auto"/>
          </w:tcPr>
          <w:p w:rsidR="00BA2C13" w:rsidRPr="001F6AFB" w:rsidRDefault="00BA2C13" w:rsidP="00AC6B68">
            <w:pPr>
              <w:spacing w:after="120"/>
              <w:rPr>
                <w:b/>
                <w:bCs/>
                <w:sz w:val="18"/>
                <w:szCs w:val="18"/>
              </w:rPr>
            </w:pPr>
            <w:r>
              <w:rPr>
                <w:bCs/>
                <w:sz w:val="18"/>
                <w:szCs w:val="18"/>
              </w:rPr>
              <w:t>7</w:t>
            </w:r>
            <w:r w:rsidR="006742CA">
              <w:rPr>
                <w:bCs/>
                <w:sz w:val="18"/>
                <w:szCs w:val="18"/>
              </w:rPr>
              <w:t>%</w:t>
            </w:r>
          </w:p>
        </w:tc>
        <w:tc>
          <w:tcPr>
            <w:tcW w:w="871" w:type="dxa"/>
            <w:tcBorders>
              <w:bottom w:val="single" w:sz="4" w:space="0" w:color="auto"/>
            </w:tcBorders>
          </w:tcPr>
          <w:p w:rsidR="00BA2C13" w:rsidRPr="000F49D5" w:rsidRDefault="00BA2C13" w:rsidP="00AC6B68">
            <w:pPr>
              <w:spacing w:after="120"/>
              <w:rPr>
                <w:b/>
                <w:bCs/>
                <w:sz w:val="18"/>
                <w:szCs w:val="18"/>
              </w:rPr>
            </w:pPr>
            <w:r w:rsidRPr="000F49D5">
              <w:rPr>
                <w:bCs/>
                <w:sz w:val="18"/>
                <w:szCs w:val="18"/>
              </w:rPr>
              <w:t>12%</w:t>
            </w:r>
          </w:p>
        </w:tc>
        <w:tc>
          <w:tcPr>
            <w:tcW w:w="1053" w:type="dxa"/>
            <w:tcBorders>
              <w:bottom w:val="single" w:sz="4" w:space="0" w:color="auto"/>
            </w:tcBorders>
            <w:shd w:val="clear" w:color="auto" w:fill="auto"/>
          </w:tcPr>
          <w:p w:rsidR="00BA2C13" w:rsidRPr="001F6AFB" w:rsidRDefault="00BA2C13" w:rsidP="00AC6B68">
            <w:pPr>
              <w:spacing w:after="120"/>
              <w:rPr>
                <w:b/>
                <w:bCs/>
                <w:sz w:val="18"/>
                <w:szCs w:val="18"/>
              </w:rPr>
            </w:pPr>
            <w:r w:rsidRPr="008D7EDC">
              <w:rPr>
                <w:bCs/>
                <w:sz w:val="18"/>
                <w:szCs w:val="18"/>
              </w:rPr>
              <w:t>Annual</w:t>
            </w:r>
          </w:p>
        </w:tc>
        <w:tc>
          <w:tcPr>
            <w:tcW w:w="1260" w:type="dxa"/>
            <w:tcBorders>
              <w:bottom w:val="single" w:sz="4" w:space="0" w:color="auto"/>
            </w:tcBorders>
            <w:shd w:val="clear" w:color="auto" w:fill="auto"/>
          </w:tcPr>
          <w:p w:rsidR="00BA2C13" w:rsidRPr="001F6AFB" w:rsidRDefault="00BA2C13" w:rsidP="00AC6B68">
            <w:pPr>
              <w:spacing w:after="120"/>
              <w:rPr>
                <w:b/>
                <w:bCs/>
                <w:sz w:val="18"/>
                <w:szCs w:val="18"/>
              </w:rPr>
            </w:pPr>
            <w:r w:rsidRPr="00843C0D">
              <w:rPr>
                <w:bCs/>
                <w:sz w:val="18"/>
                <w:szCs w:val="18"/>
              </w:rPr>
              <w:t>LEC data system</w:t>
            </w:r>
          </w:p>
        </w:tc>
        <w:tc>
          <w:tcPr>
            <w:tcW w:w="1350" w:type="dxa"/>
            <w:tcBorders>
              <w:bottom w:val="single" w:sz="4" w:space="0" w:color="auto"/>
            </w:tcBorders>
            <w:shd w:val="clear" w:color="auto" w:fill="auto"/>
          </w:tcPr>
          <w:p w:rsidR="00BA2C13" w:rsidRPr="001F6AFB" w:rsidRDefault="00BA2C13" w:rsidP="00AC6B68">
            <w:pPr>
              <w:spacing w:after="120"/>
              <w:rPr>
                <w:b/>
                <w:bCs/>
                <w:sz w:val="18"/>
                <w:szCs w:val="18"/>
              </w:rPr>
            </w:pPr>
            <w:r w:rsidRPr="0098758A">
              <w:rPr>
                <w:bCs/>
                <w:sz w:val="18"/>
                <w:szCs w:val="18"/>
              </w:rPr>
              <w:t>?</w:t>
            </w:r>
          </w:p>
        </w:tc>
        <w:tc>
          <w:tcPr>
            <w:tcW w:w="2070" w:type="dxa"/>
            <w:tcBorders>
              <w:bottom w:val="single" w:sz="4" w:space="0" w:color="auto"/>
            </w:tcBorders>
          </w:tcPr>
          <w:p w:rsidR="00BA2C13" w:rsidRPr="0008383E" w:rsidRDefault="00BA2C13" w:rsidP="00AC6B68">
            <w:pPr>
              <w:spacing w:after="120"/>
              <w:rPr>
                <w:bCs/>
                <w:sz w:val="18"/>
                <w:szCs w:val="18"/>
              </w:rPr>
            </w:pPr>
          </w:p>
        </w:tc>
      </w:tr>
      <w:tr w:rsidR="00BA2C13" w:rsidRPr="001F6AFB" w:rsidTr="00AC6B68">
        <w:trPr>
          <w:trHeight w:val="215"/>
        </w:trPr>
        <w:tc>
          <w:tcPr>
            <w:tcW w:w="3059" w:type="dxa"/>
            <w:gridSpan w:val="2"/>
            <w:tcBorders>
              <w:bottom w:val="single" w:sz="4" w:space="0" w:color="auto"/>
            </w:tcBorders>
          </w:tcPr>
          <w:p w:rsidR="00BA2C13" w:rsidRPr="00A7451F" w:rsidRDefault="00BA2C13" w:rsidP="00AC6B68">
            <w:pPr>
              <w:pStyle w:val="NormalWeb"/>
              <w:rPr>
                <w:rStyle w:val="Strong"/>
                <w:color w:val="000000"/>
                <w:sz w:val="18"/>
                <w:szCs w:val="18"/>
              </w:rPr>
            </w:pPr>
            <w:r w:rsidRPr="00A7451F">
              <w:rPr>
                <w:bCs/>
                <w:sz w:val="18"/>
                <w:szCs w:val="18"/>
              </w:rPr>
              <w:t>System Average Interruption Frequency Index (SAIFI)</w:t>
            </w:r>
            <w:r w:rsidRPr="00A7451F">
              <w:rPr>
                <w:sz w:val="18"/>
                <w:szCs w:val="18"/>
              </w:rPr>
              <w:t xml:space="preserve"> </w:t>
            </w:r>
            <w:r>
              <w:rPr>
                <w:sz w:val="18"/>
                <w:szCs w:val="18"/>
              </w:rPr>
              <w:t>for customers in Monrovia</w:t>
            </w:r>
          </w:p>
        </w:tc>
        <w:tc>
          <w:tcPr>
            <w:tcW w:w="450" w:type="dxa"/>
            <w:tcBorders>
              <w:bottom w:val="single" w:sz="4" w:space="0" w:color="auto"/>
            </w:tcBorders>
          </w:tcPr>
          <w:p w:rsidR="00BA2C13" w:rsidRPr="001F6AFB" w:rsidRDefault="00D526C8" w:rsidP="00AC6B68">
            <w:pPr>
              <w:spacing w:after="120"/>
              <w:rPr>
                <w:bCs/>
                <w:sz w:val="18"/>
                <w:szCs w:val="18"/>
              </w:rPr>
            </w:pPr>
            <w:r w:rsidRPr="001F6AFB">
              <w:rPr>
                <w:bCs/>
                <w:sz w:val="18"/>
                <w:szCs w:val="18"/>
              </w:rPr>
              <w:fldChar w:fldCharType="begin">
                <w:ffData>
                  <w:name w:val="Check1"/>
                  <w:enabled/>
                  <w:calcOnExit w:val="0"/>
                  <w:checkBox>
                    <w:sizeAuto/>
                    <w:default w:val="0"/>
                  </w:checkBox>
                </w:ffData>
              </w:fldChar>
            </w:r>
            <w:r w:rsidR="00BA2C13" w:rsidRPr="001F6AFB">
              <w:rPr>
                <w:bCs/>
                <w:sz w:val="18"/>
                <w:szCs w:val="18"/>
              </w:rPr>
              <w:instrText xml:space="preserve"> FORMCHECKBOX </w:instrText>
            </w:r>
            <w:r w:rsidRPr="001F6AFB">
              <w:rPr>
                <w:bCs/>
                <w:sz w:val="18"/>
                <w:szCs w:val="18"/>
              </w:rPr>
            </w:r>
            <w:r w:rsidRPr="001F6AFB">
              <w:rPr>
                <w:bCs/>
                <w:sz w:val="18"/>
                <w:szCs w:val="18"/>
              </w:rPr>
              <w:fldChar w:fldCharType="end"/>
            </w:r>
          </w:p>
        </w:tc>
        <w:tc>
          <w:tcPr>
            <w:tcW w:w="811" w:type="dxa"/>
            <w:tcBorders>
              <w:bottom w:val="single" w:sz="4" w:space="0" w:color="auto"/>
            </w:tcBorders>
          </w:tcPr>
          <w:p w:rsidR="00BA2C13" w:rsidRPr="0008383E" w:rsidRDefault="00BA2C13" w:rsidP="00AC6B68">
            <w:pPr>
              <w:spacing w:after="120"/>
              <w:rPr>
                <w:bCs/>
                <w:sz w:val="18"/>
                <w:szCs w:val="18"/>
              </w:rPr>
            </w:pPr>
            <w:r>
              <w:rPr>
                <w:bCs/>
                <w:sz w:val="18"/>
                <w:szCs w:val="18"/>
              </w:rPr>
              <w:t>Number</w:t>
            </w:r>
          </w:p>
        </w:tc>
        <w:tc>
          <w:tcPr>
            <w:tcW w:w="899" w:type="dxa"/>
            <w:tcBorders>
              <w:bottom w:val="single" w:sz="4" w:space="0" w:color="auto"/>
            </w:tcBorders>
            <w:shd w:val="clear" w:color="auto" w:fill="auto"/>
          </w:tcPr>
          <w:p w:rsidR="00BA2C13" w:rsidRPr="000F49D5" w:rsidRDefault="00BA2C13" w:rsidP="00AC6B68">
            <w:pPr>
              <w:spacing w:after="120"/>
              <w:rPr>
                <w:bCs/>
                <w:sz w:val="18"/>
                <w:szCs w:val="18"/>
              </w:rPr>
            </w:pPr>
            <w:r w:rsidRPr="000F49D5">
              <w:rPr>
                <w:bCs/>
                <w:sz w:val="18"/>
                <w:szCs w:val="18"/>
              </w:rPr>
              <w:t>20</w:t>
            </w:r>
          </w:p>
        </w:tc>
        <w:tc>
          <w:tcPr>
            <w:tcW w:w="901" w:type="dxa"/>
            <w:tcBorders>
              <w:bottom w:val="single" w:sz="4" w:space="0" w:color="auto"/>
            </w:tcBorders>
          </w:tcPr>
          <w:p w:rsidR="00BA2C13" w:rsidRPr="000F49D5" w:rsidRDefault="00BA2C13" w:rsidP="00AC6B68">
            <w:pPr>
              <w:spacing w:after="120"/>
              <w:rPr>
                <w:bCs/>
                <w:sz w:val="18"/>
                <w:szCs w:val="18"/>
              </w:rPr>
            </w:pPr>
            <w:r w:rsidRPr="000F49D5">
              <w:rPr>
                <w:bCs/>
                <w:sz w:val="18"/>
                <w:szCs w:val="18"/>
              </w:rPr>
              <w:t>20</w:t>
            </w:r>
          </w:p>
        </w:tc>
        <w:tc>
          <w:tcPr>
            <w:tcW w:w="810" w:type="dxa"/>
            <w:tcBorders>
              <w:bottom w:val="single" w:sz="4" w:space="0" w:color="auto"/>
            </w:tcBorders>
            <w:shd w:val="clear" w:color="auto" w:fill="auto"/>
          </w:tcPr>
          <w:p w:rsidR="00BA2C13" w:rsidRPr="000F49D5" w:rsidRDefault="00BA2C13" w:rsidP="00AC6B68">
            <w:pPr>
              <w:spacing w:after="120"/>
              <w:rPr>
                <w:bCs/>
                <w:sz w:val="18"/>
                <w:szCs w:val="18"/>
              </w:rPr>
            </w:pPr>
            <w:r>
              <w:rPr>
                <w:bCs/>
                <w:sz w:val="18"/>
                <w:szCs w:val="18"/>
              </w:rPr>
              <w:t>18</w:t>
            </w:r>
          </w:p>
        </w:tc>
        <w:tc>
          <w:tcPr>
            <w:tcW w:w="767" w:type="dxa"/>
            <w:tcBorders>
              <w:bottom w:val="single" w:sz="4" w:space="0" w:color="auto"/>
            </w:tcBorders>
            <w:shd w:val="clear" w:color="auto" w:fill="auto"/>
          </w:tcPr>
          <w:p w:rsidR="00BA2C13" w:rsidRPr="000F49D5" w:rsidRDefault="00BA2C13" w:rsidP="00AC6B68">
            <w:pPr>
              <w:spacing w:after="120"/>
              <w:rPr>
                <w:bCs/>
                <w:sz w:val="18"/>
                <w:szCs w:val="18"/>
              </w:rPr>
            </w:pPr>
            <w:r>
              <w:rPr>
                <w:bCs/>
                <w:sz w:val="18"/>
                <w:szCs w:val="18"/>
              </w:rPr>
              <w:t>16</w:t>
            </w:r>
          </w:p>
        </w:tc>
        <w:tc>
          <w:tcPr>
            <w:tcW w:w="819" w:type="dxa"/>
            <w:tcBorders>
              <w:bottom w:val="single" w:sz="4" w:space="0" w:color="auto"/>
            </w:tcBorders>
            <w:shd w:val="clear" w:color="auto" w:fill="auto"/>
          </w:tcPr>
          <w:p w:rsidR="00BA2C13" w:rsidRPr="000F49D5" w:rsidRDefault="00BA2C13" w:rsidP="00AC6B68">
            <w:pPr>
              <w:spacing w:after="120"/>
              <w:rPr>
                <w:bCs/>
                <w:sz w:val="18"/>
                <w:szCs w:val="18"/>
              </w:rPr>
            </w:pPr>
            <w:r>
              <w:rPr>
                <w:bCs/>
                <w:sz w:val="18"/>
                <w:szCs w:val="18"/>
              </w:rPr>
              <w:t>12</w:t>
            </w:r>
          </w:p>
        </w:tc>
        <w:tc>
          <w:tcPr>
            <w:tcW w:w="871" w:type="dxa"/>
            <w:tcBorders>
              <w:bottom w:val="single" w:sz="4" w:space="0" w:color="auto"/>
            </w:tcBorders>
          </w:tcPr>
          <w:p w:rsidR="00BA2C13" w:rsidRPr="000F49D5" w:rsidRDefault="00BA2C13" w:rsidP="00AC6B68">
            <w:pPr>
              <w:spacing w:after="120"/>
              <w:rPr>
                <w:bCs/>
                <w:sz w:val="18"/>
                <w:szCs w:val="18"/>
              </w:rPr>
            </w:pPr>
            <w:r w:rsidRPr="000F49D5">
              <w:rPr>
                <w:bCs/>
                <w:sz w:val="18"/>
                <w:szCs w:val="18"/>
              </w:rPr>
              <w:t>10</w:t>
            </w:r>
          </w:p>
        </w:tc>
        <w:tc>
          <w:tcPr>
            <w:tcW w:w="1053" w:type="dxa"/>
            <w:tcBorders>
              <w:bottom w:val="single" w:sz="4" w:space="0" w:color="auto"/>
            </w:tcBorders>
            <w:shd w:val="clear" w:color="auto" w:fill="auto"/>
          </w:tcPr>
          <w:p w:rsidR="00BA2C13" w:rsidRPr="001F6AFB" w:rsidRDefault="00BA2C13" w:rsidP="00AC6B68">
            <w:pPr>
              <w:spacing w:after="120"/>
              <w:rPr>
                <w:b/>
                <w:bCs/>
                <w:sz w:val="18"/>
                <w:szCs w:val="18"/>
              </w:rPr>
            </w:pPr>
            <w:r w:rsidRPr="008D7EDC">
              <w:rPr>
                <w:bCs/>
                <w:sz w:val="18"/>
                <w:szCs w:val="18"/>
              </w:rPr>
              <w:t>Annual</w:t>
            </w:r>
          </w:p>
        </w:tc>
        <w:tc>
          <w:tcPr>
            <w:tcW w:w="1260" w:type="dxa"/>
            <w:tcBorders>
              <w:bottom w:val="single" w:sz="4" w:space="0" w:color="auto"/>
            </w:tcBorders>
            <w:shd w:val="clear" w:color="auto" w:fill="auto"/>
          </w:tcPr>
          <w:p w:rsidR="00BA2C13" w:rsidRPr="001F6AFB" w:rsidRDefault="00BA2C13" w:rsidP="00AC6B68">
            <w:pPr>
              <w:spacing w:after="120"/>
              <w:rPr>
                <w:b/>
                <w:bCs/>
                <w:sz w:val="18"/>
                <w:szCs w:val="18"/>
              </w:rPr>
            </w:pPr>
            <w:r w:rsidRPr="00843C0D">
              <w:rPr>
                <w:bCs/>
                <w:sz w:val="18"/>
                <w:szCs w:val="18"/>
              </w:rPr>
              <w:t>LEC data system</w:t>
            </w:r>
          </w:p>
        </w:tc>
        <w:tc>
          <w:tcPr>
            <w:tcW w:w="1350" w:type="dxa"/>
            <w:tcBorders>
              <w:bottom w:val="single" w:sz="4" w:space="0" w:color="auto"/>
            </w:tcBorders>
            <w:shd w:val="clear" w:color="auto" w:fill="auto"/>
          </w:tcPr>
          <w:p w:rsidR="00BA2C13" w:rsidRPr="001F6AFB" w:rsidRDefault="00BA2C13" w:rsidP="00AC6B68">
            <w:pPr>
              <w:spacing w:after="120"/>
              <w:rPr>
                <w:b/>
                <w:bCs/>
                <w:sz w:val="18"/>
                <w:szCs w:val="18"/>
              </w:rPr>
            </w:pPr>
            <w:r w:rsidRPr="0098758A">
              <w:rPr>
                <w:bCs/>
                <w:sz w:val="18"/>
                <w:szCs w:val="18"/>
              </w:rPr>
              <w:t>?</w:t>
            </w:r>
          </w:p>
        </w:tc>
        <w:tc>
          <w:tcPr>
            <w:tcW w:w="2070" w:type="dxa"/>
            <w:tcBorders>
              <w:bottom w:val="single" w:sz="4" w:space="0" w:color="auto"/>
            </w:tcBorders>
          </w:tcPr>
          <w:p w:rsidR="00BA2C13" w:rsidRPr="00A7451F" w:rsidRDefault="00BA2C13" w:rsidP="00AC6B68">
            <w:pPr>
              <w:spacing w:after="120"/>
              <w:rPr>
                <w:bCs/>
                <w:sz w:val="18"/>
                <w:szCs w:val="18"/>
              </w:rPr>
            </w:pPr>
            <w:r>
              <w:rPr>
                <w:sz w:val="18"/>
                <w:szCs w:val="18"/>
              </w:rPr>
              <w:t>U</w:t>
            </w:r>
            <w:r w:rsidRPr="00A7451F">
              <w:rPr>
                <w:sz w:val="18"/>
                <w:szCs w:val="18"/>
              </w:rPr>
              <w:t>nits of interruptions per customer</w:t>
            </w:r>
            <w:r>
              <w:rPr>
                <w:sz w:val="18"/>
                <w:szCs w:val="18"/>
              </w:rPr>
              <w:t xml:space="preserve"> in a year </w:t>
            </w:r>
            <w:proofErr w:type="gramStart"/>
            <w:r>
              <w:rPr>
                <w:sz w:val="18"/>
                <w:szCs w:val="18"/>
              </w:rPr>
              <w:t>and  annual</w:t>
            </w:r>
            <w:proofErr w:type="gramEnd"/>
            <w:r>
              <w:rPr>
                <w:sz w:val="18"/>
                <w:szCs w:val="18"/>
              </w:rPr>
              <w:t xml:space="preserve"> target.</w:t>
            </w:r>
          </w:p>
        </w:tc>
      </w:tr>
      <w:tr w:rsidR="00BA2C13" w:rsidRPr="001F6AFB" w:rsidTr="00AC6B68">
        <w:trPr>
          <w:trHeight w:val="631"/>
        </w:trPr>
        <w:tc>
          <w:tcPr>
            <w:tcW w:w="3059" w:type="dxa"/>
            <w:gridSpan w:val="2"/>
            <w:tcBorders>
              <w:bottom w:val="single" w:sz="4" w:space="0" w:color="auto"/>
            </w:tcBorders>
          </w:tcPr>
          <w:p w:rsidR="00BA2C13" w:rsidRPr="001F6AFB" w:rsidRDefault="00BA2C13" w:rsidP="00AC6B68">
            <w:pPr>
              <w:spacing w:after="120"/>
              <w:rPr>
                <w:bCs/>
                <w:sz w:val="18"/>
                <w:szCs w:val="18"/>
              </w:rPr>
            </w:pPr>
            <w:r>
              <w:rPr>
                <w:bCs/>
                <w:sz w:val="18"/>
                <w:szCs w:val="18"/>
              </w:rPr>
              <w:t xml:space="preserve">Direct project beneficiaries, of </w:t>
            </w:r>
            <w:r w:rsidRPr="001F6AFB">
              <w:rPr>
                <w:bCs/>
                <w:sz w:val="18"/>
                <w:szCs w:val="18"/>
              </w:rPr>
              <w:t>which female (beneficiaries)</w:t>
            </w:r>
            <w:r w:rsidRPr="007F7BBF">
              <w:rPr>
                <w:b/>
                <w:bCs/>
                <w:u w:val="single"/>
                <w:vertAlign w:val="superscript"/>
              </w:rPr>
              <w:t xml:space="preserve"> </w:t>
            </w:r>
            <w:r w:rsidRPr="007F7BBF">
              <w:rPr>
                <w:b/>
                <w:bCs/>
                <w:u w:val="single"/>
                <w:vertAlign w:val="superscript"/>
              </w:rPr>
              <w:footnoteReference w:id="7"/>
            </w:r>
          </w:p>
        </w:tc>
        <w:tc>
          <w:tcPr>
            <w:tcW w:w="450" w:type="dxa"/>
            <w:tcBorders>
              <w:bottom w:val="single" w:sz="4" w:space="0" w:color="auto"/>
            </w:tcBorders>
          </w:tcPr>
          <w:p w:rsidR="00BA2C13" w:rsidRPr="001F6AFB" w:rsidRDefault="00D526C8" w:rsidP="00AC6B68">
            <w:pPr>
              <w:spacing w:after="120"/>
              <w:rPr>
                <w:bCs/>
                <w:sz w:val="18"/>
                <w:szCs w:val="18"/>
              </w:rPr>
            </w:pPr>
            <w:r w:rsidRPr="001F6AFB">
              <w:rPr>
                <w:bCs/>
                <w:sz w:val="18"/>
                <w:szCs w:val="18"/>
              </w:rPr>
              <w:fldChar w:fldCharType="begin">
                <w:ffData>
                  <w:name w:val=""/>
                  <w:enabled/>
                  <w:calcOnExit w:val="0"/>
                  <w:checkBox>
                    <w:sizeAuto/>
                    <w:default w:val="1"/>
                  </w:checkBox>
                </w:ffData>
              </w:fldChar>
            </w:r>
            <w:r w:rsidR="00BA2C13" w:rsidRPr="001F6AFB">
              <w:rPr>
                <w:bCs/>
                <w:sz w:val="18"/>
                <w:szCs w:val="18"/>
              </w:rPr>
              <w:instrText xml:space="preserve"> FORMCHECKBOX </w:instrText>
            </w:r>
            <w:r w:rsidRPr="001F6AFB">
              <w:rPr>
                <w:bCs/>
                <w:sz w:val="18"/>
                <w:szCs w:val="18"/>
              </w:rPr>
            </w:r>
            <w:r w:rsidRPr="001F6AFB">
              <w:rPr>
                <w:bCs/>
                <w:sz w:val="18"/>
                <w:szCs w:val="18"/>
              </w:rPr>
              <w:fldChar w:fldCharType="end"/>
            </w:r>
          </w:p>
        </w:tc>
        <w:tc>
          <w:tcPr>
            <w:tcW w:w="811" w:type="dxa"/>
            <w:tcBorders>
              <w:bottom w:val="single" w:sz="4" w:space="0" w:color="auto"/>
            </w:tcBorders>
          </w:tcPr>
          <w:p w:rsidR="00BA2C13" w:rsidRDefault="00BA2C13" w:rsidP="00AC6B68">
            <w:pPr>
              <w:spacing w:after="120"/>
              <w:rPr>
                <w:bCs/>
                <w:sz w:val="18"/>
                <w:szCs w:val="18"/>
              </w:rPr>
            </w:pPr>
            <w:r w:rsidRPr="001F6AFB">
              <w:rPr>
                <w:bCs/>
                <w:sz w:val="18"/>
                <w:szCs w:val="18"/>
              </w:rPr>
              <w:t>Number</w:t>
            </w:r>
          </w:p>
          <w:p w:rsidR="00BA2C13" w:rsidRPr="001F6AFB" w:rsidRDefault="00BA2C13" w:rsidP="00AC6B68">
            <w:pPr>
              <w:spacing w:after="120"/>
              <w:rPr>
                <w:bCs/>
                <w:sz w:val="18"/>
                <w:szCs w:val="18"/>
              </w:rPr>
            </w:pPr>
            <w:r>
              <w:rPr>
                <w:bCs/>
                <w:sz w:val="18"/>
                <w:szCs w:val="18"/>
              </w:rPr>
              <w:t>(%)</w:t>
            </w:r>
          </w:p>
        </w:tc>
        <w:tc>
          <w:tcPr>
            <w:tcW w:w="899" w:type="dxa"/>
            <w:tcBorders>
              <w:bottom w:val="single" w:sz="4" w:space="0" w:color="auto"/>
            </w:tcBorders>
            <w:shd w:val="clear" w:color="auto" w:fill="auto"/>
          </w:tcPr>
          <w:p w:rsidR="00BA2C13" w:rsidRPr="001F6AFB" w:rsidRDefault="00BA2C13" w:rsidP="00AC6B68">
            <w:pPr>
              <w:spacing w:after="120"/>
              <w:rPr>
                <w:bCs/>
                <w:sz w:val="18"/>
                <w:szCs w:val="18"/>
              </w:rPr>
            </w:pPr>
            <w:r w:rsidRPr="00537D58">
              <w:rPr>
                <w:bCs/>
                <w:sz w:val="18"/>
                <w:szCs w:val="18"/>
              </w:rPr>
              <w:t>?</w:t>
            </w:r>
          </w:p>
        </w:tc>
        <w:tc>
          <w:tcPr>
            <w:tcW w:w="901" w:type="dxa"/>
            <w:tcBorders>
              <w:bottom w:val="single" w:sz="4" w:space="0" w:color="auto"/>
            </w:tcBorders>
          </w:tcPr>
          <w:p w:rsidR="00BA2C13" w:rsidRPr="00C46673" w:rsidRDefault="00BA2C13" w:rsidP="00AC6B68">
            <w:pPr>
              <w:spacing w:after="120"/>
              <w:rPr>
                <w:bCs/>
                <w:sz w:val="18"/>
                <w:szCs w:val="18"/>
              </w:rPr>
            </w:pPr>
            <w:r w:rsidRPr="00537D58">
              <w:rPr>
                <w:bCs/>
                <w:sz w:val="18"/>
                <w:szCs w:val="18"/>
              </w:rPr>
              <w:t>?</w:t>
            </w:r>
          </w:p>
        </w:tc>
        <w:tc>
          <w:tcPr>
            <w:tcW w:w="810" w:type="dxa"/>
            <w:tcBorders>
              <w:bottom w:val="single" w:sz="4" w:space="0" w:color="auto"/>
            </w:tcBorders>
            <w:shd w:val="clear" w:color="auto" w:fill="auto"/>
          </w:tcPr>
          <w:p w:rsidR="00BA2C13" w:rsidRPr="00C46673" w:rsidRDefault="00BA2C13" w:rsidP="00AC6B68">
            <w:pPr>
              <w:spacing w:after="120"/>
              <w:rPr>
                <w:bCs/>
                <w:sz w:val="18"/>
                <w:szCs w:val="18"/>
              </w:rPr>
            </w:pPr>
            <w:r>
              <w:rPr>
                <w:bCs/>
                <w:sz w:val="18"/>
                <w:szCs w:val="18"/>
              </w:rPr>
              <w:t>1,250 (50%)</w:t>
            </w:r>
          </w:p>
        </w:tc>
        <w:tc>
          <w:tcPr>
            <w:tcW w:w="767" w:type="dxa"/>
            <w:tcBorders>
              <w:bottom w:val="single" w:sz="4" w:space="0" w:color="auto"/>
            </w:tcBorders>
            <w:shd w:val="clear" w:color="auto" w:fill="auto"/>
          </w:tcPr>
          <w:p w:rsidR="00BA2C13" w:rsidRPr="001F6AFB" w:rsidRDefault="00BA2C13" w:rsidP="00AC6B68">
            <w:pPr>
              <w:spacing w:after="120"/>
              <w:rPr>
                <w:bCs/>
                <w:sz w:val="18"/>
                <w:szCs w:val="18"/>
              </w:rPr>
            </w:pPr>
            <w:r>
              <w:rPr>
                <w:bCs/>
                <w:sz w:val="18"/>
                <w:szCs w:val="18"/>
              </w:rPr>
              <w:t>2,500 (50%)</w:t>
            </w:r>
          </w:p>
        </w:tc>
        <w:tc>
          <w:tcPr>
            <w:tcW w:w="819" w:type="dxa"/>
            <w:tcBorders>
              <w:bottom w:val="single" w:sz="4" w:space="0" w:color="auto"/>
            </w:tcBorders>
            <w:shd w:val="clear" w:color="auto" w:fill="auto"/>
          </w:tcPr>
          <w:p w:rsidR="00BA2C13" w:rsidRPr="001F6AFB" w:rsidRDefault="00BA2C13" w:rsidP="00AC6B68">
            <w:pPr>
              <w:spacing w:after="120"/>
              <w:rPr>
                <w:bCs/>
                <w:sz w:val="18"/>
                <w:szCs w:val="18"/>
              </w:rPr>
            </w:pPr>
            <w:r>
              <w:rPr>
                <w:bCs/>
                <w:sz w:val="18"/>
                <w:szCs w:val="18"/>
              </w:rPr>
              <w:t>3,750 (50%)</w:t>
            </w:r>
          </w:p>
        </w:tc>
        <w:tc>
          <w:tcPr>
            <w:tcW w:w="871" w:type="dxa"/>
            <w:tcBorders>
              <w:bottom w:val="single" w:sz="4" w:space="0" w:color="auto"/>
            </w:tcBorders>
          </w:tcPr>
          <w:p w:rsidR="00BA2C13" w:rsidRPr="001F6AFB" w:rsidRDefault="00BA2C13" w:rsidP="00AC6B68">
            <w:pPr>
              <w:spacing w:after="120"/>
              <w:rPr>
                <w:bCs/>
                <w:sz w:val="18"/>
                <w:szCs w:val="18"/>
                <w:highlight w:val="yellow"/>
              </w:rPr>
            </w:pPr>
            <w:r w:rsidRPr="00D02793">
              <w:rPr>
                <w:bCs/>
                <w:sz w:val="18"/>
                <w:szCs w:val="18"/>
              </w:rPr>
              <w:t>5,000 (50%)</w:t>
            </w:r>
          </w:p>
        </w:tc>
        <w:tc>
          <w:tcPr>
            <w:tcW w:w="1053" w:type="dxa"/>
            <w:tcBorders>
              <w:bottom w:val="single" w:sz="4" w:space="0" w:color="auto"/>
            </w:tcBorders>
            <w:shd w:val="clear" w:color="auto" w:fill="auto"/>
          </w:tcPr>
          <w:p w:rsidR="00BA2C13" w:rsidRPr="001F6AFB" w:rsidRDefault="00BA2C13" w:rsidP="00AC6B68">
            <w:pPr>
              <w:spacing w:after="120"/>
              <w:rPr>
                <w:bCs/>
                <w:sz w:val="18"/>
                <w:szCs w:val="18"/>
              </w:rPr>
            </w:pPr>
            <w:r>
              <w:rPr>
                <w:bCs/>
                <w:sz w:val="18"/>
                <w:szCs w:val="18"/>
              </w:rPr>
              <w:t xml:space="preserve">Annual </w:t>
            </w:r>
          </w:p>
        </w:tc>
        <w:tc>
          <w:tcPr>
            <w:tcW w:w="1260" w:type="dxa"/>
            <w:tcBorders>
              <w:bottom w:val="single" w:sz="4" w:space="0" w:color="auto"/>
            </w:tcBorders>
            <w:shd w:val="clear" w:color="auto" w:fill="auto"/>
          </w:tcPr>
          <w:p w:rsidR="00BA2C13" w:rsidRPr="001F6AFB" w:rsidRDefault="00BA2C13" w:rsidP="00AC6B68">
            <w:pPr>
              <w:spacing w:after="120"/>
              <w:rPr>
                <w:bCs/>
                <w:sz w:val="18"/>
                <w:szCs w:val="18"/>
              </w:rPr>
            </w:pPr>
            <w:r w:rsidRPr="00843C0D">
              <w:rPr>
                <w:bCs/>
                <w:sz w:val="18"/>
                <w:szCs w:val="18"/>
              </w:rPr>
              <w:t>LEC data system</w:t>
            </w:r>
          </w:p>
        </w:tc>
        <w:tc>
          <w:tcPr>
            <w:tcW w:w="1350" w:type="dxa"/>
            <w:tcBorders>
              <w:bottom w:val="single" w:sz="4" w:space="0" w:color="auto"/>
            </w:tcBorders>
            <w:shd w:val="clear" w:color="auto" w:fill="auto"/>
          </w:tcPr>
          <w:p w:rsidR="00BA2C13" w:rsidRPr="001F6AFB" w:rsidRDefault="00BA2C13" w:rsidP="00AC6B68">
            <w:pPr>
              <w:spacing w:after="120"/>
              <w:rPr>
                <w:bCs/>
                <w:sz w:val="18"/>
                <w:szCs w:val="18"/>
              </w:rPr>
            </w:pPr>
            <w:r w:rsidRPr="001F6AFB">
              <w:rPr>
                <w:bCs/>
                <w:sz w:val="18"/>
                <w:szCs w:val="18"/>
              </w:rPr>
              <w:t>LEC</w:t>
            </w:r>
          </w:p>
        </w:tc>
        <w:tc>
          <w:tcPr>
            <w:tcW w:w="2070" w:type="dxa"/>
            <w:tcBorders>
              <w:bottom w:val="single" w:sz="4" w:space="0" w:color="auto"/>
            </w:tcBorders>
            <w:vAlign w:val="center"/>
          </w:tcPr>
          <w:p w:rsidR="00BA2C13" w:rsidRPr="001F6AFB" w:rsidRDefault="00BA2C13" w:rsidP="00AC6B68">
            <w:pPr>
              <w:spacing w:after="120"/>
              <w:rPr>
                <w:bCs/>
                <w:sz w:val="18"/>
                <w:szCs w:val="18"/>
              </w:rPr>
            </w:pPr>
            <w:r w:rsidRPr="001F6AFB">
              <w:rPr>
                <w:bCs/>
                <w:sz w:val="18"/>
                <w:szCs w:val="18"/>
              </w:rPr>
              <w:t xml:space="preserve">Based on average household size </w:t>
            </w:r>
            <w:r>
              <w:rPr>
                <w:bCs/>
                <w:sz w:val="18"/>
                <w:szCs w:val="18"/>
              </w:rPr>
              <w:t xml:space="preserve">in Monrovia </w:t>
            </w:r>
            <w:r w:rsidRPr="001F6AFB">
              <w:rPr>
                <w:bCs/>
                <w:sz w:val="18"/>
                <w:szCs w:val="18"/>
              </w:rPr>
              <w:t xml:space="preserve">of 5 persons, and female to male ratio of 100.2 (Liberia National Population and </w:t>
            </w:r>
            <w:r w:rsidRPr="001F6AFB">
              <w:rPr>
                <w:bCs/>
                <w:sz w:val="18"/>
                <w:szCs w:val="18"/>
              </w:rPr>
              <w:lastRenderedPageBreak/>
              <w:t>Housing Census, 2009).</w:t>
            </w:r>
          </w:p>
        </w:tc>
      </w:tr>
      <w:tr w:rsidR="00BA2C13" w:rsidRPr="001F6AFB" w:rsidTr="00AC6B68">
        <w:trPr>
          <w:trHeight w:val="494"/>
          <w:tblHeader/>
        </w:trPr>
        <w:tc>
          <w:tcPr>
            <w:tcW w:w="15120" w:type="dxa"/>
            <w:gridSpan w:val="14"/>
            <w:shd w:val="clear" w:color="auto" w:fill="BFBFBF"/>
            <w:vAlign w:val="center"/>
          </w:tcPr>
          <w:p w:rsidR="00BA2C13" w:rsidRPr="007F7BBF" w:rsidRDefault="00BA2C13" w:rsidP="00AC6B68">
            <w:pPr>
              <w:spacing w:after="120"/>
              <w:rPr>
                <w:b/>
                <w:bCs/>
              </w:rPr>
            </w:pPr>
            <w:r w:rsidRPr="007F7BBF">
              <w:rPr>
                <w:b/>
                <w:bCs/>
              </w:rPr>
              <w:lastRenderedPageBreak/>
              <w:t>Intermediate Results and Indicators</w:t>
            </w:r>
          </w:p>
        </w:tc>
      </w:tr>
      <w:tr w:rsidR="00BA2C13" w:rsidRPr="001F6AFB" w:rsidTr="00AC6B68">
        <w:trPr>
          <w:trHeight w:val="342"/>
          <w:tblHeader/>
        </w:trPr>
        <w:tc>
          <w:tcPr>
            <w:tcW w:w="3059" w:type="dxa"/>
            <w:gridSpan w:val="2"/>
            <w:vMerge w:val="restart"/>
            <w:shd w:val="clear" w:color="auto" w:fill="E6E6E6"/>
            <w:vAlign w:val="center"/>
          </w:tcPr>
          <w:p w:rsidR="00BA2C13" w:rsidRPr="001F6AFB" w:rsidRDefault="00BA2C13" w:rsidP="00AC6B68">
            <w:pPr>
              <w:spacing w:after="120"/>
              <w:rPr>
                <w:b/>
                <w:bCs/>
                <w:sz w:val="18"/>
                <w:szCs w:val="18"/>
              </w:rPr>
            </w:pPr>
            <w:r w:rsidRPr="001F6AFB">
              <w:rPr>
                <w:b/>
                <w:bCs/>
                <w:sz w:val="18"/>
                <w:szCs w:val="18"/>
              </w:rPr>
              <w:t>Intermediate Results Indicators</w:t>
            </w:r>
          </w:p>
        </w:tc>
        <w:tc>
          <w:tcPr>
            <w:tcW w:w="450" w:type="dxa"/>
            <w:vMerge w:val="restart"/>
            <w:shd w:val="clear" w:color="auto" w:fill="E6E6E6"/>
            <w:textDirection w:val="btLr"/>
          </w:tcPr>
          <w:p w:rsidR="00BA2C13" w:rsidRPr="001F6AFB" w:rsidRDefault="00BA2C13" w:rsidP="00AC6B68">
            <w:pPr>
              <w:spacing w:after="120"/>
              <w:jc w:val="center"/>
              <w:rPr>
                <w:b/>
                <w:bCs/>
                <w:sz w:val="18"/>
                <w:szCs w:val="18"/>
              </w:rPr>
            </w:pPr>
            <w:r w:rsidRPr="001F6AFB">
              <w:rPr>
                <w:b/>
                <w:bCs/>
                <w:sz w:val="18"/>
                <w:szCs w:val="18"/>
              </w:rPr>
              <w:t>Core</w:t>
            </w:r>
          </w:p>
        </w:tc>
        <w:tc>
          <w:tcPr>
            <w:tcW w:w="811" w:type="dxa"/>
            <w:vMerge w:val="restart"/>
            <w:shd w:val="clear" w:color="auto" w:fill="E6E6E6"/>
            <w:vAlign w:val="center"/>
          </w:tcPr>
          <w:p w:rsidR="00BA2C13" w:rsidRPr="001F6AFB" w:rsidRDefault="00BA2C13" w:rsidP="00AC6B68">
            <w:pPr>
              <w:spacing w:after="120"/>
              <w:rPr>
                <w:b/>
                <w:bCs/>
                <w:sz w:val="18"/>
                <w:szCs w:val="18"/>
              </w:rPr>
            </w:pPr>
            <w:r w:rsidRPr="001F6AFB">
              <w:rPr>
                <w:b/>
                <w:bCs/>
                <w:sz w:val="18"/>
                <w:szCs w:val="18"/>
              </w:rPr>
              <w:t>Unit of Measurement</w:t>
            </w:r>
          </w:p>
        </w:tc>
        <w:tc>
          <w:tcPr>
            <w:tcW w:w="899" w:type="dxa"/>
            <w:vMerge w:val="restart"/>
            <w:shd w:val="clear" w:color="auto" w:fill="E6E6E6"/>
            <w:vAlign w:val="center"/>
          </w:tcPr>
          <w:p w:rsidR="00BA2C13" w:rsidRPr="001F6AFB" w:rsidRDefault="00BA2C13" w:rsidP="00AC6B68">
            <w:pPr>
              <w:spacing w:after="120"/>
              <w:rPr>
                <w:b/>
                <w:bCs/>
                <w:sz w:val="18"/>
                <w:szCs w:val="18"/>
              </w:rPr>
            </w:pPr>
            <w:r w:rsidRPr="001F6AFB">
              <w:rPr>
                <w:b/>
                <w:bCs/>
                <w:sz w:val="18"/>
                <w:szCs w:val="18"/>
              </w:rPr>
              <w:t>Baseline</w:t>
            </w:r>
          </w:p>
          <w:p w:rsidR="00BA2C13" w:rsidRPr="001F6AFB" w:rsidRDefault="00BA2C13" w:rsidP="00AC6B68">
            <w:pPr>
              <w:spacing w:after="120"/>
              <w:rPr>
                <w:b/>
                <w:bCs/>
                <w:sz w:val="18"/>
                <w:szCs w:val="18"/>
              </w:rPr>
            </w:pPr>
            <w:r w:rsidRPr="001F6AFB">
              <w:rPr>
                <w:b/>
                <w:bCs/>
                <w:sz w:val="18"/>
                <w:szCs w:val="18"/>
              </w:rPr>
              <w:t>Original Project</w:t>
            </w:r>
          </w:p>
          <w:p w:rsidR="00BA2C13" w:rsidRPr="001F6AFB" w:rsidRDefault="00BA2C13" w:rsidP="00AC6B68">
            <w:pPr>
              <w:spacing w:after="120"/>
              <w:rPr>
                <w:b/>
                <w:bCs/>
                <w:sz w:val="18"/>
                <w:szCs w:val="18"/>
              </w:rPr>
            </w:pPr>
            <w:r w:rsidRPr="001F6AFB">
              <w:rPr>
                <w:b/>
                <w:bCs/>
                <w:sz w:val="18"/>
                <w:szCs w:val="18"/>
              </w:rPr>
              <w:t>Start</w:t>
            </w:r>
          </w:p>
          <w:p w:rsidR="00BA2C13" w:rsidRPr="001F6AFB" w:rsidRDefault="00BA2C13" w:rsidP="00AC6B68">
            <w:pPr>
              <w:spacing w:after="120"/>
              <w:rPr>
                <w:b/>
                <w:bCs/>
                <w:sz w:val="18"/>
                <w:szCs w:val="18"/>
              </w:rPr>
            </w:pPr>
            <w:r w:rsidRPr="001F6AFB">
              <w:rPr>
                <w:b/>
                <w:bCs/>
                <w:sz w:val="18"/>
                <w:szCs w:val="18"/>
              </w:rPr>
              <w:t>(2010)</w:t>
            </w:r>
          </w:p>
        </w:tc>
        <w:tc>
          <w:tcPr>
            <w:tcW w:w="901" w:type="dxa"/>
            <w:vMerge w:val="restart"/>
            <w:shd w:val="clear" w:color="auto" w:fill="E6E6E6"/>
            <w:vAlign w:val="center"/>
          </w:tcPr>
          <w:p w:rsidR="00BA2C13" w:rsidRPr="001F6AFB" w:rsidRDefault="00BA2C13" w:rsidP="00AC6B68">
            <w:pPr>
              <w:spacing w:after="120"/>
              <w:rPr>
                <w:b/>
                <w:bCs/>
                <w:sz w:val="18"/>
                <w:szCs w:val="18"/>
              </w:rPr>
            </w:pPr>
            <w:r w:rsidRPr="001F6AFB">
              <w:rPr>
                <w:b/>
                <w:bCs/>
                <w:sz w:val="18"/>
                <w:szCs w:val="18"/>
              </w:rPr>
              <w:t>Progress To Date</w:t>
            </w:r>
          </w:p>
          <w:p w:rsidR="00BA2C13" w:rsidRPr="001F6AFB" w:rsidRDefault="00BA2C13" w:rsidP="00AC6B68">
            <w:pPr>
              <w:spacing w:after="120"/>
              <w:rPr>
                <w:b/>
                <w:bCs/>
                <w:sz w:val="18"/>
                <w:szCs w:val="18"/>
              </w:rPr>
            </w:pPr>
            <w:r w:rsidRPr="001F6AFB">
              <w:rPr>
                <w:b/>
                <w:bCs/>
                <w:sz w:val="18"/>
                <w:szCs w:val="18"/>
              </w:rPr>
              <w:t>(2011)</w:t>
            </w:r>
          </w:p>
        </w:tc>
        <w:tc>
          <w:tcPr>
            <w:tcW w:w="3267" w:type="dxa"/>
            <w:gridSpan w:val="4"/>
            <w:shd w:val="clear" w:color="auto" w:fill="E6E6E6"/>
            <w:vAlign w:val="center"/>
          </w:tcPr>
          <w:p w:rsidR="00BA2C13" w:rsidRPr="001F6AFB" w:rsidRDefault="00BA2C13" w:rsidP="00AC6B68">
            <w:pPr>
              <w:spacing w:after="120"/>
              <w:jc w:val="center"/>
              <w:rPr>
                <w:b/>
                <w:bCs/>
                <w:sz w:val="18"/>
                <w:szCs w:val="18"/>
              </w:rPr>
            </w:pPr>
            <w:r w:rsidRPr="001F6AFB">
              <w:rPr>
                <w:b/>
                <w:bCs/>
                <w:sz w:val="18"/>
                <w:szCs w:val="18"/>
              </w:rPr>
              <w:t>Target Values</w:t>
            </w:r>
          </w:p>
        </w:tc>
        <w:tc>
          <w:tcPr>
            <w:tcW w:w="1053" w:type="dxa"/>
            <w:vMerge w:val="restart"/>
            <w:shd w:val="clear" w:color="auto" w:fill="E6E6E6"/>
            <w:vAlign w:val="center"/>
          </w:tcPr>
          <w:p w:rsidR="00BA2C13" w:rsidRPr="001F6AFB" w:rsidRDefault="00BA2C13" w:rsidP="00AC6B68">
            <w:pPr>
              <w:jc w:val="center"/>
              <w:rPr>
                <w:b/>
                <w:bCs/>
                <w:sz w:val="18"/>
                <w:szCs w:val="18"/>
              </w:rPr>
            </w:pPr>
            <w:r w:rsidRPr="001F6AFB">
              <w:rPr>
                <w:b/>
                <w:bCs/>
                <w:sz w:val="18"/>
                <w:szCs w:val="18"/>
              </w:rPr>
              <w:t>Frequency</w:t>
            </w:r>
          </w:p>
        </w:tc>
        <w:tc>
          <w:tcPr>
            <w:tcW w:w="1260" w:type="dxa"/>
            <w:vMerge w:val="restart"/>
            <w:shd w:val="clear" w:color="auto" w:fill="E6E6E6"/>
            <w:vAlign w:val="center"/>
          </w:tcPr>
          <w:p w:rsidR="00BA2C13" w:rsidRPr="001F6AFB" w:rsidRDefault="00BA2C13" w:rsidP="00AC6B68">
            <w:pPr>
              <w:jc w:val="center"/>
              <w:rPr>
                <w:b/>
                <w:bCs/>
                <w:sz w:val="18"/>
                <w:szCs w:val="18"/>
              </w:rPr>
            </w:pPr>
            <w:r w:rsidRPr="001F6AFB">
              <w:rPr>
                <w:b/>
                <w:bCs/>
                <w:sz w:val="18"/>
                <w:szCs w:val="18"/>
              </w:rPr>
              <w:t>Data Source/</w:t>
            </w:r>
          </w:p>
          <w:p w:rsidR="00BA2C13" w:rsidRPr="001F6AFB" w:rsidRDefault="00BA2C13" w:rsidP="00AC6B68">
            <w:pPr>
              <w:jc w:val="center"/>
              <w:rPr>
                <w:b/>
                <w:bCs/>
                <w:sz w:val="18"/>
                <w:szCs w:val="18"/>
              </w:rPr>
            </w:pPr>
            <w:r w:rsidRPr="001F6AFB">
              <w:rPr>
                <w:b/>
                <w:bCs/>
                <w:sz w:val="18"/>
                <w:szCs w:val="18"/>
              </w:rPr>
              <w:t>Methodology</w:t>
            </w:r>
          </w:p>
        </w:tc>
        <w:tc>
          <w:tcPr>
            <w:tcW w:w="1350" w:type="dxa"/>
            <w:vMerge w:val="restart"/>
            <w:shd w:val="clear" w:color="auto" w:fill="E6E6E6"/>
            <w:vAlign w:val="center"/>
          </w:tcPr>
          <w:p w:rsidR="00BA2C13" w:rsidRPr="001F6AFB" w:rsidRDefault="00BA2C13" w:rsidP="00AC6B68">
            <w:pPr>
              <w:jc w:val="center"/>
              <w:rPr>
                <w:b/>
                <w:bCs/>
                <w:sz w:val="18"/>
                <w:szCs w:val="18"/>
              </w:rPr>
            </w:pPr>
            <w:r w:rsidRPr="001F6AFB">
              <w:rPr>
                <w:b/>
                <w:bCs/>
                <w:sz w:val="18"/>
                <w:szCs w:val="18"/>
              </w:rPr>
              <w:t>Responsibility for Data Collection</w:t>
            </w:r>
          </w:p>
        </w:tc>
        <w:tc>
          <w:tcPr>
            <w:tcW w:w="2070" w:type="dxa"/>
            <w:vMerge w:val="restart"/>
            <w:shd w:val="clear" w:color="auto" w:fill="E6E6E6"/>
            <w:vAlign w:val="center"/>
          </w:tcPr>
          <w:p w:rsidR="00BA2C13" w:rsidRPr="001F6AFB" w:rsidRDefault="00BA2C13" w:rsidP="00AC6B68">
            <w:pPr>
              <w:spacing w:after="120"/>
              <w:rPr>
                <w:b/>
                <w:bCs/>
                <w:sz w:val="18"/>
                <w:szCs w:val="18"/>
              </w:rPr>
            </w:pPr>
            <w:r w:rsidRPr="001F6AFB">
              <w:rPr>
                <w:b/>
                <w:bCs/>
                <w:sz w:val="18"/>
                <w:szCs w:val="18"/>
              </w:rPr>
              <w:t>Comments</w:t>
            </w:r>
          </w:p>
        </w:tc>
      </w:tr>
      <w:tr w:rsidR="00BA2C13" w:rsidRPr="001F6AFB" w:rsidTr="00AC6B68">
        <w:trPr>
          <w:trHeight w:val="602"/>
          <w:tblHeader/>
        </w:trPr>
        <w:tc>
          <w:tcPr>
            <w:tcW w:w="3059" w:type="dxa"/>
            <w:gridSpan w:val="2"/>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450"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811"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899"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901"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810" w:type="dxa"/>
            <w:tcBorders>
              <w:bottom w:val="single" w:sz="4" w:space="0" w:color="auto"/>
            </w:tcBorders>
            <w:shd w:val="clear" w:color="auto" w:fill="E6E6E6"/>
          </w:tcPr>
          <w:p w:rsidR="00BA2C13" w:rsidRPr="001F6AFB" w:rsidRDefault="00BA2C13" w:rsidP="00AC6B68">
            <w:pPr>
              <w:spacing w:after="120"/>
              <w:rPr>
                <w:b/>
                <w:bCs/>
                <w:sz w:val="18"/>
                <w:szCs w:val="18"/>
              </w:rPr>
            </w:pPr>
            <w:r w:rsidRPr="001F6AFB">
              <w:rPr>
                <w:b/>
                <w:bCs/>
                <w:sz w:val="18"/>
                <w:szCs w:val="18"/>
              </w:rPr>
              <w:t>2011</w:t>
            </w:r>
          </w:p>
        </w:tc>
        <w:tc>
          <w:tcPr>
            <w:tcW w:w="767" w:type="dxa"/>
            <w:tcBorders>
              <w:bottom w:val="single" w:sz="4" w:space="0" w:color="auto"/>
            </w:tcBorders>
            <w:shd w:val="clear" w:color="auto" w:fill="E6E6E6"/>
          </w:tcPr>
          <w:p w:rsidR="00BA2C13" w:rsidRPr="001F6AFB" w:rsidRDefault="00BA2C13" w:rsidP="00AC6B68">
            <w:pPr>
              <w:spacing w:after="120"/>
              <w:rPr>
                <w:b/>
                <w:bCs/>
                <w:sz w:val="18"/>
                <w:szCs w:val="18"/>
              </w:rPr>
            </w:pPr>
            <w:r w:rsidRPr="001F6AFB">
              <w:rPr>
                <w:b/>
                <w:bCs/>
                <w:sz w:val="18"/>
                <w:szCs w:val="18"/>
              </w:rPr>
              <w:t>2012</w:t>
            </w:r>
          </w:p>
        </w:tc>
        <w:tc>
          <w:tcPr>
            <w:tcW w:w="819" w:type="dxa"/>
            <w:tcBorders>
              <w:bottom w:val="single" w:sz="4" w:space="0" w:color="auto"/>
            </w:tcBorders>
            <w:shd w:val="clear" w:color="auto" w:fill="E6E6E6"/>
          </w:tcPr>
          <w:p w:rsidR="00BA2C13" w:rsidRPr="001F6AFB" w:rsidRDefault="00BA2C13" w:rsidP="00AC6B68">
            <w:pPr>
              <w:spacing w:after="120"/>
              <w:rPr>
                <w:b/>
                <w:bCs/>
                <w:sz w:val="18"/>
                <w:szCs w:val="18"/>
              </w:rPr>
            </w:pPr>
            <w:r w:rsidRPr="001F6AFB">
              <w:rPr>
                <w:b/>
                <w:bCs/>
                <w:sz w:val="18"/>
                <w:szCs w:val="18"/>
              </w:rPr>
              <w:t>2013</w:t>
            </w:r>
          </w:p>
        </w:tc>
        <w:tc>
          <w:tcPr>
            <w:tcW w:w="871" w:type="dxa"/>
            <w:tcBorders>
              <w:bottom w:val="single" w:sz="4" w:space="0" w:color="auto"/>
            </w:tcBorders>
            <w:shd w:val="clear" w:color="auto" w:fill="E6E6E6"/>
          </w:tcPr>
          <w:p w:rsidR="00BA2C13" w:rsidRPr="001F6AFB" w:rsidRDefault="00BA2C13" w:rsidP="00AC6B68">
            <w:pPr>
              <w:spacing w:after="120"/>
              <w:rPr>
                <w:b/>
                <w:bCs/>
                <w:sz w:val="18"/>
                <w:szCs w:val="18"/>
              </w:rPr>
            </w:pPr>
            <w:r w:rsidRPr="001F6AFB">
              <w:rPr>
                <w:b/>
                <w:bCs/>
                <w:sz w:val="18"/>
                <w:szCs w:val="18"/>
              </w:rPr>
              <w:t>2014</w:t>
            </w:r>
          </w:p>
        </w:tc>
        <w:tc>
          <w:tcPr>
            <w:tcW w:w="1053"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1260"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1350" w:type="dxa"/>
            <w:vMerge/>
            <w:tcBorders>
              <w:bottom w:val="single" w:sz="4" w:space="0" w:color="auto"/>
            </w:tcBorders>
            <w:shd w:val="clear" w:color="auto" w:fill="E6E6E6"/>
          </w:tcPr>
          <w:p w:rsidR="00BA2C13" w:rsidRPr="001F6AFB" w:rsidRDefault="00BA2C13" w:rsidP="00AC6B68">
            <w:pPr>
              <w:spacing w:after="120"/>
              <w:rPr>
                <w:b/>
                <w:bCs/>
                <w:sz w:val="18"/>
                <w:szCs w:val="18"/>
              </w:rPr>
            </w:pPr>
          </w:p>
        </w:tc>
        <w:tc>
          <w:tcPr>
            <w:tcW w:w="2070" w:type="dxa"/>
            <w:vMerge/>
            <w:tcBorders>
              <w:bottom w:val="single" w:sz="4" w:space="0" w:color="auto"/>
            </w:tcBorders>
            <w:shd w:val="clear" w:color="auto" w:fill="E6E6E6"/>
          </w:tcPr>
          <w:p w:rsidR="00BA2C13" w:rsidRPr="001F6AFB" w:rsidRDefault="00BA2C13" w:rsidP="00AC6B68">
            <w:pPr>
              <w:spacing w:after="120"/>
              <w:rPr>
                <w:b/>
                <w:bCs/>
                <w:sz w:val="18"/>
                <w:szCs w:val="18"/>
              </w:rPr>
            </w:pPr>
          </w:p>
        </w:tc>
      </w:tr>
      <w:tr w:rsidR="00BA2C13" w:rsidRPr="001F6AFB" w:rsidTr="00AC6B68">
        <w:trPr>
          <w:trHeight w:val="638"/>
        </w:trPr>
        <w:tc>
          <w:tcPr>
            <w:tcW w:w="15120" w:type="dxa"/>
            <w:gridSpan w:val="14"/>
            <w:tcBorders>
              <w:bottom w:val="single" w:sz="4" w:space="0" w:color="auto"/>
            </w:tcBorders>
            <w:shd w:val="clear" w:color="auto" w:fill="E6E6E6"/>
            <w:vAlign w:val="center"/>
          </w:tcPr>
          <w:p w:rsidR="00BA2C13" w:rsidRPr="007F7BBF" w:rsidRDefault="00BA2C13" w:rsidP="00AC6B68">
            <w:pPr>
              <w:spacing w:after="120"/>
              <w:rPr>
                <w:b/>
                <w:bCs/>
              </w:rPr>
            </w:pPr>
            <w:r w:rsidRPr="007F7BBF">
              <w:rPr>
                <w:b/>
                <w:bCs/>
              </w:rPr>
              <w:t>Intermediate Result 1:</w:t>
            </w:r>
            <w:r w:rsidRPr="007F7BBF">
              <w:rPr>
                <w:b/>
                <w:bCs/>
                <w:i/>
              </w:rPr>
              <w:t xml:space="preserve">  </w:t>
            </w:r>
            <w:r w:rsidRPr="007F7BBF">
              <w:rPr>
                <w:b/>
                <w:bCs/>
              </w:rPr>
              <w:t>Distribution network reinforcement and extension (Component A)</w:t>
            </w:r>
          </w:p>
        </w:tc>
      </w:tr>
      <w:tr w:rsidR="00BA2C13" w:rsidRPr="001F6AFB" w:rsidTr="00AC6B68">
        <w:trPr>
          <w:trHeight w:val="631"/>
        </w:trPr>
        <w:tc>
          <w:tcPr>
            <w:tcW w:w="3059" w:type="dxa"/>
            <w:gridSpan w:val="2"/>
            <w:tcBorders>
              <w:bottom w:val="single" w:sz="4" w:space="0" w:color="auto"/>
            </w:tcBorders>
          </w:tcPr>
          <w:p w:rsidR="00BA2C13" w:rsidRPr="001F6AFB" w:rsidRDefault="00BA2C13" w:rsidP="00AC6B68">
            <w:pPr>
              <w:spacing w:after="120"/>
              <w:rPr>
                <w:bCs/>
                <w:sz w:val="18"/>
                <w:szCs w:val="18"/>
              </w:rPr>
            </w:pPr>
            <w:r w:rsidRPr="00F80E21">
              <w:rPr>
                <w:bCs/>
                <w:i/>
                <w:sz w:val="18"/>
                <w:szCs w:val="18"/>
              </w:rPr>
              <w:t>Intermediate Results Indicator One:</w:t>
            </w:r>
            <w:r>
              <w:rPr>
                <w:bCs/>
                <w:sz w:val="18"/>
                <w:szCs w:val="18"/>
              </w:rPr>
              <w:t xml:space="preserve"> T</w:t>
            </w:r>
            <w:r w:rsidRPr="001F6AFB">
              <w:rPr>
                <w:bCs/>
                <w:sz w:val="18"/>
                <w:szCs w:val="18"/>
              </w:rPr>
              <w:t>ransformers and auxiliary services supplied</w:t>
            </w:r>
          </w:p>
        </w:tc>
        <w:tc>
          <w:tcPr>
            <w:tcW w:w="450" w:type="dxa"/>
            <w:tcBorders>
              <w:bottom w:val="single" w:sz="4" w:space="0" w:color="auto"/>
            </w:tcBorders>
          </w:tcPr>
          <w:p w:rsidR="00BA2C13" w:rsidRPr="001F6AFB" w:rsidRDefault="00D526C8" w:rsidP="00AC6B68">
            <w:pPr>
              <w:spacing w:after="120"/>
              <w:rPr>
                <w:bCs/>
                <w:sz w:val="18"/>
                <w:szCs w:val="18"/>
              </w:rPr>
            </w:pPr>
            <w:r w:rsidRPr="001F6AFB">
              <w:rPr>
                <w:bCs/>
                <w:sz w:val="18"/>
                <w:szCs w:val="18"/>
              </w:rPr>
              <w:fldChar w:fldCharType="begin">
                <w:ffData>
                  <w:name w:val="Check1"/>
                  <w:enabled/>
                  <w:calcOnExit w:val="0"/>
                  <w:checkBox>
                    <w:sizeAuto/>
                    <w:default w:val="0"/>
                  </w:checkBox>
                </w:ffData>
              </w:fldChar>
            </w:r>
            <w:r w:rsidR="00BA2C13" w:rsidRPr="001F6AFB">
              <w:rPr>
                <w:bCs/>
                <w:sz w:val="18"/>
                <w:szCs w:val="18"/>
              </w:rPr>
              <w:instrText xml:space="preserve"> FORMCHECKBOX </w:instrText>
            </w:r>
            <w:r w:rsidRPr="001F6AFB">
              <w:rPr>
                <w:bCs/>
                <w:sz w:val="18"/>
                <w:szCs w:val="18"/>
              </w:rPr>
            </w:r>
            <w:r w:rsidRPr="001F6AFB">
              <w:rPr>
                <w:bCs/>
                <w:sz w:val="18"/>
                <w:szCs w:val="18"/>
              </w:rPr>
              <w:fldChar w:fldCharType="end"/>
            </w:r>
          </w:p>
        </w:tc>
        <w:tc>
          <w:tcPr>
            <w:tcW w:w="811" w:type="dxa"/>
            <w:tcBorders>
              <w:bottom w:val="single" w:sz="4" w:space="0" w:color="auto"/>
            </w:tcBorders>
          </w:tcPr>
          <w:p w:rsidR="00BA2C13" w:rsidRPr="001F6AFB" w:rsidRDefault="00BA2C13" w:rsidP="00AC6B68">
            <w:pPr>
              <w:spacing w:after="120"/>
              <w:rPr>
                <w:bCs/>
                <w:sz w:val="18"/>
                <w:szCs w:val="18"/>
              </w:rPr>
            </w:pPr>
            <w:r>
              <w:rPr>
                <w:bCs/>
                <w:sz w:val="18"/>
                <w:szCs w:val="18"/>
              </w:rPr>
              <w:t>Number</w:t>
            </w:r>
          </w:p>
        </w:tc>
        <w:tc>
          <w:tcPr>
            <w:tcW w:w="899" w:type="dxa"/>
            <w:tcBorders>
              <w:bottom w:val="single" w:sz="4" w:space="0" w:color="auto"/>
            </w:tcBorders>
            <w:shd w:val="clear" w:color="auto" w:fill="auto"/>
          </w:tcPr>
          <w:p w:rsidR="00BA2C13" w:rsidRDefault="00BA2C13" w:rsidP="00AC6B68">
            <w:pPr>
              <w:spacing w:after="120"/>
              <w:rPr>
                <w:bCs/>
                <w:sz w:val="18"/>
                <w:szCs w:val="18"/>
              </w:rPr>
            </w:pPr>
            <w:r w:rsidRPr="001F6AFB">
              <w:rPr>
                <w:bCs/>
                <w:sz w:val="18"/>
                <w:szCs w:val="18"/>
              </w:rPr>
              <w:t>0</w:t>
            </w:r>
          </w:p>
        </w:tc>
        <w:tc>
          <w:tcPr>
            <w:tcW w:w="901" w:type="dxa"/>
            <w:tcBorders>
              <w:bottom w:val="single" w:sz="4" w:space="0" w:color="auto"/>
            </w:tcBorders>
          </w:tcPr>
          <w:p w:rsidR="00BA2C13" w:rsidRDefault="00BA2C13" w:rsidP="00AC6B68">
            <w:pPr>
              <w:spacing w:after="120"/>
              <w:rPr>
                <w:bCs/>
                <w:sz w:val="18"/>
                <w:szCs w:val="18"/>
              </w:rPr>
            </w:pPr>
            <w:r w:rsidRPr="001F6AFB">
              <w:rPr>
                <w:bCs/>
                <w:sz w:val="18"/>
                <w:szCs w:val="18"/>
              </w:rPr>
              <w:t>300</w:t>
            </w:r>
          </w:p>
        </w:tc>
        <w:tc>
          <w:tcPr>
            <w:tcW w:w="810" w:type="dxa"/>
            <w:tcBorders>
              <w:bottom w:val="single" w:sz="4" w:space="0" w:color="auto"/>
            </w:tcBorders>
            <w:shd w:val="clear" w:color="auto" w:fill="auto"/>
          </w:tcPr>
          <w:p w:rsidR="00BA2C13" w:rsidRDefault="00BA2C13" w:rsidP="00AC6B68">
            <w:pPr>
              <w:spacing w:after="120"/>
              <w:rPr>
                <w:bCs/>
                <w:sz w:val="18"/>
                <w:szCs w:val="18"/>
              </w:rPr>
            </w:pPr>
            <w:r w:rsidRPr="001F6AFB">
              <w:rPr>
                <w:bCs/>
                <w:sz w:val="18"/>
                <w:szCs w:val="18"/>
              </w:rPr>
              <w:t>300</w:t>
            </w:r>
          </w:p>
        </w:tc>
        <w:tc>
          <w:tcPr>
            <w:tcW w:w="767" w:type="dxa"/>
            <w:tcBorders>
              <w:bottom w:val="single" w:sz="4" w:space="0" w:color="auto"/>
            </w:tcBorders>
            <w:shd w:val="clear" w:color="auto" w:fill="auto"/>
          </w:tcPr>
          <w:p w:rsidR="00BA2C13" w:rsidRDefault="00BA2C13" w:rsidP="00AC6B68">
            <w:pPr>
              <w:spacing w:after="120"/>
              <w:rPr>
                <w:bCs/>
                <w:sz w:val="18"/>
                <w:szCs w:val="18"/>
              </w:rPr>
            </w:pPr>
            <w:r w:rsidRPr="001F6AFB">
              <w:rPr>
                <w:bCs/>
                <w:sz w:val="18"/>
                <w:szCs w:val="18"/>
              </w:rPr>
              <w:t>375</w:t>
            </w:r>
          </w:p>
        </w:tc>
        <w:tc>
          <w:tcPr>
            <w:tcW w:w="819" w:type="dxa"/>
            <w:tcBorders>
              <w:bottom w:val="single" w:sz="4" w:space="0" w:color="auto"/>
            </w:tcBorders>
            <w:shd w:val="clear" w:color="auto" w:fill="auto"/>
          </w:tcPr>
          <w:p w:rsidR="00BA2C13" w:rsidRDefault="00BA2C13" w:rsidP="00AC6B68">
            <w:pPr>
              <w:spacing w:after="120"/>
              <w:rPr>
                <w:bCs/>
                <w:sz w:val="18"/>
                <w:szCs w:val="18"/>
              </w:rPr>
            </w:pPr>
            <w:r>
              <w:rPr>
                <w:bCs/>
                <w:sz w:val="18"/>
                <w:szCs w:val="18"/>
              </w:rPr>
              <w:t>375</w:t>
            </w:r>
          </w:p>
        </w:tc>
        <w:tc>
          <w:tcPr>
            <w:tcW w:w="871" w:type="dxa"/>
            <w:tcBorders>
              <w:bottom w:val="single" w:sz="4" w:space="0" w:color="auto"/>
            </w:tcBorders>
          </w:tcPr>
          <w:p w:rsidR="00BA2C13" w:rsidRDefault="00BA2C13" w:rsidP="00AC6B68">
            <w:pPr>
              <w:spacing w:after="120"/>
              <w:rPr>
                <w:bCs/>
                <w:sz w:val="18"/>
                <w:szCs w:val="18"/>
              </w:rPr>
            </w:pPr>
            <w:r>
              <w:rPr>
                <w:bCs/>
                <w:sz w:val="18"/>
                <w:szCs w:val="18"/>
              </w:rPr>
              <w:t>375</w:t>
            </w:r>
          </w:p>
        </w:tc>
        <w:tc>
          <w:tcPr>
            <w:tcW w:w="1053" w:type="dxa"/>
            <w:tcBorders>
              <w:bottom w:val="single" w:sz="4" w:space="0" w:color="auto"/>
            </w:tcBorders>
            <w:shd w:val="clear" w:color="auto" w:fill="auto"/>
          </w:tcPr>
          <w:p w:rsidR="00BA2C13" w:rsidRDefault="00BA2C13" w:rsidP="00AC6B68">
            <w:pPr>
              <w:spacing w:after="120"/>
              <w:rPr>
                <w:bCs/>
                <w:sz w:val="18"/>
                <w:szCs w:val="18"/>
              </w:rPr>
            </w:pPr>
            <w:r w:rsidRPr="008D7EDC">
              <w:rPr>
                <w:bCs/>
                <w:sz w:val="18"/>
                <w:szCs w:val="18"/>
              </w:rPr>
              <w:t>Annual</w:t>
            </w:r>
          </w:p>
        </w:tc>
        <w:tc>
          <w:tcPr>
            <w:tcW w:w="1260" w:type="dxa"/>
            <w:tcBorders>
              <w:bottom w:val="single" w:sz="4" w:space="0" w:color="auto"/>
            </w:tcBorders>
            <w:shd w:val="clear" w:color="auto" w:fill="auto"/>
          </w:tcPr>
          <w:p w:rsidR="00BA2C13" w:rsidRDefault="00BA2C13" w:rsidP="00AC6B68">
            <w:pPr>
              <w:spacing w:after="120"/>
              <w:rPr>
                <w:bCs/>
                <w:sz w:val="18"/>
                <w:szCs w:val="18"/>
              </w:rPr>
            </w:pPr>
            <w:r w:rsidRPr="00843C0D">
              <w:rPr>
                <w:bCs/>
                <w:sz w:val="18"/>
                <w:szCs w:val="18"/>
              </w:rPr>
              <w:t>LEC data system</w:t>
            </w:r>
          </w:p>
        </w:tc>
        <w:tc>
          <w:tcPr>
            <w:tcW w:w="1350" w:type="dxa"/>
            <w:tcBorders>
              <w:bottom w:val="single" w:sz="4" w:space="0" w:color="auto"/>
            </w:tcBorders>
            <w:shd w:val="clear" w:color="auto" w:fill="auto"/>
          </w:tcPr>
          <w:p w:rsidR="00BA2C13" w:rsidRDefault="00BA2C13" w:rsidP="00AC6B68">
            <w:pPr>
              <w:spacing w:after="120"/>
              <w:rPr>
                <w:bCs/>
                <w:sz w:val="18"/>
                <w:szCs w:val="18"/>
              </w:rPr>
            </w:pPr>
            <w:r w:rsidRPr="001F6AFB">
              <w:rPr>
                <w:bCs/>
                <w:sz w:val="18"/>
                <w:szCs w:val="18"/>
              </w:rPr>
              <w:t>LEC</w:t>
            </w:r>
          </w:p>
        </w:tc>
        <w:tc>
          <w:tcPr>
            <w:tcW w:w="2070" w:type="dxa"/>
            <w:tcBorders>
              <w:bottom w:val="single" w:sz="4" w:space="0" w:color="auto"/>
            </w:tcBorders>
          </w:tcPr>
          <w:p w:rsidR="00BA2C13" w:rsidRDefault="00BA2C13" w:rsidP="00AC6B68">
            <w:pPr>
              <w:spacing w:after="120"/>
              <w:rPr>
                <w:bCs/>
                <w:sz w:val="18"/>
                <w:szCs w:val="18"/>
              </w:rPr>
            </w:pPr>
          </w:p>
        </w:tc>
      </w:tr>
      <w:tr w:rsidR="00BA2C13" w:rsidRPr="001F6AFB" w:rsidTr="00AC6B68">
        <w:trPr>
          <w:trHeight w:val="638"/>
        </w:trPr>
        <w:tc>
          <w:tcPr>
            <w:tcW w:w="15120"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BA2C13" w:rsidRPr="007F7BBF" w:rsidRDefault="00BA2C13" w:rsidP="00AC6B68">
            <w:pPr>
              <w:spacing w:after="120"/>
              <w:rPr>
                <w:b/>
                <w:bCs/>
              </w:rPr>
            </w:pPr>
            <w:r w:rsidRPr="007F7BBF">
              <w:rPr>
                <w:b/>
                <w:bCs/>
              </w:rPr>
              <w:t>Intermediate Result 2:  Enhancing options for power generation (Component B)</w:t>
            </w:r>
          </w:p>
        </w:tc>
      </w:tr>
      <w:tr w:rsidR="00BA2C13" w:rsidRPr="001F6AFB" w:rsidTr="00AC6B68">
        <w:trPr>
          <w:trHeight w:val="631"/>
        </w:trPr>
        <w:tc>
          <w:tcPr>
            <w:tcW w:w="3059" w:type="dxa"/>
            <w:gridSpan w:val="2"/>
            <w:tcBorders>
              <w:bottom w:val="single" w:sz="4" w:space="0" w:color="auto"/>
            </w:tcBorders>
          </w:tcPr>
          <w:p w:rsidR="00BA2C13" w:rsidRPr="00F71554" w:rsidRDefault="00BA2C13" w:rsidP="00AC6B68">
            <w:pPr>
              <w:spacing w:after="120"/>
              <w:rPr>
                <w:bCs/>
                <w:sz w:val="18"/>
                <w:szCs w:val="18"/>
              </w:rPr>
            </w:pPr>
            <w:r w:rsidRPr="00F80E21">
              <w:rPr>
                <w:bCs/>
                <w:i/>
                <w:sz w:val="18"/>
                <w:szCs w:val="18"/>
              </w:rPr>
              <w:t>Intermediate Results Indicator One:</w:t>
            </w:r>
            <w:r w:rsidRPr="00F71554">
              <w:rPr>
                <w:bCs/>
                <w:sz w:val="18"/>
                <w:szCs w:val="18"/>
              </w:rPr>
              <w:t xml:space="preserve"> First phase of main generating units overhaul completed</w:t>
            </w:r>
          </w:p>
        </w:tc>
        <w:tc>
          <w:tcPr>
            <w:tcW w:w="450" w:type="dxa"/>
            <w:tcBorders>
              <w:bottom w:val="single" w:sz="4" w:space="0" w:color="auto"/>
            </w:tcBorders>
          </w:tcPr>
          <w:p w:rsidR="00BA2C13" w:rsidRPr="00F71554" w:rsidRDefault="00D526C8" w:rsidP="00AC6B68">
            <w:pPr>
              <w:spacing w:after="120"/>
              <w:rPr>
                <w:bCs/>
                <w:sz w:val="18"/>
                <w:szCs w:val="18"/>
              </w:rPr>
            </w:pPr>
            <w:r w:rsidRPr="00F71554">
              <w:rPr>
                <w:bCs/>
                <w:sz w:val="18"/>
                <w:szCs w:val="18"/>
              </w:rPr>
              <w:fldChar w:fldCharType="begin">
                <w:ffData>
                  <w:name w:val="Check1"/>
                  <w:enabled/>
                  <w:calcOnExit w:val="0"/>
                  <w:checkBox>
                    <w:sizeAuto/>
                    <w:default w:val="0"/>
                  </w:checkBox>
                </w:ffData>
              </w:fldChar>
            </w:r>
            <w:r w:rsidR="00BA2C13" w:rsidRPr="00F71554">
              <w:rPr>
                <w:bCs/>
                <w:sz w:val="18"/>
                <w:szCs w:val="18"/>
              </w:rPr>
              <w:instrText xml:space="preserve"> FORMCHECKBOX </w:instrText>
            </w:r>
            <w:r w:rsidRPr="00F71554">
              <w:rPr>
                <w:bCs/>
                <w:sz w:val="18"/>
                <w:szCs w:val="18"/>
              </w:rPr>
            </w:r>
            <w:r w:rsidRPr="00F71554">
              <w:rPr>
                <w:bCs/>
                <w:sz w:val="18"/>
                <w:szCs w:val="18"/>
              </w:rPr>
              <w:fldChar w:fldCharType="end"/>
            </w:r>
          </w:p>
        </w:tc>
        <w:tc>
          <w:tcPr>
            <w:tcW w:w="811" w:type="dxa"/>
            <w:tcBorders>
              <w:bottom w:val="single" w:sz="4" w:space="0" w:color="auto"/>
            </w:tcBorders>
          </w:tcPr>
          <w:p w:rsidR="00BA2C13" w:rsidRPr="00F71554" w:rsidRDefault="00BA2C13" w:rsidP="00AC6B68">
            <w:pPr>
              <w:spacing w:after="120"/>
              <w:rPr>
                <w:bCs/>
                <w:sz w:val="18"/>
                <w:szCs w:val="18"/>
              </w:rPr>
            </w:pPr>
            <w:r>
              <w:rPr>
                <w:bCs/>
                <w:sz w:val="18"/>
                <w:szCs w:val="18"/>
              </w:rPr>
              <w:t>Yes/No</w:t>
            </w:r>
          </w:p>
        </w:tc>
        <w:tc>
          <w:tcPr>
            <w:tcW w:w="899"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No</w:t>
            </w:r>
          </w:p>
        </w:tc>
        <w:tc>
          <w:tcPr>
            <w:tcW w:w="901" w:type="dxa"/>
            <w:tcBorders>
              <w:bottom w:val="single" w:sz="4" w:space="0" w:color="auto"/>
            </w:tcBorders>
          </w:tcPr>
          <w:p w:rsidR="00BA2C13" w:rsidRPr="00F71554" w:rsidRDefault="00BA2C13" w:rsidP="00AC6B68">
            <w:pPr>
              <w:spacing w:after="120"/>
              <w:rPr>
                <w:bCs/>
                <w:sz w:val="18"/>
                <w:szCs w:val="18"/>
              </w:rPr>
            </w:pPr>
            <w:r>
              <w:rPr>
                <w:bCs/>
                <w:sz w:val="18"/>
                <w:szCs w:val="18"/>
              </w:rPr>
              <w:t>No</w:t>
            </w:r>
          </w:p>
        </w:tc>
        <w:tc>
          <w:tcPr>
            <w:tcW w:w="810"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Yes</w:t>
            </w:r>
          </w:p>
        </w:tc>
        <w:tc>
          <w:tcPr>
            <w:tcW w:w="767"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Yes</w:t>
            </w:r>
          </w:p>
        </w:tc>
        <w:tc>
          <w:tcPr>
            <w:tcW w:w="819"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Yes</w:t>
            </w:r>
          </w:p>
        </w:tc>
        <w:tc>
          <w:tcPr>
            <w:tcW w:w="871" w:type="dxa"/>
            <w:tcBorders>
              <w:bottom w:val="single" w:sz="4" w:space="0" w:color="auto"/>
            </w:tcBorders>
          </w:tcPr>
          <w:p w:rsidR="00BA2C13" w:rsidRPr="00F71554" w:rsidRDefault="00BA2C13" w:rsidP="00AC6B68">
            <w:pPr>
              <w:spacing w:after="120"/>
              <w:rPr>
                <w:bCs/>
                <w:sz w:val="18"/>
                <w:szCs w:val="18"/>
              </w:rPr>
            </w:pPr>
            <w:r>
              <w:rPr>
                <w:bCs/>
                <w:sz w:val="18"/>
                <w:szCs w:val="18"/>
              </w:rPr>
              <w:t xml:space="preserve">Yes </w:t>
            </w:r>
          </w:p>
        </w:tc>
        <w:tc>
          <w:tcPr>
            <w:tcW w:w="1053" w:type="dxa"/>
            <w:tcBorders>
              <w:bottom w:val="single" w:sz="4" w:space="0" w:color="auto"/>
            </w:tcBorders>
            <w:shd w:val="clear" w:color="auto" w:fill="auto"/>
          </w:tcPr>
          <w:p w:rsidR="00BA2C13" w:rsidRPr="00F71554" w:rsidRDefault="00BA2C13" w:rsidP="00AC6B68">
            <w:pPr>
              <w:spacing w:after="120"/>
              <w:rPr>
                <w:bCs/>
                <w:sz w:val="18"/>
                <w:szCs w:val="18"/>
              </w:rPr>
            </w:pPr>
            <w:r w:rsidRPr="008D7EDC">
              <w:rPr>
                <w:bCs/>
                <w:sz w:val="18"/>
                <w:szCs w:val="18"/>
              </w:rPr>
              <w:t>Annual</w:t>
            </w:r>
          </w:p>
        </w:tc>
        <w:tc>
          <w:tcPr>
            <w:tcW w:w="1260" w:type="dxa"/>
            <w:tcBorders>
              <w:bottom w:val="single" w:sz="4" w:space="0" w:color="auto"/>
            </w:tcBorders>
            <w:shd w:val="clear" w:color="auto" w:fill="auto"/>
          </w:tcPr>
          <w:p w:rsidR="00BA2C13" w:rsidRPr="00F71554" w:rsidRDefault="00BA2C13" w:rsidP="00AC6B68">
            <w:pPr>
              <w:spacing w:after="120"/>
              <w:rPr>
                <w:bCs/>
                <w:sz w:val="18"/>
                <w:szCs w:val="18"/>
              </w:rPr>
            </w:pPr>
            <w:r w:rsidRPr="00843C0D">
              <w:rPr>
                <w:bCs/>
                <w:sz w:val="18"/>
                <w:szCs w:val="18"/>
              </w:rPr>
              <w:t>LEC data system</w:t>
            </w:r>
          </w:p>
        </w:tc>
        <w:tc>
          <w:tcPr>
            <w:tcW w:w="1350" w:type="dxa"/>
            <w:tcBorders>
              <w:bottom w:val="single" w:sz="4" w:space="0" w:color="auto"/>
            </w:tcBorders>
            <w:shd w:val="clear" w:color="auto" w:fill="auto"/>
          </w:tcPr>
          <w:p w:rsidR="00BA2C13" w:rsidRPr="00F71554" w:rsidRDefault="00BA2C13" w:rsidP="00AC6B68">
            <w:pPr>
              <w:spacing w:after="120"/>
              <w:rPr>
                <w:bCs/>
                <w:sz w:val="18"/>
                <w:szCs w:val="18"/>
              </w:rPr>
            </w:pPr>
            <w:r w:rsidRPr="00F71554">
              <w:rPr>
                <w:bCs/>
                <w:sz w:val="18"/>
                <w:szCs w:val="18"/>
              </w:rPr>
              <w:t>LEC</w:t>
            </w:r>
          </w:p>
        </w:tc>
        <w:tc>
          <w:tcPr>
            <w:tcW w:w="2070" w:type="dxa"/>
            <w:tcBorders>
              <w:bottom w:val="single" w:sz="4" w:space="0" w:color="auto"/>
            </w:tcBorders>
          </w:tcPr>
          <w:p w:rsidR="00BA2C13" w:rsidRPr="00F71554" w:rsidRDefault="00BA2C13" w:rsidP="00AC6B68">
            <w:pPr>
              <w:spacing w:after="120"/>
              <w:rPr>
                <w:bCs/>
                <w:sz w:val="18"/>
                <w:szCs w:val="18"/>
              </w:rPr>
            </w:pPr>
          </w:p>
        </w:tc>
      </w:tr>
      <w:tr w:rsidR="00BA2C13" w:rsidRPr="001F6AFB" w:rsidTr="00AC6B68">
        <w:trPr>
          <w:trHeight w:val="631"/>
        </w:trPr>
        <w:tc>
          <w:tcPr>
            <w:tcW w:w="3059" w:type="dxa"/>
            <w:gridSpan w:val="2"/>
          </w:tcPr>
          <w:p w:rsidR="00BA2C13" w:rsidRPr="00F71554" w:rsidRDefault="00BA2C13" w:rsidP="00AC6B68">
            <w:pPr>
              <w:spacing w:after="120"/>
              <w:rPr>
                <w:bCs/>
                <w:sz w:val="18"/>
                <w:szCs w:val="18"/>
              </w:rPr>
            </w:pPr>
            <w:r w:rsidRPr="00F80E21">
              <w:rPr>
                <w:bCs/>
                <w:i/>
                <w:sz w:val="18"/>
                <w:szCs w:val="18"/>
              </w:rPr>
              <w:t xml:space="preserve">Intermediate Results Indicator </w:t>
            </w:r>
            <w:r>
              <w:rPr>
                <w:bCs/>
                <w:i/>
                <w:sz w:val="18"/>
                <w:szCs w:val="18"/>
              </w:rPr>
              <w:t>Two</w:t>
            </w:r>
            <w:r w:rsidRPr="00F80E21">
              <w:rPr>
                <w:bCs/>
                <w:i/>
                <w:sz w:val="18"/>
                <w:szCs w:val="18"/>
              </w:rPr>
              <w:t>:</w:t>
            </w:r>
            <w:r w:rsidRPr="00F71554">
              <w:rPr>
                <w:bCs/>
                <w:sz w:val="18"/>
                <w:szCs w:val="18"/>
              </w:rPr>
              <w:t xml:space="preserve"> HFO pipeline and storage facility operational</w:t>
            </w:r>
          </w:p>
        </w:tc>
        <w:tc>
          <w:tcPr>
            <w:tcW w:w="450" w:type="dxa"/>
            <w:tcBorders>
              <w:bottom w:val="single" w:sz="4" w:space="0" w:color="auto"/>
            </w:tcBorders>
          </w:tcPr>
          <w:p w:rsidR="00BA2C13" w:rsidRPr="00F71554" w:rsidRDefault="00D526C8" w:rsidP="00AC6B68">
            <w:pPr>
              <w:spacing w:after="120"/>
              <w:rPr>
                <w:bCs/>
                <w:sz w:val="18"/>
                <w:szCs w:val="18"/>
              </w:rPr>
            </w:pPr>
            <w:r w:rsidRPr="00F71554">
              <w:rPr>
                <w:bCs/>
                <w:sz w:val="18"/>
                <w:szCs w:val="18"/>
              </w:rPr>
              <w:fldChar w:fldCharType="begin">
                <w:ffData>
                  <w:name w:val="Check1"/>
                  <w:enabled/>
                  <w:calcOnExit w:val="0"/>
                  <w:checkBox>
                    <w:sizeAuto/>
                    <w:default w:val="0"/>
                  </w:checkBox>
                </w:ffData>
              </w:fldChar>
            </w:r>
            <w:r w:rsidR="00BA2C13" w:rsidRPr="00F71554">
              <w:rPr>
                <w:bCs/>
                <w:sz w:val="18"/>
                <w:szCs w:val="18"/>
              </w:rPr>
              <w:instrText xml:space="preserve"> FORMCHECKBOX </w:instrText>
            </w:r>
            <w:r w:rsidRPr="00F71554">
              <w:rPr>
                <w:bCs/>
                <w:sz w:val="18"/>
                <w:szCs w:val="18"/>
              </w:rPr>
            </w:r>
            <w:r w:rsidRPr="00F71554">
              <w:rPr>
                <w:bCs/>
                <w:sz w:val="18"/>
                <w:szCs w:val="18"/>
              </w:rPr>
              <w:fldChar w:fldCharType="end"/>
            </w:r>
          </w:p>
        </w:tc>
        <w:tc>
          <w:tcPr>
            <w:tcW w:w="811" w:type="dxa"/>
            <w:tcBorders>
              <w:bottom w:val="single" w:sz="4" w:space="0" w:color="auto"/>
            </w:tcBorders>
          </w:tcPr>
          <w:p w:rsidR="00BA2C13" w:rsidRPr="00F71554" w:rsidRDefault="00BA2C13" w:rsidP="00AC6B68">
            <w:pPr>
              <w:spacing w:after="120"/>
              <w:rPr>
                <w:bCs/>
                <w:sz w:val="18"/>
                <w:szCs w:val="18"/>
              </w:rPr>
            </w:pPr>
            <w:r>
              <w:rPr>
                <w:bCs/>
                <w:sz w:val="18"/>
                <w:szCs w:val="18"/>
              </w:rPr>
              <w:t>Yes/No</w:t>
            </w:r>
          </w:p>
        </w:tc>
        <w:tc>
          <w:tcPr>
            <w:tcW w:w="899"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No</w:t>
            </w:r>
          </w:p>
        </w:tc>
        <w:tc>
          <w:tcPr>
            <w:tcW w:w="901" w:type="dxa"/>
            <w:tcBorders>
              <w:bottom w:val="single" w:sz="4" w:space="0" w:color="auto"/>
            </w:tcBorders>
          </w:tcPr>
          <w:p w:rsidR="00BA2C13" w:rsidRPr="00F71554" w:rsidRDefault="00BA2C13" w:rsidP="00AC6B68">
            <w:pPr>
              <w:spacing w:after="120"/>
              <w:rPr>
                <w:bCs/>
                <w:sz w:val="18"/>
                <w:szCs w:val="18"/>
              </w:rPr>
            </w:pPr>
            <w:r>
              <w:rPr>
                <w:bCs/>
                <w:sz w:val="18"/>
                <w:szCs w:val="18"/>
              </w:rPr>
              <w:t>No</w:t>
            </w:r>
          </w:p>
        </w:tc>
        <w:tc>
          <w:tcPr>
            <w:tcW w:w="810"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No</w:t>
            </w:r>
          </w:p>
        </w:tc>
        <w:tc>
          <w:tcPr>
            <w:tcW w:w="767"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No</w:t>
            </w:r>
          </w:p>
        </w:tc>
        <w:tc>
          <w:tcPr>
            <w:tcW w:w="819"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Yes</w:t>
            </w:r>
          </w:p>
        </w:tc>
        <w:tc>
          <w:tcPr>
            <w:tcW w:w="871" w:type="dxa"/>
            <w:tcBorders>
              <w:bottom w:val="single" w:sz="4" w:space="0" w:color="auto"/>
            </w:tcBorders>
          </w:tcPr>
          <w:p w:rsidR="00BA2C13" w:rsidRPr="00F71554" w:rsidRDefault="00BA2C13" w:rsidP="00AC6B68">
            <w:pPr>
              <w:spacing w:after="120"/>
              <w:rPr>
                <w:bCs/>
                <w:sz w:val="18"/>
                <w:szCs w:val="18"/>
              </w:rPr>
            </w:pPr>
            <w:r>
              <w:rPr>
                <w:bCs/>
                <w:sz w:val="18"/>
                <w:szCs w:val="18"/>
              </w:rPr>
              <w:t xml:space="preserve">Yes </w:t>
            </w:r>
          </w:p>
        </w:tc>
        <w:tc>
          <w:tcPr>
            <w:tcW w:w="1053" w:type="dxa"/>
            <w:tcBorders>
              <w:bottom w:val="single" w:sz="4" w:space="0" w:color="auto"/>
            </w:tcBorders>
            <w:shd w:val="clear" w:color="auto" w:fill="auto"/>
          </w:tcPr>
          <w:p w:rsidR="00BA2C13" w:rsidRPr="00F71554" w:rsidRDefault="00BA2C13" w:rsidP="00AC6B68">
            <w:pPr>
              <w:spacing w:after="120"/>
              <w:rPr>
                <w:bCs/>
                <w:sz w:val="18"/>
                <w:szCs w:val="18"/>
              </w:rPr>
            </w:pPr>
            <w:r w:rsidRPr="008D7EDC">
              <w:rPr>
                <w:bCs/>
                <w:sz w:val="18"/>
                <w:szCs w:val="18"/>
              </w:rPr>
              <w:t>Annual</w:t>
            </w:r>
          </w:p>
        </w:tc>
        <w:tc>
          <w:tcPr>
            <w:tcW w:w="1260" w:type="dxa"/>
            <w:tcBorders>
              <w:bottom w:val="single" w:sz="4" w:space="0" w:color="auto"/>
            </w:tcBorders>
            <w:shd w:val="clear" w:color="auto" w:fill="auto"/>
          </w:tcPr>
          <w:p w:rsidR="00BA2C13" w:rsidRPr="00F71554" w:rsidRDefault="00BA2C13" w:rsidP="00AC6B68">
            <w:pPr>
              <w:spacing w:after="120"/>
              <w:rPr>
                <w:bCs/>
                <w:sz w:val="18"/>
                <w:szCs w:val="18"/>
              </w:rPr>
            </w:pPr>
            <w:r w:rsidRPr="00843C0D">
              <w:rPr>
                <w:bCs/>
                <w:sz w:val="18"/>
                <w:szCs w:val="18"/>
              </w:rPr>
              <w:t>LEC data system</w:t>
            </w:r>
          </w:p>
        </w:tc>
        <w:tc>
          <w:tcPr>
            <w:tcW w:w="1350" w:type="dxa"/>
            <w:tcBorders>
              <w:bottom w:val="single" w:sz="4" w:space="0" w:color="auto"/>
            </w:tcBorders>
            <w:shd w:val="clear" w:color="auto" w:fill="auto"/>
          </w:tcPr>
          <w:p w:rsidR="00BA2C13" w:rsidRPr="00F71554" w:rsidRDefault="00BA2C13" w:rsidP="00AC6B68">
            <w:pPr>
              <w:spacing w:after="120"/>
              <w:rPr>
                <w:bCs/>
                <w:sz w:val="18"/>
                <w:szCs w:val="18"/>
              </w:rPr>
            </w:pPr>
            <w:r w:rsidRPr="00F71554">
              <w:rPr>
                <w:bCs/>
                <w:sz w:val="18"/>
                <w:szCs w:val="18"/>
              </w:rPr>
              <w:t>LEC</w:t>
            </w:r>
          </w:p>
        </w:tc>
        <w:tc>
          <w:tcPr>
            <w:tcW w:w="2070" w:type="dxa"/>
            <w:tcBorders>
              <w:bottom w:val="single" w:sz="4" w:space="0" w:color="auto"/>
            </w:tcBorders>
          </w:tcPr>
          <w:p w:rsidR="00BA2C13" w:rsidRPr="00F71554" w:rsidRDefault="00BA2C13" w:rsidP="00AC6B68">
            <w:pPr>
              <w:spacing w:after="120"/>
              <w:rPr>
                <w:bCs/>
                <w:sz w:val="18"/>
                <w:szCs w:val="18"/>
              </w:rPr>
            </w:pPr>
          </w:p>
        </w:tc>
      </w:tr>
      <w:tr w:rsidR="00BA2C13" w:rsidRPr="001F6AFB" w:rsidTr="00AC6B68">
        <w:trPr>
          <w:trHeight w:val="631"/>
        </w:trPr>
        <w:tc>
          <w:tcPr>
            <w:tcW w:w="3059" w:type="dxa"/>
            <w:gridSpan w:val="2"/>
            <w:tcBorders>
              <w:bottom w:val="single" w:sz="4" w:space="0" w:color="auto"/>
            </w:tcBorders>
          </w:tcPr>
          <w:p w:rsidR="00BA2C13" w:rsidRPr="001F6AFB" w:rsidRDefault="00BA2C13" w:rsidP="00AC6B68">
            <w:pPr>
              <w:spacing w:after="120"/>
              <w:rPr>
                <w:b/>
                <w:bCs/>
                <w:sz w:val="18"/>
                <w:szCs w:val="18"/>
              </w:rPr>
            </w:pPr>
            <w:r w:rsidRPr="00F80E21">
              <w:rPr>
                <w:bCs/>
                <w:i/>
                <w:sz w:val="18"/>
                <w:szCs w:val="18"/>
              </w:rPr>
              <w:t xml:space="preserve">Intermediate Results Indicator </w:t>
            </w:r>
            <w:r>
              <w:rPr>
                <w:bCs/>
                <w:i/>
                <w:sz w:val="18"/>
                <w:szCs w:val="18"/>
              </w:rPr>
              <w:t>Three</w:t>
            </w:r>
            <w:r w:rsidRPr="00F80E21">
              <w:rPr>
                <w:bCs/>
                <w:i/>
                <w:sz w:val="18"/>
                <w:szCs w:val="18"/>
              </w:rPr>
              <w:t>:</w:t>
            </w:r>
            <w:r w:rsidRPr="00F71554">
              <w:rPr>
                <w:bCs/>
                <w:sz w:val="18"/>
                <w:szCs w:val="18"/>
              </w:rPr>
              <w:t xml:space="preserve"> Thermal power plant installed</w:t>
            </w:r>
          </w:p>
        </w:tc>
        <w:tc>
          <w:tcPr>
            <w:tcW w:w="450" w:type="dxa"/>
            <w:tcBorders>
              <w:bottom w:val="single" w:sz="4" w:space="0" w:color="auto"/>
            </w:tcBorders>
          </w:tcPr>
          <w:p w:rsidR="00BA2C13" w:rsidRPr="001F6AFB" w:rsidRDefault="00D526C8" w:rsidP="00AC6B68">
            <w:pPr>
              <w:spacing w:after="120"/>
              <w:rPr>
                <w:b/>
                <w:bCs/>
                <w:sz w:val="18"/>
                <w:szCs w:val="18"/>
              </w:rPr>
            </w:pPr>
            <w:r w:rsidRPr="001F6AFB">
              <w:rPr>
                <w:b/>
                <w:bCs/>
                <w:sz w:val="18"/>
                <w:szCs w:val="18"/>
              </w:rPr>
              <w:fldChar w:fldCharType="begin">
                <w:ffData>
                  <w:name w:val="Check1"/>
                  <w:enabled/>
                  <w:calcOnExit w:val="0"/>
                  <w:checkBox>
                    <w:sizeAuto/>
                    <w:default w:val="0"/>
                  </w:checkBox>
                </w:ffData>
              </w:fldChar>
            </w:r>
            <w:r w:rsidR="00BA2C13" w:rsidRPr="001F6AFB">
              <w:rPr>
                <w:b/>
                <w:bCs/>
                <w:sz w:val="18"/>
                <w:szCs w:val="18"/>
              </w:rPr>
              <w:instrText xml:space="preserve"> FORMCHECKBOX </w:instrText>
            </w:r>
            <w:r w:rsidRPr="001F6AFB">
              <w:rPr>
                <w:b/>
                <w:bCs/>
                <w:sz w:val="18"/>
                <w:szCs w:val="18"/>
              </w:rPr>
            </w:r>
            <w:r w:rsidRPr="001F6AFB">
              <w:rPr>
                <w:b/>
                <w:bCs/>
                <w:sz w:val="18"/>
                <w:szCs w:val="18"/>
              </w:rPr>
              <w:fldChar w:fldCharType="end"/>
            </w:r>
          </w:p>
        </w:tc>
        <w:tc>
          <w:tcPr>
            <w:tcW w:w="811" w:type="dxa"/>
            <w:tcBorders>
              <w:bottom w:val="single" w:sz="4" w:space="0" w:color="auto"/>
            </w:tcBorders>
          </w:tcPr>
          <w:p w:rsidR="00BA2C13" w:rsidRPr="00F71554" w:rsidRDefault="00BA2C13" w:rsidP="00AC6B68">
            <w:pPr>
              <w:spacing w:after="120"/>
              <w:rPr>
                <w:bCs/>
                <w:sz w:val="18"/>
                <w:szCs w:val="18"/>
              </w:rPr>
            </w:pPr>
            <w:r>
              <w:rPr>
                <w:bCs/>
                <w:sz w:val="18"/>
                <w:szCs w:val="18"/>
              </w:rPr>
              <w:t>Yes/No</w:t>
            </w:r>
          </w:p>
        </w:tc>
        <w:tc>
          <w:tcPr>
            <w:tcW w:w="899"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No</w:t>
            </w:r>
          </w:p>
        </w:tc>
        <w:tc>
          <w:tcPr>
            <w:tcW w:w="901" w:type="dxa"/>
            <w:tcBorders>
              <w:bottom w:val="single" w:sz="4" w:space="0" w:color="auto"/>
            </w:tcBorders>
          </w:tcPr>
          <w:p w:rsidR="00BA2C13" w:rsidRPr="00F71554" w:rsidRDefault="00BA2C13" w:rsidP="00AC6B68">
            <w:pPr>
              <w:spacing w:after="120"/>
              <w:rPr>
                <w:bCs/>
                <w:sz w:val="18"/>
                <w:szCs w:val="18"/>
              </w:rPr>
            </w:pPr>
            <w:r>
              <w:rPr>
                <w:bCs/>
                <w:sz w:val="18"/>
                <w:szCs w:val="18"/>
              </w:rPr>
              <w:t>No</w:t>
            </w:r>
          </w:p>
        </w:tc>
        <w:tc>
          <w:tcPr>
            <w:tcW w:w="810"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No</w:t>
            </w:r>
          </w:p>
        </w:tc>
        <w:tc>
          <w:tcPr>
            <w:tcW w:w="767"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No</w:t>
            </w:r>
          </w:p>
        </w:tc>
        <w:tc>
          <w:tcPr>
            <w:tcW w:w="819"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No</w:t>
            </w:r>
          </w:p>
        </w:tc>
        <w:tc>
          <w:tcPr>
            <w:tcW w:w="871" w:type="dxa"/>
            <w:tcBorders>
              <w:bottom w:val="single" w:sz="4" w:space="0" w:color="auto"/>
            </w:tcBorders>
          </w:tcPr>
          <w:p w:rsidR="00BA2C13" w:rsidRPr="00F71554" w:rsidRDefault="00BA2C13" w:rsidP="00AC6B68">
            <w:pPr>
              <w:spacing w:after="120"/>
              <w:rPr>
                <w:bCs/>
                <w:sz w:val="18"/>
                <w:szCs w:val="18"/>
              </w:rPr>
            </w:pPr>
            <w:r>
              <w:rPr>
                <w:bCs/>
                <w:sz w:val="18"/>
                <w:szCs w:val="18"/>
              </w:rPr>
              <w:t>Yes</w:t>
            </w:r>
          </w:p>
        </w:tc>
        <w:tc>
          <w:tcPr>
            <w:tcW w:w="1053" w:type="dxa"/>
            <w:tcBorders>
              <w:bottom w:val="single" w:sz="4" w:space="0" w:color="auto"/>
            </w:tcBorders>
            <w:shd w:val="clear" w:color="auto" w:fill="auto"/>
          </w:tcPr>
          <w:p w:rsidR="00BA2C13" w:rsidRPr="00F71554" w:rsidRDefault="00BA2C13" w:rsidP="00AC6B68">
            <w:pPr>
              <w:spacing w:after="120"/>
              <w:rPr>
                <w:bCs/>
                <w:sz w:val="18"/>
                <w:szCs w:val="18"/>
              </w:rPr>
            </w:pPr>
            <w:r w:rsidRPr="008D7EDC">
              <w:rPr>
                <w:bCs/>
                <w:sz w:val="18"/>
                <w:szCs w:val="18"/>
              </w:rPr>
              <w:t>Annual</w:t>
            </w:r>
          </w:p>
        </w:tc>
        <w:tc>
          <w:tcPr>
            <w:tcW w:w="1260" w:type="dxa"/>
            <w:tcBorders>
              <w:bottom w:val="single" w:sz="4" w:space="0" w:color="auto"/>
            </w:tcBorders>
            <w:shd w:val="clear" w:color="auto" w:fill="auto"/>
          </w:tcPr>
          <w:p w:rsidR="00BA2C13" w:rsidRPr="00F71554" w:rsidRDefault="00BA2C13" w:rsidP="00AC6B68">
            <w:pPr>
              <w:spacing w:after="120"/>
              <w:rPr>
                <w:bCs/>
                <w:sz w:val="18"/>
                <w:szCs w:val="18"/>
              </w:rPr>
            </w:pPr>
            <w:r w:rsidRPr="00843C0D">
              <w:rPr>
                <w:bCs/>
                <w:sz w:val="18"/>
                <w:szCs w:val="18"/>
              </w:rPr>
              <w:t>LEC data system</w:t>
            </w:r>
          </w:p>
        </w:tc>
        <w:tc>
          <w:tcPr>
            <w:tcW w:w="1350" w:type="dxa"/>
            <w:tcBorders>
              <w:bottom w:val="single" w:sz="4" w:space="0" w:color="auto"/>
            </w:tcBorders>
            <w:shd w:val="clear" w:color="auto" w:fill="auto"/>
          </w:tcPr>
          <w:p w:rsidR="00BA2C13" w:rsidRPr="00F71554" w:rsidRDefault="00BA2C13" w:rsidP="00AC6B68">
            <w:pPr>
              <w:spacing w:after="120"/>
              <w:rPr>
                <w:bCs/>
                <w:sz w:val="18"/>
                <w:szCs w:val="18"/>
              </w:rPr>
            </w:pPr>
            <w:r w:rsidRPr="00F71554">
              <w:rPr>
                <w:bCs/>
                <w:sz w:val="18"/>
                <w:szCs w:val="18"/>
              </w:rPr>
              <w:t>LEC</w:t>
            </w:r>
          </w:p>
        </w:tc>
        <w:tc>
          <w:tcPr>
            <w:tcW w:w="2070" w:type="dxa"/>
            <w:tcBorders>
              <w:bottom w:val="single" w:sz="4" w:space="0" w:color="auto"/>
            </w:tcBorders>
          </w:tcPr>
          <w:p w:rsidR="00BA2C13" w:rsidRPr="001F6AFB" w:rsidRDefault="00BA2C13" w:rsidP="00AC6B68">
            <w:pPr>
              <w:spacing w:after="120"/>
              <w:rPr>
                <w:b/>
                <w:bCs/>
                <w:sz w:val="18"/>
                <w:szCs w:val="18"/>
              </w:rPr>
            </w:pPr>
          </w:p>
        </w:tc>
      </w:tr>
      <w:tr w:rsidR="00BA2C13" w:rsidRPr="001F6AFB" w:rsidTr="00AC6B68">
        <w:trPr>
          <w:trHeight w:val="638"/>
        </w:trPr>
        <w:tc>
          <w:tcPr>
            <w:tcW w:w="15120"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BA2C13" w:rsidRPr="007F7BBF" w:rsidRDefault="00BA2C13" w:rsidP="00AC6B68">
            <w:pPr>
              <w:spacing w:after="120"/>
              <w:rPr>
                <w:b/>
                <w:bCs/>
              </w:rPr>
            </w:pPr>
            <w:r w:rsidRPr="007F7BBF">
              <w:rPr>
                <w:b/>
                <w:bCs/>
              </w:rPr>
              <w:t>Intermediate Result 3:  Providing modern renewable energy services to off-grid users (Component C)</w:t>
            </w:r>
          </w:p>
        </w:tc>
      </w:tr>
      <w:tr w:rsidR="00BA2C13" w:rsidRPr="001F6AFB" w:rsidTr="00AC6B68">
        <w:trPr>
          <w:trHeight w:val="631"/>
        </w:trPr>
        <w:tc>
          <w:tcPr>
            <w:tcW w:w="3059" w:type="dxa"/>
            <w:gridSpan w:val="2"/>
          </w:tcPr>
          <w:p w:rsidR="00BA2C13" w:rsidRPr="001F6AFB" w:rsidRDefault="00BA2C13" w:rsidP="00AC6B68">
            <w:pPr>
              <w:spacing w:after="120"/>
              <w:rPr>
                <w:b/>
                <w:bCs/>
                <w:sz w:val="18"/>
                <w:szCs w:val="18"/>
              </w:rPr>
            </w:pPr>
            <w:r w:rsidRPr="00F80E21">
              <w:rPr>
                <w:bCs/>
                <w:i/>
                <w:sz w:val="18"/>
                <w:szCs w:val="18"/>
              </w:rPr>
              <w:t>Intermediate Results Indicator</w:t>
            </w:r>
            <w:r>
              <w:rPr>
                <w:bCs/>
                <w:i/>
                <w:sz w:val="18"/>
                <w:szCs w:val="18"/>
              </w:rPr>
              <w:t xml:space="preserve"> One</w:t>
            </w:r>
            <w:r w:rsidRPr="00F80E21">
              <w:rPr>
                <w:bCs/>
                <w:i/>
                <w:sz w:val="18"/>
                <w:szCs w:val="18"/>
              </w:rPr>
              <w:t>:</w:t>
            </w:r>
            <w:r w:rsidRPr="00F71554">
              <w:rPr>
                <w:bCs/>
                <w:sz w:val="18"/>
                <w:szCs w:val="18"/>
              </w:rPr>
              <w:t xml:space="preserve"> </w:t>
            </w:r>
            <w:r>
              <w:rPr>
                <w:bCs/>
                <w:sz w:val="18"/>
                <w:szCs w:val="18"/>
              </w:rPr>
              <w:t>Generation capacity of renewable energy constructed under the project</w:t>
            </w:r>
          </w:p>
        </w:tc>
        <w:tc>
          <w:tcPr>
            <w:tcW w:w="450" w:type="dxa"/>
            <w:tcBorders>
              <w:bottom w:val="single" w:sz="4" w:space="0" w:color="auto"/>
            </w:tcBorders>
          </w:tcPr>
          <w:p w:rsidR="00BA2C13" w:rsidRPr="001F6AFB" w:rsidRDefault="00D526C8" w:rsidP="00AC6B68">
            <w:pPr>
              <w:spacing w:after="120"/>
              <w:rPr>
                <w:b/>
                <w:bCs/>
                <w:sz w:val="18"/>
                <w:szCs w:val="18"/>
              </w:rPr>
            </w:pPr>
            <w:r w:rsidRPr="001F6AFB">
              <w:rPr>
                <w:b/>
                <w:bCs/>
                <w:sz w:val="18"/>
                <w:szCs w:val="18"/>
              </w:rPr>
              <w:fldChar w:fldCharType="begin">
                <w:ffData>
                  <w:name w:val="Check1"/>
                  <w:enabled/>
                  <w:calcOnExit w:val="0"/>
                  <w:checkBox>
                    <w:sizeAuto/>
                    <w:default w:val="0"/>
                  </w:checkBox>
                </w:ffData>
              </w:fldChar>
            </w:r>
            <w:r w:rsidR="00BA2C13" w:rsidRPr="001F6AFB">
              <w:rPr>
                <w:b/>
                <w:bCs/>
                <w:sz w:val="18"/>
                <w:szCs w:val="18"/>
              </w:rPr>
              <w:instrText xml:space="preserve"> FORMCHECKBOX </w:instrText>
            </w:r>
            <w:r w:rsidRPr="001F6AFB">
              <w:rPr>
                <w:b/>
                <w:bCs/>
                <w:sz w:val="18"/>
                <w:szCs w:val="18"/>
              </w:rPr>
            </w:r>
            <w:r w:rsidRPr="001F6AFB">
              <w:rPr>
                <w:b/>
                <w:bCs/>
                <w:sz w:val="18"/>
                <w:szCs w:val="18"/>
              </w:rPr>
              <w:fldChar w:fldCharType="end"/>
            </w:r>
          </w:p>
        </w:tc>
        <w:tc>
          <w:tcPr>
            <w:tcW w:w="811" w:type="dxa"/>
            <w:tcBorders>
              <w:bottom w:val="single" w:sz="4" w:space="0" w:color="auto"/>
            </w:tcBorders>
          </w:tcPr>
          <w:p w:rsidR="00BA2C13" w:rsidRPr="00F71554" w:rsidRDefault="00BA2C13" w:rsidP="00AC6B68">
            <w:pPr>
              <w:spacing w:after="120"/>
              <w:rPr>
                <w:bCs/>
                <w:sz w:val="18"/>
                <w:szCs w:val="18"/>
              </w:rPr>
            </w:pPr>
            <w:r>
              <w:rPr>
                <w:bCs/>
                <w:sz w:val="18"/>
                <w:szCs w:val="18"/>
              </w:rPr>
              <w:t>MW</w:t>
            </w:r>
          </w:p>
        </w:tc>
        <w:tc>
          <w:tcPr>
            <w:tcW w:w="899"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0</w:t>
            </w:r>
          </w:p>
        </w:tc>
        <w:tc>
          <w:tcPr>
            <w:tcW w:w="901" w:type="dxa"/>
            <w:tcBorders>
              <w:bottom w:val="single" w:sz="4" w:space="0" w:color="auto"/>
            </w:tcBorders>
          </w:tcPr>
          <w:p w:rsidR="00BA2C13" w:rsidRDefault="00BA2C13" w:rsidP="00AC6B68">
            <w:pPr>
              <w:spacing w:after="120"/>
              <w:rPr>
                <w:bCs/>
                <w:sz w:val="18"/>
                <w:szCs w:val="18"/>
              </w:rPr>
            </w:pPr>
            <w:r>
              <w:rPr>
                <w:bCs/>
                <w:sz w:val="18"/>
                <w:szCs w:val="18"/>
              </w:rPr>
              <w:t>0</w:t>
            </w:r>
          </w:p>
        </w:tc>
        <w:tc>
          <w:tcPr>
            <w:tcW w:w="810" w:type="dxa"/>
            <w:tcBorders>
              <w:bottom w:val="single" w:sz="4" w:space="0" w:color="auto"/>
            </w:tcBorders>
            <w:shd w:val="clear" w:color="auto" w:fill="auto"/>
          </w:tcPr>
          <w:p w:rsidR="00BA2C13" w:rsidRDefault="00BA2C13" w:rsidP="00AC6B68">
            <w:pPr>
              <w:spacing w:after="120"/>
              <w:rPr>
                <w:bCs/>
                <w:sz w:val="18"/>
                <w:szCs w:val="18"/>
              </w:rPr>
            </w:pPr>
            <w:r>
              <w:rPr>
                <w:bCs/>
                <w:sz w:val="18"/>
                <w:szCs w:val="18"/>
              </w:rPr>
              <w:t>0</w:t>
            </w:r>
          </w:p>
        </w:tc>
        <w:tc>
          <w:tcPr>
            <w:tcW w:w="767" w:type="dxa"/>
            <w:tcBorders>
              <w:bottom w:val="single" w:sz="4" w:space="0" w:color="auto"/>
            </w:tcBorders>
            <w:shd w:val="clear" w:color="auto" w:fill="auto"/>
          </w:tcPr>
          <w:p w:rsidR="00BA2C13" w:rsidRDefault="00BA2C13" w:rsidP="00D0689E">
            <w:pPr>
              <w:spacing w:after="120"/>
              <w:rPr>
                <w:bCs/>
                <w:sz w:val="18"/>
                <w:szCs w:val="18"/>
              </w:rPr>
            </w:pPr>
            <w:r>
              <w:rPr>
                <w:bCs/>
                <w:sz w:val="18"/>
                <w:szCs w:val="18"/>
              </w:rPr>
              <w:t>0.0</w:t>
            </w:r>
            <w:r w:rsidR="00D0689E">
              <w:rPr>
                <w:bCs/>
                <w:sz w:val="18"/>
                <w:szCs w:val="18"/>
              </w:rPr>
              <w:t>6</w:t>
            </w:r>
          </w:p>
        </w:tc>
        <w:tc>
          <w:tcPr>
            <w:tcW w:w="819" w:type="dxa"/>
            <w:tcBorders>
              <w:bottom w:val="single" w:sz="4" w:space="0" w:color="auto"/>
            </w:tcBorders>
            <w:shd w:val="clear" w:color="auto" w:fill="auto"/>
          </w:tcPr>
          <w:p w:rsidR="00BA2C13" w:rsidRDefault="00BA2C13" w:rsidP="00D0689E">
            <w:pPr>
              <w:spacing w:after="120"/>
              <w:rPr>
                <w:bCs/>
                <w:sz w:val="18"/>
                <w:szCs w:val="18"/>
              </w:rPr>
            </w:pPr>
            <w:r>
              <w:rPr>
                <w:bCs/>
                <w:sz w:val="18"/>
                <w:szCs w:val="18"/>
              </w:rPr>
              <w:t>0.0</w:t>
            </w:r>
            <w:r w:rsidR="00D0689E">
              <w:rPr>
                <w:bCs/>
                <w:sz w:val="18"/>
                <w:szCs w:val="18"/>
              </w:rPr>
              <w:t>6</w:t>
            </w:r>
          </w:p>
        </w:tc>
        <w:tc>
          <w:tcPr>
            <w:tcW w:w="871" w:type="dxa"/>
            <w:tcBorders>
              <w:bottom w:val="single" w:sz="4" w:space="0" w:color="auto"/>
            </w:tcBorders>
          </w:tcPr>
          <w:p w:rsidR="00BA2C13" w:rsidRDefault="00BA2C13" w:rsidP="00D0689E">
            <w:pPr>
              <w:spacing w:after="120"/>
              <w:rPr>
                <w:bCs/>
                <w:sz w:val="18"/>
                <w:szCs w:val="18"/>
              </w:rPr>
            </w:pPr>
            <w:r>
              <w:rPr>
                <w:bCs/>
                <w:sz w:val="18"/>
                <w:szCs w:val="18"/>
              </w:rPr>
              <w:t>0.0</w:t>
            </w:r>
            <w:r w:rsidR="00D0689E">
              <w:rPr>
                <w:bCs/>
                <w:sz w:val="18"/>
                <w:szCs w:val="18"/>
              </w:rPr>
              <w:t>6</w:t>
            </w:r>
          </w:p>
        </w:tc>
        <w:tc>
          <w:tcPr>
            <w:tcW w:w="1053" w:type="dxa"/>
            <w:tcBorders>
              <w:bottom w:val="single" w:sz="4" w:space="0" w:color="auto"/>
            </w:tcBorders>
            <w:shd w:val="clear" w:color="auto" w:fill="auto"/>
          </w:tcPr>
          <w:p w:rsidR="00BA2C13" w:rsidRDefault="00BA2C13" w:rsidP="00AC6B68">
            <w:pPr>
              <w:spacing w:after="120"/>
              <w:rPr>
                <w:bCs/>
                <w:sz w:val="18"/>
                <w:szCs w:val="18"/>
              </w:rPr>
            </w:pPr>
            <w:r w:rsidRPr="008D7EDC">
              <w:rPr>
                <w:bCs/>
                <w:sz w:val="18"/>
                <w:szCs w:val="18"/>
              </w:rPr>
              <w:t>Annual</w:t>
            </w:r>
          </w:p>
        </w:tc>
        <w:tc>
          <w:tcPr>
            <w:tcW w:w="1260" w:type="dxa"/>
            <w:tcBorders>
              <w:bottom w:val="single" w:sz="4" w:space="0" w:color="auto"/>
            </w:tcBorders>
            <w:shd w:val="clear" w:color="auto" w:fill="auto"/>
          </w:tcPr>
          <w:p w:rsidR="00BA2C13" w:rsidRDefault="00BA2C13" w:rsidP="00AC6B68">
            <w:pPr>
              <w:spacing w:after="120"/>
              <w:rPr>
                <w:bCs/>
                <w:sz w:val="18"/>
                <w:szCs w:val="18"/>
              </w:rPr>
            </w:pPr>
            <w:r>
              <w:rPr>
                <w:bCs/>
                <w:sz w:val="18"/>
                <w:szCs w:val="18"/>
              </w:rPr>
              <w:t xml:space="preserve">RREA data system </w:t>
            </w:r>
          </w:p>
        </w:tc>
        <w:tc>
          <w:tcPr>
            <w:tcW w:w="1350" w:type="dxa"/>
            <w:tcBorders>
              <w:bottom w:val="single" w:sz="4" w:space="0" w:color="auto"/>
            </w:tcBorders>
            <w:shd w:val="clear" w:color="auto" w:fill="auto"/>
          </w:tcPr>
          <w:p w:rsidR="00BA2C13" w:rsidRDefault="00BA2C13" w:rsidP="00AC6B68">
            <w:pPr>
              <w:spacing w:after="120"/>
              <w:rPr>
                <w:bCs/>
                <w:sz w:val="18"/>
                <w:szCs w:val="18"/>
              </w:rPr>
            </w:pPr>
            <w:r w:rsidRPr="00F71554">
              <w:rPr>
                <w:bCs/>
                <w:sz w:val="18"/>
                <w:szCs w:val="18"/>
              </w:rPr>
              <w:t>RREA</w:t>
            </w:r>
          </w:p>
        </w:tc>
        <w:tc>
          <w:tcPr>
            <w:tcW w:w="2070" w:type="dxa"/>
            <w:tcBorders>
              <w:bottom w:val="single" w:sz="4" w:space="0" w:color="auto"/>
            </w:tcBorders>
          </w:tcPr>
          <w:p w:rsidR="00BA2C13" w:rsidRDefault="00BA2C13" w:rsidP="00AC6B68">
            <w:pPr>
              <w:spacing w:after="120"/>
              <w:rPr>
                <w:b/>
                <w:bCs/>
                <w:sz w:val="18"/>
                <w:szCs w:val="18"/>
              </w:rPr>
            </w:pPr>
          </w:p>
        </w:tc>
      </w:tr>
      <w:tr w:rsidR="00BA2C13" w:rsidRPr="001F6AFB" w:rsidTr="00AC6B68">
        <w:trPr>
          <w:trHeight w:val="631"/>
        </w:trPr>
        <w:tc>
          <w:tcPr>
            <w:tcW w:w="3059" w:type="dxa"/>
            <w:gridSpan w:val="2"/>
          </w:tcPr>
          <w:p w:rsidR="00BA2C13" w:rsidRPr="001F6AFB" w:rsidRDefault="00BA2C13" w:rsidP="00D0689E">
            <w:pPr>
              <w:spacing w:after="120"/>
              <w:rPr>
                <w:b/>
                <w:bCs/>
                <w:sz w:val="18"/>
                <w:szCs w:val="18"/>
              </w:rPr>
            </w:pPr>
            <w:r w:rsidRPr="00F80E21">
              <w:rPr>
                <w:bCs/>
                <w:i/>
                <w:sz w:val="18"/>
                <w:szCs w:val="18"/>
              </w:rPr>
              <w:t xml:space="preserve">Intermediate Results Indicator </w:t>
            </w:r>
            <w:r>
              <w:rPr>
                <w:bCs/>
                <w:i/>
                <w:sz w:val="18"/>
                <w:szCs w:val="18"/>
              </w:rPr>
              <w:t>Two</w:t>
            </w:r>
            <w:r w:rsidRPr="00F80E21">
              <w:rPr>
                <w:bCs/>
                <w:i/>
                <w:sz w:val="18"/>
                <w:szCs w:val="18"/>
              </w:rPr>
              <w:t>:</w:t>
            </w:r>
            <w:r>
              <w:rPr>
                <w:bCs/>
                <w:sz w:val="18"/>
                <w:szCs w:val="18"/>
              </w:rPr>
              <w:t xml:space="preserve"> </w:t>
            </w:r>
            <w:r w:rsidR="008A6C9F" w:rsidRPr="000313BC">
              <w:rPr>
                <w:bCs/>
                <w:sz w:val="18"/>
                <w:szCs w:val="18"/>
              </w:rPr>
              <w:t>Sustainable Solar Market Facilitation</w:t>
            </w:r>
            <w:r w:rsidRPr="000313BC">
              <w:rPr>
                <w:bCs/>
                <w:sz w:val="18"/>
                <w:szCs w:val="18"/>
              </w:rPr>
              <w:t xml:space="preserve">  delivered</w:t>
            </w:r>
          </w:p>
        </w:tc>
        <w:tc>
          <w:tcPr>
            <w:tcW w:w="450" w:type="dxa"/>
            <w:tcBorders>
              <w:bottom w:val="single" w:sz="4" w:space="0" w:color="auto"/>
            </w:tcBorders>
          </w:tcPr>
          <w:p w:rsidR="00BA2C13" w:rsidRPr="001F6AFB" w:rsidRDefault="00D526C8" w:rsidP="00AC6B68">
            <w:pPr>
              <w:spacing w:after="120"/>
              <w:rPr>
                <w:b/>
                <w:bCs/>
                <w:sz w:val="18"/>
                <w:szCs w:val="18"/>
              </w:rPr>
            </w:pPr>
            <w:r w:rsidRPr="001F6AFB">
              <w:rPr>
                <w:b/>
                <w:bCs/>
                <w:sz w:val="18"/>
                <w:szCs w:val="18"/>
              </w:rPr>
              <w:fldChar w:fldCharType="begin">
                <w:ffData>
                  <w:name w:val="Check1"/>
                  <w:enabled/>
                  <w:calcOnExit w:val="0"/>
                  <w:checkBox>
                    <w:sizeAuto/>
                    <w:default w:val="0"/>
                  </w:checkBox>
                </w:ffData>
              </w:fldChar>
            </w:r>
            <w:r w:rsidR="00BA2C13" w:rsidRPr="001F6AFB">
              <w:rPr>
                <w:b/>
                <w:bCs/>
                <w:sz w:val="18"/>
                <w:szCs w:val="18"/>
              </w:rPr>
              <w:instrText xml:space="preserve"> FORMCHECKBOX </w:instrText>
            </w:r>
            <w:r w:rsidRPr="001F6AFB">
              <w:rPr>
                <w:b/>
                <w:bCs/>
                <w:sz w:val="18"/>
                <w:szCs w:val="18"/>
              </w:rPr>
            </w:r>
            <w:r w:rsidRPr="001F6AFB">
              <w:rPr>
                <w:b/>
                <w:bCs/>
                <w:sz w:val="18"/>
                <w:szCs w:val="18"/>
              </w:rPr>
              <w:fldChar w:fldCharType="end"/>
            </w:r>
          </w:p>
        </w:tc>
        <w:tc>
          <w:tcPr>
            <w:tcW w:w="811" w:type="dxa"/>
            <w:tcBorders>
              <w:bottom w:val="single" w:sz="4" w:space="0" w:color="auto"/>
            </w:tcBorders>
          </w:tcPr>
          <w:p w:rsidR="00BA2C13" w:rsidRPr="004E7E62" w:rsidRDefault="00BA2C13" w:rsidP="00AC6B68">
            <w:pPr>
              <w:spacing w:after="120"/>
              <w:rPr>
                <w:bCs/>
                <w:sz w:val="18"/>
                <w:szCs w:val="18"/>
              </w:rPr>
            </w:pPr>
            <w:r>
              <w:rPr>
                <w:bCs/>
                <w:sz w:val="18"/>
                <w:szCs w:val="18"/>
              </w:rPr>
              <w:t>Yes/No</w:t>
            </w:r>
          </w:p>
        </w:tc>
        <w:tc>
          <w:tcPr>
            <w:tcW w:w="899" w:type="dxa"/>
            <w:tcBorders>
              <w:bottom w:val="single" w:sz="4" w:space="0" w:color="auto"/>
            </w:tcBorders>
            <w:shd w:val="clear" w:color="auto" w:fill="auto"/>
          </w:tcPr>
          <w:p w:rsidR="00BA2C13" w:rsidRPr="00F71554" w:rsidRDefault="00BA2C13" w:rsidP="00AC6B68">
            <w:pPr>
              <w:spacing w:after="120"/>
              <w:rPr>
                <w:bCs/>
                <w:sz w:val="18"/>
                <w:szCs w:val="18"/>
              </w:rPr>
            </w:pPr>
            <w:r>
              <w:rPr>
                <w:bCs/>
                <w:sz w:val="18"/>
                <w:szCs w:val="18"/>
              </w:rPr>
              <w:t>No</w:t>
            </w:r>
          </w:p>
        </w:tc>
        <w:tc>
          <w:tcPr>
            <w:tcW w:w="901" w:type="dxa"/>
            <w:tcBorders>
              <w:bottom w:val="single" w:sz="4" w:space="0" w:color="auto"/>
            </w:tcBorders>
          </w:tcPr>
          <w:p w:rsidR="00BA2C13" w:rsidRDefault="00BA2C13" w:rsidP="00AC6B68">
            <w:pPr>
              <w:spacing w:after="120"/>
              <w:rPr>
                <w:bCs/>
                <w:sz w:val="18"/>
                <w:szCs w:val="18"/>
              </w:rPr>
            </w:pPr>
            <w:r>
              <w:rPr>
                <w:bCs/>
                <w:sz w:val="18"/>
                <w:szCs w:val="18"/>
              </w:rPr>
              <w:t>No</w:t>
            </w:r>
          </w:p>
        </w:tc>
        <w:tc>
          <w:tcPr>
            <w:tcW w:w="810" w:type="dxa"/>
            <w:tcBorders>
              <w:bottom w:val="single" w:sz="4" w:space="0" w:color="auto"/>
            </w:tcBorders>
            <w:shd w:val="clear" w:color="auto" w:fill="auto"/>
          </w:tcPr>
          <w:p w:rsidR="00BA2C13" w:rsidRDefault="00BA2C13" w:rsidP="00AC6B68">
            <w:pPr>
              <w:spacing w:after="120"/>
              <w:rPr>
                <w:bCs/>
                <w:sz w:val="18"/>
                <w:szCs w:val="18"/>
              </w:rPr>
            </w:pPr>
            <w:r>
              <w:rPr>
                <w:bCs/>
                <w:sz w:val="18"/>
                <w:szCs w:val="18"/>
              </w:rPr>
              <w:t>No</w:t>
            </w:r>
          </w:p>
        </w:tc>
        <w:tc>
          <w:tcPr>
            <w:tcW w:w="767" w:type="dxa"/>
            <w:tcBorders>
              <w:bottom w:val="single" w:sz="4" w:space="0" w:color="auto"/>
            </w:tcBorders>
            <w:shd w:val="clear" w:color="auto" w:fill="auto"/>
          </w:tcPr>
          <w:p w:rsidR="00BA2C13" w:rsidRDefault="00BA2C13" w:rsidP="00AC6B68">
            <w:pPr>
              <w:spacing w:after="120"/>
              <w:rPr>
                <w:bCs/>
                <w:sz w:val="18"/>
                <w:szCs w:val="18"/>
              </w:rPr>
            </w:pPr>
            <w:r>
              <w:rPr>
                <w:bCs/>
                <w:sz w:val="18"/>
                <w:szCs w:val="18"/>
              </w:rPr>
              <w:t>Yes</w:t>
            </w:r>
          </w:p>
        </w:tc>
        <w:tc>
          <w:tcPr>
            <w:tcW w:w="819" w:type="dxa"/>
            <w:tcBorders>
              <w:bottom w:val="single" w:sz="4" w:space="0" w:color="auto"/>
            </w:tcBorders>
            <w:shd w:val="clear" w:color="auto" w:fill="auto"/>
          </w:tcPr>
          <w:p w:rsidR="00BA2C13" w:rsidRDefault="00BA2C13" w:rsidP="00AC6B68">
            <w:pPr>
              <w:spacing w:after="120"/>
              <w:rPr>
                <w:bCs/>
                <w:sz w:val="18"/>
                <w:szCs w:val="18"/>
              </w:rPr>
            </w:pPr>
            <w:r>
              <w:rPr>
                <w:bCs/>
                <w:sz w:val="18"/>
                <w:szCs w:val="18"/>
              </w:rPr>
              <w:t xml:space="preserve">Yes </w:t>
            </w:r>
          </w:p>
        </w:tc>
        <w:tc>
          <w:tcPr>
            <w:tcW w:w="871" w:type="dxa"/>
            <w:tcBorders>
              <w:bottom w:val="single" w:sz="4" w:space="0" w:color="auto"/>
            </w:tcBorders>
          </w:tcPr>
          <w:p w:rsidR="00BA2C13" w:rsidRDefault="00BA2C13" w:rsidP="00AC6B68">
            <w:pPr>
              <w:spacing w:after="120"/>
              <w:rPr>
                <w:bCs/>
                <w:sz w:val="18"/>
                <w:szCs w:val="18"/>
                <w:highlight w:val="yellow"/>
              </w:rPr>
            </w:pPr>
            <w:r w:rsidRPr="000F49D5">
              <w:rPr>
                <w:bCs/>
                <w:sz w:val="18"/>
                <w:szCs w:val="18"/>
              </w:rPr>
              <w:t>Yes</w:t>
            </w:r>
          </w:p>
        </w:tc>
        <w:tc>
          <w:tcPr>
            <w:tcW w:w="1053" w:type="dxa"/>
            <w:tcBorders>
              <w:bottom w:val="single" w:sz="4" w:space="0" w:color="auto"/>
            </w:tcBorders>
            <w:shd w:val="clear" w:color="auto" w:fill="auto"/>
          </w:tcPr>
          <w:p w:rsidR="00BA2C13" w:rsidRDefault="00BA2C13" w:rsidP="00AC6B68">
            <w:pPr>
              <w:spacing w:after="120"/>
              <w:rPr>
                <w:bCs/>
                <w:sz w:val="18"/>
                <w:szCs w:val="18"/>
              </w:rPr>
            </w:pPr>
            <w:r w:rsidRPr="008D7EDC">
              <w:rPr>
                <w:bCs/>
                <w:sz w:val="18"/>
                <w:szCs w:val="18"/>
              </w:rPr>
              <w:t>Annual</w:t>
            </w:r>
          </w:p>
        </w:tc>
        <w:tc>
          <w:tcPr>
            <w:tcW w:w="1260" w:type="dxa"/>
            <w:tcBorders>
              <w:bottom w:val="single" w:sz="4" w:space="0" w:color="auto"/>
            </w:tcBorders>
            <w:shd w:val="clear" w:color="auto" w:fill="auto"/>
          </w:tcPr>
          <w:p w:rsidR="00BA2C13" w:rsidRDefault="00BA2C13" w:rsidP="00AC6B68">
            <w:pPr>
              <w:spacing w:after="120"/>
              <w:rPr>
                <w:bCs/>
                <w:sz w:val="18"/>
                <w:szCs w:val="18"/>
              </w:rPr>
            </w:pPr>
            <w:r w:rsidRPr="00843C0D">
              <w:rPr>
                <w:bCs/>
                <w:sz w:val="18"/>
                <w:szCs w:val="18"/>
              </w:rPr>
              <w:t>RREA data system</w:t>
            </w:r>
          </w:p>
        </w:tc>
        <w:tc>
          <w:tcPr>
            <w:tcW w:w="1350" w:type="dxa"/>
            <w:tcBorders>
              <w:bottom w:val="single" w:sz="4" w:space="0" w:color="auto"/>
            </w:tcBorders>
            <w:shd w:val="clear" w:color="auto" w:fill="auto"/>
          </w:tcPr>
          <w:p w:rsidR="00BA2C13" w:rsidRDefault="00BA2C13" w:rsidP="00AC6B68">
            <w:pPr>
              <w:spacing w:after="120"/>
              <w:rPr>
                <w:bCs/>
                <w:sz w:val="18"/>
                <w:szCs w:val="18"/>
              </w:rPr>
            </w:pPr>
            <w:r w:rsidRPr="00F71554">
              <w:rPr>
                <w:bCs/>
                <w:sz w:val="18"/>
                <w:szCs w:val="18"/>
              </w:rPr>
              <w:t>RREA</w:t>
            </w:r>
          </w:p>
        </w:tc>
        <w:tc>
          <w:tcPr>
            <w:tcW w:w="2070" w:type="dxa"/>
            <w:tcBorders>
              <w:bottom w:val="single" w:sz="4" w:space="0" w:color="auto"/>
            </w:tcBorders>
          </w:tcPr>
          <w:p w:rsidR="00BA2C13" w:rsidRDefault="00BA2C13" w:rsidP="00AC6B68">
            <w:pPr>
              <w:spacing w:after="120"/>
              <w:rPr>
                <w:b/>
                <w:bCs/>
                <w:sz w:val="18"/>
                <w:szCs w:val="18"/>
              </w:rPr>
            </w:pPr>
          </w:p>
        </w:tc>
      </w:tr>
      <w:tr w:rsidR="00BA2C13" w:rsidRPr="001F6AFB" w:rsidTr="00AC6B68">
        <w:trPr>
          <w:trHeight w:val="631"/>
        </w:trPr>
        <w:tc>
          <w:tcPr>
            <w:tcW w:w="3059" w:type="dxa"/>
            <w:gridSpan w:val="2"/>
            <w:tcBorders>
              <w:bottom w:val="single" w:sz="4" w:space="0" w:color="auto"/>
            </w:tcBorders>
          </w:tcPr>
          <w:p w:rsidR="00BA2C13" w:rsidRPr="001F6AFB" w:rsidRDefault="00BA2C13" w:rsidP="00AC6B68">
            <w:pPr>
              <w:spacing w:after="120"/>
              <w:rPr>
                <w:b/>
                <w:bCs/>
                <w:sz w:val="18"/>
                <w:szCs w:val="18"/>
              </w:rPr>
            </w:pPr>
            <w:r w:rsidRPr="00F80E21">
              <w:rPr>
                <w:bCs/>
                <w:i/>
                <w:sz w:val="18"/>
                <w:szCs w:val="18"/>
              </w:rPr>
              <w:lastRenderedPageBreak/>
              <w:t xml:space="preserve">Intermediate Results Indicator </w:t>
            </w:r>
            <w:r>
              <w:rPr>
                <w:bCs/>
                <w:i/>
                <w:sz w:val="18"/>
                <w:szCs w:val="18"/>
              </w:rPr>
              <w:t>Three</w:t>
            </w:r>
            <w:r w:rsidRPr="00F80E21">
              <w:rPr>
                <w:bCs/>
                <w:i/>
                <w:sz w:val="18"/>
                <w:szCs w:val="18"/>
              </w:rPr>
              <w:t>:</w:t>
            </w:r>
            <w:r w:rsidRPr="00F71554">
              <w:rPr>
                <w:bCs/>
                <w:sz w:val="18"/>
                <w:szCs w:val="18"/>
              </w:rPr>
              <w:t xml:space="preserve"> </w:t>
            </w:r>
            <w:r w:rsidR="00FC5D78">
              <w:rPr>
                <w:bCs/>
                <w:sz w:val="18"/>
                <w:szCs w:val="18"/>
              </w:rPr>
              <w:t xml:space="preserve">100,000 </w:t>
            </w:r>
            <w:r w:rsidRPr="00F71554">
              <w:rPr>
                <w:bCs/>
                <w:sz w:val="18"/>
                <w:szCs w:val="18"/>
              </w:rPr>
              <w:t xml:space="preserve">Lighting Africa approved solar lanterns in use </w:t>
            </w:r>
          </w:p>
        </w:tc>
        <w:tc>
          <w:tcPr>
            <w:tcW w:w="450" w:type="dxa"/>
            <w:tcBorders>
              <w:bottom w:val="single" w:sz="4" w:space="0" w:color="auto"/>
            </w:tcBorders>
          </w:tcPr>
          <w:p w:rsidR="00BA2C13" w:rsidRPr="001F6AFB" w:rsidRDefault="00D526C8" w:rsidP="00AC6B68">
            <w:pPr>
              <w:spacing w:after="120"/>
              <w:rPr>
                <w:b/>
                <w:bCs/>
                <w:sz w:val="18"/>
                <w:szCs w:val="18"/>
              </w:rPr>
            </w:pPr>
            <w:r w:rsidRPr="001F6AFB">
              <w:rPr>
                <w:b/>
                <w:bCs/>
                <w:sz w:val="18"/>
                <w:szCs w:val="18"/>
              </w:rPr>
              <w:fldChar w:fldCharType="begin">
                <w:ffData>
                  <w:name w:val="Check1"/>
                  <w:enabled/>
                  <w:calcOnExit w:val="0"/>
                  <w:checkBox>
                    <w:sizeAuto/>
                    <w:default w:val="0"/>
                  </w:checkBox>
                </w:ffData>
              </w:fldChar>
            </w:r>
            <w:r w:rsidR="00BA2C13" w:rsidRPr="001F6AFB">
              <w:rPr>
                <w:b/>
                <w:bCs/>
                <w:sz w:val="18"/>
                <w:szCs w:val="18"/>
              </w:rPr>
              <w:instrText xml:space="preserve"> FORMCHECKBOX </w:instrText>
            </w:r>
            <w:r w:rsidRPr="001F6AFB">
              <w:rPr>
                <w:b/>
                <w:bCs/>
                <w:sz w:val="18"/>
                <w:szCs w:val="18"/>
              </w:rPr>
            </w:r>
            <w:r w:rsidRPr="001F6AFB">
              <w:rPr>
                <w:b/>
                <w:bCs/>
                <w:sz w:val="18"/>
                <w:szCs w:val="18"/>
              </w:rPr>
              <w:fldChar w:fldCharType="end"/>
            </w:r>
          </w:p>
        </w:tc>
        <w:tc>
          <w:tcPr>
            <w:tcW w:w="811" w:type="dxa"/>
            <w:tcBorders>
              <w:bottom w:val="single" w:sz="4" w:space="0" w:color="auto"/>
            </w:tcBorders>
          </w:tcPr>
          <w:p w:rsidR="00BA2C13" w:rsidRPr="00F71554" w:rsidRDefault="00BA2C13" w:rsidP="00AC6B68">
            <w:pPr>
              <w:spacing w:after="120"/>
              <w:rPr>
                <w:bCs/>
                <w:sz w:val="18"/>
                <w:szCs w:val="18"/>
              </w:rPr>
            </w:pPr>
            <w:r>
              <w:rPr>
                <w:bCs/>
                <w:sz w:val="18"/>
                <w:szCs w:val="18"/>
              </w:rPr>
              <w:t>Number</w:t>
            </w:r>
          </w:p>
        </w:tc>
        <w:tc>
          <w:tcPr>
            <w:tcW w:w="899" w:type="dxa"/>
            <w:tcBorders>
              <w:bottom w:val="single" w:sz="4" w:space="0" w:color="auto"/>
            </w:tcBorders>
            <w:shd w:val="clear" w:color="auto" w:fill="auto"/>
          </w:tcPr>
          <w:p w:rsidR="00BA2C13" w:rsidRDefault="00BA2C13" w:rsidP="00AC6B68">
            <w:pPr>
              <w:spacing w:after="120"/>
              <w:rPr>
                <w:bCs/>
                <w:sz w:val="18"/>
                <w:szCs w:val="18"/>
              </w:rPr>
            </w:pPr>
            <w:r w:rsidRPr="00F71554">
              <w:rPr>
                <w:bCs/>
                <w:sz w:val="18"/>
                <w:szCs w:val="18"/>
              </w:rPr>
              <w:t>0</w:t>
            </w:r>
          </w:p>
        </w:tc>
        <w:tc>
          <w:tcPr>
            <w:tcW w:w="901" w:type="dxa"/>
            <w:tcBorders>
              <w:bottom w:val="single" w:sz="4" w:space="0" w:color="auto"/>
            </w:tcBorders>
          </w:tcPr>
          <w:p w:rsidR="00BA2C13" w:rsidRDefault="00BA2C13" w:rsidP="00AC6B68">
            <w:pPr>
              <w:spacing w:after="120"/>
              <w:rPr>
                <w:bCs/>
                <w:sz w:val="18"/>
                <w:szCs w:val="18"/>
              </w:rPr>
            </w:pPr>
            <w:r w:rsidRPr="00F71554">
              <w:rPr>
                <w:bCs/>
                <w:sz w:val="18"/>
                <w:szCs w:val="18"/>
              </w:rPr>
              <w:t>0</w:t>
            </w:r>
          </w:p>
        </w:tc>
        <w:tc>
          <w:tcPr>
            <w:tcW w:w="810" w:type="dxa"/>
            <w:tcBorders>
              <w:bottom w:val="single" w:sz="4" w:space="0" w:color="auto"/>
            </w:tcBorders>
            <w:shd w:val="clear" w:color="auto" w:fill="auto"/>
          </w:tcPr>
          <w:p w:rsidR="00BA2C13" w:rsidRDefault="00BA2C13" w:rsidP="00AC6B68">
            <w:pPr>
              <w:spacing w:after="120"/>
              <w:rPr>
                <w:bCs/>
                <w:sz w:val="18"/>
                <w:szCs w:val="18"/>
              </w:rPr>
            </w:pPr>
            <w:r w:rsidRPr="00F71554">
              <w:rPr>
                <w:bCs/>
                <w:sz w:val="18"/>
                <w:szCs w:val="18"/>
              </w:rPr>
              <w:t>0</w:t>
            </w:r>
          </w:p>
        </w:tc>
        <w:tc>
          <w:tcPr>
            <w:tcW w:w="767" w:type="dxa"/>
            <w:tcBorders>
              <w:bottom w:val="single" w:sz="4" w:space="0" w:color="auto"/>
            </w:tcBorders>
            <w:shd w:val="clear" w:color="auto" w:fill="auto"/>
          </w:tcPr>
          <w:p w:rsidR="00BA2C13" w:rsidRDefault="00BA2C13" w:rsidP="00AC6B68">
            <w:pPr>
              <w:spacing w:after="120"/>
              <w:rPr>
                <w:bCs/>
                <w:sz w:val="18"/>
                <w:szCs w:val="18"/>
              </w:rPr>
            </w:pPr>
            <w:r w:rsidRPr="00F71554">
              <w:rPr>
                <w:bCs/>
                <w:sz w:val="18"/>
                <w:szCs w:val="18"/>
              </w:rPr>
              <w:t>20,000</w:t>
            </w:r>
          </w:p>
        </w:tc>
        <w:tc>
          <w:tcPr>
            <w:tcW w:w="819" w:type="dxa"/>
            <w:tcBorders>
              <w:bottom w:val="single" w:sz="4" w:space="0" w:color="auto"/>
            </w:tcBorders>
            <w:shd w:val="clear" w:color="auto" w:fill="auto"/>
          </w:tcPr>
          <w:p w:rsidR="00BA2C13" w:rsidRDefault="00BA2C13" w:rsidP="00AC6B68">
            <w:pPr>
              <w:spacing w:after="120"/>
              <w:rPr>
                <w:bCs/>
                <w:sz w:val="18"/>
                <w:szCs w:val="18"/>
              </w:rPr>
            </w:pPr>
            <w:r w:rsidRPr="00F71554">
              <w:rPr>
                <w:bCs/>
                <w:sz w:val="18"/>
                <w:szCs w:val="18"/>
              </w:rPr>
              <w:t>60,000</w:t>
            </w:r>
          </w:p>
        </w:tc>
        <w:tc>
          <w:tcPr>
            <w:tcW w:w="871" w:type="dxa"/>
            <w:tcBorders>
              <w:bottom w:val="single" w:sz="4" w:space="0" w:color="auto"/>
            </w:tcBorders>
          </w:tcPr>
          <w:p w:rsidR="00BA2C13" w:rsidRDefault="00BA2C13" w:rsidP="00AC6B68">
            <w:pPr>
              <w:spacing w:after="120"/>
              <w:rPr>
                <w:bCs/>
                <w:sz w:val="18"/>
                <w:szCs w:val="18"/>
              </w:rPr>
            </w:pPr>
            <w:r w:rsidRPr="00F71554">
              <w:rPr>
                <w:bCs/>
                <w:sz w:val="18"/>
                <w:szCs w:val="18"/>
              </w:rPr>
              <w:t>100,000</w:t>
            </w:r>
          </w:p>
        </w:tc>
        <w:tc>
          <w:tcPr>
            <w:tcW w:w="1053" w:type="dxa"/>
            <w:tcBorders>
              <w:bottom w:val="single" w:sz="4" w:space="0" w:color="auto"/>
            </w:tcBorders>
            <w:shd w:val="clear" w:color="auto" w:fill="auto"/>
          </w:tcPr>
          <w:p w:rsidR="00BA2C13" w:rsidRDefault="00BA2C13" w:rsidP="00AC6B68">
            <w:pPr>
              <w:spacing w:after="120"/>
              <w:rPr>
                <w:bCs/>
                <w:sz w:val="18"/>
                <w:szCs w:val="18"/>
              </w:rPr>
            </w:pPr>
            <w:r w:rsidRPr="00F71554">
              <w:rPr>
                <w:bCs/>
                <w:sz w:val="18"/>
                <w:szCs w:val="18"/>
              </w:rPr>
              <w:t>Quarterly</w:t>
            </w:r>
          </w:p>
        </w:tc>
        <w:tc>
          <w:tcPr>
            <w:tcW w:w="1260" w:type="dxa"/>
            <w:tcBorders>
              <w:bottom w:val="single" w:sz="4" w:space="0" w:color="auto"/>
            </w:tcBorders>
            <w:shd w:val="clear" w:color="auto" w:fill="auto"/>
          </w:tcPr>
          <w:p w:rsidR="00BA2C13" w:rsidRDefault="00BA2C13" w:rsidP="00AC6B68">
            <w:pPr>
              <w:spacing w:after="120"/>
              <w:rPr>
                <w:bCs/>
                <w:sz w:val="18"/>
                <w:szCs w:val="18"/>
              </w:rPr>
            </w:pPr>
            <w:r w:rsidRPr="00843C0D">
              <w:rPr>
                <w:bCs/>
                <w:sz w:val="18"/>
                <w:szCs w:val="18"/>
              </w:rPr>
              <w:t>RREA data system</w:t>
            </w:r>
          </w:p>
        </w:tc>
        <w:tc>
          <w:tcPr>
            <w:tcW w:w="1350" w:type="dxa"/>
            <w:tcBorders>
              <w:bottom w:val="single" w:sz="4" w:space="0" w:color="auto"/>
            </w:tcBorders>
            <w:shd w:val="clear" w:color="auto" w:fill="auto"/>
          </w:tcPr>
          <w:p w:rsidR="00BA2C13" w:rsidRDefault="00BA2C13" w:rsidP="00AC6B68">
            <w:pPr>
              <w:spacing w:after="120"/>
              <w:rPr>
                <w:bCs/>
                <w:sz w:val="18"/>
                <w:szCs w:val="18"/>
              </w:rPr>
            </w:pPr>
            <w:r w:rsidRPr="00F71554">
              <w:rPr>
                <w:bCs/>
                <w:sz w:val="18"/>
                <w:szCs w:val="18"/>
              </w:rPr>
              <w:t>RREA</w:t>
            </w:r>
          </w:p>
        </w:tc>
        <w:tc>
          <w:tcPr>
            <w:tcW w:w="2070" w:type="dxa"/>
            <w:tcBorders>
              <w:bottom w:val="single" w:sz="4" w:space="0" w:color="auto"/>
            </w:tcBorders>
          </w:tcPr>
          <w:p w:rsidR="00BA2C13" w:rsidRDefault="00BA2C13" w:rsidP="00AC6B68">
            <w:pPr>
              <w:spacing w:after="120"/>
              <w:rPr>
                <w:b/>
                <w:bCs/>
                <w:sz w:val="18"/>
                <w:szCs w:val="18"/>
              </w:rPr>
            </w:pPr>
          </w:p>
        </w:tc>
      </w:tr>
      <w:tr w:rsidR="00BA2C13" w:rsidRPr="001F6AFB" w:rsidTr="00AC6B68">
        <w:trPr>
          <w:trHeight w:val="638"/>
        </w:trPr>
        <w:tc>
          <w:tcPr>
            <w:tcW w:w="15120"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BA2C13" w:rsidRPr="007F7BBF" w:rsidRDefault="00BA2C13" w:rsidP="00AC6B68">
            <w:pPr>
              <w:spacing w:after="120"/>
              <w:rPr>
                <w:b/>
                <w:bCs/>
              </w:rPr>
            </w:pPr>
            <w:r w:rsidRPr="007F7BBF">
              <w:rPr>
                <w:b/>
                <w:bCs/>
              </w:rPr>
              <w:t>Intermediate Result 4:  Technical assistance (Component D)</w:t>
            </w:r>
          </w:p>
        </w:tc>
      </w:tr>
      <w:tr w:rsidR="00BA2C13" w:rsidRPr="001F6AFB" w:rsidTr="00AC6B68">
        <w:trPr>
          <w:trHeight w:val="631"/>
        </w:trPr>
        <w:tc>
          <w:tcPr>
            <w:tcW w:w="2970" w:type="dxa"/>
            <w:tcBorders>
              <w:bottom w:val="single" w:sz="4" w:space="0" w:color="auto"/>
            </w:tcBorders>
          </w:tcPr>
          <w:p w:rsidR="00BA2C13" w:rsidRPr="00F71554" w:rsidRDefault="00BA2C13" w:rsidP="00AC6B68">
            <w:pPr>
              <w:spacing w:after="120"/>
              <w:rPr>
                <w:bCs/>
                <w:sz w:val="18"/>
                <w:szCs w:val="18"/>
              </w:rPr>
            </w:pPr>
            <w:r w:rsidRPr="00F80E21">
              <w:rPr>
                <w:bCs/>
                <w:i/>
                <w:sz w:val="18"/>
                <w:szCs w:val="18"/>
              </w:rPr>
              <w:t xml:space="preserve">Intermediate Results Indicator </w:t>
            </w:r>
            <w:r>
              <w:rPr>
                <w:bCs/>
                <w:i/>
                <w:sz w:val="18"/>
                <w:szCs w:val="18"/>
              </w:rPr>
              <w:t>One</w:t>
            </w:r>
            <w:r w:rsidRPr="00F80E21">
              <w:rPr>
                <w:bCs/>
                <w:i/>
                <w:sz w:val="18"/>
                <w:szCs w:val="18"/>
              </w:rPr>
              <w:t>:</w:t>
            </w:r>
            <w:r w:rsidRPr="00F71554">
              <w:rPr>
                <w:bCs/>
                <w:sz w:val="18"/>
                <w:szCs w:val="18"/>
              </w:rPr>
              <w:t xml:space="preserve"> </w:t>
            </w:r>
            <w:r>
              <w:rPr>
                <w:bCs/>
                <w:sz w:val="18"/>
                <w:szCs w:val="18"/>
              </w:rPr>
              <w:t>People trained under the project</w:t>
            </w:r>
          </w:p>
        </w:tc>
        <w:tc>
          <w:tcPr>
            <w:tcW w:w="539" w:type="dxa"/>
            <w:gridSpan w:val="2"/>
            <w:tcBorders>
              <w:bottom w:val="single" w:sz="4" w:space="0" w:color="auto"/>
            </w:tcBorders>
          </w:tcPr>
          <w:p w:rsidR="00BA2C13" w:rsidRPr="001F6AFB" w:rsidRDefault="00D526C8" w:rsidP="00AC6B68">
            <w:pPr>
              <w:spacing w:after="120"/>
              <w:rPr>
                <w:b/>
                <w:bCs/>
                <w:sz w:val="18"/>
                <w:szCs w:val="18"/>
              </w:rPr>
            </w:pPr>
            <w:r w:rsidRPr="001F6AFB">
              <w:rPr>
                <w:b/>
                <w:bCs/>
                <w:sz w:val="18"/>
                <w:szCs w:val="18"/>
              </w:rPr>
              <w:fldChar w:fldCharType="begin">
                <w:ffData>
                  <w:name w:val="Check1"/>
                  <w:enabled/>
                  <w:calcOnExit w:val="0"/>
                  <w:checkBox>
                    <w:sizeAuto/>
                    <w:default w:val="0"/>
                  </w:checkBox>
                </w:ffData>
              </w:fldChar>
            </w:r>
            <w:r w:rsidR="00BA2C13" w:rsidRPr="001F6AFB">
              <w:rPr>
                <w:b/>
                <w:bCs/>
                <w:sz w:val="18"/>
                <w:szCs w:val="18"/>
              </w:rPr>
              <w:instrText xml:space="preserve"> FORMCHECKBOX </w:instrText>
            </w:r>
            <w:r w:rsidRPr="001F6AFB">
              <w:rPr>
                <w:b/>
                <w:bCs/>
                <w:sz w:val="18"/>
                <w:szCs w:val="18"/>
              </w:rPr>
            </w:r>
            <w:r w:rsidRPr="001F6AFB">
              <w:rPr>
                <w:b/>
                <w:bCs/>
                <w:sz w:val="18"/>
                <w:szCs w:val="18"/>
              </w:rPr>
              <w:fldChar w:fldCharType="end"/>
            </w:r>
          </w:p>
        </w:tc>
        <w:tc>
          <w:tcPr>
            <w:tcW w:w="811" w:type="dxa"/>
            <w:tcBorders>
              <w:bottom w:val="single" w:sz="4" w:space="0" w:color="auto"/>
            </w:tcBorders>
          </w:tcPr>
          <w:p w:rsidR="00BA2C13" w:rsidRPr="00F71554" w:rsidRDefault="00BA2C13" w:rsidP="00AC6B68">
            <w:pPr>
              <w:spacing w:after="120"/>
              <w:rPr>
                <w:bCs/>
                <w:sz w:val="18"/>
                <w:szCs w:val="18"/>
              </w:rPr>
            </w:pPr>
          </w:p>
        </w:tc>
        <w:tc>
          <w:tcPr>
            <w:tcW w:w="899" w:type="dxa"/>
            <w:tcBorders>
              <w:bottom w:val="single" w:sz="4" w:space="0" w:color="auto"/>
            </w:tcBorders>
            <w:shd w:val="clear" w:color="auto" w:fill="auto"/>
          </w:tcPr>
          <w:p w:rsidR="00BA2C13" w:rsidRDefault="00BA2C13" w:rsidP="00AC6B68">
            <w:pPr>
              <w:spacing w:after="120"/>
              <w:rPr>
                <w:bCs/>
                <w:sz w:val="18"/>
                <w:szCs w:val="18"/>
              </w:rPr>
            </w:pPr>
            <w:r w:rsidRPr="004E7E62">
              <w:rPr>
                <w:bCs/>
                <w:sz w:val="18"/>
                <w:szCs w:val="18"/>
              </w:rPr>
              <w:t>0</w:t>
            </w:r>
          </w:p>
        </w:tc>
        <w:tc>
          <w:tcPr>
            <w:tcW w:w="901" w:type="dxa"/>
            <w:tcBorders>
              <w:bottom w:val="single" w:sz="4" w:space="0" w:color="auto"/>
            </w:tcBorders>
            <w:shd w:val="clear" w:color="auto" w:fill="auto"/>
          </w:tcPr>
          <w:p w:rsidR="00BA2C13" w:rsidRDefault="00BA2C13" w:rsidP="00AC6B68">
            <w:pPr>
              <w:spacing w:after="120"/>
              <w:rPr>
                <w:bCs/>
                <w:sz w:val="18"/>
                <w:szCs w:val="18"/>
              </w:rPr>
            </w:pPr>
            <w:r w:rsidRPr="004E7E62">
              <w:rPr>
                <w:bCs/>
                <w:sz w:val="18"/>
                <w:szCs w:val="18"/>
              </w:rPr>
              <w:t>10</w:t>
            </w:r>
          </w:p>
        </w:tc>
        <w:tc>
          <w:tcPr>
            <w:tcW w:w="810" w:type="dxa"/>
            <w:tcBorders>
              <w:bottom w:val="single" w:sz="4" w:space="0" w:color="auto"/>
            </w:tcBorders>
            <w:shd w:val="clear" w:color="auto" w:fill="auto"/>
          </w:tcPr>
          <w:p w:rsidR="00BA2C13" w:rsidRDefault="00BA2C13" w:rsidP="00AC6B68">
            <w:pPr>
              <w:spacing w:after="120"/>
              <w:rPr>
                <w:bCs/>
                <w:sz w:val="18"/>
                <w:szCs w:val="18"/>
              </w:rPr>
            </w:pPr>
            <w:r w:rsidRPr="004E7E62">
              <w:rPr>
                <w:bCs/>
                <w:sz w:val="18"/>
                <w:szCs w:val="18"/>
              </w:rPr>
              <w:t>10</w:t>
            </w:r>
          </w:p>
        </w:tc>
        <w:tc>
          <w:tcPr>
            <w:tcW w:w="767" w:type="dxa"/>
            <w:tcBorders>
              <w:bottom w:val="single" w:sz="4" w:space="0" w:color="auto"/>
            </w:tcBorders>
            <w:shd w:val="clear" w:color="auto" w:fill="auto"/>
          </w:tcPr>
          <w:p w:rsidR="00BA2C13" w:rsidRDefault="00BA2C13" w:rsidP="00AC6B68">
            <w:pPr>
              <w:spacing w:after="120"/>
              <w:rPr>
                <w:bCs/>
                <w:sz w:val="18"/>
                <w:szCs w:val="18"/>
              </w:rPr>
            </w:pPr>
            <w:r w:rsidRPr="004E7E62">
              <w:rPr>
                <w:bCs/>
                <w:sz w:val="18"/>
                <w:szCs w:val="18"/>
              </w:rPr>
              <w:t>30</w:t>
            </w:r>
          </w:p>
        </w:tc>
        <w:tc>
          <w:tcPr>
            <w:tcW w:w="819" w:type="dxa"/>
            <w:tcBorders>
              <w:bottom w:val="single" w:sz="4" w:space="0" w:color="auto"/>
            </w:tcBorders>
            <w:shd w:val="clear" w:color="auto" w:fill="auto"/>
          </w:tcPr>
          <w:p w:rsidR="00BA2C13" w:rsidRDefault="00BA2C13" w:rsidP="00AC6B68">
            <w:pPr>
              <w:spacing w:after="120"/>
              <w:rPr>
                <w:bCs/>
                <w:sz w:val="18"/>
                <w:szCs w:val="18"/>
              </w:rPr>
            </w:pPr>
            <w:r w:rsidRPr="004E7E62">
              <w:rPr>
                <w:bCs/>
                <w:sz w:val="18"/>
                <w:szCs w:val="18"/>
              </w:rPr>
              <w:t>50</w:t>
            </w:r>
          </w:p>
        </w:tc>
        <w:tc>
          <w:tcPr>
            <w:tcW w:w="871" w:type="dxa"/>
            <w:tcBorders>
              <w:bottom w:val="single" w:sz="4" w:space="0" w:color="auto"/>
            </w:tcBorders>
            <w:shd w:val="clear" w:color="auto" w:fill="auto"/>
          </w:tcPr>
          <w:p w:rsidR="00BA2C13" w:rsidRDefault="00BA2C13" w:rsidP="00AC6B68">
            <w:pPr>
              <w:spacing w:after="120"/>
              <w:rPr>
                <w:bCs/>
                <w:sz w:val="18"/>
                <w:szCs w:val="18"/>
              </w:rPr>
            </w:pPr>
            <w:r w:rsidRPr="004E7E62">
              <w:rPr>
                <w:bCs/>
                <w:sz w:val="18"/>
                <w:szCs w:val="18"/>
              </w:rPr>
              <w:t>50</w:t>
            </w:r>
          </w:p>
        </w:tc>
        <w:tc>
          <w:tcPr>
            <w:tcW w:w="1053" w:type="dxa"/>
            <w:tcBorders>
              <w:bottom w:val="single" w:sz="4" w:space="0" w:color="auto"/>
            </w:tcBorders>
            <w:shd w:val="clear" w:color="auto" w:fill="auto"/>
          </w:tcPr>
          <w:p w:rsidR="00BA2C13" w:rsidRDefault="00BA2C13" w:rsidP="00AC6B68">
            <w:pPr>
              <w:spacing w:after="120"/>
              <w:rPr>
                <w:bCs/>
                <w:sz w:val="18"/>
                <w:szCs w:val="18"/>
              </w:rPr>
            </w:pPr>
            <w:r w:rsidRPr="00F71554">
              <w:rPr>
                <w:bCs/>
                <w:sz w:val="18"/>
                <w:szCs w:val="18"/>
              </w:rPr>
              <w:t>Quarterly</w:t>
            </w:r>
          </w:p>
        </w:tc>
        <w:tc>
          <w:tcPr>
            <w:tcW w:w="1260" w:type="dxa"/>
            <w:tcBorders>
              <w:bottom w:val="single" w:sz="4" w:space="0" w:color="auto"/>
            </w:tcBorders>
            <w:shd w:val="clear" w:color="auto" w:fill="auto"/>
          </w:tcPr>
          <w:p w:rsidR="00BA2C13" w:rsidRDefault="00BA2C13" w:rsidP="00AC6B68">
            <w:pPr>
              <w:spacing w:after="120"/>
              <w:rPr>
                <w:bCs/>
                <w:sz w:val="18"/>
                <w:szCs w:val="18"/>
              </w:rPr>
            </w:pPr>
            <w:r>
              <w:rPr>
                <w:bCs/>
                <w:sz w:val="18"/>
                <w:szCs w:val="18"/>
              </w:rPr>
              <w:t xml:space="preserve">LEC data system </w:t>
            </w:r>
          </w:p>
        </w:tc>
        <w:tc>
          <w:tcPr>
            <w:tcW w:w="1350" w:type="dxa"/>
            <w:tcBorders>
              <w:bottom w:val="single" w:sz="4" w:space="0" w:color="auto"/>
            </w:tcBorders>
            <w:shd w:val="clear" w:color="auto" w:fill="auto"/>
          </w:tcPr>
          <w:p w:rsidR="00BA2C13" w:rsidRDefault="00BA2C13" w:rsidP="00AC6B68">
            <w:pPr>
              <w:spacing w:after="120"/>
              <w:rPr>
                <w:bCs/>
                <w:sz w:val="18"/>
                <w:szCs w:val="18"/>
              </w:rPr>
            </w:pPr>
            <w:r w:rsidRPr="00F71554">
              <w:rPr>
                <w:bCs/>
                <w:sz w:val="18"/>
                <w:szCs w:val="18"/>
              </w:rPr>
              <w:t>LEC</w:t>
            </w:r>
          </w:p>
        </w:tc>
        <w:tc>
          <w:tcPr>
            <w:tcW w:w="2070" w:type="dxa"/>
            <w:tcBorders>
              <w:bottom w:val="single" w:sz="4" w:space="0" w:color="auto"/>
            </w:tcBorders>
          </w:tcPr>
          <w:p w:rsidR="00BA2C13" w:rsidRDefault="00BA2C13" w:rsidP="00AC6B68">
            <w:pPr>
              <w:spacing w:after="120"/>
              <w:rPr>
                <w:b/>
                <w:bCs/>
                <w:sz w:val="18"/>
                <w:szCs w:val="18"/>
              </w:rPr>
            </w:pPr>
          </w:p>
        </w:tc>
      </w:tr>
    </w:tbl>
    <w:p w:rsidR="001F6AFB" w:rsidRPr="001F6AFB" w:rsidRDefault="001F6AFB" w:rsidP="001F6AFB">
      <w:pPr>
        <w:spacing w:after="120"/>
        <w:rPr>
          <w:b/>
          <w:bCs/>
          <w:sz w:val="18"/>
          <w:szCs w:val="18"/>
        </w:rPr>
      </w:pPr>
    </w:p>
    <w:p w:rsidR="001F6AFB" w:rsidRPr="001F6AFB" w:rsidRDefault="001F6AFB" w:rsidP="001F6AFB">
      <w:pPr>
        <w:spacing w:after="120"/>
        <w:rPr>
          <w:b/>
          <w:bCs/>
        </w:rPr>
      </w:pPr>
    </w:p>
    <w:p w:rsidR="001F6AFB" w:rsidRPr="001F6AFB" w:rsidRDefault="001F6AFB" w:rsidP="001F6AFB">
      <w:pPr>
        <w:spacing w:after="120"/>
        <w:rPr>
          <w:b/>
          <w:bCs/>
        </w:rPr>
      </w:pPr>
    </w:p>
    <w:p w:rsidR="001F6AFB" w:rsidRPr="001F6AFB" w:rsidRDefault="001F6AFB" w:rsidP="001F6AFB">
      <w:pPr>
        <w:spacing w:after="120"/>
        <w:rPr>
          <w:b/>
          <w:bCs/>
        </w:rPr>
      </w:pPr>
    </w:p>
    <w:p w:rsidR="003F52A8" w:rsidRPr="00AF13E9" w:rsidRDefault="00F67F4A" w:rsidP="003F52A8">
      <w:pPr>
        <w:spacing w:before="40"/>
      </w:pPr>
      <w:r>
        <w:br w:type="page"/>
      </w:r>
    </w:p>
    <w:tbl>
      <w:tblPr>
        <w:tblW w:w="13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30"/>
      </w:tblGrid>
      <w:tr w:rsidR="00F62979" w:rsidRPr="003C7943" w:rsidTr="00AB26E9">
        <w:trPr>
          <w:trHeight w:val="3321"/>
          <w:jc w:val="center"/>
        </w:trPr>
        <w:tc>
          <w:tcPr>
            <w:tcW w:w="13130" w:type="dxa"/>
            <w:tcBorders>
              <w:top w:val="nil"/>
              <w:left w:val="nil"/>
              <w:right w:val="nil"/>
            </w:tcBorders>
            <w:shd w:val="clear" w:color="auto" w:fill="FFFFFF"/>
            <w:vAlign w:val="center"/>
          </w:tcPr>
          <w:p w:rsidR="005C5A9F" w:rsidRDefault="005C5A9F" w:rsidP="00F62979">
            <w:pPr>
              <w:pStyle w:val="Heading1"/>
              <w:ind w:right="187"/>
              <w:rPr>
                <w:rFonts w:cs="Times New Roman"/>
                <w:bCs w:val="0"/>
                <w:kern w:val="0"/>
                <w:szCs w:val="24"/>
              </w:rPr>
            </w:pPr>
            <w:bookmarkStart w:id="9" w:name="Annex5"/>
          </w:p>
          <w:p w:rsidR="00F62979" w:rsidRPr="003D2522" w:rsidRDefault="00F62979" w:rsidP="003D2522">
            <w:pPr>
              <w:pStyle w:val="Heading1"/>
              <w:jc w:val="center"/>
            </w:pPr>
            <w:bookmarkStart w:id="10" w:name="_Toc308712768"/>
            <w:r w:rsidRPr="003D2522">
              <w:t>Annex 2: Operational Risk Assessment Framework (ORAF)</w:t>
            </w:r>
            <w:bookmarkEnd w:id="10"/>
          </w:p>
          <w:p w:rsidR="005C5A9F" w:rsidRPr="003C7943" w:rsidRDefault="005C5A9F" w:rsidP="005C5A9F">
            <w:pPr>
              <w:jc w:val="center"/>
            </w:pPr>
          </w:p>
          <w:p w:rsidR="00F62979" w:rsidRPr="003C7943" w:rsidRDefault="00F62979" w:rsidP="005C5A9F">
            <w:pPr>
              <w:jc w:val="center"/>
            </w:pPr>
          </w:p>
          <w:p w:rsidR="008F22C5" w:rsidRPr="008F22C5" w:rsidRDefault="008F22C5" w:rsidP="008F22C5">
            <w:pPr>
              <w:jc w:val="center"/>
              <w:rPr>
                <w:b/>
              </w:rPr>
            </w:pPr>
            <w:r w:rsidRPr="008F22C5">
              <w:rPr>
                <w:b/>
              </w:rPr>
              <w:t>LIBERIA: Additional Financing for the Liberia Electricity System Enhancement Project (LESEP)</w:t>
            </w:r>
          </w:p>
          <w:p w:rsidR="008F22C5" w:rsidRPr="008F22C5" w:rsidRDefault="008F22C5" w:rsidP="008F22C5">
            <w:pPr>
              <w:jc w:val="center"/>
              <w:rPr>
                <w:b/>
              </w:rPr>
            </w:pPr>
            <w:r w:rsidRPr="008F22C5">
              <w:rPr>
                <w:b/>
              </w:rPr>
              <w:t>Stage: Appraisal</w:t>
            </w:r>
          </w:p>
          <w:p w:rsidR="008F22C5" w:rsidRDefault="008F22C5" w:rsidP="008F22C5">
            <w:pPr>
              <w:jc w:val="center"/>
              <w:rPr>
                <w:b/>
              </w:rPr>
            </w:pPr>
            <w:r w:rsidRPr="008F22C5">
              <w:rPr>
                <w:b/>
              </w:rPr>
              <w:t>OR</w:t>
            </w:r>
          </w:p>
          <w:p w:rsidR="008F22C5" w:rsidRDefault="008F22C5" w:rsidP="008F22C5">
            <w:pPr>
              <w:jc w:val="center"/>
              <w:rPr>
                <w:b/>
              </w:rPr>
            </w:pPr>
            <w:r w:rsidRPr="008F22C5">
              <w:rPr>
                <w:b/>
              </w:rPr>
              <w:t>Negotiations</w:t>
            </w:r>
          </w:p>
          <w:p w:rsidR="008F22C5" w:rsidRDefault="008F22C5" w:rsidP="008F22C5">
            <w:pPr>
              <w:jc w:val="center"/>
              <w:rPr>
                <w:b/>
              </w:rPr>
            </w:pPr>
            <w:r>
              <w:rPr>
                <w:b/>
              </w:rPr>
              <w:t xml:space="preserve">OR </w:t>
            </w:r>
          </w:p>
          <w:p w:rsidR="008F22C5" w:rsidRPr="008F22C5" w:rsidRDefault="008F22C5" w:rsidP="008F22C5">
            <w:pPr>
              <w:jc w:val="center"/>
              <w:rPr>
                <w:b/>
              </w:rPr>
            </w:pPr>
            <w:r>
              <w:rPr>
                <w:b/>
              </w:rPr>
              <w:t xml:space="preserve">Board </w:t>
            </w:r>
          </w:p>
          <w:p w:rsidR="00F62979" w:rsidRPr="003C7943" w:rsidRDefault="00F62979" w:rsidP="00AB26E9">
            <w:pPr>
              <w:jc w:val="center"/>
              <w:rPr>
                <w:i/>
              </w:rPr>
            </w:pPr>
          </w:p>
        </w:tc>
      </w:tr>
    </w:tbl>
    <w:p w:rsidR="00F62979" w:rsidRDefault="00F62979" w:rsidP="00F62979">
      <w:pPr>
        <w:pStyle w:val="NoSpacing"/>
        <w:tabs>
          <w:tab w:val="left" w:pos="2881"/>
          <w:tab w:val="left" w:pos="3708"/>
          <w:tab w:val="left" w:pos="7261"/>
        </w:tabs>
        <w:ind w:left="-3732"/>
        <w:rPr>
          <w:rFonts w:ascii="Times New Roman" w:hAnsi="Times New Roman"/>
          <w:b/>
          <w:sz w:val="24"/>
          <w:szCs w:val="24"/>
          <w:lang w:bidi="ar-SA"/>
        </w:rPr>
      </w:pPr>
    </w:p>
    <w:p w:rsidR="008F22C5" w:rsidRDefault="008F22C5" w:rsidP="00F62979">
      <w:pPr>
        <w:pStyle w:val="NoSpacing"/>
        <w:tabs>
          <w:tab w:val="left" w:pos="2881"/>
          <w:tab w:val="left" w:pos="3708"/>
          <w:tab w:val="left" w:pos="7261"/>
        </w:tabs>
        <w:ind w:left="-3732"/>
        <w:rPr>
          <w:rFonts w:ascii="Times New Roman" w:hAnsi="Times New Roman"/>
          <w:b/>
          <w:sz w:val="24"/>
          <w:szCs w:val="24"/>
          <w:lang w:bidi="ar-SA"/>
        </w:rPr>
      </w:pPr>
    </w:p>
    <w:p w:rsidR="008F22C5" w:rsidRDefault="008F22C5" w:rsidP="00F62979">
      <w:pPr>
        <w:pStyle w:val="NoSpacing"/>
        <w:tabs>
          <w:tab w:val="left" w:pos="2881"/>
          <w:tab w:val="left" w:pos="3708"/>
          <w:tab w:val="left" w:pos="7261"/>
        </w:tabs>
        <w:ind w:left="-3732"/>
        <w:rPr>
          <w:rFonts w:ascii="Times New Roman" w:hAnsi="Times New Roman"/>
          <w:b/>
          <w:sz w:val="24"/>
          <w:szCs w:val="24"/>
          <w:lang w:bidi="ar-SA"/>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
        <w:gridCol w:w="91"/>
        <w:gridCol w:w="5388"/>
        <w:gridCol w:w="11"/>
        <w:gridCol w:w="1336"/>
        <w:gridCol w:w="84"/>
        <w:gridCol w:w="21"/>
        <w:gridCol w:w="598"/>
        <w:gridCol w:w="114"/>
        <w:gridCol w:w="7"/>
        <w:gridCol w:w="1929"/>
        <w:gridCol w:w="267"/>
        <w:gridCol w:w="488"/>
        <w:gridCol w:w="1295"/>
        <w:gridCol w:w="343"/>
        <w:gridCol w:w="56"/>
        <w:gridCol w:w="1656"/>
      </w:tblGrid>
      <w:tr w:rsidR="008F22C5" w:rsidRPr="008F22C5" w:rsidTr="00307C75">
        <w:tc>
          <w:tcPr>
            <w:tcW w:w="5493" w:type="dxa"/>
            <w:gridSpan w:val="3"/>
            <w:tcBorders>
              <w:right w:val="single" w:sz="4" w:space="0" w:color="auto"/>
            </w:tcBorders>
            <w:shd w:val="pct5" w:color="auto" w:fill="auto"/>
            <w:vAlign w:val="center"/>
          </w:tcPr>
          <w:p w:rsidR="008F22C5" w:rsidRPr="008F22C5" w:rsidRDefault="008F22C5" w:rsidP="00D940CF">
            <w:pPr>
              <w:numPr>
                <w:ilvl w:val="0"/>
                <w:numId w:val="4"/>
              </w:numPr>
              <w:spacing w:after="200" w:line="276" w:lineRule="auto"/>
              <w:rPr>
                <w:b/>
              </w:rPr>
            </w:pPr>
            <w:r w:rsidRPr="008F22C5">
              <w:rPr>
                <w:b/>
                <w:sz w:val="22"/>
                <w:szCs w:val="22"/>
              </w:rPr>
              <w:t>Project Stakeholder Risks</w:t>
            </w:r>
          </w:p>
        </w:tc>
        <w:tc>
          <w:tcPr>
            <w:tcW w:w="2164" w:type="dxa"/>
            <w:gridSpan w:val="6"/>
            <w:tcBorders>
              <w:left w:val="single" w:sz="4" w:space="0" w:color="auto"/>
              <w:right w:val="single" w:sz="4" w:space="0" w:color="auto"/>
            </w:tcBorders>
            <w:shd w:val="pct5" w:color="auto" w:fill="auto"/>
          </w:tcPr>
          <w:p w:rsidR="008F22C5" w:rsidRPr="008F22C5" w:rsidRDefault="008F22C5" w:rsidP="00307C75">
            <w:pPr>
              <w:spacing w:after="200" w:line="276" w:lineRule="auto"/>
              <w:rPr>
                <w:b/>
              </w:rPr>
            </w:pPr>
            <w:r w:rsidRPr="008F22C5">
              <w:rPr>
                <w:b/>
                <w:sz w:val="22"/>
                <w:szCs w:val="22"/>
              </w:rPr>
              <w:t xml:space="preserve"> Rating: Moderate</w:t>
            </w:r>
          </w:p>
        </w:tc>
        <w:tc>
          <w:tcPr>
            <w:tcW w:w="6041" w:type="dxa"/>
            <w:gridSpan w:val="8"/>
            <w:tcBorders>
              <w:left w:val="single" w:sz="4" w:space="0" w:color="auto"/>
            </w:tcBorders>
            <w:shd w:val="pct5" w:color="auto" w:fill="auto"/>
          </w:tcPr>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Description: Potential lack of effective donor coordination:</w:t>
            </w:r>
            <w:r w:rsidRPr="008F22C5">
              <w:rPr>
                <w:sz w:val="22"/>
                <w:szCs w:val="22"/>
              </w:rPr>
              <w:t xml:space="preserve">  Implementing donor support effectively during post-conflict years is difficult since as a post-conflict country Liberia faces political and administrative constraints that reduce their capacity to absorb funds and coordinate donors.  Given the overriding need of resources of any kind, it is arguably difficult for Liberia to maintain a coherent strategy.  However, in the energy sector, donors, including the World Bank, have closely coordinated their actions since the new </w:t>
            </w:r>
            <w:proofErr w:type="spellStart"/>
            <w:r w:rsidRPr="008F22C5">
              <w:rPr>
                <w:sz w:val="22"/>
                <w:szCs w:val="22"/>
              </w:rPr>
              <w:t>GoL</w:t>
            </w:r>
            <w:proofErr w:type="spellEnd"/>
            <w:r w:rsidRPr="008F22C5">
              <w:rPr>
                <w:sz w:val="22"/>
                <w:szCs w:val="22"/>
              </w:rPr>
              <w:t xml:space="preserve"> came into power in 2005.  As a result, concrete actions have been achieved that ensure donor commitment and alignment in terms of rebuilding the electricity sector in Liberia.  There is donor consensus on how to prioritize interventions over the short-, medium- and long-term.  Both the Management </w:t>
            </w:r>
            <w:r w:rsidRPr="008F22C5">
              <w:rPr>
                <w:sz w:val="22"/>
                <w:szCs w:val="22"/>
              </w:rPr>
              <w:lastRenderedPageBreak/>
              <w:t>Contract at LEC and the LESEP project itself provide concrete examples of successful donor coordination.</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lang w:bidi="en-US"/>
              </w:rPr>
            </w:pPr>
            <w:r w:rsidRPr="008F22C5">
              <w:rPr>
                <w:b/>
                <w:sz w:val="22"/>
                <w:szCs w:val="22"/>
              </w:rPr>
              <w:lastRenderedPageBreak/>
              <w:t>Risk Management:</w:t>
            </w:r>
            <w:r w:rsidRPr="008F22C5">
              <w:rPr>
                <w:sz w:val="22"/>
                <w:szCs w:val="22"/>
                <w:lang w:bidi="en-US"/>
              </w:rPr>
              <w:t xml:space="preserve"> Donors are working towards further formalizing their coordination in the energy sector through a Memorandum of Understanding and regular technical working group.</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050" w:type="dxa"/>
            <w:gridSpan w:val="5"/>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Bank </w:t>
            </w:r>
          </w:p>
        </w:tc>
        <w:tc>
          <w:tcPr>
            <w:tcW w:w="2050"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050"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Due Date:  Ongoing</w:t>
            </w:r>
          </w:p>
        </w:tc>
        <w:tc>
          <w:tcPr>
            <w:tcW w:w="2055"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lastRenderedPageBreak/>
              <w:t>Description: Management Contractor could withdraw:</w:t>
            </w:r>
            <w:r w:rsidRPr="008F22C5">
              <w:rPr>
                <w:sz w:val="22"/>
                <w:szCs w:val="22"/>
              </w:rPr>
              <w:t xml:space="preserve">  The Management Contract provides substantial support and expertise in rebuilding the power utility LEC, and is therefore an important partner for this project.  If the Management Contractor were to withdraw from their contract, it would affect the quality and speed with which LESEP is being implemented.</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Risk Management: </w:t>
            </w:r>
            <w:r w:rsidRPr="008F22C5">
              <w:rPr>
                <w:sz w:val="22"/>
                <w:szCs w:val="22"/>
              </w:rPr>
              <w:t>The Management Contractor is well established.  Payments come directly from Norwegian aid, and are thus unaffected by LEC’s performance.  After 1.5 years of operation, the MC is firmly established at LEC.</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Client   </w:t>
            </w:r>
          </w:p>
        </w:tc>
        <w:tc>
          <w:tcPr>
            <w:tcW w:w="2196" w:type="dxa"/>
            <w:gridSpan w:val="2"/>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Stage: Implementation </w:t>
            </w:r>
          </w:p>
        </w:tc>
        <w:tc>
          <w:tcPr>
            <w:tcW w:w="2182" w:type="dxa"/>
            <w:gridSpan w:val="4"/>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Due Date: Ongoing  </w:t>
            </w:r>
          </w:p>
        </w:tc>
        <w:tc>
          <w:tcPr>
            <w:tcW w:w="1656" w:type="dxa"/>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307C75">
        <w:trPr>
          <w:trHeight w:val="323"/>
        </w:trPr>
        <w:tc>
          <w:tcPr>
            <w:tcW w:w="13698" w:type="dxa"/>
            <w:gridSpan w:val="17"/>
            <w:shd w:val="clear" w:color="auto" w:fill="D9D9D9"/>
            <w:vAlign w:val="center"/>
          </w:tcPr>
          <w:p w:rsidR="008F22C5" w:rsidRPr="008F22C5" w:rsidRDefault="008F22C5" w:rsidP="00D940CF">
            <w:pPr>
              <w:numPr>
                <w:ilvl w:val="0"/>
                <w:numId w:val="4"/>
              </w:numPr>
              <w:spacing w:after="200" w:line="276" w:lineRule="auto"/>
              <w:rPr>
                <w:b/>
              </w:rPr>
            </w:pPr>
            <w:r w:rsidRPr="008F22C5">
              <w:rPr>
                <w:b/>
                <w:sz w:val="22"/>
                <w:szCs w:val="22"/>
              </w:rPr>
              <w:t xml:space="preserve">Operating Environment Risks </w:t>
            </w:r>
            <w:r w:rsidRPr="008F22C5">
              <w:rPr>
                <w:sz w:val="22"/>
                <w:szCs w:val="22"/>
              </w:rPr>
              <w:t>(not disclosed)  Section to be removed when the PAD is (</w:t>
            </w:r>
            <w:proofErr w:type="spellStart"/>
            <w:r w:rsidRPr="008F22C5">
              <w:rPr>
                <w:sz w:val="22"/>
                <w:szCs w:val="22"/>
              </w:rPr>
              <w:t>i</w:t>
            </w:r>
            <w:proofErr w:type="spellEnd"/>
            <w:r w:rsidRPr="008F22C5">
              <w:rPr>
                <w:sz w:val="22"/>
                <w:szCs w:val="22"/>
              </w:rPr>
              <w:t>) sent to the client for negotiation or (ii) sent to the Board for approval</w:t>
            </w:r>
          </w:p>
        </w:tc>
      </w:tr>
      <w:tr w:rsidR="008F22C5" w:rsidRPr="008F22C5" w:rsidTr="00307C75">
        <w:trPr>
          <w:gridBefore w:val="2"/>
          <w:wBefore w:w="105" w:type="dxa"/>
        </w:trPr>
        <w:tc>
          <w:tcPr>
            <w:tcW w:w="5388" w:type="dxa"/>
            <w:tcBorders>
              <w:bottom w:val="single" w:sz="4" w:space="0" w:color="000000"/>
            </w:tcBorders>
            <w:shd w:val="clear" w:color="auto" w:fill="D9D9D9"/>
            <w:vAlign w:val="center"/>
          </w:tcPr>
          <w:p w:rsidR="008F22C5" w:rsidRPr="008F22C5" w:rsidRDefault="008F22C5" w:rsidP="00D940CF">
            <w:pPr>
              <w:numPr>
                <w:ilvl w:val="1"/>
                <w:numId w:val="4"/>
              </w:numPr>
              <w:spacing w:after="200" w:line="276" w:lineRule="auto"/>
              <w:rPr>
                <w:b/>
              </w:rPr>
            </w:pPr>
            <w:r w:rsidRPr="008F22C5">
              <w:rPr>
                <w:b/>
                <w:sz w:val="22"/>
                <w:szCs w:val="22"/>
              </w:rPr>
              <w:t>Liberia</w:t>
            </w:r>
          </w:p>
        </w:tc>
        <w:tc>
          <w:tcPr>
            <w:tcW w:w="2164" w:type="dxa"/>
            <w:gridSpan w:val="6"/>
            <w:tcBorders>
              <w:bottom w:val="single" w:sz="4" w:space="0" w:color="000000"/>
              <w:right w:val="single" w:sz="4" w:space="0" w:color="auto"/>
            </w:tcBorders>
            <w:shd w:val="clear" w:color="auto" w:fill="D9D9D9"/>
          </w:tcPr>
          <w:p w:rsidR="008F22C5" w:rsidRPr="008F22C5" w:rsidRDefault="008F22C5" w:rsidP="00307C75">
            <w:pPr>
              <w:spacing w:after="200" w:line="276" w:lineRule="auto"/>
              <w:rPr>
                <w:b/>
              </w:rPr>
            </w:pPr>
            <w:r w:rsidRPr="008F22C5">
              <w:rPr>
                <w:b/>
                <w:sz w:val="22"/>
                <w:szCs w:val="22"/>
              </w:rPr>
              <w:t>Rating: High</w:t>
            </w:r>
          </w:p>
        </w:tc>
        <w:tc>
          <w:tcPr>
            <w:tcW w:w="6041" w:type="dxa"/>
            <w:gridSpan w:val="8"/>
            <w:tcBorders>
              <w:left w:val="single" w:sz="4" w:space="0" w:color="auto"/>
              <w:bottom w:val="single" w:sz="4" w:space="0" w:color="000000"/>
            </w:tcBorders>
            <w:shd w:val="clear" w:color="auto" w:fill="D9D9D9"/>
            <w:vAlign w:val="center"/>
          </w:tcPr>
          <w:p w:rsidR="008F22C5" w:rsidRPr="008F22C5" w:rsidRDefault="008F22C5" w:rsidP="00307C75">
            <w:pPr>
              <w:spacing w:after="200" w:line="276" w:lineRule="auto"/>
              <w:rPr>
                <w:b/>
              </w:rPr>
            </w:pPr>
          </w:p>
        </w:tc>
      </w:tr>
      <w:tr w:rsidR="008F22C5" w:rsidRPr="008F22C5" w:rsidTr="00906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lang w:bidi="en-US"/>
              </w:rPr>
            </w:pPr>
            <w:r w:rsidRPr="008F22C5">
              <w:rPr>
                <w:b/>
                <w:sz w:val="22"/>
                <w:szCs w:val="22"/>
              </w:rPr>
              <w:t xml:space="preserve">Description: </w:t>
            </w:r>
            <w:r w:rsidRPr="008F22C5">
              <w:rPr>
                <w:sz w:val="22"/>
                <w:szCs w:val="22"/>
                <w:lang w:bidi="en-US"/>
              </w:rPr>
              <w:t>The security situation in Liberia remains fragile owing to the large number of (mostly) unemployed ex-combatants  and the fragile political situation which is now being tested with the upcoming  national run-off elections (November 8, 2011).</w:t>
            </w:r>
          </w:p>
          <w:p w:rsidR="008F22C5" w:rsidRPr="008F22C5" w:rsidRDefault="008F22C5" w:rsidP="00307C75">
            <w:pPr>
              <w:spacing w:after="200" w:line="276" w:lineRule="auto"/>
              <w:rPr>
                <w:lang w:bidi="en-US"/>
              </w:rPr>
            </w:pPr>
          </w:p>
          <w:p w:rsidR="008F22C5" w:rsidRPr="008F22C5" w:rsidRDefault="008F22C5" w:rsidP="00307C75">
            <w:pPr>
              <w:spacing w:after="200" w:line="276" w:lineRule="auto"/>
              <w:rPr>
                <w:lang w:bidi="en-US"/>
              </w:rPr>
            </w:pPr>
            <w:r w:rsidRPr="008F22C5">
              <w:rPr>
                <w:sz w:val="22"/>
                <w:szCs w:val="22"/>
                <w:lang w:bidi="en-US"/>
              </w:rPr>
              <w:t>The results of the November elections, even if won by the current President, could mean important cabinet and upper management changes.    If the incumbent wins, there will be a window of opportunity to build support for a strengthened policy reform agenda.  A change in political leadership, not likely, could signify a six-month delay in Bank program implementation.</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lang w:bidi="en-US"/>
              </w:rPr>
            </w:pPr>
            <w:r w:rsidRPr="008F22C5">
              <w:rPr>
                <w:b/>
                <w:sz w:val="22"/>
                <w:szCs w:val="22"/>
              </w:rPr>
              <w:t xml:space="preserve">Risk Management: </w:t>
            </w:r>
            <w:r w:rsidRPr="008F22C5">
              <w:rPr>
                <w:bCs/>
                <w:iCs/>
                <w:sz w:val="22"/>
                <w:szCs w:val="22"/>
                <w:lang w:bidi="en-US"/>
              </w:rPr>
              <w:t xml:space="preserve">The </w:t>
            </w:r>
            <w:r w:rsidRPr="008F22C5">
              <w:rPr>
                <w:sz w:val="22"/>
                <w:szCs w:val="22"/>
                <w:lang w:bidi="en-US"/>
              </w:rPr>
              <w:t>UN recently extended their UNMIL security program through to the end of 2012 and will continue to support training of the local police force.  The UN Peace Building Fund, in preparation for eventual disengagement, is also focusing on decentralizing efforts on rule of law, security sector reform, and national reconciliation.</w:t>
            </w:r>
          </w:p>
          <w:p w:rsidR="008F22C5" w:rsidRPr="008F22C5" w:rsidRDefault="008F22C5" w:rsidP="00307C75">
            <w:pPr>
              <w:spacing w:after="200" w:line="276" w:lineRule="auto"/>
              <w:rPr>
                <w:lang w:bidi="en-US"/>
              </w:rPr>
            </w:pPr>
          </w:p>
          <w:p w:rsidR="008F22C5" w:rsidRPr="008F22C5" w:rsidRDefault="008F22C5" w:rsidP="00307C75">
            <w:pPr>
              <w:spacing w:after="200" w:line="276" w:lineRule="auto"/>
            </w:pPr>
            <w:r w:rsidRPr="008F22C5">
              <w:rPr>
                <w:sz w:val="22"/>
                <w:szCs w:val="22"/>
                <w:lang w:bidi="en-US"/>
              </w:rPr>
              <w:t xml:space="preserve">The Bank is preparing a series of policy notes and analytical work that will help inform the Government’s next Growth and Poverty Strategy, a first draft of which will be available for consultation with all stakeholders in early 2012.    The new CAS will be prepared for delivery in early FY 12. If a new administration is elected, the Bank Group will immediately engage in global and sector policy dialogue in order to ensure the preparation of the new CAS in the first semester of FY 12.   The Bank will also discuss the need for continuity of key project implementation and fiduciary staff in Bank financed operations. </w:t>
            </w:r>
          </w:p>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D9D9D9"/>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D9D9D9"/>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Client   </w:t>
            </w:r>
          </w:p>
        </w:tc>
        <w:tc>
          <w:tcPr>
            <w:tcW w:w="2196" w:type="dxa"/>
            <w:gridSpan w:val="2"/>
            <w:tcBorders>
              <w:top w:val="single" w:sz="4" w:space="0" w:color="A6A6A6"/>
              <w:left w:val="single" w:sz="4" w:space="0" w:color="000000"/>
              <w:right w:val="single" w:sz="4" w:space="0" w:color="000000"/>
            </w:tcBorders>
            <w:shd w:val="clear" w:color="auto" w:fill="D9D9D9"/>
            <w:vAlign w:val="center"/>
          </w:tcPr>
          <w:p w:rsidR="008F22C5" w:rsidRPr="008F22C5" w:rsidRDefault="008F22C5" w:rsidP="00307C75">
            <w:pPr>
              <w:spacing w:after="200" w:line="276" w:lineRule="auto"/>
              <w:rPr>
                <w:b/>
              </w:rPr>
            </w:pPr>
            <w:r w:rsidRPr="008F22C5">
              <w:rPr>
                <w:b/>
                <w:sz w:val="22"/>
                <w:szCs w:val="22"/>
              </w:rPr>
              <w:t>Stage: Implementation</w:t>
            </w:r>
          </w:p>
        </w:tc>
        <w:tc>
          <w:tcPr>
            <w:tcW w:w="2182" w:type="dxa"/>
            <w:gridSpan w:val="4"/>
            <w:tcBorders>
              <w:top w:val="single" w:sz="4" w:space="0" w:color="A6A6A6"/>
              <w:left w:val="single" w:sz="4" w:space="0" w:color="000000"/>
              <w:right w:val="single" w:sz="4" w:space="0" w:color="000000"/>
            </w:tcBorders>
            <w:shd w:val="clear" w:color="auto" w:fill="D9D9D9"/>
            <w:vAlign w:val="center"/>
          </w:tcPr>
          <w:p w:rsidR="008F22C5" w:rsidRPr="008F22C5" w:rsidRDefault="008F22C5" w:rsidP="00307C75">
            <w:pPr>
              <w:spacing w:after="200" w:line="276" w:lineRule="auto"/>
              <w:rPr>
                <w:b/>
              </w:rPr>
            </w:pPr>
            <w:r w:rsidRPr="008F22C5">
              <w:rPr>
                <w:b/>
                <w:sz w:val="22"/>
                <w:szCs w:val="22"/>
              </w:rPr>
              <w:t>Due Date: Ongoing</w:t>
            </w:r>
          </w:p>
        </w:tc>
        <w:tc>
          <w:tcPr>
            <w:tcW w:w="1656" w:type="dxa"/>
            <w:tcBorders>
              <w:top w:val="single" w:sz="4" w:space="0" w:color="A6A6A6"/>
              <w:left w:val="single" w:sz="4" w:space="0" w:color="000000"/>
              <w:right w:val="single" w:sz="4" w:space="0" w:color="000000"/>
            </w:tcBorders>
            <w:shd w:val="clear" w:color="auto" w:fill="D9D9D9"/>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307C75">
        <w:trPr>
          <w:gridBefore w:val="2"/>
          <w:wBefore w:w="105" w:type="dxa"/>
        </w:trPr>
        <w:tc>
          <w:tcPr>
            <w:tcW w:w="5388" w:type="dxa"/>
            <w:tcBorders>
              <w:bottom w:val="single" w:sz="4" w:space="0" w:color="000000"/>
            </w:tcBorders>
            <w:shd w:val="clear" w:color="auto" w:fill="D9D9D9"/>
            <w:vAlign w:val="center"/>
          </w:tcPr>
          <w:p w:rsidR="008F22C5" w:rsidRPr="008F22C5" w:rsidRDefault="008F22C5" w:rsidP="00D940CF">
            <w:pPr>
              <w:numPr>
                <w:ilvl w:val="1"/>
                <w:numId w:val="4"/>
              </w:numPr>
              <w:spacing w:after="200" w:line="276" w:lineRule="auto"/>
              <w:rPr>
                <w:b/>
              </w:rPr>
            </w:pPr>
            <w:r w:rsidRPr="008F22C5">
              <w:rPr>
                <w:b/>
                <w:sz w:val="22"/>
                <w:szCs w:val="22"/>
              </w:rPr>
              <w:t xml:space="preserve">Sector/multi-sector </w:t>
            </w:r>
            <w:r w:rsidRPr="008F22C5">
              <w:rPr>
                <w:sz w:val="22"/>
                <w:szCs w:val="22"/>
              </w:rPr>
              <w:t xml:space="preserve">(description and rating are not disclosed) </w:t>
            </w:r>
          </w:p>
        </w:tc>
        <w:tc>
          <w:tcPr>
            <w:tcW w:w="2164" w:type="dxa"/>
            <w:gridSpan w:val="6"/>
            <w:tcBorders>
              <w:bottom w:val="single" w:sz="4" w:space="0" w:color="000000"/>
              <w:right w:val="single" w:sz="4" w:space="0" w:color="auto"/>
            </w:tcBorders>
            <w:shd w:val="clear" w:color="auto" w:fill="D9D9D9"/>
          </w:tcPr>
          <w:p w:rsidR="008F22C5" w:rsidRPr="008F22C5" w:rsidRDefault="008F22C5" w:rsidP="00307C75">
            <w:pPr>
              <w:spacing w:after="200" w:line="276" w:lineRule="auto"/>
              <w:rPr>
                <w:b/>
              </w:rPr>
            </w:pPr>
            <w:r w:rsidRPr="008F22C5">
              <w:rPr>
                <w:b/>
                <w:sz w:val="22"/>
                <w:szCs w:val="22"/>
              </w:rPr>
              <w:t>Rating: Substantial</w:t>
            </w:r>
          </w:p>
        </w:tc>
        <w:tc>
          <w:tcPr>
            <w:tcW w:w="6041" w:type="dxa"/>
            <w:gridSpan w:val="8"/>
            <w:tcBorders>
              <w:left w:val="single" w:sz="4" w:space="0" w:color="auto"/>
              <w:bottom w:val="single" w:sz="4" w:space="0" w:color="000000"/>
            </w:tcBorders>
            <w:shd w:val="clear" w:color="auto" w:fill="D9D9D9"/>
            <w:vAlign w:val="center"/>
          </w:tcPr>
          <w:p w:rsidR="008F22C5" w:rsidRPr="008F22C5" w:rsidRDefault="008F22C5" w:rsidP="00307C75">
            <w:pPr>
              <w:spacing w:after="200" w:line="276" w:lineRule="auto"/>
              <w:rPr>
                <w:b/>
              </w:rPr>
            </w:pPr>
          </w:p>
        </w:tc>
      </w:tr>
      <w:tr w:rsidR="008F22C5" w:rsidRPr="008F22C5" w:rsidTr="00906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pPr>
            <w:r w:rsidRPr="008F22C5">
              <w:rPr>
                <w:b/>
                <w:sz w:val="22"/>
                <w:szCs w:val="22"/>
              </w:rPr>
              <w:t xml:space="preserve">Description: </w:t>
            </w:r>
            <w:r w:rsidRPr="008F22C5">
              <w:rPr>
                <w:sz w:val="22"/>
                <w:szCs w:val="22"/>
              </w:rPr>
              <w:t xml:space="preserve">While a National Energy Policy (NEP) has been adopted, in practice </w:t>
            </w:r>
            <w:proofErr w:type="spellStart"/>
            <w:r w:rsidRPr="008F22C5">
              <w:rPr>
                <w:sz w:val="22"/>
                <w:szCs w:val="22"/>
              </w:rPr>
              <w:t>GoL’s</w:t>
            </w:r>
            <w:proofErr w:type="spellEnd"/>
            <w:r w:rsidRPr="008F22C5">
              <w:rPr>
                <w:sz w:val="22"/>
                <w:szCs w:val="22"/>
              </w:rPr>
              <w:t xml:space="preserve"> policy is often guided by day-to-day emergencies in a context of weak institutions, lacking capacity, and competing interests.  It is thus difficult to pursue coherent long-term policies.</w:t>
            </w:r>
          </w:p>
          <w:p w:rsidR="008F22C5" w:rsidRPr="008F22C5" w:rsidRDefault="008F22C5" w:rsidP="00307C75">
            <w:pPr>
              <w:spacing w:after="200" w:line="276" w:lineRule="auto"/>
              <w:rPr>
                <w:b/>
              </w:rPr>
            </w:pPr>
          </w:p>
          <w:p w:rsidR="008F22C5" w:rsidRPr="008F22C5" w:rsidRDefault="008F22C5" w:rsidP="00307C75">
            <w:pPr>
              <w:spacing w:after="200" w:line="276" w:lineRule="auto"/>
              <w:rPr>
                <w:b/>
              </w:rPr>
            </w:pP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pPr>
            <w:r w:rsidRPr="008F22C5">
              <w:rPr>
                <w:b/>
                <w:sz w:val="22"/>
                <w:szCs w:val="22"/>
              </w:rPr>
              <w:t xml:space="preserve">Risk Management: </w:t>
            </w:r>
            <w:r w:rsidRPr="008F22C5">
              <w:rPr>
                <w:sz w:val="22"/>
                <w:szCs w:val="22"/>
              </w:rPr>
              <w:t xml:space="preserve">The Bank has completed an Economic and Sector Work (ESW) that sets out options and issues for the development of Liberia’s energy sector and can serve as a road map.  This road map is being utilized by the </w:t>
            </w:r>
            <w:proofErr w:type="spellStart"/>
            <w:r w:rsidRPr="008F22C5">
              <w:rPr>
                <w:sz w:val="22"/>
                <w:szCs w:val="22"/>
              </w:rPr>
              <w:t>GoL</w:t>
            </w:r>
            <w:proofErr w:type="spellEnd"/>
            <w:r w:rsidRPr="008F22C5">
              <w:rPr>
                <w:sz w:val="22"/>
                <w:szCs w:val="22"/>
              </w:rPr>
              <w:t xml:space="preserve"> in the development of the energy sector priorities for the PRS II period (2012 – 2017).  The Bank is also working closely with the Donor community to ensure a coherent approach </w:t>
            </w:r>
            <w:proofErr w:type="spellStart"/>
            <w:r w:rsidRPr="008F22C5">
              <w:rPr>
                <w:sz w:val="22"/>
                <w:szCs w:val="22"/>
              </w:rPr>
              <w:t>vis</w:t>
            </w:r>
            <w:proofErr w:type="spellEnd"/>
            <w:r w:rsidRPr="008F22C5">
              <w:rPr>
                <w:sz w:val="22"/>
                <w:szCs w:val="22"/>
              </w:rPr>
              <w:t xml:space="preserve">-à </w:t>
            </w:r>
            <w:proofErr w:type="spellStart"/>
            <w:r w:rsidRPr="008F22C5">
              <w:rPr>
                <w:sz w:val="22"/>
                <w:szCs w:val="22"/>
              </w:rPr>
              <w:t>vis</w:t>
            </w:r>
            <w:proofErr w:type="spellEnd"/>
            <w:r w:rsidRPr="008F22C5">
              <w:rPr>
                <w:sz w:val="22"/>
                <w:szCs w:val="22"/>
              </w:rPr>
              <w:t xml:space="preserve"> the </w:t>
            </w:r>
            <w:proofErr w:type="spellStart"/>
            <w:r w:rsidRPr="008F22C5">
              <w:rPr>
                <w:sz w:val="22"/>
                <w:szCs w:val="22"/>
              </w:rPr>
              <w:t>GoL</w:t>
            </w:r>
            <w:proofErr w:type="spellEnd"/>
            <w:r w:rsidRPr="008F22C5">
              <w:rPr>
                <w:sz w:val="22"/>
                <w:szCs w:val="22"/>
              </w:rPr>
              <w:t>.</w:t>
            </w:r>
          </w:p>
        </w:tc>
      </w:tr>
      <w:tr w:rsidR="008F22C5" w:rsidRPr="008F22C5" w:rsidTr="00906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050" w:type="dxa"/>
            <w:gridSpan w:val="5"/>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Bank  </w:t>
            </w:r>
          </w:p>
        </w:tc>
        <w:tc>
          <w:tcPr>
            <w:tcW w:w="2050"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050"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Due Date: Ongoing  </w:t>
            </w:r>
          </w:p>
        </w:tc>
        <w:tc>
          <w:tcPr>
            <w:tcW w:w="2055"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906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 xml:space="preserve">Description: </w:t>
            </w:r>
            <w:r w:rsidRPr="008F22C5">
              <w:rPr>
                <w:sz w:val="22"/>
                <w:szCs w:val="22"/>
              </w:rPr>
              <w:t xml:space="preserve">Technical capacity to absorb generation from an IPP(s) by the distribution network: the risk is associated with an IPP’s scale relative to the present distribution network of LEC.  If LEC is unable to adequately increase its system and customer base to a level that can effectively utilize the IPP generation project, even modest shortfalls in demand would significantly increase LEC’s cost of energy from the IPP generation project and could result in financial losses.  </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Risk Management: </w:t>
            </w:r>
            <w:r w:rsidRPr="008F22C5">
              <w:rPr>
                <w:sz w:val="22"/>
                <w:szCs w:val="22"/>
                <w:lang w:bidi="en-US"/>
              </w:rPr>
              <w:t>The Management Contractor in May 2011 finalized a detailed least cost expansion plan based on load forecasts for both the 5-year duration of the Management Contract and a 20-year planning horizon.  This plan identifies the investment needed in distribution and generation to meet the demand.  The current additional financing is being prepared based on the findings of the MC’s plan, and will result in a larger and more robust system.</w:t>
            </w:r>
          </w:p>
        </w:tc>
      </w:tr>
      <w:tr w:rsidR="008F22C5" w:rsidRPr="008F22C5" w:rsidTr="00906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050" w:type="dxa"/>
            <w:gridSpan w:val="5"/>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Bank  </w:t>
            </w:r>
          </w:p>
        </w:tc>
        <w:tc>
          <w:tcPr>
            <w:tcW w:w="2050"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Preparation</w:t>
            </w:r>
          </w:p>
        </w:tc>
        <w:tc>
          <w:tcPr>
            <w:tcW w:w="2050"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Due Date:  </w:t>
            </w:r>
          </w:p>
        </w:tc>
        <w:tc>
          <w:tcPr>
            <w:tcW w:w="2055"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906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 xml:space="preserve">Description: </w:t>
            </w:r>
            <w:r w:rsidRPr="008F22C5">
              <w:rPr>
                <w:sz w:val="22"/>
                <w:szCs w:val="22"/>
              </w:rPr>
              <w:t>Lack of access to low-cost power options</w:t>
            </w:r>
            <w:r w:rsidRPr="008F22C5">
              <w:rPr>
                <w:b/>
                <w:sz w:val="22"/>
                <w:szCs w:val="22"/>
              </w:rPr>
              <w:t>:</w:t>
            </w:r>
            <w:r w:rsidRPr="008F22C5">
              <w:rPr>
                <w:sz w:val="22"/>
                <w:szCs w:val="22"/>
              </w:rPr>
              <w:t xml:space="preserve">  In order to be able to expand the power system in Monrovia on a sustainable basis, there is a need for lower cost options to become available over time.  These would include HFO, hydropower, and import of power from abroad.  A larger-sized higher cost IPP that would lock in the energy sector’s demand could present a threat to </w:t>
            </w:r>
            <w:r w:rsidRPr="008F22C5">
              <w:rPr>
                <w:sz w:val="22"/>
                <w:szCs w:val="22"/>
              </w:rPr>
              <w:lastRenderedPageBreak/>
              <w:t>establishing access to low cost options over the long-term.</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lastRenderedPageBreak/>
              <w:t xml:space="preserve">Risk Management:  </w:t>
            </w:r>
            <w:r w:rsidRPr="008F22C5">
              <w:rPr>
                <w:sz w:val="22"/>
                <w:szCs w:val="22"/>
              </w:rPr>
              <w:t>The LESEP project provides financing for necessary infrastructure to allow for the future development of lower cost HFO.  The proposed additional financing would enable the government to install an HFO power plant, which would lower the cost of generation by about 40% and fill the critical generation gap expected by 2014.</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D9D9D9"/>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D9D9D9"/>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Bank                                </w:t>
            </w:r>
          </w:p>
        </w:tc>
        <w:tc>
          <w:tcPr>
            <w:tcW w:w="2196" w:type="dxa"/>
            <w:gridSpan w:val="2"/>
            <w:tcBorders>
              <w:top w:val="single" w:sz="4" w:space="0" w:color="A6A6A6"/>
              <w:left w:val="single" w:sz="4" w:space="0" w:color="000000"/>
              <w:right w:val="single" w:sz="4" w:space="0" w:color="000000"/>
            </w:tcBorders>
            <w:shd w:val="clear" w:color="auto" w:fill="D9D9D9"/>
            <w:vAlign w:val="center"/>
          </w:tcPr>
          <w:p w:rsidR="008F22C5" w:rsidRPr="008F22C5" w:rsidRDefault="008F22C5" w:rsidP="00307C75">
            <w:pPr>
              <w:spacing w:after="200" w:line="276" w:lineRule="auto"/>
              <w:rPr>
                <w:b/>
              </w:rPr>
            </w:pPr>
            <w:r w:rsidRPr="008F22C5">
              <w:rPr>
                <w:b/>
                <w:sz w:val="22"/>
                <w:szCs w:val="22"/>
              </w:rPr>
              <w:t>Stage: Preparation</w:t>
            </w:r>
          </w:p>
        </w:tc>
        <w:tc>
          <w:tcPr>
            <w:tcW w:w="2182" w:type="dxa"/>
            <w:gridSpan w:val="4"/>
            <w:tcBorders>
              <w:top w:val="single" w:sz="4" w:space="0" w:color="A6A6A6"/>
              <w:left w:val="single" w:sz="4" w:space="0" w:color="000000"/>
              <w:right w:val="single" w:sz="4" w:space="0" w:color="000000"/>
            </w:tcBorders>
            <w:shd w:val="clear" w:color="auto" w:fill="D9D9D9"/>
            <w:vAlign w:val="center"/>
          </w:tcPr>
          <w:p w:rsidR="008F22C5" w:rsidRPr="008F22C5" w:rsidRDefault="008F22C5" w:rsidP="00307C75">
            <w:pPr>
              <w:spacing w:after="200" w:line="276" w:lineRule="auto"/>
              <w:rPr>
                <w:b/>
              </w:rPr>
            </w:pPr>
            <w:r w:rsidRPr="008F22C5">
              <w:rPr>
                <w:b/>
                <w:sz w:val="22"/>
                <w:szCs w:val="22"/>
              </w:rPr>
              <w:t>Due Date:</w:t>
            </w:r>
          </w:p>
        </w:tc>
        <w:tc>
          <w:tcPr>
            <w:tcW w:w="1656" w:type="dxa"/>
            <w:tcBorders>
              <w:top w:val="single" w:sz="4" w:space="0" w:color="A6A6A6"/>
              <w:left w:val="single" w:sz="4" w:space="0" w:color="000000"/>
              <w:right w:val="single" w:sz="4" w:space="0" w:color="000000"/>
            </w:tcBorders>
            <w:shd w:val="clear" w:color="auto" w:fill="D9D9D9"/>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906C59">
        <w:tc>
          <w:tcPr>
            <w:tcW w:w="13698" w:type="dxa"/>
            <w:gridSpan w:val="17"/>
            <w:shd w:val="clear" w:color="auto" w:fill="D9D9D9"/>
            <w:vAlign w:val="center"/>
          </w:tcPr>
          <w:p w:rsidR="008F22C5" w:rsidRPr="008F22C5" w:rsidRDefault="008F22C5" w:rsidP="00D940CF">
            <w:pPr>
              <w:numPr>
                <w:ilvl w:val="0"/>
                <w:numId w:val="4"/>
              </w:numPr>
              <w:spacing w:after="200" w:line="276" w:lineRule="auto"/>
              <w:rPr>
                <w:b/>
              </w:rPr>
            </w:pPr>
            <w:r w:rsidRPr="008F22C5">
              <w:rPr>
                <w:b/>
                <w:sz w:val="22"/>
                <w:szCs w:val="22"/>
              </w:rPr>
              <w:lastRenderedPageBreak/>
              <w:t>Implementing Agency Risks (including fiduciary)</w:t>
            </w:r>
          </w:p>
        </w:tc>
      </w:tr>
      <w:tr w:rsidR="008F22C5" w:rsidRPr="008F22C5" w:rsidTr="00307C75">
        <w:trPr>
          <w:gridBefore w:val="2"/>
          <w:wBefore w:w="105" w:type="dxa"/>
        </w:trPr>
        <w:tc>
          <w:tcPr>
            <w:tcW w:w="5388" w:type="dxa"/>
            <w:shd w:val="pct5" w:color="auto" w:fill="auto"/>
            <w:vAlign w:val="center"/>
          </w:tcPr>
          <w:p w:rsidR="008F22C5" w:rsidRPr="008F22C5" w:rsidRDefault="008F22C5" w:rsidP="00D940CF">
            <w:pPr>
              <w:numPr>
                <w:ilvl w:val="1"/>
                <w:numId w:val="5"/>
              </w:numPr>
              <w:spacing w:after="200" w:line="276" w:lineRule="auto"/>
              <w:rPr>
                <w:b/>
              </w:rPr>
            </w:pPr>
            <w:r w:rsidRPr="008F22C5">
              <w:rPr>
                <w:b/>
                <w:sz w:val="22"/>
                <w:szCs w:val="22"/>
              </w:rPr>
              <w:t>Capacity</w:t>
            </w:r>
          </w:p>
        </w:tc>
        <w:tc>
          <w:tcPr>
            <w:tcW w:w="4855" w:type="dxa"/>
            <w:gridSpan w:val="10"/>
            <w:tcBorders>
              <w:right w:val="single" w:sz="4" w:space="0" w:color="auto"/>
            </w:tcBorders>
            <w:shd w:val="pct5" w:color="auto" w:fill="auto"/>
          </w:tcPr>
          <w:p w:rsidR="008F22C5" w:rsidRPr="008F22C5" w:rsidRDefault="008F22C5" w:rsidP="00307C75">
            <w:pPr>
              <w:spacing w:after="200" w:line="276" w:lineRule="auto"/>
              <w:rPr>
                <w:b/>
              </w:rPr>
            </w:pPr>
            <w:r w:rsidRPr="008F22C5">
              <w:rPr>
                <w:b/>
                <w:sz w:val="22"/>
                <w:szCs w:val="22"/>
              </w:rPr>
              <w:t>Rating: Moderate</w:t>
            </w:r>
          </w:p>
        </w:tc>
        <w:tc>
          <w:tcPr>
            <w:tcW w:w="3350" w:type="dxa"/>
            <w:gridSpan w:val="4"/>
            <w:tcBorders>
              <w:left w:val="single" w:sz="4" w:space="0" w:color="auto"/>
            </w:tcBorders>
            <w:shd w:val="pct5" w:color="auto" w:fill="auto"/>
            <w:vAlign w:val="center"/>
          </w:tcPr>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pPr>
            <w:r w:rsidRPr="008F22C5">
              <w:rPr>
                <w:b/>
                <w:sz w:val="22"/>
                <w:szCs w:val="22"/>
              </w:rPr>
              <w:t>Description:  Weak financials of LEC:</w:t>
            </w:r>
            <w:r w:rsidRPr="008F22C5">
              <w:rPr>
                <w:sz w:val="22"/>
                <w:szCs w:val="22"/>
              </w:rPr>
              <w:t xml:space="preserve">  LEC’s financial situation is difficult both in terms of cash-on-hand and cash flow. LEC’s financial situation could deteriorate further once third-party obligations materialize, such as through an IPP.  The Management Contractor for LEC has made considerable efforts to improve the financial viability of LEC.</w:t>
            </w:r>
          </w:p>
          <w:p w:rsidR="008F22C5" w:rsidRPr="008F22C5" w:rsidRDefault="008F22C5" w:rsidP="00307C75">
            <w:pPr>
              <w:spacing w:after="200" w:line="276" w:lineRule="auto"/>
              <w:rPr>
                <w:b/>
              </w:rPr>
            </w:pP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pPr>
            <w:r w:rsidRPr="008F22C5">
              <w:rPr>
                <w:b/>
                <w:sz w:val="22"/>
                <w:szCs w:val="22"/>
              </w:rPr>
              <w:t xml:space="preserve">Risk Management: </w:t>
            </w:r>
            <w:r w:rsidRPr="008F22C5">
              <w:rPr>
                <w:sz w:val="22"/>
                <w:szCs w:val="22"/>
              </w:rPr>
              <w:t>The World Bank is engaging together with the other donors active in the sector to secure the sector financials for LEC.  LESEP will support the sector financials by extending customer connections, which will help raise LEC’s revenue.  The additional financing will further raise revenue by facilitating the connection of high-value customers based on higher efficiency thermal generation.</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050" w:type="dxa"/>
            <w:gridSpan w:val="5"/>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Client  </w:t>
            </w:r>
          </w:p>
        </w:tc>
        <w:tc>
          <w:tcPr>
            <w:tcW w:w="2050"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050"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Due Date: Ongoing  </w:t>
            </w:r>
          </w:p>
        </w:tc>
        <w:tc>
          <w:tcPr>
            <w:tcW w:w="2055" w:type="dxa"/>
            <w:gridSpan w:val="3"/>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Description: Inadequate technical capacity to implement the project:</w:t>
            </w:r>
            <w:r w:rsidRPr="008F22C5">
              <w:rPr>
                <w:sz w:val="22"/>
                <w:szCs w:val="22"/>
              </w:rPr>
              <w:t xml:space="preserve">  The public service has a general lack of well qualified middle and senior level staff.  Even if LEC has some highly qualified staff especially at senior level, the gap in training of personnel with knowledge in electricity systems that is due to the civil war still remains.  However, the Management Contract has brought in highly qualified staff that reduces the overall risk rating substantially.  Financial Management and Procurement Assessment on the Management Contractor assessments have been conducted and were found to be broadly aligned with World Bank guidelines and with little need for additional capacity building.  The Management Contractor has also relevant practical experience on implementing similar projects under the same context in Africa, as well with World Bank and donor’s support that mitigate the risk related to capacity.  Finally, capacity </w:t>
            </w:r>
            <w:r w:rsidRPr="008F22C5">
              <w:rPr>
                <w:sz w:val="22"/>
                <w:szCs w:val="22"/>
              </w:rPr>
              <w:lastRenderedPageBreak/>
              <w:t>building support for lower staff is ongoing with support from the World Bank (LESEP), NORAD, and USAID.</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lastRenderedPageBreak/>
              <w:t xml:space="preserve">Risk Management: </w:t>
            </w:r>
            <w:r w:rsidRPr="008F22C5">
              <w:rPr>
                <w:sz w:val="22"/>
                <w:szCs w:val="22"/>
              </w:rPr>
              <w:t>For those parts that ex post may be found lacking in capacity, the project will provide technical assistance.</w:t>
            </w:r>
          </w:p>
          <w:p w:rsidR="008F22C5" w:rsidRPr="008F22C5" w:rsidRDefault="008F22C5" w:rsidP="00307C75">
            <w:pPr>
              <w:spacing w:after="200" w:line="276" w:lineRule="auto"/>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Bank                                 </w:t>
            </w:r>
          </w:p>
        </w:tc>
        <w:tc>
          <w:tcPr>
            <w:tcW w:w="2196" w:type="dxa"/>
            <w:gridSpan w:val="2"/>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182" w:type="dxa"/>
            <w:gridSpan w:val="4"/>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Due Date: Ongoing</w:t>
            </w:r>
          </w:p>
        </w:tc>
        <w:tc>
          <w:tcPr>
            <w:tcW w:w="1656" w:type="dxa"/>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307C75">
        <w:trPr>
          <w:gridBefore w:val="2"/>
          <w:wBefore w:w="105" w:type="dxa"/>
        </w:trPr>
        <w:tc>
          <w:tcPr>
            <w:tcW w:w="5388" w:type="dxa"/>
            <w:shd w:val="pct5" w:color="auto" w:fill="auto"/>
            <w:vAlign w:val="center"/>
          </w:tcPr>
          <w:p w:rsidR="008F22C5" w:rsidRPr="008F22C5" w:rsidRDefault="008F22C5" w:rsidP="00D940CF">
            <w:pPr>
              <w:numPr>
                <w:ilvl w:val="1"/>
                <w:numId w:val="5"/>
              </w:numPr>
              <w:spacing w:after="200" w:line="276" w:lineRule="auto"/>
              <w:rPr>
                <w:b/>
              </w:rPr>
            </w:pPr>
            <w:r w:rsidRPr="008F22C5">
              <w:rPr>
                <w:b/>
                <w:sz w:val="22"/>
                <w:szCs w:val="22"/>
              </w:rPr>
              <w:lastRenderedPageBreak/>
              <w:t>Governance</w:t>
            </w:r>
          </w:p>
        </w:tc>
        <w:tc>
          <w:tcPr>
            <w:tcW w:w="4855" w:type="dxa"/>
            <w:gridSpan w:val="10"/>
            <w:tcBorders>
              <w:right w:val="single" w:sz="4" w:space="0" w:color="auto"/>
            </w:tcBorders>
            <w:shd w:val="pct5" w:color="auto" w:fill="auto"/>
          </w:tcPr>
          <w:p w:rsidR="008F22C5" w:rsidRPr="008F22C5" w:rsidRDefault="008F22C5" w:rsidP="00307C75">
            <w:pPr>
              <w:spacing w:after="200" w:line="276" w:lineRule="auto"/>
              <w:rPr>
                <w:b/>
              </w:rPr>
            </w:pPr>
            <w:r w:rsidRPr="008F22C5">
              <w:rPr>
                <w:b/>
                <w:sz w:val="22"/>
                <w:szCs w:val="22"/>
              </w:rPr>
              <w:t>Rating: Moderate</w:t>
            </w:r>
          </w:p>
        </w:tc>
        <w:tc>
          <w:tcPr>
            <w:tcW w:w="3350" w:type="dxa"/>
            <w:gridSpan w:val="4"/>
            <w:tcBorders>
              <w:left w:val="single" w:sz="4" w:space="0" w:color="auto"/>
            </w:tcBorders>
            <w:shd w:val="pct5" w:color="auto" w:fill="auto"/>
            <w:vAlign w:val="center"/>
          </w:tcPr>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 xml:space="preserve">Description: Lack of regulatory agency or function: </w:t>
            </w:r>
            <w:r w:rsidRPr="008F22C5">
              <w:rPr>
                <w:sz w:val="22"/>
                <w:szCs w:val="22"/>
              </w:rPr>
              <w:t>Liberia has never had a regulatory body for the energy sector, and all regulation has been undertaken by contract.  This may entail the risk of tariff policy being set below cost recovery level, and its implicit consequences on LEC’s financial viability.</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Risk Management: </w:t>
            </w:r>
            <w:r w:rsidRPr="008F22C5">
              <w:rPr>
                <w:sz w:val="22"/>
                <w:szCs w:val="22"/>
              </w:rPr>
              <w:t>Since LEC resumed operations in 2006, LEC’s tariff policy has been based on an adjustment formula that ensures underlying costs of electricity can be passed through to the consumer.  The management contractor has continued this policy and introduced additional controls, which resulted in LEC being a profit-making corporation for the first time in its post-war history.</w:t>
            </w:r>
          </w:p>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Client                                </w:t>
            </w:r>
          </w:p>
        </w:tc>
        <w:tc>
          <w:tcPr>
            <w:tcW w:w="2196" w:type="dxa"/>
            <w:gridSpan w:val="2"/>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182" w:type="dxa"/>
            <w:gridSpan w:val="4"/>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Due Date: Ongoing</w:t>
            </w:r>
          </w:p>
        </w:tc>
        <w:tc>
          <w:tcPr>
            <w:tcW w:w="1656" w:type="dxa"/>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906C59">
        <w:trPr>
          <w:gridBefore w:val="2"/>
          <w:wBefore w:w="105" w:type="dxa"/>
        </w:trPr>
        <w:tc>
          <w:tcPr>
            <w:tcW w:w="5388" w:type="dxa"/>
            <w:tcBorders>
              <w:bottom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Fraud &amp; Corruption (sub-category of Governance risk)</w:t>
            </w:r>
          </w:p>
          <w:p w:rsidR="008F22C5" w:rsidRPr="008F22C5" w:rsidRDefault="008F22C5" w:rsidP="00307C75">
            <w:pPr>
              <w:spacing w:after="200" w:line="276" w:lineRule="auto"/>
            </w:pPr>
            <w:r w:rsidRPr="008F22C5">
              <w:rPr>
                <w:sz w:val="22"/>
                <w:szCs w:val="22"/>
              </w:rPr>
              <w:t>Remove Risk Description and Rating when the PAD is (</w:t>
            </w:r>
            <w:proofErr w:type="spellStart"/>
            <w:r w:rsidRPr="008F22C5">
              <w:rPr>
                <w:sz w:val="22"/>
                <w:szCs w:val="22"/>
              </w:rPr>
              <w:t>i</w:t>
            </w:r>
            <w:proofErr w:type="spellEnd"/>
            <w:r w:rsidRPr="008F22C5">
              <w:rPr>
                <w:sz w:val="22"/>
                <w:szCs w:val="22"/>
              </w:rPr>
              <w:t>) sent to the client for negotiation or (ii) sent to the Board for approval</w:t>
            </w:r>
          </w:p>
          <w:p w:rsidR="008F22C5" w:rsidRPr="008F22C5" w:rsidRDefault="008F22C5" w:rsidP="00307C75">
            <w:pPr>
              <w:spacing w:after="200" w:line="276" w:lineRule="auto"/>
              <w:rPr>
                <w:b/>
                <w:i/>
              </w:rPr>
            </w:pPr>
            <w:r w:rsidRPr="008F22C5">
              <w:rPr>
                <w:sz w:val="22"/>
                <w:szCs w:val="22"/>
              </w:rPr>
              <w:t xml:space="preserve">Risk management measures below to be merged with those in 3.2 above. </w:t>
            </w:r>
          </w:p>
        </w:tc>
        <w:tc>
          <w:tcPr>
            <w:tcW w:w="2164" w:type="dxa"/>
            <w:gridSpan w:val="6"/>
            <w:tcBorders>
              <w:right w:val="single" w:sz="4" w:space="0" w:color="auto"/>
            </w:tcBorders>
            <w:shd w:val="clear" w:color="auto" w:fill="D9D9D9"/>
          </w:tcPr>
          <w:p w:rsidR="008F22C5" w:rsidRPr="008F22C5" w:rsidRDefault="008F22C5" w:rsidP="00307C75">
            <w:pPr>
              <w:spacing w:after="200" w:line="276" w:lineRule="auto"/>
              <w:rPr>
                <w:b/>
              </w:rPr>
            </w:pPr>
            <w:r w:rsidRPr="008F22C5">
              <w:rPr>
                <w:b/>
                <w:sz w:val="22"/>
                <w:szCs w:val="22"/>
              </w:rPr>
              <w:t>Rating: Moderate</w:t>
            </w:r>
          </w:p>
        </w:tc>
        <w:tc>
          <w:tcPr>
            <w:tcW w:w="6041" w:type="dxa"/>
            <w:gridSpan w:val="8"/>
            <w:tcBorders>
              <w:left w:val="single" w:sz="4" w:space="0" w:color="auto"/>
            </w:tcBorders>
            <w:shd w:val="clear" w:color="auto" w:fill="D9D9D9"/>
            <w:vAlign w:val="center"/>
          </w:tcPr>
          <w:p w:rsidR="008F22C5" w:rsidRPr="008F22C5" w:rsidRDefault="008F22C5" w:rsidP="00307C75">
            <w:pPr>
              <w:spacing w:after="200" w:line="276" w:lineRule="auto"/>
              <w:rPr>
                <w:b/>
              </w:rPr>
            </w:pPr>
          </w:p>
        </w:tc>
      </w:tr>
      <w:tr w:rsidR="008F22C5" w:rsidRPr="008F22C5" w:rsidTr="00906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pPr>
            <w:r w:rsidRPr="008F22C5">
              <w:rPr>
                <w:b/>
                <w:sz w:val="22"/>
                <w:szCs w:val="22"/>
              </w:rPr>
              <w:t xml:space="preserve">Description: </w:t>
            </w:r>
            <w:r w:rsidRPr="008F22C5">
              <w:rPr>
                <w:sz w:val="22"/>
                <w:szCs w:val="22"/>
              </w:rPr>
              <w:t>(this description and rating are not disclosed)</w:t>
            </w:r>
          </w:p>
          <w:p w:rsidR="008F22C5" w:rsidRPr="008F22C5" w:rsidRDefault="008F22C5" w:rsidP="00307C75">
            <w:pPr>
              <w:spacing w:after="200" w:line="276" w:lineRule="auto"/>
              <w:rPr>
                <w:b/>
              </w:rPr>
            </w:pPr>
            <w:r w:rsidRPr="008F22C5">
              <w:rPr>
                <w:b/>
                <w:sz w:val="22"/>
                <w:szCs w:val="22"/>
              </w:rPr>
              <w:t>There is an overall risk of fraud and corruption in the country:</w:t>
            </w:r>
            <w:r w:rsidRPr="008F22C5">
              <w:rPr>
                <w:sz w:val="22"/>
                <w:szCs w:val="22"/>
              </w:rPr>
              <w:t xml:space="preserve">  The main risk includes a systemic weakness regarding tracking fraud and corruption cases and enforcing counter-measures, which makes project funds vulnerable to the risk of being misused. In the context of LEC, the Management Contractor, which has an </w:t>
            </w:r>
            <w:r w:rsidRPr="008F22C5">
              <w:rPr>
                <w:sz w:val="22"/>
                <w:szCs w:val="22"/>
              </w:rPr>
              <w:lastRenderedPageBreak/>
              <w:t>international reputation to defend, strictly ensures adherence to best practice standards of transparency and accountability of fund use.</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lastRenderedPageBreak/>
              <w:t xml:space="preserve">Risk Management : </w:t>
            </w:r>
          </w:p>
          <w:p w:rsidR="008F22C5" w:rsidRPr="008F22C5" w:rsidRDefault="008F22C5" w:rsidP="00307C75">
            <w:pPr>
              <w:spacing w:after="200" w:line="276" w:lineRule="auto"/>
              <w:rPr>
                <w:b/>
              </w:rPr>
            </w:pPr>
            <w:r w:rsidRPr="008F22C5">
              <w:rPr>
                <w:sz w:val="22"/>
                <w:szCs w:val="22"/>
              </w:rPr>
              <w:t>In addition to the measures in place, under LESEP, LEC as the implementing agency will be strictly following World Bank fiduciary rules and fraud and corruption guidelines.</w:t>
            </w:r>
          </w:p>
        </w:tc>
      </w:tr>
      <w:tr w:rsidR="008F22C5" w:rsidRPr="008F22C5" w:rsidTr="00906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Client                                 </w:t>
            </w:r>
          </w:p>
        </w:tc>
        <w:tc>
          <w:tcPr>
            <w:tcW w:w="2196" w:type="dxa"/>
            <w:gridSpan w:val="2"/>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126" w:type="dxa"/>
            <w:gridSpan w:val="3"/>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Due Date: Ongoing </w:t>
            </w:r>
          </w:p>
        </w:tc>
        <w:tc>
          <w:tcPr>
            <w:tcW w:w="1712" w:type="dxa"/>
            <w:gridSpan w:val="2"/>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906C59">
        <w:tc>
          <w:tcPr>
            <w:tcW w:w="5504" w:type="dxa"/>
            <w:gridSpan w:val="4"/>
            <w:tcBorders>
              <w:right w:val="single" w:sz="4" w:space="0" w:color="BFBFBF"/>
            </w:tcBorders>
            <w:shd w:val="clear" w:color="auto" w:fill="D9D9D9"/>
            <w:vAlign w:val="center"/>
          </w:tcPr>
          <w:p w:rsidR="008F22C5" w:rsidRPr="008F22C5" w:rsidRDefault="008F22C5" w:rsidP="00D940CF">
            <w:pPr>
              <w:numPr>
                <w:ilvl w:val="0"/>
                <w:numId w:val="5"/>
              </w:numPr>
              <w:spacing w:after="200" w:line="276" w:lineRule="auto"/>
              <w:rPr>
                <w:b/>
              </w:rPr>
            </w:pPr>
            <w:r w:rsidRPr="008F22C5">
              <w:rPr>
                <w:b/>
                <w:sz w:val="22"/>
                <w:szCs w:val="22"/>
              </w:rPr>
              <w:lastRenderedPageBreak/>
              <w:t>Project Risks</w:t>
            </w:r>
          </w:p>
        </w:tc>
        <w:tc>
          <w:tcPr>
            <w:tcW w:w="8194" w:type="dxa"/>
            <w:gridSpan w:val="13"/>
            <w:tcBorders>
              <w:left w:val="single" w:sz="4" w:space="0" w:color="BFBFBF"/>
            </w:tcBorders>
            <w:shd w:val="clear" w:color="auto" w:fill="D9D9D9"/>
          </w:tcPr>
          <w:p w:rsidR="008F22C5" w:rsidRPr="008F22C5" w:rsidRDefault="008F22C5" w:rsidP="00307C75">
            <w:pPr>
              <w:spacing w:after="200" w:line="276" w:lineRule="auto"/>
              <w:rPr>
                <w:b/>
              </w:rPr>
            </w:pPr>
          </w:p>
        </w:tc>
      </w:tr>
      <w:tr w:rsidR="008F22C5" w:rsidRPr="008F22C5" w:rsidTr="00307C75">
        <w:trPr>
          <w:gridBefore w:val="2"/>
          <w:wBefore w:w="105" w:type="dxa"/>
        </w:trPr>
        <w:tc>
          <w:tcPr>
            <w:tcW w:w="5399" w:type="dxa"/>
            <w:gridSpan w:val="2"/>
            <w:tcBorders>
              <w:bottom w:val="single" w:sz="4" w:space="0" w:color="auto"/>
            </w:tcBorders>
            <w:shd w:val="pct5" w:color="auto" w:fill="auto"/>
            <w:vAlign w:val="center"/>
          </w:tcPr>
          <w:p w:rsidR="008F22C5" w:rsidRPr="008F22C5" w:rsidRDefault="008F22C5" w:rsidP="00D940CF">
            <w:pPr>
              <w:numPr>
                <w:ilvl w:val="1"/>
                <w:numId w:val="5"/>
              </w:numPr>
              <w:spacing w:after="200" w:line="276" w:lineRule="auto"/>
              <w:rPr>
                <w:b/>
              </w:rPr>
            </w:pPr>
            <w:r w:rsidRPr="008F22C5">
              <w:rPr>
                <w:b/>
                <w:sz w:val="22"/>
                <w:szCs w:val="22"/>
              </w:rPr>
              <w:t>Design</w:t>
            </w:r>
          </w:p>
        </w:tc>
        <w:tc>
          <w:tcPr>
            <w:tcW w:w="2160" w:type="dxa"/>
            <w:gridSpan w:val="6"/>
            <w:tcBorders>
              <w:bottom w:val="nil"/>
              <w:right w:val="single" w:sz="4" w:space="0" w:color="auto"/>
            </w:tcBorders>
            <w:shd w:val="pct5" w:color="auto" w:fill="auto"/>
          </w:tcPr>
          <w:p w:rsidR="008F22C5" w:rsidRPr="008F22C5" w:rsidRDefault="008F22C5" w:rsidP="00307C75">
            <w:pPr>
              <w:spacing w:after="200" w:line="276" w:lineRule="auto"/>
              <w:rPr>
                <w:b/>
              </w:rPr>
            </w:pPr>
            <w:r w:rsidRPr="008F22C5">
              <w:rPr>
                <w:b/>
                <w:sz w:val="22"/>
                <w:szCs w:val="22"/>
              </w:rPr>
              <w:t>Rating: Low</w:t>
            </w:r>
          </w:p>
        </w:tc>
        <w:tc>
          <w:tcPr>
            <w:tcW w:w="6034" w:type="dxa"/>
            <w:gridSpan w:val="7"/>
            <w:tcBorders>
              <w:left w:val="single" w:sz="4" w:space="0" w:color="auto"/>
              <w:bottom w:val="nil"/>
            </w:tcBorders>
            <w:shd w:val="pct5" w:color="auto" w:fill="auto"/>
            <w:vAlign w:val="center"/>
          </w:tcPr>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 xml:space="preserve">Description: </w:t>
            </w:r>
            <w:r w:rsidRPr="008F22C5">
              <w:rPr>
                <w:sz w:val="22"/>
                <w:szCs w:val="22"/>
              </w:rPr>
              <w:t>The project includes standard applications typical and mainstream for energy projects.</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Risk Management: </w:t>
            </w:r>
            <w:r w:rsidRPr="008F22C5">
              <w:rPr>
                <w:sz w:val="22"/>
                <w:szCs w:val="22"/>
              </w:rPr>
              <w:t>Project design has followed best practice for energy sector applications.</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Bank                                </w:t>
            </w:r>
          </w:p>
        </w:tc>
        <w:tc>
          <w:tcPr>
            <w:tcW w:w="2196" w:type="dxa"/>
            <w:gridSpan w:val="2"/>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Preparation</w:t>
            </w:r>
          </w:p>
        </w:tc>
        <w:tc>
          <w:tcPr>
            <w:tcW w:w="2182" w:type="dxa"/>
            <w:gridSpan w:val="4"/>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Due Date: Completed </w:t>
            </w:r>
          </w:p>
        </w:tc>
        <w:tc>
          <w:tcPr>
            <w:tcW w:w="1656" w:type="dxa"/>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Completed</w:t>
            </w:r>
          </w:p>
        </w:tc>
      </w:tr>
      <w:tr w:rsidR="008F22C5" w:rsidRPr="008F22C5" w:rsidTr="00307C75">
        <w:trPr>
          <w:gridBefore w:val="2"/>
          <w:wBefore w:w="105" w:type="dxa"/>
        </w:trPr>
        <w:tc>
          <w:tcPr>
            <w:tcW w:w="5388" w:type="dxa"/>
            <w:shd w:val="pct5" w:color="auto" w:fill="auto"/>
            <w:vAlign w:val="center"/>
          </w:tcPr>
          <w:p w:rsidR="008F22C5" w:rsidRPr="008F22C5" w:rsidRDefault="008F22C5" w:rsidP="00D940CF">
            <w:pPr>
              <w:numPr>
                <w:ilvl w:val="1"/>
                <w:numId w:val="5"/>
              </w:numPr>
              <w:spacing w:after="200" w:line="276" w:lineRule="auto"/>
              <w:rPr>
                <w:b/>
              </w:rPr>
            </w:pPr>
            <w:r w:rsidRPr="008F22C5">
              <w:rPr>
                <w:b/>
                <w:sz w:val="22"/>
                <w:szCs w:val="22"/>
              </w:rPr>
              <w:t>Social &amp; Environmental</w:t>
            </w:r>
          </w:p>
        </w:tc>
        <w:tc>
          <w:tcPr>
            <w:tcW w:w="2171" w:type="dxa"/>
            <w:gridSpan w:val="7"/>
            <w:tcBorders>
              <w:right w:val="single" w:sz="4" w:space="0" w:color="auto"/>
            </w:tcBorders>
            <w:shd w:val="pct5" w:color="auto" w:fill="auto"/>
          </w:tcPr>
          <w:p w:rsidR="008F22C5" w:rsidRPr="008F22C5" w:rsidRDefault="008F22C5" w:rsidP="00307C75">
            <w:pPr>
              <w:spacing w:after="200" w:line="276" w:lineRule="auto"/>
              <w:rPr>
                <w:b/>
              </w:rPr>
            </w:pPr>
            <w:r w:rsidRPr="008F22C5">
              <w:rPr>
                <w:b/>
                <w:sz w:val="22"/>
                <w:szCs w:val="22"/>
              </w:rPr>
              <w:t>Rating: Low</w:t>
            </w:r>
          </w:p>
        </w:tc>
        <w:tc>
          <w:tcPr>
            <w:tcW w:w="6034" w:type="dxa"/>
            <w:gridSpan w:val="7"/>
            <w:tcBorders>
              <w:left w:val="single" w:sz="4" w:space="0" w:color="auto"/>
            </w:tcBorders>
            <w:shd w:val="pct5" w:color="auto" w:fill="auto"/>
            <w:vAlign w:val="center"/>
          </w:tcPr>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 xml:space="preserve">Description: </w:t>
            </w:r>
            <w:r w:rsidR="00881D40">
              <w:rPr>
                <w:b/>
                <w:sz w:val="22"/>
                <w:szCs w:val="22"/>
              </w:rPr>
              <w:t xml:space="preserve"> </w:t>
            </w:r>
            <w:r w:rsidRPr="008F22C5">
              <w:rPr>
                <w:sz w:val="22"/>
                <w:szCs w:val="22"/>
              </w:rPr>
              <w:t xml:space="preserve">The original LESEP </w:t>
            </w:r>
            <w:proofErr w:type="gramStart"/>
            <w:r w:rsidRPr="008F22C5">
              <w:rPr>
                <w:sz w:val="22"/>
                <w:szCs w:val="22"/>
              </w:rPr>
              <w:t>project as well as the additional financing fall into environmental category B, as no adverse long-term impacts are</w:t>
            </w:r>
            <w:proofErr w:type="gramEnd"/>
            <w:r w:rsidRPr="008F22C5">
              <w:rPr>
                <w:sz w:val="22"/>
                <w:szCs w:val="22"/>
              </w:rPr>
              <w:t xml:space="preserve"> anticipated.  The project is expected to positively impact the beneficiary electricity customers and communities as electricity will allow their productive activities to extend beyond nightfall, and children will be expected to benefit from being able to safely learn after dark.  Negative impacts are expected to be small in scale and site-specific.</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Risk Management: </w:t>
            </w:r>
            <w:r w:rsidR="00881D40">
              <w:rPr>
                <w:b/>
                <w:sz w:val="22"/>
                <w:szCs w:val="22"/>
              </w:rPr>
              <w:t xml:space="preserve"> </w:t>
            </w:r>
            <w:r w:rsidRPr="008F22C5">
              <w:rPr>
                <w:sz w:val="22"/>
                <w:szCs w:val="22"/>
              </w:rPr>
              <w:t xml:space="preserve">Where project activities will potentially impact negatively on people living and/or working on or near the project areas, the procedures as described in the ESMF and RPF will become applicable.  An ESIA will be prepared for the power plant to be installed with the additional financing.  Accordingly, people will be compensated and/or resettled for any loss that they may incur due to project activities.  Likewise, no project activities affecting people’s livelihoods will be implemented until a resettlement action plan (RAP) has been prepared, approved (by </w:t>
            </w:r>
            <w:proofErr w:type="spellStart"/>
            <w:r w:rsidRPr="008F22C5">
              <w:rPr>
                <w:sz w:val="22"/>
                <w:szCs w:val="22"/>
              </w:rPr>
              <w:t>GoL</w:t>
            </w:r>
            <w:proofErr w:type="spellEnd"/>
            <w:r w:rsidRPr="008F22C5">
              <w:rPr>
                <w:sz w:val="22"/>
                <w:szCs w:val="22"/>
              </w:rPr>
              <w:t xml:space="preserve"> and the World Bank) and disclosed.</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Client                                  </w:t>
            </w:r>
          </w:p>
        </w:tc>
        <w:tc>
          <w:tcPr>
            <w:tcW w:w="2196" w:type="dxa"/>
            <w:gridSpan w:val="2"/>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182" w:type="dxa"/>
            <w:gridSpan w:val="4"/>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Due Date: June 30, 2012</w:t>
            </w:r>
          </w:p>
        </w:tc>
        <w:tc>
          <w:tcPr>
            <w:tcW w:w="1656" w:type="dxa"/>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307C75">
        <w:trPr>
          <w:gridBefore w:val="2"/>
          <w:wBefore w:w="105" w:type="dxa"/>
        </w:trPr>
        <w:tc>
          <w:tcPr>
            <w:tcW w:w="5388" w:type="dxa"/>
            <w:shd w:val="pct5" w:color="auto" w:fill="auto"/>
            <w:vAlign w:val="center"/>
          </w:tcPr>
          <w:p w:rsidR="008F22C5" w:rsidRPr="008F22C5" w:rsidRDefault="008F22C5" w:rsidP="00D940CF">
            <w:pPr>
              <w:numPr>
                <w:ilvl w:val="1"/>
                <w:numId w:val="5"/>
              </w:numPr>
              <w:spacing w:after="200" w:line="276" w:lineRule="auto"/>
              <w:rPr>
                <w:b/>
              </w:rPr>
            </w:pPr>
            <w:r w:rsidRPr="008F22C5">
              <w:rPr>
                <w:b/>
                <w:sz w:val="22"/>
                <w:szCs w:val="22"/>
              </w:rPr>
              <w:t>Program &amp; Donor</w:t>
            </w:r>
          </w:p>
        </w:tc>
        <w:tc>
          <w:tcPr>
            <w:tcW w:w="2171" w:type="dxa"/>
            <w:gridSpan w:val="7"/>
            <w:tcBorders>
              <w:right w:val="single" w:sz="4" w:space="0" w:color="auto"/>
            </w:tcBorders>
            <w:shd w:val="pct5" w:color="auto" w:fill="auto"/>
          </w:tcPr>
          <w:p w:rsidR="008F22C5" w:rsidRPr="008F22C5" w:rsidRDefault="008F22C5" w:rsidP="00307C75">
            <w:pPr>
              <w:spacing w:after="200" w:line="276" w:lineRule="auto"/>
              <w:rPr>
                <w:b/>
              </w:rPr>
            </w:pPr>
            <w:r w:rsidRPr="008F22C5">
              <w:rPr>
                <w:b/>
                <w:sz w:val="22"/>
                <w:szCs w:val="22"/>
              </w:rPr>
              <w:t>Rating: Low</w:t>
            </w:r>
          </w:p>
        </w:tc>
        <w:tc>
          <w:tcPr>
            <w:tcW w:w="6034" w:type="dxa"/>
            <w:gridSpan w:val="7"/>
            <w:tcBorders>
              <w:left w:val="single" w:sz="4" w:space="0" w:color="auto"/>
            </w:tcBorders>
            <w:shd w:val="pct5" w:color="auto" w:fill="auto"/>
            <w:vAlign w:val="center"/>
          </w:tcPr>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 xml:space="preserve">Description: Delay or short-fall in donor funding:  </w:t>
            </w:r>
            <w:r w:rsidRPr="008F22C5">
              <w:rPr>
                <w:sz w:val="22"/>
                <w:szCs w:val="22"/>
              </w:rPr>
              <w:t xml:space="preserve"> There are a number of donors with an interest in the energy sector and their objectives are well aligned with the project.  Delay in financing, for example by the </w:t>
            </w:r>
            <w:r w:rsidRPr="008F22C5">
              <w:rPr>
                <w:sz w:val="22"/>
                <w:szCs w:val="22"/>
              </w:rPr>
              <w:lastRenderedPageBreak/>
              <w:t xml:space="preserve">Government of Norway, could delay the overall results expected under the Management Contract, but would not necessarily impact the implementation of the Bank-funded components.  </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pPr>
            <w:r w:rsidRPr="008F22C5">
              <w:rPr>
                <w:b/>
                <w:sz w:val="22"/>
                <w:szCs w:val="22"/>
              </w:rPr>
              <w:lastRenderedPageBreak/>
              <w:t xml:space="preserve">Risk Management: </w:t>
            </w:r>
            <w:r w:rsidRPr="008F22C5">
              <w:rPr>
                <w:sz w:val="22"/>
                <w:szCs w:val="22"/>
              </w:rPr>
              <w:t xml:space="preserve">To date, since project implementation, the only delay has been in the effectiveness of LESEP, which was due to the judicial procedures of the </w:t>
            </w:r>
            <w:proofErr w:type="spellStart"/>
            <w:r w:rsidRPr="008F22C5">
              <w:rPr>
                <w:sz w:val="22"/>
                <w:szCs w:val="22"/>
              </w:rPr>
              <w:t>GoL</w:t>
            </w:r>
            <w:proofErr w:type="spellEnd"/>
            <w:r w:rsidRPr="008F22C5">
              <w:rPr>
                <w:sz w:val="22"/>
                <w:szCs w:val="22"/>
              </w:rPr>
              <w:t xml:space="preserve">.  During that time period, Norwegian aid continued to provide pre-financing to ensure milestones were achieved by the management contractor. The Bank team will continue to engage with the </w:t>
            </w:r>
            <w:r w:rsidRPr="008F22C5">
              <w:rPr>
                <w:sz w:val="22"/>
                <w:szCs w:val="22"/>
              </w:rPr>
              <w:lastRenderedPageBreak/>
              <w:t>donors in order to ensure timing of interventions is well coordinated.</w:t>
            </w:r>
          </w:p>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Bank                                 </w:t>
            </w:r>
          </w:p>
        </w:tc>
        <w:tc>
          <w:tcPr>
            <w:tcW w:w="2196" w:type="dxa"/>
            <w:gridSpan w:val="2"/>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182" w:type="dxa"/>
            <w:gridSpan w:val="4"/>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Due Date: Ongoing</w:t>
            </w:r>
          </w:p>
        </w:tc>
        <w:tc>
          <w:tcPr>
            <w:tcW w:w="1656" w:type="dxa"/>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307C75">
        <w:trPr>
          <w:gridBefore w:val="2"/>
          <w:wBefore w:w="105" w:type="dxa"/>
          <w:trHeight w:val="98"/>
        </w:trPr>
        <w:tc>
          <w:tcPr>
            <w:tcW w:w="5388" w:type="dxa"/>
            <w:shd w:val="clear" w:color="auto" w:fill="F2F2F2"/>
            <w:vAlign w:val="center"/>
          </w:tcPr>
          <w:p w:rsidR="008F22C5" w:rsidRPr="008F22C5" w:rsidRDefault="008F22C5" w:rsidP="00D940CF">
            <w:pPr>
              <w:numPr>
                <w:ilvl w:val="1"/>
                <w:numId w:val="5"/>
              </w:numPr>
              <w:spacing w:after="200" w:line="276" w:lineRule="auto"/>
              <w:rPr>
                <w:b/>
              </w:rPr>
            </w:pPr>
            <w:r w:rsidRPr="008F22C5">
              <w:rPr>
                <w:b/>
                <w:sz w:val="22"/>
                <w:szCs w:val="22"/>
                <w:lang w:bidi="en-US"/>
              </w:rPr>
              <w:t>Delivery Monitoring &amp; Sustainability</w:t>
            </w:r>
          </w:p>
        </w:tc>
        <w:tc>
          <w:tcPr>
            <w:tcW w:w="2171" w:type="dxa"/>
            <w:gridSpan w:val="7"/>
            <w:tcBorders>
              <w:right w:val="single" w:sz="4" w:space="0" w:color="auto"/>
            </w:tcBorders>
            <w:shd w:val="pct5" w:color="auto" w:fill="auto"/>
          </w:tcPr>
          <w:p w:rsidR="008F22C5" w:rsidRPr="008F22C5" w:rsidRDefault="008F22C5" w:rsidP="00307C75">
            <w:pPr>
              <w:spacing w:after="200" w:line="276" w:lineRule="auto"/>
              <w:rPr>
                <w:b/>
              </w:rPr>
            </w:pPr>
            <w:r w:rsidRPr="008F22C5">
              <w:rPr>
                <w:b/>
                <w:sz w:val="22"/>
                <w:szCs w:val="22"/>
              </w:rPr>
              <w:t>Rating: Moderate</w:t>
            </w:r>
          </w:p>
        </w:tc>
        <w:tc>
          <w:tcPr>
            <w:tcW w:w="6034" w:type="dxa"/>
            <w:gridSpan w:val="7"/>
            <w:tcBorders>
              <w:left w:val="single" w:sz="4" w:space="0" w:color="auto"/>
            </w:tcBorders>
            <w:shd w:val="pct5" w:color="auto" w:fill="auto"/>
            <w:vAlign w:val="center"/>
          </w:tcPr>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pPr>
            <w:r w:rsidRPr="008F22C5">
              <w:rPr>
                <w:b/>
                <w:sz w:val="22"/>
                <w:szCs w:val="22"/>
              </w:rPr>
              <w:t xml:space="preserve">Description: </w:t>
            </w:r>
            <w:r w:rsidRPr="008F22C5" w:rsidDel="006144FF">
              <w:rPr>
                <w:b/>
                <w:sz w:val="22"/>
                <w:szCs w:val="22"/>
              </w:rPr>
              <w:t>Unclear responsibilities for management of future HFO pipeline and storage facilities</w:t>
            </w:r>
            <w:r w:rsidRPr="008F22C5">
              <w:rPr>
                <w:b/>
                <w:sz w:val="22"/>
                <w:szCs w:val="22"/>
              </w:rPr>
              <w:t>:</w:t>
            </w:r>
            <w:r w:rsidRPr="008F22C5">
              <w:rPr>
                <w:sz w:val="22"/>
                <w:szCs w:val="22"/>
              </w:rPr>
              <w:t xml:space="preserve">  F</w:t>
            </w:r>
            <w:r w:rsidRPr="008F22C5" w:rsidDel="006144FF">
              <w:rPr>
                <w:sz w:val="22"/>
                <w:szCs w:val="22"/>
              </w:rPr>
              <w:t xml:space="preserve">acilities associated to pipe and store HFO have been destroyed during the civil war. As a result, HFO cannot be landed in Liberia. </w:t>
            </w:r>
            <w:r w:rsidRPr="008F22C5">
              <w:rPr>
                <w:sz w:val="22"/>
                <w:szCs w:val="22"/>
              </w:rPr>
              <w:t xml:space="preserve"> </w:t>
            </w:r>
            <w:r w:rsidRPr="008F22C5" w:rsidDel="006144FF">
              <w:rPr>
                <w:sz w:val="22"/>
                <w:szCs w:val="22"/>
              </w:rPr>
              <w:t>The reconstruction of the facility is being financed under th</w:t>
            </w:r>
            <w:r w:rsidRPr="008F22C5">
              <w:rPr>
                <w:sz w:val="22"/>
                <w:szCs w:val="22"/>
              </w:rPr>
              <w:t>e LESEP</w:t>
            </w:r>
            <w:r w:rsidRPr="008F22C5" w:rsidDel="006144FF">
              <w:rPr>
                <w:sz w:val="22"/>
                <w:szCs w:val="22"/>
              </w:rPr>
              <w:t xml:space="preserve"> project, and LEC will act as implementing agency. </w:t>
            </w:r>
            <w:r w:rsidRPr="008F22C5">
              <w:rPr>
                <w:sz w:val="22"/>
                <w:szCs w:val="22"/>
              </w:rPr>
              <w:t xml:space="preserve"> </w:t>
            </w:r>
            <w:r w:rsidRPr="008F22C5" w:rsidDel="006144FF">
              <w:rPr>
                <w:sz w:val="22"/>
                <w:szCs w:val="22"/>
              </w:rPr>
              <w:t xml:space="preserve">However, it is not clear which entity would own and operate the </w:t>
            </w:r>
            <w:r w:rsidRPr="008F22C5">
              <w:rPr>
                <w:sz w:val="22"/>
                <w:szCs w:val="22"/>
              </w:rPr>
              <w:t>delivery i</w:t>
            </w:r>
            <w:r w:rsidRPr="008F22C5" w:rsidDel="006144FF">
              <w:rPr>
                <w:sz w:val="22"/>
                <w:szCs w:val="22"/>
              </w:rPr>
              <w:t xml:space="preserve">nfrastructure. </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117CF0" w:rsidRPr="00117CF0" w:rsidRDefault="008F22C5" w:rsidP="00307C75">
            <w:pPr>
              <w:spacing w:after="200" w:line="276" w:lineRule="auto"/>
              <w:rPr>
                <w:sz w:val="22"/>
              </w:rPr>
            </w:pPr>
            <w:r w:rsidRPr="008F22C5">
              <w:rPr>
                <w:b/>
                <w:sz w:val="22"/>
                <w:szCs w:val="22"/>
              </w:rPr>
              <w:t xml:space="preserve">Risk Management: </w:t>
            </w:r>
            <w:r w:rsidRPr="008F22C5" w:rsidDel="006144FF">
              <w:rPr>
                <w:sz w:val="22"/>
                <w:szCs w:val="22"/>
              </w:rPr>
              <w:t xml:space="preserve">A Bank-financed feasibility study has been </w:t>
            </w:r>
            <w:r w:rsidRPr="008F22C5">
              <w:rPr>
                <w:sz w:val="22"/>
                <w:szCs w:val="22"/>
              </w:rPr>
              <w:t>completed, and</w:t>
            </w:r>
            <w:r w:rsidRPr="008F22C5" w:rsidDel="006144FF">
              <w:rPr>
                <w:sz w:val="22"/>
                <w:szCs w:val="22"/>
              </w:rPr>
              <w:t xml:space="preserve"> look</w:t>
            </w:r>
            <w:r w:rsidRPr="008F22C5">
              <w:rPr>
                <w:sz w:val="22"/>
                <w:szCs w:val="22"/>
              </w:rPr>
              <w:t>ed</w:t>
            </w:r>
            <w:r w:rsidRPr="008F22C5" w:rsidDel="006144FF">
              <w:rPr>
                <w:sz w:val="22"/>
                <w:szCs w:val="22"/>
              </w:rPr>
              <w:t xml:space="preserve"> at the different alternatives to propose a suitable routing of the HFO pipeline and location of the storage tank</w:t>
            </w:r>
            <w:r w:rsidRPr="008F22C5">
              <w:rPr>
                <w:sz w:val="22"/>
                <w:szCs w:val="22"/>
              </w:rPr>
              <w:t>s</w:t>
            </w:r>
            <w:r w:rsidRPr="008F22C5" w:rsidDel="006144FF">
              <w:rPr>
                <w:sz w:val="22"/>
                <w:szCs w:val="22"/>
              </w:rPr>
              <w:t xml:space="preserve">. </w:t>
            </w:r>
            <w:r w:rsidRPr="008F22C5">
              <w:rPr>
                <w:sz w:val="22"/>
                <w:szCs w:val="22"/>
              </w:rPr>
              <w:t xml:space="preserve">  Government finalization of the rehabilitation plan is still ongoing, but it is anticipated to be a public-private partnership, with the Bank supporting the rehabilitation of tanks and pipeline on the LEC side.  </w:t>
            </w:r>
            <w:r w:rsidRPr="008F22C5" w:rsidDel="006144FF">
              <w:rPr>
                <w:sz w:val="22"/>
                <w:szCs w:val="22"/>
              </w:rPr>
              <w:t xml:space="preserve">While there </w:t>
            </w:r>
            <w:r w:rsidRPr="008F22C5">
              <w:rPr>
                <w:sz w:val="22"/>
                <w:szCs w:val="22"/>
              </w:rPr>
              <w:t>remains</w:t>
            </w:r>
            <w:r w:rsidRPr="008F22C5" w:rsidDel="006144FF">
              <w:rPr>
                <w:sz w:val="22"/>
                <w:szCs w:val="22"/>
              </w:rPr>
              <w:t xml:space="preserve"> an uncertainty </w:t>
            </w:r>
            <w:r w:rsidRPr="008F22C5">
              <w:rPr>
                <w:sz w:val="22"/>
                <w:szCs w:val="22"/>
              </w:rPr>
              <w:t>as to</w:t>
            </w:r>
            <w:r w:rsidRPr="008F22C5" w:rsidDel="006144FF">
              <w:rPr>
                <w:sz w:val="22"/>
                <w:szCs w:val="22"/>
              </w:rPr>
              <w:t xml:space="preserve"> who will be responsible for this facility, it is mitigated with the help of the ongoing </w:t>
            </w:r>
            <w:r w:rsidRPr="008F22C5">
              <w:rPr>
                <w:sz w:val="22"/>
                <w:szCs w:val="22"/>
              </w:rPr>
              <w:t>rehabilitation plan</w:t>
            </w:r>
            <w:r w:rsidRPr="008F22C5" w:rsidDel="006144FF">
              <w:rPr>
                <w:sz w:val="22"/>
                <w:szCs w:val="22"/>
              </w:rPr>
              <w:t>, which should resolve this issue</w:t>
            </w:r>
            <w:r w:rsidR="00117CF0">
              <w:rPr>
                <w:sz w:val="22"/>
                <w:szCs w:val="22"/>
              </w:rPr>
              <w:t xml:space="preserve">. The project will benefit from the results of a feasibility study that will analyze two technologies HFO-fired of dual-diesel plant in order to estimate the financial gains of both options and evaluate the readiness on the implementation of the HFO handling and storage facilities. </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Client                                </w:t>
            </w:r>
          </w:p>
        </w:tc>
        <w:tc>
          <w:tcPr>
            <w:tcW w:w="2196" w:type="dxa"/>
            <w:gridSpan w:val="2"/>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182" w:type="dxa"/>
            <w:gridSpan w:val="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Due Date: Ongoing</w:t>
            </w:r>
          </w:p>
        </w:tc>
        <w:tc>
          <w:tcPr>
            <w:tcW w:w="1656" w:type="dxa"/>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 xml:space="preserve">Description: </w:t>
            </w:r>
            <w:r w:rsidRPr="008F22C5">
              <w:rPr>
                <w:sz w:val="22"/>
                <w:szCs w:val="22"/>
              </w:rPr>
              <w:t>Delays in implementation. The main risk is delays in the implementation of the project activities due to the country’s post-conflict context and LEC’s lack of capacity.  The presence of the Management Contractor limits extended delays and will ensure that capacity is built within LEC.</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Risk Management: </w:t>
            </w:r>
            <w:r w:rsidRPr="008F22C5">
              <w:rPr>
                <w:sz w:val="22"/>
                <w:szCs w:val="22"/>
              </w:rPr>
              <w:t xml:space="preserve">Under the LESEP project, the World Bank has undertaken close project supervision to ensure that delays in implementation are minimized. </w:t>
            </w:r>
            <w:r w:rsidRPr="008F22C5">
              <w:rPr>
                <w:b/>
                <w:sz w:val="22"/>
                <w:szCs w:val="22"/>
              </w:rPr>
              <w:t xml:space="preserve"> </w:t>
            </w:r>
            <w:r w:rsidRPr="008F22C5">
              <w:rPr>
                <w:sz w:val="22"/>
                <w:szCs w:val="22"/>
              </w:rPr>
              <w:t>The same close supervision will be continued under implementation of the additional financing.</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Bank                                 </w:t>
            </w:r>
          </w:p>
        </w:tc>
        <w:tc>
          <w:tcPr>
            <w:tcW w:w="2196" w:type="dxa"/>
            <w:gridSpan w:val="2"/>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182" w:type="dxa"/>
            <w:gridSpan w:val="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Due Date: Ongoing</w:t>
            </w:r>
          </w:p>
        </w:tc>
        <w:tc>
          <w:tcPr>
            <w:tcW w:w="1656" w:type="dxa"/>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 xml:space="preserve">Description: </w:t>
            </w:r>
            <w:r w:rsidRPr="008F22C5">
              <w:rPr>
                <w:sz w:val="22"/>
                <w:szCs w:val="22"/>
              </w:rPr>
              <w:t xml:space="preserve">Prior to and during LESEP, additional funding has been sought from donors engaged in the sector, both for meeting the looming generation gap and for adequately extending the distribution infrastructure. </w:t>
            </w:r>
            <w:r w:rsidRPr="008F22C5">
              <w:rPr>
                <w:sz w:val="22"/>
                <w:szCs w:val="22"/>
              </w:rPr>
              <w:lastRenderedPageBreak/>
              <w:t xml:space="preserve">To date, no additional financing has been confirmed for the near term, and the Government of Liberia does not have sufficient resources to bring the project to effective scale. </w:t>
            </w:r>
            <w:r w:rsidRPr="008F22C5">
              <w:rPr>
                <w:b/>
                <w:sz w:val="22"/>
                <w:szCs w:val="22"/>
              </w:rPr>
              <w:t xml:space="preserve"> </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lastRenderedPageBreak/>
              <w:t xml:space="preserve">Risk Management: </w:t>
            </w:r>
            <w:r w:rsidRPr="008F22C5">
              <w:rPr>
                <w:sz w:val="22"/>
                <w:szCs w:val="22"/>
              </w:rPr>
              <w:t xml:space="preserve">Though LESEP was tailored according to the funds available, the additional financing under preparation is in response to the </w:t>
            </w:r>
            <w:proofErr w:type="spellStart"/>
            <w:r w:rsidRPr="008F22C5">
              <w:rPr>
                <w:sz w:val="22"/>
                <w:szCs w:val="22"/>
              </w:rPr>
              <w:t>GoL</w:t>
            </w:r>
            <w:proofErr w:type="spellEnd"/>
            <w:r w:rsidRPr="008F22C5">
              <w:rPr>
                <w:sz w:val="22"/>
                <w:szCs w:val="22"/>
              </w:rPr>
              <w:t xml:space="preserve"> request for assistance in meeting the critical generation gap.  Bringing additional sources of generation </w:t>
            </w:r>
            <w:proofErr w:type="spellStart"/>
            <w:r w:rsidRPr="008F22C5">
              <w:rPr>
                <w:sz w:val="22"/>
                <w:szCs w:val="22"/>
              </w:rPr>
              <w:t>onstream</w:t>
            </w:r>
            <w:proofErr w:type="spellEnd"/>
            <w:r w:rsidRPr="008F22C5">
              <w:rPr>
                <w:sz w:val="22"/>
                <w:szCs w:val="22"/>
              </w:rPr>
              <w:t xml:space="preserve"> will help improve the economic efficiency of the utility and will greatly improve the </w:t>
            </w:r>
            <w:r w:rsidRPr="008F22C5">
              <w:rPr>
                <w:sz w:val="22"/>
                <w:szCs w:val="22"/>
              </w:rPr>
              <w:lastRenderedPageBreak/>
              <w:t>sustainability of the LESEP and management contract interventions.</w:t>
            </w: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proofErr w:type="spellStart"/>
            <w:r w:rsidRPr="008F22C5">
              <w:rPr>
                <w:b/>
                <w:sz w:val="22"/>
                <w:szCs w:val="22"/>
              </w:rPr>
              <w:t>Resp</w:t>
            </w:r>
            <w:proofErr w:type="spellEnd"/>
            <w:r w:rsidRPr="008F22C5">
              <w:rPr>
                <w:b/>
                <w:sz w:val="22"/>
                <w:szCs w:val="22"/>
              </w:rPr>
              <w:t xml:space="preserve">:  Bank                                 </w:t>
            </w:r>
          </w:p>
        </w:tc>
        <w:tc>
          <w:tcPr>
            <w:tcW w:w="2196" w:type="dxa"/>
            <w:gridSpan w:val="2"/>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 Implementation</w:t>
            </w:r>
          </w:p>
        </w:tc>
        <w:tc>
          <w:tcPr>
            <w:tcW w:w="2182" w:type="dxa"/>
            <w:gridSpan w:val="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Due Date: Ongoing</w:t>
            </w:r>
          </w:p>
        </w:tc>
        <w:tc>
          <w:tcPr>
            <w:tcW w:w="1656" w:type="dxa"/>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 Ongoing</w:t>
            </w:r>
          </w:p>
        </w:tc>
      </w:tr>
      <w:tr w:rsidR="008F22C5" w:rsidRPr="008F22C5" w:rsidTr="00307C75">
        <w:trPr>
          <w:gridBefore w:val="2"/>
          <w:wBefore w:w="105" w:type="dxa"/>
          <w:trHeight w:val="98"/>
        </w:trPr>
        <w:tc>
          <w:tcPr>
            <w:tcW w:w="5388" w:type="dxa"/>
            <w:shd w:val="clear" w:color="auto" w:fill="F2F2F2"/>
            <w:vAlign w:val="center"/>
          </w:tcPr>
          <w:p w:rsidR="008F22C5" w:rsidRPr="008F22C5" w:rsidRDefault="008F22C5" w:rsidP="00D940CF">
            <w:pPr>
              <w:numPr>
                <w:ilvl w:val="1"/>
                <w:numId w:val="5"/>
              </w:numPr>
              <w:spacing w:after="200" w:line="276" w:lineRule="auto"/>
              <w:rPr>
                <w:b/>
              </w:rPr>
            </w:pPr>
            <w:r w:rsidRPr="008F22C5">
              <w:rPr>
                <w:b/>
                <w:sz w:val="22"/>
                <w:szCs w:val="22"/>
              </w:rPr>
              <w:t>Other</w:t>
            </w:r>
          </w:p>
        </w:tc>
        <w:tc>
          <w:tcPr>
            <w:tcW w:w="2171" w:type="dxa"/>
            <w:gridSpan w:val="7"/>
            <w:tcBorders>
              <w:right w:val="single" w:sz="4" w:space="0" w:color="auto"/>
            </w:tcBorders>
            <w:shd w:val="pct5" w:color="auto" w:fill="auto"/>
          </w:tcPr>
          <w:p w:rsidR="008F22C5" w:rsidRPr="008F22C5" w:rsidRDefault="008F22C5" w:rsidP="00307C75">
            <w:pPr>
              <w:spacing w:after="200" w:line="276" w:lineRule="auto"/>
              <w:rPr>
                <w:b/>
              </w:rPr>
            </w:pPr>
            <w:r w:rsidRPr="008F22C5">
              <w:rPr>
                <w:b/>
                <w:sz w:val="22"/>
                <w:szCs w:val="22"/>
              </w:rPr>
              <w:t>Rating:</w:t>
            </w:r>
          </w:p>
        </w:tc>
        <w:tc>
          <w:tcPr>
            <w:tcW w:w="6034" w:type="dxa"/>
            <w:gridSpan w:val="7"/>
            <w:tcBorders>
              <w:left w:val="single" w:sz="4" w:space="0" w:color="auto"/>
            </w:tcBorders>
            <w:shd w:val="pct5" w:color="auto" w:fill="auto"/>
            <w:vAlign w:val="center"/>
          </w:tcPr>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 xml:space="preserve">Description : </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Risk Management : </w:t>
            </w:r>
          </w:p>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auto"/>
            <w:vAlign w:val="center"/>
          </w:tcPr>
          <w:p w:rsidR="008F22C5" w:rsidRPr="008F22C5" w:rsidRDefault="008F22C5" w:rsidP="00881D40">
            <w:pPr>
              <w:spacing w:after="200" w:line="276" w:lineRule="auto"/>
              <w:rPr>
                <w:b/>
              </w:rPr>
            </w:pPr>
            <w:proofErr w:type="spellStart"/>
            <w:r w:rsidRPr="008F22C5">
              <w:rPr>
                <w:b/>
                <w:sz w:val="22"/>
                <w:szCs w:val="22"/>
              </w:rPr>
              <w:t>Resp</w:t>
            </w:r>
            <w:proofErr w:type="spellEnd"/>
            <w:r w:rsidRPr="008F22C5">
              <w:rPr>
                <w:b/>
                <w:sz w:val="22"/>
                <w:szCs w:val="22"/>
              </w:rPr>
              <w:t xml:space="preserve">:         </w:t>
            </w:r>
          </w:p>
        </w:tc>
        <w:tc>
          <w:tcPr>
            <w:tcW w:w="2196" w:type="dxa"/>
            <w:gridSpan w:val="2"/>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w:t>
            </w:r>
          </w:p>
        </w:tc>
        <w:tc>
          <w:tcPr>
            <w:tcW w:w="2182" w:type="dxa"/>
            <w:gridSpan w:val="4"/>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Due Date :</w:t>
            </w:r>
          </w:p>
        </w:tc>
        <w:tc>
          <w:tcPr>
            <w:tcW w:w="1656" w:type="dxa"/>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w:t>
            </w:r>
          </w:p>
        </w:tc>
      </w:tr>
      <w:tr w:rsidR="008F22C5" w:rsidRPr="008F22C5" w:rsidTr="00307C75">
        <w:trPr>
          <w:gridBefore w:val="2"/>
          <w:wBefore w:w="105" w:type="dxa"/>
          <w:trHeight w:val="98"/>
        </w:trPr>
        <w:tc>
          <w:tcPr>
            <w:tcW w:w="5388" w:type="dxa"/>
            <w:shd w:val="clear" w:color="auto" w:fill="F2F2F2"/>
            <w:vAlign w:val="center"/>
          </w:tcPr>
          <w:p w:rsidR="008F22C5" w:rsidRPr="008F22C5" w:rsidRDefault="008F22C5" w:rsidP="00D940CF">
            <w:pPr>
              <w:numPr>
                <w:ilvl w:val="1"/>
                <w:numId w:val="5"/>
              </w:numPr>
              <w:spacing w:after="200" w:line="276" w:lineRule="auto"/>
              <w:rPr>
                <w:b/>
              </w:rPr>
            </w:pPr>
            <w:r w:rsidRPr="008F22C5">
              <w:rPr>
                <w:b/>
                <w:sz w:val="22"/>
                <w:szCs w:val="22"/>
              </w:rPr>
              <w:t>Other</w:t>
            </w:r>
          </w:p>
        </w:tc>
        <w:tc>
          <w:tcPr>
            <w:tcW w:w="2171" w:type="dxa"/>
            <w:gridSpan w:val="7"/>
            <w:tcBorders>
              <w:right w:val="single" w:sz="4" w:space="0" w:color="auto"/>
            </w:tcBorders>
            <w:shd w:val="pct5" w:color="auto" w:fill="auto"/>
          </w:tcPr>
          <w:p w:rsidR="008F22C5" w:rsidRPr="008F22C5" w:rsidRDefault="008F22C5" w:rsidP="00307C75">
            <w:pPr>
              <w:spacing w:after="200" w:line="276" w:lineRule="auto"/>
              <w:rPr>
                <w:b/>
              </w:rPr>
            </w:pPr>
            <w:r w:rsidRPr="008F22C5">
              <w:rPr>
                <w:b/>
                <w:sz w:val="22"/>
                <w:szCs w:val="22"/>
              </w:rPr>
              <w:t>Rating:</w:t>
            </w:r>
          </w:p>
        </w:tc>
        <w:tc>
          <w:tcPr>
            <w:tcW w:w="6034" w:type="dxa"/>
            <w:gridSpan w:val="7"/>
            <w:tcBorders>
              <w:left w:val="single" w:sz="4" w:space="0" w:color="auto"/>
            </w:tcBorders>
            <w:shd w:val="pct5" w:color="auto" w:fill="auto"/>
            <w:vAlign w:val="center"/>
          </w:tcPr>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345"/>
        </w:trPr>
        <w:tc>
          <w:tcPr>
            <w:tcW w:w="5388" w:type="dxa"/>
            <w:vMerge w:val="restart"/>
            <w:tcBorders>
              <w:top w:val="single" w:sz="4" w:space="0" w:color="000000"/>
              <w:left w:val="single" w:sz="4" w:space="0" w:color="000000"/>
              <w:right w:val="single" w:sz="4" w:space="0" w:color="000000"/>
            </w:tcBorders>
            <w:shd w:val="clear" w:color="auto" w:fill="auto"/>
          </w:tcPr>
          <w:p w:rsidR="008F22C5" w:rsidRPr="008F22C5" w:rsidRDefault="008F22C5" w:rsidP="00307C75">
            <w:pPr>
              <w:spacing w:after="200" w:line="276" w:lineRule="auto"/>
              <w:rPr>
                <w:b/>
              </w:rPr>
            </w:pPr>
            <w:r w:rsidRPr="008F22C5">
              <w:rPr>
                <w:b/>
                <w:sz w:val="22"/>
                <w:szCs w:val="22"/>
              </w:rPr>
              <w:t xml:space="preserve">Description : </w:t>
            </w:r>
          </w:p>
        </w:tc>
        <w:tc>
          <w:tcPr>
            <w:tcW w:w="8205" w:type="dxa"/>
            <w:gridSpan w:val="14"/>
            <w:tcBorders>
              <w:top w:val="single" w:sz="4" w:space="0" w:color="000000"/>
              <w:left w:val="single" w:sz="4" w:space="0" w:color="000000"/>
              <w:bottom w:val="single" w:sz="4" w:space="0" w:color="A6A6A6"/>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 xml:space="preserve">Risk Management : </w:t>
            </w:r>
          </w:p>
          <w:p w:rsidR="008F22C5" w:rsidRPr="008F22C5" w:rsidRDefault="008F22C5" w:rsidP="00307C75">
            <w:pPr>
              <w:spacing w:after="200" w:line="276" w:lineRule="auto"/>
              <w:rPr>
                <w:b/>
              </w:rPr>
            </w:pPr>
          </w:p>
        </w:tc>
      </w:tr>
      <w:tr w:rsidR="008F22C5" w:rsidRPr="008F22C5" w:rsidTr="00307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5" w:type="dxa"/>
          <w:trHeight w:val="290"/>
        </w:trPr>
        <w:tc>
          <w:tcPr>
            <w:tcW w:w="5388" w:type="dxa"/>
            <w:vMerge/>
            <w:tcBorders>
              <w:left w:val="single" w:sz="4" w:space="0" w:color="000000"/>
              <w:right w:val="single" w:sz="4" w:space="0" w:color="000000"/>
            </w:tcBorders>
            <w:shd w:val="clear" w:color="auto" w:fill="auto"/>
          </w:tcPr>
          <w:p w:rsidR="008F22C5" w:rsidRPr="008F22C5" w:rsidRDefault="008F22C5" w:rsidP="00307C75">
            <w:pPr>
              <w:spacing w:after="200" w:line="276" w:lineRule="auto"/>
              <w:rPr>
                <w:b/>
              </w:rPr>
            </w:pPr>
          </w:p>
        </w:tc>
        <w:tc>
          <w:tcPr>
            <w:tcW w:w="2171" w:type="dxa"/>
            <w:gridSpan w:val="7"/>
            <w:tcBorders>
              <w:top w:val="single" w:sz="4" w:space="0" w:color="A6A6A6"/>
              <w:left w:val="single" w:sz="4" w:space="0" w:color="000000"/>
              <w:right w:val="single" w:sz="4" w:space="0" w:color="000000"/>
            </w:tcBorders>
            <w:shd w:val="clear" w:color="auto" w:fill="auto"/>
            <w:vAlign w:val="center"/>
          </w:tcPr>
          <w:p w:rsidR="008F22C5" w:rsidRPr="008F22C5" w:rsidRDefault="008F22C5" w:rsidP="00881D40">
            <w:pPr>
              <w:spacing w:after="200" w:line="276" w:lineRule="auto"/>
              <w:rPr>
                <w:b/>
              </w:rPr>
            </w:pPr>
            <w:proofErr w:type="spellStart"/>
            <w:r w:rsidRPr="008F22C5">
              <w:rPr>
                <w:b/>
                <w:sz w:val="22"/>
                <w:szCs w:val="22"/>
              </w:rPr>
              <w:t>Resp</w:t>
            </w:r>
            <w:proofErr w:type="spellEnd"/>
            <w:r w:rsidRPr="008F22C5">
              <w:rPr>
                <w:b/>
                <w:sz w:val="22"/>
                <w:szCs w:val="22"/>
              </w:rPr>
              <w:t xml:space="preserve">:      </w:t>
            </w:r>
          </w:p>
        </w:tc>
        <w:tc>
          <w:tcPr>
            <w:tcW w:w="2196" w:type="dxa"/>
            <w:gridSpan w:val="2"/>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Stage:</w:t>
            </w:r>
          </w:p>
        </w:tc>
        <w:tc>
          <w:tcPr>
            <w:tcW w:w="2182" w:type="dxa"/>
            <w:gridSpan w:val="4"/>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Due Date :</w:t>
            </w:r>
          </w:p>
        </w:tc>
        <w:tc>
          <w:tcPr>
            <w:tcW w:w="1656" w:type="dxa"/>
            <w:tcBorders>
              <w:top w:val="single" w:sz="4" w:space="0" w:color="A6A6A6"/>
              <w:left w:val="single" w:sz="4" w:space="0" w:color="000000"/>
              <w:right w:val="single" w:sz="4" w:space="0" w:color="000000"/>
            </w:tcBorders>
            <w:shd w:val="clear" w:color="auto" w:fill="auto"/>
            <w:vAlign w:val="center"/>
          </w:tcPr>
          <w:p w:rsidR="008F22C5" w:rsidRPr="008F22C5" w:rsidRDefault="008F22C5" w:rsidP="00307C75">
            <w:pPr>
              <w:spacing w:after="200" w:line="276" w:lineRule="auto"/>
              <w:rPr>
                <w:b/>
              </w:rPr>
            </w:pPr>
            <w:r w:rsidRPr="008F22C5">
              <w:rPr>
                <w:b/>
                <w:sz w:val="22"/>
                <w:szCs w:val="22"/>
              </w:rPr>
              <w:t>Status:</w:t>
            </w:r>
          </w:p>
        </w:tc>
      </w:tr>
      <w:tr w:rsidR="008F22C5" w:rsidRPr="008F22C5" w:rsidTr="00906C59">
        <w:trPr>
          <w:gridBefore w:val="1"/>
          <w:wBefore w:w="14" w:type="dxa"/>
          <w:trHeight w:val="413"/>
        </w:trPr>
        <w:tc>
          <w:tcPr>
            <w:tcW w:w="136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22C5" w:rsidRPr="008F22C5" w:rsidRDefault="008F22C5" w:rsidP="00307C75">
            <w:pPr>
              <w:spacing w:after="200" w:line="276" w:lineRule="auto"/>
              <w:rPr>
                <w:b/>
                <w:lang w:bidi="en-US"/>
              </w:rPr>
            </w:pPr>
            <w:proofErr w:type="spellStart"/>
            <w:r w:rsidRPr="008F22C5">
              <w:rPr>
                <w:b/>
                <w:sz w:val="22"/>
                <w:szCs w:val="22"/>
                <w:lang w:bidi="en-US"/>
              </w:rPr>
              <w:t>Nondisclosable</w:t>
            </w:r>
            <w:proofErr w:type="spellEnd"/>
            <w:r w:rsidRPr="008F22C5">
              <w:rPr>
                <w:b/>
                <w:sz w:val="22"/>
                <w:szCs w:val="22"/>
                <w:lang w:bidi="en-US"/>
              </w:rPr>
              <w:t xml:space="preserve"> Information for Management Attention (Optional) </w:t>
            </w:r>
          </w:p>
          <w:p w:rsidR="008F22C5" w:rsidRPr="008F22C5" w:rsidRDefault="008F22C5" w:rsidP="00307C75">
            <w:pPr>
              <w:spacing w:after="200" w:line="276" w:lineRule="auto"/>
              <w:rPr>
                <w:b/>
              </w:rPr>
            </w:pPr>
            <w:r w:rsidRPr="008F22C5">
              <w:rPr>
                <w:sz w:val="22"/>
                <w:szCs w:val="22"/>
              </w:rPr>
              <w:t>Section to be removed when the PAD is (</w:t>
            </w:r>
            <w:proofErr w:type="spellStart"/>
            <w:r w:rsidRPr="008F22C5">
              <w:rPr>
                <w:sz w:val="22"/>
                <w:szCs w:val="22"/>
              </w:rPr>
              <w:t>i</w:t>
            </w:r>
            <w:proofErr w:type="spellEnd"/>
            <w:r w:rsidRPr="008F22C5">
              <w:rPr>
                <w:sz w:val="22"/>
                <w:szCs w:val="22"/>
              </w:rPr>
              <w:t>) sent to the client for negotiation or (ii) sent to the Board for approval</w:t>
            </w:r>
          </w:p>
        </w:tc>
      </w:tr>
      <w:tr w:rsidR="008F22C5" w:rsidRPr="008F22C5" w:rsidTr="00906C59">
        <w:trPr>
          <w:gridBefore w:val="2"/>
          <w:wBefore w:w="105" w:type="dxa"/>
          <w:trHeight w:val="269"/>
        </w:trPr>
        <w:tc>
          <w:tcPr>
            <w:tcW w:w="1359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F22C5" w:rsidRPr="008F22C5" w:rsidRDefault="008F22C5" w:rsidP="00307C75">
            <w:pPr>
              <w:spacing w:after="200" w:line="276" w:lineRule="auto"/>
              <w:rPr>
                <w:b/>
                <w:lang w:val="fr-FR"/>
              </w:rPr>
            </w:pPr>
            <w:proofErr w:type="spellStart"/>
            <w:r w:rsidRPr="008F22C5">
              <w:rPr>
                <w:b/>
                <w:sz w:val="22"/>
                <w:szCs w:val="22"/>
                <w:lang w:val="fr-FR"/>
              </w:rPr>
              <w:t>Comments</w:t>
            </w:r>
            <w:proofErr w:type="spellEnd"/>
            <w:r w:rsidRPr="008F22C5">
              <w:rPr>
                <w:b/>
                <w:sz w:val="22"/>
                <w:szCs w:val="22"/>
                <w:lang w:val="fr-FR"/>
              </w:rPr>
              <w:t xml:space="preserve">:                                                                                                                                                                                                                                                                </w:t>
            </w:r>
          </w:p>
        </w:tc>
      </w:tr>
      <w:tr w:rsidR="008F22C5" w:rsidRPr="008F22C5" w:rsidTr="00307C75">
        <w:tc>
          <w:tcPr>
            <w:tcW w:w="13698" w:type="dxa"/>
            <w:gridSpan w:val="17"/>
            <w:shd w:val="clear" w:color="auto" w:fill="D9D9D9"/>
            <w:vAlign w:val="center"/>
          </w:tcPr>
          <w:p w:rsidR="008F22C5" w:rsidRPr="008F22C5" w:rsidRDefault="008F22C5" w:rsidP="00D940CF">
            <w:pPr>
              <w:numPr>
                <w:ilvl w:val="0"/>
                <w:numId w:val="6"/>
              </w:numPr>
              <w:spacing w:after="200" w:line="276" w:lineRule="auto"/>
              <w:rPr>
                <w:b/>
              </w:rPr>
            </w:pPr>
            <w:r w:rsidRPr="008F22C5">
              <w:rPr>
                <w:b/>
                <w:sz w:val="22"/>
                <w:szCs w:val="22"/>
                <w:lang w:bidi="en-US"/>
              </w:rPr>
              <w:t xml:space="preserve">Project Team Proposed Rating </w:t>
            </w:r>
            <w:r w:rsidRPr="008F22C5">
              <w:rPr>
                <w:b/>
                <w:sz w:val="22"/>
                <w:szCs w:val="22"/>
                <w:u w:val="single"/>
                <w:lang w:bidi="en-US"/>
              </w:rPr>
              <w:t>Before</w:t>
            </w:r>
            <w:r w:rsidRPr="008F22C5">
              <w:rPr>
                <w:b/>
                <w:sz w:val="22"/>
                <w:szCs w:val="22"/>
                <w:lang w:bidi="en-US"/>
              </w:rPr>
              <w:t xml:space="preserve"> Review</w:t>
            </w:r>
            <w:r w:rsidRPr="008F22C5">
              <w:rPr>
                <w:b/>
                <w:sz w:val="22"/>
                <w:szCs w:val="22"/>
              </w:rPr>
              <w:t xml:space="preserve"> </w:t>
            </w:r>
          </w:p>
        </w:tc>
      </w:tr>
      <w:tr w:rsidR="008F22C5" w:rsidRPr="008F22C5" w:rsidTr="00307C75">
        <w:trPr>
          <w:gridBefore w:val="2"/>
          <w:wBefore w:w="105" w:type="dxa"/>
        </w:trPr>
        <w:tc>
          <w:tcPr>
            <w:tcW w:w="6819" w:type="dxa"/>
            <w:gridSpan w:val="4"/>
            <w:tcBorders>
              <w:bottom w:val="single" w:sz="4" w:space="0" w:color="000000"/>
            </w:tcBorders>
            <w:shd w:val="clear" w:color="auto" w:fill="D9D9D9"/>
            <w:vAlign w:val="center"/>
          </w:tcPr>
          <w:p w:rsidR="008F22C5" w:rsidRPr="008F22C5" w:rsidRDefault="008F22C5" w:rsidP="00D940CF">
            <w:pPr>
              <w:numPr>
                <w:ilvl w:val="1"/>
                <w:numId w:val="6"/>
              </w:numPr>
              <w:spacing w:after="200" w:line="276" w:lineRule="auto"/>
              <w:rPr>
                <w:b/>
              </w:rPr>
            </w:pPr>
            <w:r w:rsidRPr="008F22C5">
              <w:rPr>
                <w:b/>
                <w:sz w:val="22"/>
                <w:szCs w:val="22"/>
              </w:rPr>
              <w:t>Preparation Risk Rating:</w:t>
            </w:r>
            <w:r w:rsidRPr="008F22C5">
              <w:rPr>
                <w:sz w:val="22"/>
                <w:szCs w:val="22"/>
              </w:rPr>
              <w:t xml:space="preserve"> Section to be removed when the PAD is sent to the Board for approval  </w:t>
            </w:r>
            <w:r w:rsidRPr="008F22C5">
              <w:rPr>
                <w:b/>
                <w:sz w:val="22"/>
                <w:szCs w:val="22"/>
              </w:rPr>
              <w:t>Moderate</w:t>
            </w:r>
          </w:p>
        </w:tc>
        <w:tc>
          <w:tcPr>
            <w:tcW w:w="6774" w:type="dxa"/>
            <w:gridSpan w:val="11"/>
            <w:tcBorders>
              <w:bottom w:val="single" w:sz="4" w:space="0" w:color="000000"/>
            </w:tcBorders>
            <w:shd w:val="clear" w:color="auto" w:fill="D9D9D9"/>
          </w:tcPr>
          <w:p w:rsidR="008F22C5" w:rsidRPr="008F22C5" w:rsidRDefault="008F22C5" w:rsidP="00307C75">
            <w:pPr>
              <w:spacing w:after="200" w:line="276" w:lineRule="auto"/>
              <w:rPr>
                <w:b/>
              </w:rPr>
            </w:pPr>
            <w:r w:rsidRPr="008F22C5">
              <w:rPr>
                <w:b/>
                <w:sz w:val="22"/>
                <w:szCs w:val="22"/>
              </w:rPr>
              <w:t xml:space="preserve">5.2  Implementation Risk Rating: </w:t>
            </w:r>
            <w:r w:rsidRPr="008F22C5">
              <w:rPr>
                <w:sz w:val="22"/>
                <w:szCs w:val="22"/>
              </w:rPr>
              <w:t xml:space="preserve">Section to be removed when the PAD is sent to the Board for approval  </w:t>
            </w:r>
            <w:r w:rsidRPr="008F22C5">
              <w:rPr>
                <w:b/>
                <w:sz w:val="22"/>
                <w:szCs w:val="22"/>
              </w:rPr>
              <w:t>Substantial</w:t>
            </w:r>
          </w:p>
        </w:tc>
      </w:tr>
      <w:tr w:rsidR="00FF6E3A" w:rsidRPr="004F6EB4" w:rsidTr="00906C59">
        <w:tblPrEx>
          <w:tblBorders>
            <w:top w:val="none" w:sz="0" w:space="0" w:color="auto"/>
            <w:bottom w:val="none" w:sz="0" w:space="0" w:color="auto"/>
          </w:tblBorders>
          <w:shd w:val="clear" w:color="auto" w:fill="D9D9D9"/>
        </w:tblPrEx>
        <w:trPr>
          <w:gridBefore w:val="2"/>
          <w:trHeight w:val="377"/>
        </w:trPr>
        <w:tc>
          <w:tcPr>
            <w:tcW w:w="6840" w:type="dxa"/>
            <w:gridSpan w:val="5"/>
            <w:shd w:val="clear" w:color="auto" w:fill="auto"/>
          </w:tcPr>
          <w:p w:rsidR="008F22C5" w:rsidRPr="00171425" w:rsidRDefault="008F22C5" w:rsidP="00171425">
            <w:pPr>
              <w:spacing w:after="200" w:line="276" w:lineRule="auto"/>
              <w:rPr>
                <w:b/>
              </w:rPr>
            </w:pPr>
            <w:r w:rsidRPr="00171425">
              <w:rPr>
                <w:b/>
              </w:rPr>
              <w:t>Comments:</w:t>
            </w:r>
            <w:r w:rsidRPr="004F6EB4">
              <w:t xml:space="preserve"> Section to be removed when the PAD is sent to the Board for approval  The lower rating for preparation is due to the fact that the basic design of the project is simple and that during </w:t>
            </w:r>
            <w:r w:rsidRPr="004F6EB4">
              <w:lastRenderedPageBreak/>
              <w:t>preparation the Management Contractor has been very supportive to ensure that the requisite due diligence was done in a timely manner.  The higher rating for implementation reflects the fact that the sector risks would weigh heavier on the overall sustainability of results through their potential impact on LEC’s financials.</w:t>
            </w:r>
          </w:p>
        </w:tc>
        <w:tc>
          <w:tcPr>
            <w:tcW w:w="6750" w:type="dxa"/>
            <w:gridSpan w:val="10"/>
            <w:shd w:val="clear" w:color="auto" w:fill="auto"/>
          </w:tcPr>
          <w:p w:rsidR="008F22C5" w:rsidRPr="00171425" w:rsidRDefault="008F22C5" w:rsidP="00171425">
            <w:pPr>
              <w:spacing w:after="200" w:line="276" w:lineRule="auto"/>
              <w:rPr>
                <w:b/>
              </w:rPr>
            </w:pPr>
            <w:r w:rsidRPr="00171425">
              <w:rPr>
                <w:b/>
              </w:rPr>
              <w:lastRenderedPageBreak/>
              <w:t xml:space="preserve"> Comments:</w:t>
            </w:r>
            <w:r w:rsidRPr="004F6EB4">
              <w:t xml:space="preserve"> Section to be removed when the PAD is sent to the Board for approval</w:t>
            </w:r>
            <w:r w:rsidRPr="00171425">
              <w:rPr>
                <w:b/>
              </w:rPr>
              <w:t xml:space="preserve">   </w:t>
            </w:r>
            <w:r w:rsidRPr="004F6EB4">
              <w:t xml:space="preserve">The rating for implementation reflects the fact that the sector risks would weigh heavier on the overall </w:t>
            </w:r>
            <w:r w:rsidRPr="004F6EB4">
              <w:lastRenderedPageBreak/>
              <w:t>sustainability of results through their potential impact on LEC’s financials.</w:t>
            </w:r>
            <w:r w:rsidRPr="00171425">
              <w:rPr>
                <w:b/>
                <w:lang w:val="fr-FR"/>
              </w:rPr>
              <w:t xml:space="preserve">                                                                                                                </w:t>
            </w:r>
            <w:r w:rsidRPr="00171425">
              <w:rPr>
                <w:lang w:val="fr-FR"/>
              </w:rPr>
              <w:t xml:space="preserve"> </w:t>
            </w:r>
            <w:r w:rsidRPr="00171425">
              <w:rPr>
                <w:b/>
                <w:lang w:val="fr-FR"/>
              </w:rPr>
              <w:t xml:space="preserve">                                                                                                                                                                                                                                                                 </w:t>
            </w:r>
            <w:r w:rsidRPr="00171425">
              <w:rPr>
                <w:b/>
              </w:rPr>
              <w:t xml:space="preserve">                                                                                                           </w:t>
            </w:r>
          </w:p>
        </w:tc>
      </w:tr>
      <w:tr w:rsidR="008F22C5" w:rsidRPr="004F6EB4" w:rsidTr="00307C75">
        <w:tc>
          <w:tcPr>
            <w:tcW w:w="13698" w:type="dxa"/>
            <w:gridSpan w:val="17"/>
            <w:shd w:val="clear" w:color="auto" w:fill="D9D9D9"/>
            <w:vAlign w:val="center"/>
          </w:tcPr>
          <w:p w:rsidR="008F22C5" w:rsidRPr="004F6EB4" w:rsidRDefault="008F22C5" w:rsidP="00D940CF">
            <w:pPr>
              <w:numPr>
                <w:ilvl w:val="0"/>
                <w:numId w:val="6"/>
              </w:numPr>
              <w:spacing w:after="200" w:line="276" w:lineRule="auto"/>
              <w:rPr>
                <w:b/>
              </w:rPr>
            </w:pPr>
            <w:r w:rsidRPr="004F6EB4">
              <w:rPr>
                <w:b/>
                <w:lang w:bidi="en-US"/>
              </w:rPr>
              <w:lastRenderedPageBreak/>
              <w:t>Risk Team</w:t>
            </w:r>
          </w:p>
        </w:tc>
      </w:tr>
      <w:tr w:rsidR="008F22C5" w:rsidRPr="004F6EB4" w:rsidTr="00307C75">
        <w:tc>
          <w:tcPr>
            <w:tcW w:w="6840" w:type="dxa"/>
            <w:gridSpan w:val="5"/>
            <w:shd w:val="clear" w:color="auto" w:fill="D9D9D9"/>
            <w:vAlign w:val="center"/>
          </w:tcPr>
          <w:p w:rsidR="008F22C5" w:rsidRPr="004F6EB4" w:rsidRDefault="008F22C5" w:rsidP="00D940CF">
            <w:pPr>
              <w:numPr>
                <w:ilvl w:val="1"/>
                <w:numId w:val="6"/>
              </w:numPr>
              <w:spacing w:after="200" w:line="276" w:lineRule="auto"/>
              <w:rPr>
                <w:b/>
              </w:rPr>
            </w:pPr>
            <w:r w:rsidRPr="004F6EB4">
              <w:rPr>
                <w:b/>
              </w:rPr>
              <w:t>Preparation Risk Rating</w:t>
            </w:r>
            <w:r w:rsidRPr="004F6EB4">
              <w:t xml:space="preserve"> Section to be removed when the PAD is  sent to the Board for approval</w:t>
            </w:r>
          </w:p>
        </w:tc>
        <w:tc>
          <w:tcPr>
            <w:tcW w:w="6750" w:type="dxa"/>
            <w:gridSpan w:val="12"/>
            <w:shd w:val="clear" w:color="auto" w:fill="D9D9D9"/>
          </w:tcPr>
          <w:p w:rsidR="008F22C5" w:rsidRPr="004F6EB4" w:rsidRDefault="008F22C5" w:rsidP="00307C75">
            <w:pPr>
              <w:spacing w:after="200" w:line="276" w:lineRule="auto"/>
              <w:rPr>
                <w:b/>
              </w:rPr>
            </w:pPr>
            <w:r w:rsidRPr="004F6EB4">
              <w:rPr>
                <w:b/>
              </w:rPr>
              <w:t xml:space="preserve">6.2 Implementation Risk Rating </w:t>
            </w:r>
            <w:r w:rsidRPr="004F6EB4">
              <w:t>Section to be removed when the PAD is sent to the Board for approval</w:t>
            </w:r>
          </w:p>
        </w:tc>
      </w:tr>
      <w:tr w:rsidR="00FF6E3A" w:rsidRPr="004F6EB4" w:rsidTr="00906C59">
        <w:tblPrEx>
          <w:tblBorders>
            <w:top w:val="none" w:sz="0" w:space="0" w:color="auto"/>
            <w:bottom w:val="none" w:sz="0" w:space="0" w:color="auto"/>
          </w:tblBorders>
          <w:shd w:val="clear" w:color="auto" w:fill="D9D9D9"/>
        </w:tblPrEx>
        <w:trPr>
          <w:trHeight w:val="377"/>
        </w:trPr>
        <w:tc>
          <w:tcPr>
            <w:tcW w:w="6840" w:type="dxa"/>
            <w:gridSpan w:val="5"/>
            <w:shd w:val="clear" w:color="auto" w:fill="auto"/>
          </w:tcPr>
          <w:p w:rsidR="008F22C5" w:rsidRPr="00171425" w:rsidRDefault="008F22C5" w:rsidP="00171425">
            <w:pPr>
              <w:spacing w:after="200" w:line="276" w:lineRule="auto"/>
              <w:rPr>
                <w:b/>
              </w:rPr>
            </w:pPr>
            <w:r w:rsidRPr="00171425">
              <w:rPr>
                <w:b/>
              </w:rPr>
              <w:t>Comments:</w:t>
            </w:r>
            <w:r w:rsidRPr="004F6EB4">
              <w:t xml:space="preserve"> </w:t>
            </w:r>
          </w:p>
          <w:p w:rsidR="008F22C5" w:rsidRPr="00171425" w:rsidRDefault="008F22C5" w:rsidP="00171425">
            <w:pPr>
              <w:spacing w:after="200" w:line="276" w:lineRule="auto"/>
              <w:rPr>
                <w:b/>
              </w:rPr>
            </w:pPr>
            <w:r w:rsidRPr="004F6EB4">
              <w:t>Section to be removed when the PAD is sent to the Board for approval</w:t>
            </w:r>
          </w:p>
        </w:tc>
        <w:tc>
          <w:tcPr>
            <w:tcW w:w="6750" w:type="dxa"/>
            <w:gridSpan w:val="12"/>
            <w:shd w:val="clear" w:color="auto" w:fill="auto"/>
          </w:tcPr>
          <w:p w:rsidR="008F22C5" w:rsidRPr="00171425" w:rsidRDefault="008F22C5" w:rsidP="00171425">
            <w:pPr>
              <w:spacing w:after="200" w:line="276" w:lineRule="auto"/>
              <w:rPr>
                <w:b/>
              </w:rPr>
            </w:pPr>
            <w:r w:rsidRPr="00171425">
              <w:rPr>
                <w:b/>
              </w:rPr>
              <w:t xml:space="preserve"> Comments:</w:t>
            </w:r>
            <w:r w:rsidRPr="004F6EB4">
              <w:t xml:space="preserve"> Section to be removed when the PAD is sent to the Board for approval</w:t>
            </w:r>
          </w:p>
        </w:tc>
      </w:tr>
      <w:tr w:rsidR="008F22C5" w:rsidRPr="004F6EB4" w:rsidTr="00307C75">
        <w:tc>
          <w:tcPr>
            <w:tcW w:w="13698" w:type="dxa"/>
            <w:gridSpan w:val="17"/>
            <w:tcBorders>
              <w:top w:val="single" w:sz="4" w:space="0" w:color="000000"/>
            </w:tcBorders>
            <w:shd w:val="clear" w:color="auto" w:fill="F2F2F2"/>
            <w:vAlign w:val="center"/>
          </w:tcPr>
          <w:p w:rsidR="008F22C5" w:rsidRPr="004F6EB4" w:rsidRDefault="008F22C5" w:rsidP="00D940CF">
            <w:pPr>
              <w:numPr>
                <w:ilvl w:val="0"/>
                <w:numId w:val="6"/>
              </w:numPr>
              <w:spacing w:after="200" w:line="276" w:lineRule="auto"/>
              <w:rPr>
                <w:b/>
              </w:rPr>
            </w:pPr>
            <w:r w:rsidRPr="004F6EB4">
              <w:rPr>
                <w:b/>
                <w:lang w:bidi="en-US"/>
              </w:rPr>
              <w:t>Overall Risk</w:t>
            </w:r>
            <w:r w:rsidRPr="004F6EB4">
              <w:rPr>
                <w:b/>
              </w:rPr>
              <w:t xml:space="preserve"> Following Review</w:t>
            </w:r>
          </w:p>
        </w:tc>
      </w:tr>
      <w:tr w:rsidR="008F22C5" w:rsidRPr="004F6EB4" w:rsidTr="00906C59">
        <w:trPr>
          <w:trHeight w:val="818"/>
        </w:trPr>
        <w:tc>
          <w:tcPr>
            <w:tcW w:w="6840" w:type="dxa"/>
            <w:gridSpan w:val="5"/>
            <w:tcBorders>
              <w:bottom w:val="single" w:sz="4" w:space="0" w:color="000000"/>
            </w:tcBorders>
            <w:shd w:val="clear" w:color="auto" w:fill="D9D9D9"/>
            <w:vAlign w:val="center"/>
          </w:tcPr>
          <w:p w:rsidR="008F22C5" w:rsidRPr="004F6EB4" w:rsidRDefault="008F22C5" w:rsidP="00D940CF">
            <w:pPr>
              <w:numPr>
                <w:ilvl w:val="1"/>
                <w:numId w:val="6"/>
              </w:numPr>
              <w:spacing w:after="200" w:line="276" w:lineRule="auto"/>
              <w:rPr>
                <w:b/>
              </w:rPr>
            </w:pPr>
            <w:r w:rsidRPr="004F6EB4">
              <w:rPr>
                <w:b/>
              </w:rPr>
              <w:t>Preparation Risk Rating:</w:t>
            </w:r>
            <w:r w:rsidRPr="004F6EB4">
              <w:t xml:space="preserve"> Section to be removed when the PAD is sent to the Board for approval</w:t>
            </w:r>
          </w:p>
        </w:tc>
        <w:tc>
          <w:tcPr>
            <w:tcW w:w="6750" w:type="dxa"/>
            <w:gridSpan w:val="12"/>
            <w:tcBorders>
              <w:bottom w:val="single" w:sz="4" w:space="0" w:color="000000"/>
            </w:tcBorders>
            <w:shd w:val="clear" w:color="auto" w:fill="auto"/>
          </w:tcPr>
          <w:p w:rsidR="008F22C5" w:rsidRPr="004F6EB4" w:rsidRDefault="008F22C5" w:rsidP="00307C75">
            <w:pPr>
              <w:spacing w:after="200" w:line="276" w:lineRule="auto"/>
              <w:rPr>
                <w:b/>
              </w:rPr>
            </w:pPr>
            <w:r w:rsidRPr="004F6EB4">
              <w:rPr>
                <w:b/>
              </w:rPr>
              <w:t xml:space="preserve">7.2 Implementation Risk Rating: </w:t>
            </w:r>
          </w:p>
        </w:tc>
      </w:tr>
      <w:tr w:rsidR="00FF6E3A" w:rsidRPr="004F6EB4" w:rsidTr="00906C59">
        <w:tblPrEx>
          <w:tblBorders>
            <w:top w:val="none" w:sz="0" w:space="0" w:color="auto"/>
          </w:tblBorders>
        </w:tblPrEx>
        <w:trPr>
          <w:trHeight w:val="317"/>
        </w:trPr>
        <w:tc>
          <w:tcPr>
            <w:tcW w:w="6840" w:type="dxa"/>
            <w:gridSpan w:val="5"/>
            <w:tcBorders>
              <w:top w:val="single" w:sz="4" w:space="0" w:color="000000"/>
              <w:bottom w:val="single" w:sz="4" w:space="0" w:color="auto"/>
            </w:tcBorders>
            <w:shd w:val="clear" w:color="auto" w:fill="auto"/>
          </w:tcPr>
          <w:p w:rsidR="008F22C5" w:rsidRPr="004F6EB4" w:rsidRDefault="008F22C5" w:rsidP="00171425">
            <w:pPr>
              <w:spacing w:after="200" w:line="276" w:lineRule="auto"/>
            </w:pPr>
            <w:r w:rsidRPr="00171425">
              <w:rPr>
                <w:b/>
              </w:rPr>
              <w:t>Comments</w:t>
            </w:r>
            <w:r w:rsidRPr="00171425">
              <w:rPr>
                <w:b/>
                <w:lang w:val="fr-FR"/>
              </w:rPr>
              <w:t>:</w:t>
            </w:r>
            <w:r w:rsidRPr="00171425">
              <w:rPr>
                <w:lang w:val="fr-FR"/>
              </w:rPr>
              <w:t xml:space="preserve"> </w:t>
            </w:r>
          </w:p>
        </w:tc>
        <w:tc>
          <w:tcPr>
            <w:tcW w:w="6750" w:type="dxa"/>
            <w:gridSpan w:val="12"/>
            <w:tcBorders>
              <w:top w:val="single" w:sz="4" w:space="0" w:color="000000"/>
              <w:bottom w:val="single" w:sz="4" w:space="0" w:color="auto"/>
            </w:tcBorders>
          </w:tcPr>
          <w:p w:rsidR="008F22C5" w:rsidRPr="00171425" w:rsidRDefault="008F22C5" w:rsidP="00171425">
            <w:pPr>
              <w:spacing w:after="200" w:line="276" w:lineRule="auto"/>
              <w:rPr>
                <w:lang w:val="fr-FR"/>
              </w:rPr>
            </w:pPr>
            <w:r w:rsidRPr="00171425">
              <w:rPr>
                <w:b/>
                <w:lang w:val="fr-FR"/>
              </w:rPr>
              <w:t xml:space="preserve"> </w:t>
            </w:r>
            <w:proofErr w:type="spellStart"/>
            <w:r w:rsidRPr="00171425">
              <w:rPr>
                <w:b/>
                <w:lang w:val="fr-FR"/>
              </w:rPr>
              <w:t>Comments</w:t>
            </w:r>
            <w:proofErr w:type="spellEnd"/>
            <w:r w:rsidRPr="00171425">
              <w:rPr>
                <w:b/>
                <w:lang w:val="fr-FR"/>
              </w:rPr>
              <w:t xml:space="preserve">:  </w:t>
            </w:r>
          </w:p>
        </w:tc>
      </w:tr>
      <w:bookmarkEnd w:id="9"/>
    </w:tbl>
    <w:p w:rsidR="00F62979" w:rsidRDefault="00F62979" w:rsidP="00F62979">
      <w:pPr>
        <w:pStyle w:val="PDSAnnexHeading"/>
        <w:jc w:val="left"/>
        <w:rPr>
          <w:sz w:val="20"/>
          <w:lang w:val="fr-FR"/>
        </w:rPr>
      </w:pPr>
    </w:p>
    <w:p w:rsidR="00F62979" w:rsidRDefault="00F62979" w:rsidP="00F62979">
      <w:pPr>
        <w:pStyle w:val="PDSAnnexHeading"/>
        <w:jc w:val="left"/>
        <w:rPr>
          <w:sz w:val="20"/>
        </w:rPr>
      </w:pPr>
      <w:proofErr w:type="gramStart"/>
      <w:r w:rsidRPr="0057315E">
        <w:rPr>
          <w:sz w:val="20"/>
        </w:rPr>
        <w:t>Note :</w:t>
      </w:r>
      <w:proofErr w:type="gramEnd"/>
      <w:r w:rsidRPr="0057315E">
        <w:rPr>
          <w:sz w:val="20"/>
        </w:rPr>
        <w:t xml:space="preserve"> </w:t>
      </w:r>
      <w:r>
        <w:rPr>
          <w:sz w:val="20"/>
        </w:rPr>
        <w:t>Include on average no more than 3 Risk Management Measures per Risk Category</w:t>
      </w:r>
    </w:p>
    <w:p w:rsidR="00F62979" w:rsidRDefault="00F62979" w:rsidP="00F62979"/>
    <w:p w:rsidR="00623450" w:rsidRDefault="00623450" w:rsidP="00F62979"/>
    <w:p w:rsidR="00623450" w:rsidRDefault="00623450" w:rsidP="00F62979"/>
    <w:p w:rsidR="00623450" w:rsidRDefault="00623450" w:rsidP="00F62979"/>
    <w:p w:rsidR="00623450" w:rsidRDefault="00623450" w:rsidP="00F62979">
      <w:pPr>
        <w:sectPr w:rsidR="00623450" w:rsidSect="00F62979">
          <w:headerReference w:type="default" r:id="rId20"/>
          <w:headerReference w:type="first" r:id="rId21"/>
          <w:pgSz w:w="15840" w:h="12240" w:orient="landscape" w:code="1"/>
          <w:pgMar w:top="630" w:right="1440" w:bottom="1440" w:left="1440" w:header="720" w:footer="720" w:gutter="0"/>
          <w:cols w:space="720"/>
          <w:docGrid w:linePitch="360"/>
        </w:sectPr>
      </w:pPr>
    </w:p>
    <w:p w:rsidR="00623450" w:rsidRDefault="00623450" w:rsidP="003D2522">
      <w:pPr>
        <w:pStyle w:val="Heading1"/>
        <w:jc w:val="center"/>
      </w:pPr>
      <w:bookmarkStart w:id="11" w:name="_Toc308712769"/>
      <w:r w:rsidRPr="00623450">
        <w:lastRenderedPageBreak/>
        <w:t xml:space="preserve">Annex </w:t>
      </w:r>
      <w:r>
        <w:t>3</w:t>
      </w:r>
      <w:r w:rsidRPr="00623450">
        <w:t xml:space="preserve">:  </w:t>
      </w:r>
      <w:r>
        <w:t>Detailed Description of Modified or New Project Activities</w:t>
      </w:r>
      <w:bookmarkEnd w:id="11"/>
    </w:p>
    <w:p w:rsidR="00C65CA1" w:rsidRDefault="00C65CA1" w:rsidP="00623450">
      <w:pPr>
        <w:rPr>
          <w:b/>
        </w:rPr>
      </w:pPr>
    </w:p>
    <w:p w:rsidR="00D752D8" w:rsidRPr="00D752D8" w:rsidRDefault="00567EFC" w:rsidP="00881D40">
      <w:pPr>
        <w:pStyle w:val="Header"/>
        <w:numPr>
          <w:ilvl w:val="0"/>
          <w:numId w:val="18"/>
        </w:numPr>
        <w:tabs>
          <w:tab w:val="clear" w:pos="4320"/>
          <w:tab w:val="left" w:pos="720"/>
        </w:tabs>
        <w:ind w:left="0" w:firstLine="0"/>
        <w:rPr>
          <w:szCs w:val="20"/>
        </w:rPr>
      </w:pPr>
      <w:r w:rsidRPr="00D752D8">
        <w:rPr>
          <w:b/>
          <w:szCs w:val="20"/>
        </w:rPr>
        <w:t>General description for new project activities aiming at closing the financial gap and scaling up existing components.</w:t>
      </w:r>
      <w:r w:rsidRPr="00D752D8">
        <w:rPr>
          <w:szCs w:val="20"/>
        </w:rPr>
        <w:t xml:space="preserve"> </w:t>
      </w:r>
      <w:r w:rsidR="00D6007F">
        <w:rPr>
          <w:szCs w:val="20"/>
        </w:rPr>
        <w:t xml:space="preserve"> </w:t>
      </w:r>
      <w:r w:rsidR="00D752D8" w:rsidRPr="00D752D8">
        <w:rPr>
          <w:szCs w:val="20"/>
        </w:rPr>
        <w:t xml:space="preserve">The original project has four major components that aim at increasing access to electricity services by improving the distribution network and enhancing associated facilities for power generation. </w:t>
      </w:r>
      <w:r w:rsidR="00D6007F">
        <w:rPr>
          <w:szCs w:val="20"/>
        </w:rPr>
        <w:t xml:space="preserve"> </w:t>
      </w:r>
      <w:r w:rsidR="00D752D8" w:rsidRPr="00D752D8">
        <w:rPr>
          <w:szCs w:val="20"/>
        </w:rPr>
        <w:t xml:space="preserve">The IDA credit additional financing is earmarked for financing additional activities under </w:t>
      </w:r>
      <w:r w:rsidR="00D752D8" w:rsidRPr="00D752D8">
        <w:rPr>
          <w:i/>
          <w:szCs w:val="20"/>
        </w:rPr>
        <w:t>Component A. Distribution services</w:t>
      </w:r>
      <w:r w:rsidR="00D752D8" w:rsidRPr="00D752D8">
        <w:rPr>
          <w:szCs w:val="20"/>
        </w:rPr>
        <w:t xml:space="preserve"> and </w:t>
      </w:r>
      <w:r w:rsidR="00D752D8" w:rsidRPr="00D752D8">
        <w:rPr>
          <w:i/>
          <w:szCs w:val="20"/>
        </w:rPr>
        <w:t>Component B. Enhancing options for power generation</w:t>
      </w:r>
      <w:r w:rsidR="00D752D8" w:rsidRPr="00D752D8">
        <w:rPr>
          <w:szCs w:val="20"/>
        </w:rPr>
        <w:t xml:space="preserve">. Co-financing from the Global Environment Facility (GEF) is proposed for scaling up </w:t>
      </w:r>
      <w:r w:rsidR="00D752D8" w:rsidRPr="00D752D8">
        <w:rPr>
          <w:i/>
          <w:szCs w:val="20"/>
        </w:rPr>
        <w:t xml:space="preserve">Component C. Providing modern renewable energy for off-grid users, </w:t>
      </w:r>
      <w:r w:rsidR="00D752D8" w:rsidRPr="00D752D8">
        <w:rPr>
          <w:szCs w:val="20"/>
        </w:rPr>
        <w:t xml:space="preserve">for which a separate account will be established. </w:t>
      </w:r>
      <w:r w:rsidR="00D6007F">
        <w:rPr>
          <w:szCs w:val="20"/>
        </w:rPr>
        <w:t xml:space="preserve"> </w:t>
      </w:r>
      <w:r w:rsidR="00D752D8" w:rsidRPr="00D752D8">
        <w:rPr>
          <w:szCs w:val="20"/>
        </w:rPr>
        <w:t xml:space="preserve">The co-financing will allow for scaling up the AFREA-supported pilot activities, which to date have facilitated the rehabilitation of a micro-hydropower plant and implementation of a sustainable solar market facilitation effort.  The GEF-supported effort will comprise a solar lantern exchange program; details are provided in Annex 4.  </w:t>
      </w:r>
    </w:p>
    <w:p w:rsidR="00BE2758" w:rsidRPr="00D752D8" w:rsidRDefault="00BE2758" w:rsidP="00D752D8">
      <w:pPr>
        <w:pStyle w:val="Header"/>
        <w:tabs>
          <w:tab w:val="clear" w:pos="4320"/>
          <w:tab w:val="center" w:pos="540"/>
        </w:tabs>
        <w:rPr>
          <w:szCs w:val="20"/>
        </w:rPr>
      </w:pPr>
    </w:p>
    <w:p w:rsidR="00BE2758" w:rsidRPr="00BE2758" w:rsidRDefault="00BE2758" w:rsidP="00881D40">
      <w:pPr>
        <w:pStyle w:val="Header"/>
        <w:numPr>
          <w:ilvl w:val="0"/>
          <w:numId w:val="18"/>
        </w:numPr>
        <w:tabs>
          <w:tab w:val="clear" w:pos="4320"/>
          <w:tab w:val="left" w:pos="720"/>
        </w:tabs>
        <w:ind w:left="0" w:firstLine="0"/>
        <w:rPr>
          <w:szCs w:val="20"/>
        </w:rPr>
      </w:pPr>
      <w:r w:rsidRPr="00BE2758">
        <w:rPr>
          <w:szCs w:val="20"/>
        </w:rPr>
        <w:t xml:space="preserve">The proposed Additional Financing will support expanded project activities that scale up the project’s program to enhance the project’s development impact in a cost effective manner.  The scaled-up project activities are an expansion of similar, ongoing activities </w:t>
      </w:r>
      <w:r w:rsidR="001B27D8">
        <w:rPr>
          <w:szCs w:val="20"/>
        </w:rPr>
        <w:t xml:space="preserve">in the on-grid system </w:t>
      </w:r>
      <w:r w:rsidRPr="00BE2758">
        <w:rPr>
          <w:szCs w:val="20"/>
        </w:rPr>
        <w:t>as follows:</w:t>
      </w:r>
    </w:p>
    <w:p w:rsidR="00623450" w:rsidRDefault="00623450" w:rsidP="00623450">
      <w:pPr>
        <w:rPr>
          <w:b/>
        </w:rPr>
      </w:pPr>
    </w:p>
    <w:p w:rsidR="00FC2946" w:rsidRDefault="00FC2946" w:rsidP="00FC2946">
      <w:pPr>
        <w:pStyle w:val="Header"/>
        <w:tabs>
          <w:tab w:val="clear" w:pos="4320"/>
          <w:tab w:val="center" w:pos="540"/>
        </w:tabs>
        <w:rPr>
          <w:szCs w:val="20"/>
        </w:rPr>
      </w:pPr>
      <w:r w:rsidRPr="00FC2946">
        <w:rPr>
          <w:b/>
          <w:szCs w:val="20"/>
        </w:rPr>
        <w:t>Sub-component A:  Distribution network reinforcement and extension (US$3.8 million</w:t>
      </w:r>
      <w:r w:rsidR="00C005C4">
        <w:rPr>
          <w:b/>
          <w:szCs w:val="20"/>
        </w:rPr>
        <w:t xml:space="preserve"> </w:t>
      </w:r>
      <w:r>
        <w:rPr>
          <w:b/>
          <w:szCs w:val="20"/>
        </w:rPr>
        <w:t xml:space="preserve">original with an additional financing of </w:t>
      </w:r>
      <w:r w:rsidRPr="004E7E62">
        <w:rPr>
          <w:b/>
          <w:szCs w:val="20"/>
        </w:rPr>
        <w:t xml:space="preserve">US$ </w:t>
      </w:r>
      <w:r w:rsidR="004E7E62" w:rsidRPr="004E7E62">
        <w:rPr>
          <w:b/>
          <w:szCs w:val="20"/>
        </w:rPr>
        <w:t>3</w:t>
      </w:r>
      <w:r w:rsidRPr="004E7E62">
        <w:rPr>
          <w:b/>
          <w:szCs w:val="20"/>
        </w:rPr>
        <w:t>million</w:t>
      </w:r>
      <w:r w:rsidRPr="00FC2946">
        <w:rPr>
          <w:b/>
          <w:szCs w:val="20"/>
        </w:rPr>
        <w:t>)</w:t>
      </w:r>
      <w:r w:rsidRPr="00FC2946">
        <w:rPr>
          <w:szCs w:val="20"/>
        </w:rPr>
        <w:t xml:space="preserve">.  </w:t>
      </w:r>
    </w:p>
    <w:p w:rsidR="00FC2946" w:rsidRDefault="00FC2946" w:rsidP="00FC2946">
      <w:pPr>
        <w:pStyle w:val="Header"/>
        <w:tabs>
          <w:tab w:val="clear" w:pos="4320"/>
          <w:tab w:val="center" w:pos="540"/>
        </w:tabs>
        <w:rPr>
          <w:szCs w:val="20"/>
        </w:rPr>
      </w:pPr>
    </w:p>
    <w:p w:rsidR="00E36B50" w:rsidRDefault="00E36B50" w:rsidP="00D32138">
      <w:pPr>
        <w:pStyle w:val="Header"/>
        <w:numPr>
          <w:ilvl w:val="0"/>
          <w:numId w:val="18"/>
        </w:numPr>
        <w:tabs>
          <w:tab w:val="clear" w:pos="4320"/>
          <w:tab w:val="left" w:pos="720"/>
        </w:tabs>
        <w:ind w:left="0" w:firstLine="0"/>
      </w:pPr>
      <w:r w:rsidRPr="00462010">
        <w:t>Pr</w:t>
      </w:r>
      <w:r>
        <w:t xml:space="preserve">ogress to rehabilitate and expand the nascent power system in Liberia has been made through the first year of the Management Contractor. </w:t>
      </w:r>
      <w:r w:rsidR="00D6007F">
        <w:t xml:space="preserve"> </w:t>
      </w:r>
      <w:r>
        <w:t>The system is currently composed of 23 MW installed capacity in services with high speed diesel units compared with 9.7</w:t>
      </w:r>
      <w:r w:rsidR="00D6007F">
        <w:t xml:space="preserve"> </w:t>
      </w:r>
      <w:r>
        <w:t>MW in June, 2010. A 66 kV sub-transmission line tying all four generation facility centers are completed and significant progress on construction the distribution lines at 22</w:t>
      </w:r>
      <w:r w:rsidR="00D6007F">
        <w:t xml:space="preserve"> </w:t>
      </w:r>
      <w:r w:rsidR="00932278">
        <w:t>k</w:t>
      </w:r>
      <w:r>
        <w:t xml:space="preserve">V has been achieved allowing for the connection of new customers. </w:t>
      </w:r>
      <w:r w:rsidR="00D6007F">
        <w:t xml:space="preserve"> </w:t>
      </w:r>
      <w:r w:rsidRPr="00D85E35">
        <w:t xml:space="preserve">The customer </w:t>
      </w:r>
      <w:r>
        <w:t>base has increased 88 percent</w:t>
      </w:r>
      <w:r w:rsidRPr="00D85E35">
        <w:t xml:space="preserve"> from 4,659 customers in July 2011 compared with 2,469 customers in July 2010. </w:t>
      </w:r>
    </w:p>
    <w:p w:rsidR="00E36B50" w:rsidRDefault="00E36B50" w:rsidP="00E36B50">
      <w:pPr>
        <w:pStyle w:val="Header"/>
        <w:tabs>
          <w:tab w:val="clear" w:pos="4320"/>
          <w:tab w:val="center" w:pos="540"/>
        </w:tabs>
      </w:pPr>
    </w:p>
    <w:p w:rsidR="00973575" w:rsidRDefault="00E36B50" w:rsidP="00D32138">
      <w:pPr>
        <w:pStyle w:val="Header"/>
        <w:numPr>
          <w:ilvl w:val="0"/>
          <w:numId w:val="18"/>
        </w:numPr>
        <w:tabs>
          <w:tab w:val="clear" w:pos="4320"/>
          <w:tab w:val="left" w:pos="720"/>
        </w:tabs>
        <w:ind w:left="0" w:firstLine="0"/>
        <w:rPr>
          <w:szCs w:val="20"/>
        </w:rPr>
      </w:pPr>
      <w:r>
        <w:t>T</w:t>
      </w:r>
      <w:r w:rsidRPr="00E36B50">
        <w:t xml:space="preserve">he objective of this activity is to reinforce and upgrade the medium voltage distribution grid in order to be able to deliver the additional power from LEC, including the required equipment to establish proper communications and synchronization capabilities of the system.  </w:t>
      </w:r>
      <w:r>
        <w:t xml:space="preserve">Additional generation capacity has to be coordinated with proper design and expansion of the medium voltage distribution network in place. </w:t>
      </w:r>
      <w:r w:rsidR="00D6007F">
        <w:t xml:space="preserve"> </w:t>
      </w:r>
      <w:r>
        <w:t xml:space="preserve">This will ensure that additional capacity can be efficiently absorbed </w:t>
      </w:r>
      <w:r w:rsidR="00973575">
        <w:t xml:space="preserve">and dispatched </w:t>
      </w:r>
      <w:r>
        <w:t>by the system while increasing the consumer based in the on-g</w:t>
      </w:r>
      <w:r w:rsidR="00D6007F">
        <w:t>r</w:t>
      </w:r>
      <w:r>
        <w:t>id system in Monrovia</w:t>
      </w:r>
      <w:r>
        <w:rPr>
          <w:szCs w:val="20"/>
        </w:rPr>
        <w:t>.</w:t>
      </w:r>
    </w:p>
    <w:p w:rsidR="00973575" w:rsidRDefault="00973575" w:rsidP="00973575">
      <w:pPr>
        <w:pStyle w:val="ListParagraph"/>
        <w:rPr>
          <w:szCs w:val="20"/>
          <w:highlight w:val="yellow"/>
        </w:rPr>
      </w:pPr>
    </w:p>
    <w:p w:rsidR="00973575" w:rsidRPr="00973575" w:rsidRDefault="00973575" w:rsidP="00D32138">
      <w:pPr>
        <w:pStyle w:val="Header"/>
        <w:numPr>
          <w:ilvl w:val="0"/>
          <w:numId w:val="18"/>
        </w:numPr>
        <w:tabs>
          <w:tab w:val="clear" w:pos="4320"/>
          <w:tab w:val="left" w:pos="720"/>
        </w:tabs>
        <w:ind w:left="0" w:firstLine="0"/>
        <w:rPr>
          <w:szCs w:val="20"/>
        </w:rPr>
      </w:pPr>
      <w:r w:rsidRPr="00973575">
        <w:rPr>
          <w:szCs w:val="20"/>
        </w:rPr>
        <w:t xml:space="preserve">This component will support the detail characteristics of </w:t>
      </w:r>
      <w:r w:rsidR="001B27D8" w:rsidRPr="00973575">
        <w:rPr>
          <w:szCs w:val="20"/>
        </w:rPr>
        <w:t xml:space="preserve">the upgrades that will be necessary </w:t>
      </w:r>
      <w:r w:rsidRPr="00973575">
        <w:rPr>
          <w:szCs w:val="20"/>
        </w:rPr>
        <w:t xml:space="preserve">in order </w:t>
      </w:r>
      <w:r w:rsidR="001B27D8" w:rsidRPr="00973575">
        <w:rPr>
          <w:szCs w:val="20"/>
        </w:rPr>
        <w:t>to deliver the additional power to LEC’s transmission and distribution system</w:t>
      </w:r>
      <w:r w:rsidRPr="00973575">
        <w:rPr>
          <w:szCs w:val="20"/>
        </w:rPr>
        <w:t xml:space="preserve">, as well as the financing of the equipment identified. </w:t>
      </w:r>
      <w:r w:rsidR="00D6007F">
        <w:rPr>
          <w:szCs w:val="20"/>
        </w:rPr>
        <w:t xml:space="preserve"> </w:t>
      </w:r>
      <w:r w:rsidRPr="00973575">
        <w:rPr>
          <w:szCs w:val="20"/>
        </w:rPr>
        <w:t>First, an evaluation of the system and recommendation will take place</w:t>
      </w:r>
      <w:r w:rsidR="001B27D8" w:rsidRPr="00973575">
        <w:rPr>
          <w:szCs w:val="20"/>
        </w:rPr>
        <w:t xml:space="preserve"> for upgrading the control and communications systems for LEC’s generation, transmission and distribution to provide for safe and efficient operation, control and protection. </w:t>
      </w:r>
      <w:r w:rsidR="00D6007F">
        <w:rPr>
          <w:szCs w:val="20"/>
        </w:rPr>
        <w:t xml:space="preserve"> </w:t>
      </w:r>
      <w:r w:rsidR="001B27D8" w:rsidRPr="00973575">
        <w:rPr>
          <w:szCs w:val="20"/>
        </w:rPr>
        <w:t>T</w:t>
      </w:r>
      <w:r w:rsidRPr="00973575">
        <w:rPr>
          <w:szCs w:val="20"/>
        </w:rPr>
        <w:t xml:space="preserve">he evaluation of systems will </w:t>
      </w:r>
      <w:r w:rsidR="001B27D8" w:rsidRPr="00973575">
        <w:rPr>
          <w:szCs w:val="20"/>
        </w:rPr>
        <w:t xml:space="preserve">consider the need for optimal dispatch of existing and planned generation and the need to accommodate the associated expansion of LEC’s </w:t>
      </w:r>
      <w:r w:rsidR="001B27D8" w:rsidRPr="00973575">
        <w:rPr>
          <w:szCs w:val="20"/>
        </w:rPr>
        <w:lastRenderedPageBreak/>
        <w:t>transmission and distribution systems including the eventual interconnection with WAPP</w:t>
      </w:r>
      <w:r w:rsidRPr="00973575">
        <w:rPr>
          <w:szCs w:val="20"/>
        </w:rPr>
        <w:t xml:space="preserve"> and the Mount Coffee power generation (reconstruction of 66MW hydropower plan)</w:t>
      </w:r>
      <w:r w:rsidR="001B27D8" w:rsidRPr="00973575">
        <w:rPr>
          <w:szCs w:val="20"/>
        </w:rPr>
        <w:t xml:space="preserve">. </w:t>
      </w:r>
      <w:r w:rsidR="00D6007F">
        <w:rPr>
          <w:szCs w:val="20"/>
        </w:rPr>
        <w:t xml:space="preserve"> </w:t>
      </w:r>
      <w:r w:rsidRPr="00973575">
        <w:rPr>
          <w:szCs w:val="20"/>
        </w:rPr>
        <w:t xml:space="preserve">The detail control and communications system will be financed through this component. </w:t>
      </w:r>
    </w:p>
    <w:p w:rsidR="00973575" w:rsidRPr="00973575" w:rsidRDefault="00973575" w:rsidP="00973575">
      <w:pPr>
        <w:pStyle w:val="ListParagraph"/>
        <w:rPr>
          <w:szCs w:val="20"/>
        </w:rPr>
      </w:pPr>
    </w:p>
    <w:p w:rsidR="001B27D8" w:rsidRPr="00973575" w:rsidRDefault="001B27D8" w:rsidP="00D32138">
      <w:pPr>
        <w:pStyle w:val="Header"/>
        <w:numPr>
          <w:ilvl w:val="0"/>
          <w:numId w:val="18"/>
        </w:numPr>
        <w:tabs>
          <w:tab w:val="clear" w:pos="4320"/>
          <w:tab w:val="left" w:pos="720"/>
        </w:tabs>
        <w:ind w:left="0" w:firstLine="0"/>
        <w:rPr>
          <w:szCs w:val="20"/>
        </w:rPr>
      </w:pPr>
      <w:r w:rsidRPr="00973575">
        <w:rPr>
          <w:szCs w:val="20"/>
        </w:rPr>
        <w:t xml:space="preserve">With the rebuilding of LEC underway and the availability of substantial resources to continue this process, it is expected that LEC will emerge from an emergency response model and begin the transition to a well managed utility with lower costs, more sustainable generation and more effective means to control and optimize system expansion and operations. </w:t>
      </w:r>
      <w:r w:rsidR="00D6007F">
        <w:rPr>
          <w:szCs w:val="20"/>
        </w:rPr>
        <w:t xml:space="preserve"> </w:t>
      </w:r>
      <w:r w:rsidRPr="00973575">
        <w:rPr>
          <w:szCs w:val="20"/>
        </w:rPr>
        <w:t xml:space="preserve">The additional financial resources now available to LEC will allow LEC to accelerate the supply of lower cost and reliable power and to reduce the </w:t>
      </w:r>
      <w:proofErr w:type="spellStart"/>
      <w:r w:rsidRPr="00973575">
        <w:rPr>
          <w:szCs w:val="20"/>
        </w:rPr>
        <w:t>unserved</w:t>
      </w:r>
      <w:proofErr w:type="spellEnd"/>
      <w:r w:rsidRPr="00973575">
        <w:rPr>
          <w:szCs w:val="20"/>
        </w:rPr>
        <w:t xml:space="preserve"> demand in Monrovia. </w:t>
      </w:r>
    </w:p>
    <w:p w:rsidR="006C117B" w:rsidRDefault="006C117B" w:rsidP="00FE3B3C">
      <w:pPr>
        <w:pStyle w:val="Header"/>
        <w:tabs>
          <w:tab w:val="clear" w:pos="4320"/>
          <w:tab w:val="center" w:pos="540"/>
        </w:tabs>
        <w:rPr>
          <w:szCs w:val="20"/>
        </w:rPr>
      </w:pPr>
    </w:p>
    <w:p w:rsidR="00FE3B3C" w:rsidRDefault="00C005C4" w:rsidP="00623450">
      <w:pPr>
        <w:rPr>
          <w:b/>
        </w:rPr>
      </w:pPr>
      <w:r w:rsidRPr="00C005C4">
        <w:rPr>
          <w:b/>
        </w:rPr>
        <w:t>Component B:  Enhancing options for power generation (</w:t>
      </w:r>
      <w:r w:rsidR="004E7E62">
        <w:rPr>
          <w:b/>
        </w:rPr>
        <w:t xml:space="preserve">US$4.7 million financed by IDA </w:t>
      </w:r>
      <w:r w:rsidR="004E7E62" w:rsidRPr="004E7E62">
        <w:rPr>
          <w:b/>
        </w:rPr>
        <w:t>original</w:t>
      </w:r>
      <w:r w:rsidR="004E7E62">
        <w:rPr>
          <w:b/>
        </w:rPr>
        <w:t>ly</w:t>
      </w:r>
      <w:r w:rsidR="004E7E62" w:rsidRPr="004E7E62">
        <w:rPr>
          <w:b/>
        </w:rPr>
        <w:t xml:space="preserve"> with an additional financing of US$</w:t>
      </w:r>
      <w:r w:rsidR="004E7E62">
        <w:rPr>
          <w:b/>
        </w:rPr>
        <w:t>16</w:t>
      </w:r>
      <w:r w:rsidR="004E7E62" w:rsidRPr="004E7E62">
        <w:rPr>
          <w:b/>
        </w:rPr>
        <w:t xml:space="preserve"> million</w:t>
      </w:r>
      <w:r w:rsidR="004E7E62">
        <w:rPr>
          <w:b/>
        </w:rPr>
        <w:t>)</w:t>
      </w:r>
      <w:r w:rsidRPr="00C005C4">
        <w:rPr>
          <w:b/>
        </w:rPr>
        <w:t xml:space="preserve">  </w:t>
      </w:r>
    </w:p>
    <w:p w:rsidR="00FE3B3C" w:rsidRDefault="00FE3B3C" w:rsidP="00623450">
      <w:pPr>
        <w:rPr>
          <w:b/>
        </w:rPr>
      </w:pPr>
    </w:p>
    <w:p w:rsidR="00567EFC" w:rsidRPr="00567EFC" w:rsidRDefault="00567EFC" w:rsidP="00D32138">
      <w:pPr>
        <w:pStyle w:val="Header"/>
        <w:numPr>
          <w:ilvl w:val="0"/>
          <w:numId w:val="18"/>
        </w:numPr>
        <w:tabs>
          <w:tab w:val="clear" w:pos="4320"/>
          <w:tab w:val="left" w:pos="720"/>
        </w:tabs>
        <w:ind w:left="0" w:firstLine="0"/>
      </w:pPr>
      <w:r w:rsidRPr="00567EFC">
        <w:t xml:space="preserve">The design and needs of the </w:t>
      </w:r>
      <w:r>
        <w:t xml:space="preserve">additional financing requirements </w:t>
      </w:r>
      <w:r w:rsidRPr="00567EFC">
        <w:t xml:space="preserve">of the Project derives directly from the recommendation contained in the Energy Sector Policy Note developed by the World Bank </w:t>
      </w:r>
      <w:r w:rsidR="006C117B">
        <w:t>in 2010</w:t>
      </w:r>
      <w:r w:rsidRPr="00567EFC">
        <w:rPr>
          <w:vertAlign w:val="superscript"/>
        </w:rPr>
        <w:footnoteReference w:id="8"/>
      </w:r>
      <w:r>
        <w:t xml:space="preserve"> and recently </w:t>
      </w:r>
      <w:r w:rsidR="005707B8">
        <w:t xml:space="preserve">echoed </w:t>
      </w:r>
      <w:r>
        <w:t xml:space="preserve">by the Electric Master Plan prepared by LEC under the Management Contractor. </w:t>
      </w:r>
      <w:r w:rsidRPr="00567EFC">
        <w:t xml:space="preserve"> </w:t>
      </w:r>
      <w:r>
        <w:t xml:space="preserve"> </w:t>
      </w:r>
      <w:r w:rsidRPr="00567EFC">
        <w:t xml:space="preserve">Accordingly to the World Bank Policy Note, the committed power in the timeframe of 2009 to 2015 would leave a gap in the supply-demand balance </w:t>
      </w:r>
      <w:r w:rsidR="006C117B">
        <w:t>starting from 2012 (see Figure 1</w:t>
      </w:r>
      <w:r w:rsidRPr="00567EFC">
        <w:t>).  The emerging gap increases from about 4 MW in 2012 to about 13 MW in 2014.  Only in 2015, when the WAPP CLSG comes online, the gap can be bridged.  According to the report, among those options that are available by 2012, Heavy Fuel Oil (HFO) is least cost.</w:t>
      </w:r>
    </w:p>
    <w:p w:rsidR="00567EFC" w:rsidRPr="00567EFC" w:rsidRDefault="00567EFC" w:rsidP="00567EFC"/>
    <w:p w:rsidR="00567EFC" w:rsidRPr="00567EFC" w:rsidRDefault="00567EFC" w:rsidP="00D32138">
      <w:pPr>
        <w:pStyle w:val="Header"/>
        <w:numPr>
          <w:ilvl w:val="0"/>
          <w:numId w:val="18"/>
        </w:numPr>
        <w:tabs>
          <w:tab w:val="clear" w:pos="4320"/>
          <w:tab w:val="left" w:pos="720"/>
        </w:tabs>
        <w:ind w:left="0" w:firstLine="0"/>
      </w:pPr>
      <w:r>
        <w:t xml:space="preserve">In Figure </w:t>
      </w:r>
      <w:r w:rsidR="006C117B">
        <w:t>1</w:t>
      </w:r>
      <w:r w:rsidR="008F1E94">
        <w:t xml:space="preserve"> presents only the </w:t>
      </w:r>
      <w:r w:rsidRPr="00567EFC">
        <w:t xml:space="preserve">power supply options </w:t>
      </w:r>
      <w:r w:rsidR="008F1E94">
        <w:t xml:space="preserve">that are currently in operation and those </w:t>
      </w:r>
      <w:r w:rsidR="005707B8">
        <w:t>for which there is</w:t>
      </w:r>
      <w:r w:rsidRPr="00567EFC">
        <w:t xml:space="preserve"> a certainty for their </w:t>
      </w:r>
      <w:r w:rsidR="008F1E94" w:rsidRPr="00567EFC">
        <w:t>implementation</w:t>
      </w:r>
      <w:r w:rsidR="008F1E94">
        <w:t xml:space="preserve"> based on available funding</w:t>
      </w:r>
      <w:r w:rsidRPr="00567EFC">
        <w:t>.  This</w:t>
      </w:r>
      <w:r w:rsidR="008F1E94">
        <w:t xml:space="preserve"> implies that only existing, </w:t>
      </w:r>
      <w:r w:rsidRPr="00567EFC">
        <w:t>NORAD and USAI</w:t>
      </w:r>
      <w:r w:rsidR="008F1E94">
        <w:t>D-financed diesel power plant are</w:t>
      </w:r>
      <w:r w:rsidRPr="00567EFC">
        <w:t xml:space="preserve"> dispatched.  Additional power is envisaged to be available through the WAPP CSLG transmission project for which preparation is well underway, and which is estimated to come online in 2015.  At the same time</w:t>
      </w:r>
      <w:r w:rsidR="00A72047">
        <w:t>,</w:t>
      </w:r>
      <w:r w:rsidRPr="00567EFC">
        <w:t xml:space="preserve"> it has to be assumed that the installed diesel generators will wear out in advance of their expected lifetime, and thus supply from these units would slowly decline until 2015. </w:t>
      </w:r>
    </w:p>
    <w:p w:rsidR="00567EFC" w:rsidRPr="00567EFC" w:rsidRDefault="00567EFC" w:rsidP="00567EFC">
      <w:pPr>
        <w:rPr>
          <w:b/>
        </w:rPr>
      </w:pPr>
    </w:p>
    <w:p w:rsidR="00567EFC" w:rsidRDefault="00567EFC" w:rsidP="004E7E62">
      <w:pPr>
        <w:keepNext/>
        <w:keepLines/>
        <w:widowControl w:val="0"/>
        <w:jc w:val="center"/>
        <w:rPr>
          <w:b/>
        </w:rPr>
      </w:pPr>
      <w:bookmarkStart w:id="12" w:name="_Toc262800066"/>
      <w:r w:rsidRPr="00567EFC">
        <w:rPr>
          <w:b/>
          <w:bCs/>
        </w:rPr>
        <w:lastRenderedPageBreak/>
        <w:t xml:space="preserve">Figure </w:t>
      </w:r>
      <w:r w:rsidR="00226F3E" w:rsidRPr="00226F3E">
        <w:rPr>
          <w:b/>
          <w:bCs/>
        </w:rPr>
        <w:t>1</w:t>
      </w:r>
      <w:r w:rsidRPr="00226F3E">
        <w:rPr>
          <w:b/>
          <w:bCs/>
        </w:rPr>
        <w:t>:</w:t>
      </w:r>
      <w:r w:rsidRPr="00567EFC">
        <w:rPr>
          <w:b/>
          <w:bCs/>
        </w:rPr>
        <w:t xml:space="preserve">  </w:t>
      </w:r>
      <w:r w:rsidRPr="00567EFC">
        <w:rPr>
          <w:b/>
        </w:rPr>
        <w:t>Supply-Demand forecast for the medium-term 2010-2015</w:t>
      </w:r>
      <w:bookmarkEnd w:id="12"/>
    </w:p>
    <w:p w:rsidR="00D040E6" w:rsidRPr="00567EFC" w:rsidRDefault="00D040E6" w:rsidP="004E7E62">
      <w:pPr>
        <w:keepNext/>
        <w:keepLines/>
        <w:widowControl w:val="0"/>
        <w:jc w:val="center"/>
        <w:rPr>
          <w:b/>
          <w:bCs/>
        </w:rPr>
      </w:pPr>
    </w:p>
    <w:p w:rsidR="00567EFC" w:rsidRDefault="0035474B" w:rsidP="004E7E62">
      <w:pPr>
        <w:keepNext/>
        <w:keepLines/>
        <w:widowControl w:val="0"/>
        <w:jc w:val="center"/>
        <w:rPr>
          <w:b/>
        </w:rPr>
      </w:pPr>
      <w:r w:rsidRPr="00D526C8">
        <w:rPr>
          <w:b/>
          <w:noProof/>
        </w:rPr>
        <w:pict>
          <v:shape id="_x0000_i1027" type="#_x0000_t75" style="width:469.35pt;height:242.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">
            <v:imagedata r:id="rId15" o:title=""/>
            <o:lock v:ext="edit" aspectratio="f"/>
          </v:shape>
        </w:pict>
      </w:r>
    </w:p>
    <w:p w:rsidR="00E12DE7" w:rsidRDefault="00E12DE7" w:rsidP="004E7E62">
      <w:pPr>
        <w:keepNext/>
        <w:keepLines/>
        <w:widowControl w:val="0"/>
        <w:jc w:val="center"/>
        <w:rPr>
          <w:b/>
        </w:rPr>
      </w:pPr>
    </w:p>
    <w:p w:rsidR="00F7382A" w:rsidRDefault="00F7382A" w:rsidP="004E7E62">
      <w:pPr>
        <w:pStyle w:val="Header"/>
        <w:keepNext/>
        <w:keepLines/>
        <w:widowControl w:val="0"/>
        <w:tabs>
          <w:tab w:val="center" w:pos="540"/>
        </w:tabs>
      </w:pPr>
    </w:p>
    <w:p w:rsidR="00680D43" w:rsidRPr="00A418CE" w:rsidRDefault="00F7382A" w:rsidP="00D32138">
      <w:pPr>
        <w:pStyle w:val="Header"/>
        <w:numPr>
          <w:ilvl w:val="0"/>
          <w:numId w:val="18"/>
        </w:numPr>
        <w:tabs>
          <w:tab w:val="left" w:pos="720"/>
        </w:tabs>
        <w:ind w:left="0" w:firstLine="0"/>
      </w:pPr>
      <w:r>
        <w:t xml:space="preserve">Similarly, </w:t>
      </w:r>
      <w:r w:rsidR="00680D43">
        <w:t xml:space="preserve">a </w:t>
      </w:r>
      <w:r w:rsidRPr="00F7382A">
        <w:t>Master Plan for generation expansion and build-out of the transmission and distribution system has been prepared</w:t>
      </w:r>
      <w:r>
        <w:t xml:space="preserve"> by LEC</w:t>
      </w:r>
      <w:r w:rsidRPr="00F7382A">
        <w:t xml:space="preserve">. </w:t>
      </w:r>
      <w:r w:rsidR="00D6007F">
        <w:t xml:space="preserve"> </w:t>
      </w:r>
      <w:r w:rsidRPr="00F7382A">
        <w:t xml:space="preserve">This plan recognizes that, as a result of the very large </w:t>
      </w:r>
      <w:proofErr w:type="spellStart"/>
      <w:r w:rsidRPr="00F7382A">
        <w:t>unserved</w:t>
      </w:r>
      <w:proofErr w:type="spellEnd"/>
      <w:r w:rsidRPr="00F7382A">
        <w:t xml:space="preserve"> demand in Monrovia, the rate of load growth in the near term will be constrained by the ability to finance the rebuilding of LEC’s generation, transmission and distribution systems. </w:t>
      </w:r>
      <w:r w:rsidR="00D6007F">
        <w:t xml:space="preserve"> </w:t>
      </w:r>
      <w:r w:rsidR="00680D43">
        <w:t>Under the base case scenario, a peak demand of about 48</w:t>
      </w:r>
      <w:r w:rsidR="00D6007F">
        <w:t xml:space="preserve"> </w:t>
      </w:r>
      <w:r w:rsidR="00680D43">
        <w:t xml:space="preserve">MW is forecast by June 2015. </w:t>
      </w:r>
      <w:r w:rsidR="00D6007F">
        <w:t xml:space="preserve"> </w:t>
      </w:r>
      <w:r w:rsidR="00680D43">
        <w:t xml:space="preserve">This scenario is still a constrained demand </w:t>
      </w:r>
      <w:r w:rsidR="00680D43" w:rsidRPr="00680D43">
        <w:rPr>
          <w:lang w:val="en-CA"/>
        </w:rPr>
        <w:t>forecast because of limitations on available funding for generation capacity additions and T</w:t>
      </w:r>
      <w:r w:rsidR="00D6007F">
        <w:rPr>
          <w:lang w:val="en-CA"/>
        </w:rPr>
        <w:t xml:space="preserve"> </w:t>
      </w:r>
      <w:r w:rsidR="00680D43" w:rsidRPr="00680D43">
        <w:rPr>
          <w:lang w:val="en-CA"/>
        </w:rPr>
        <w:t>&amp;</w:t>
      </w:r>
      <w:r w:rsidR="00D6007F">
        <w:rPr>
          <w:lang w:val="en-CA"/>
        </w:rPr>
        <w:t xml:space="preserve"> </w:t>
      </w:r>
      <w:r w:rsidR="00680D43" w:rsidRPr="00680D43">
        <w:rPr>
          <w:lang w:val="en-CA"/>
        </w:rPr>
        <w:t>D build out. Urban access is projected to reach 14% at that time, up from less than 0.3% today</w:t>
      </w:r>
      <w:r w:rsidR="00680D43">
        <w:rPr>
          <w:lang w:val="en-CA"/>
        </w:rPr>
        <w:t xml:space="preserve"> </w:t>
      </w:r>
      <w:r w:rsidR="00680D43" w:rsidRPr="00680D43">
        <w:rPr>
          <w:lang w:val="en-CA"/>
        </w:rPr>
        <w:t>forecast because of limitations on available funding for generation capa</w:t>
      </w:r>
      <w:r w:rsidR="00680D43">
        <w:rPr>
          <w:lang w:val="en-CA"/>
        </w:rPr>
        <w:t>city additions and transmission and distribution</w:t>
      </w:r>
      <w:r w:rsidR="00680D43" w:rsidRPr="00680D43">
        <w:rPr>
          <w:lang w:val="en-CA"/>
        </w:rPr>
        <w:t xml:space="preserve">. </w:t>
      </w:r>
      <w:r w:rsidR="00D6007F">
        <w:rPr>
          <w:lang w:val="en-CA"/>
        </w:rPr>
        <w:t xml:space="preserve"> </w:t>
      </w:r>
      <w:r w:rsidR="00680D43" w:rsidRPr="00680D43">
        <w:rPr>
          <w:lang w:val="en-CA"/>
        </w:rPr>
        <w:t>Urban access is project</w:t>
      </w:r>
      <w:r w:rsidR="00680D43">
        <w:rPr>
          <w:lang w:val="en-CA"/>
        </w:rPr>
        <w:t xml:space="preserve">ed to reach 14% at that </w:t>
      </w:r>
      <w:proofErr w:type="gramStart"/>
      <w:r w:rsidR="00680D43">
        <w:rPr>
          <w:lang w:val="en-CA"/>
        </w:rPr>
        <w:t>time</w:t>
      </w:r>
      <w:r w:rsidR="00D6007F">
        <w:rPr>
          <w:lang w:val="en-CA"/>
        </w:rPr>
        <w:t>,</w:t>
      </w:r>
      <w:proofErr w:type="gramEnd"/>
      <w:r w:rsidR="00680D43">
        <w:rPr>
          <w:lang w:val="en-CA"/>
        </w:rPr>
        <w:t xml:space="preserve"> however this is still short compared with the 30 percent target in the National Energy Policy. </w:t>
      </w:r>
    </w:p>
    <w:p w:rsidR="00130ECC" w:rsidRDefault="00130ECC">
      <w:pPr>
        <w:pStyle w:val="Header"/>
        <w:tabs>
          <w:tab w:val="left" w:pos="720"/>
        </w:tabs>
        <w:rPr>
          <w:lang w:val="en-CA"/>
        </w:rPr>
      </w:pPr>
    </w:p>
    <w:p w:rsidR="00A418CE" w:rsidRDefault="00A418CE" w:rsidP="00A418CE">
      <w:pPr>
        <w:pStyle w:val="Header"/>
        <w:numPr>
          <w:ilvl w:val="0"/>
          <w:numId w:val="18"/>
        </w:numPr>
        <w:tabs>
          <w:tab w:val="left" w:pos="720"/>
        </w:tabs>
        <w:ind w:left="0" w:firstLine="0"/>
        <w:rPr>
          <w:lang w:val="en-CA"/>
        </w:rPr>
      </w:pPr>
      <w:r>
        <w:rPr>
          <w:lang w:val="en-CA"/>
        </w:rPr>
        <w:t>The Master Plan also indicates that t</w:t>
      </w:r>
      <w:r w:rsidRPr="00A418CE">
        <w:rPr>
          <w:lang w:val="en-CA"/>
        </w:rPr>
        <w:t>he current load factor on the existing Monrovia system is approximately 70%. Therefore the average demand for each customer class, (including a breakdown of residential customers by income), was adjusted by a factor of 0.7 to determine the peak demand that could be expected from each customer grouping in preparing the forecast.</w:t>
      </w:r>
      <w:r>
        <w:rPr>
          <w:lang w:val="en-CA"/>
        </w:rPr>
        <w:t xml:space="preserve"> Under this assumption</w:t>
      </w:r>
      <w:r w:rsidR="008C6F72">
        <w:rPr>
          <w:lang w:val="en-CA"/>
        </w:rPr>
        <w:t xml:space="preserve">, the peak demand explained above is calculated. </w:t>
      </w:r>
    </w:p>
    <w:p w:rsidR="00F7149D" w:rsidRDefault="00F7149D">
      <w:pPr>
        <w:pStyle w:val="Header"/>
        <w:tabs>
          <w:tab w:val="left" w:pos="720"/>
        </w:tabs>
        <w:rPr>
          <w:lang w:val="en-CA"/>
        </w:rPr>
      </w:pPr>
    </w:p>
    <w:p w:rsidR="00680D43" w:rsidRDefault="00680D43" w:rsidP="00D32138">
      <w:pPr>
        <w:pStyle w:val="Header"/>
        <w:numPr>
          <w:ilvl w:val="0"/>
          <w:numId w:val="18"/>
        </w:numPr>
        <w:tabs>
          <w:tab w:val="left" w:pos="720"/>
        </w:tabs>
        <w:ind w:left="0" w:firstLine="0"/>
      </w:pPr>
      <w:r>
        <w:t xml:space="preserve">In the case of </w:t>
      </w:r>
      <w:r w:rsidRPr="00680D43">
        <w:t xml:space="preserve">any funding limitations and adequate generation capacity, peak demand could </w:t>
      </w:r>
      <w:r>
        <w:t>reach 75 MW by 2015</w:t>
      </w:r>
      <w:r w:rsidRPr="00680D43">
        <w:t xml:space="preserve"> and 202 MW by 2030.</w:t>
      </w:r>
      <w:r w:rsidR="00D6007F">
        <w:t xml:space="preserve"> </w:t>
      </w:r>
      <w:r w:rsidRPr="00680D43">
        <w:t xml:space="preserve"> Another 45,000 customers could b</w:t>
      </w:r>
      <w:r>
        <w:t>e connected by 2015</w:t>
      </w:r>
      <w:r w:rsidRPr="00680D43">
        <w:t xml:space="preserve"> increasing urban access to 27%. By 2030 urban access could exceed 40% with another 136,000 customers connected at an additional </w:t>
      </w:r>
      <w:r w:rsidR="0044090F">
        <w:t xml:space="preserve">estimated transmission and distribution cost </w:t>
      </w:r>
      <w:r w:rsidRPr="00680D43">
        <w:t xml:space="preserve">of US$100 million. </w:t>
      </w:r>
    </w:p>
    <w:p w:rsidR="0044090F" w:rsidRDefault="0044090F" w:rsidP="0044090F">
      <w:pPr>
        <w:pStyle w:val="ListParagraph"/>
      </w:pPr>
    </w:p>
    <w:p w:rsidR="0044090F" w:rsidRDefault="0044090F" w:rsidP="00D32138">
      <w:pPr>
        <w:pStyle w:val="Header"/>
        <w:numPr>
          <w:ilvl w:val="0"/>
          <w:numId w:val="18"/>
        </w:numPr>
        <w:tabs>
          <w:tab w:val="left" w:pos="720"/>
        </w:tabs>
        <w:ind w:left="0" w:firstLine="0"/>
      </w:pPr>
      <w:r>
        <w:lastRenderedPageBreak/>
        <w:t xml:space="preserve">In order to address the supply generation gap, commitments on generation are underway but the might be implemented after 2015, they are composed of: </w:t>
      </w:r>
    </w:p>
    <w:p w:rsidR="0044090F" w:rsidRDefault="0044090F" w:rsidP="0044090F">
      <w:pPr>
        <w:pStyle w:val="ListParagraph"/>
      </w:pPr>
    </w:p>
    <w:p w:rsidR="0044090F" w:rsidRDefault="0044090F" w:rsidP="00D6007F">
      <w:pPr>
        <w:pStyle w:val="Header"/>
        <w:numPr>
          <w:ilvl w:val="1"/>
          <w:numId w:val="18"/>
        </w:numPr>
        <w:tabs>
          <w:tab w:val="clear" w:pos="4320"/>
          <w:tab w:val="clear" w:pos="8640"/>
        </w:tabs>
        <w:ind w:hanging="720"/>
      </w:pPr>
      <w:r>
        <w:t xml:space="preserve">10 MW of HFO-fuel fired </w:t>
      </w:r>
      <w:r w:rsidR="00F7382A" w:rsidRPr="00F7382A">
        <w:t xml:space="preserve">generation </w:t>
      </w:r>
      <w:r>
        <w:t xml:space="preserve">plan supported by </w:t>
      </w:r>
      <w:r w:rsidR="00F7382A" w:rsidRPr="00F7382A">
        <w:t>JICA</w:t>
      </w:r>
      <w:r>
        <w:t xml:space="preserve"> funding</w:t>
      </w:r>
      <w:r w:rsidR="00F7382A" w:rsidRPr="00F7382A">
        <w:t xml:space="preserve">. This project has been delayed and is now expected to be </w:t>
      </w:r>
      <w:r>
        <w:t>in service about end of 2014</w:t>
      </w:r>
      <w:r w:rsidR="00F7382A" w:rsidRPr="00F7382A">
        <w:t xml:space="preserve">. </w:t>
      </w:r>
    </w:p>
    <w:p w:rsidR="00D32138" w:rsidRDefault="00D32138" w:rsidP="00D32138">
      <w:pPr>
        <w:pStyle w:val="Header"/>
        <w:tabs>
          <w:tab w:val="clear" w:pos="4320"/>
          <w:tab w:val="clear" w:pos="8640"/>
        </w:tabs>
        <w:ind w:left="1440"/>
      </w:pPr>
    </w:p>
    <w:p w:rsidR="00D6007F" w:rsidRDefault="00D6007F" w:rsidP="00D6007F">
      <w:pPr>
        <w:pStyle w:val="Header"/>
        <w:tabs>
          <w:tab w:val="clear" w:pos="4320"/>
          <w:tab w:val="center" w:pos="540"/>
          <w:tab w:val="left" w:pos="1440"/>
        </w:tabs>
        <w:ind w:left="900"/>
      </w:pPr>
    </w:p>
    <w:p w:rsidR="00F7382A" w:rsidRDefault="0044090F" w:rsidP="00D6007F">
      <w:pPr>
        <w:pStyle w:val="Header"/>
        <w:numPr>
          <w:ilvl w:val="1"/>
          <w:numId w:val="18"/>
        </w:numPr>
        <w:tabs>
          <w:tab w:val="clear" w:pos="4320"/>
          <w:tab w:val="clear" w:pos="8640"/>
        </w:tabs>
        <w:ind w:hanging="720"/>
      </w:pPr>
      <w:r>
        <w:t>Regional transmission line as part of the West African Power Pool (WAPP) that will interconnect Cote d’Ivo</w:t>
      </w:r>
      <w:r w:rsidR="000F3972">
        <w:t>i</w:t>
      </w:r>
      <w:r>
        <w:t xml:space="preserve">re, Liberia, Sierra Leon, Guinea (CLSG) that will initially provide access </w:t>
      </w:r>
      <w:r w:rsidR="00F7382A" w:rsidRPr="00F7382A">
        <w:t xml:space="preserve">to 18 MW of generation from neighboring countries. </w:t>
      </w:r>
    </w:p>
    <w:p w:rsidR="00D32138" w:rsidRDefault="00D32138" w:rsidP="00D32138">
      <w:pPr>
        <w:pStyle w:val="Header"/>
        <w:tabs>
          <w:tab w:val="clear" w:pos="4320"/>
          <w:tab w:val="clear" w:pos="8640"/>
        </w:tabs>
        <w:ind w:left="1440"/>
      </w:pPr>
    </w:p>
    <w:p w:rsidR="0044090F" w:rsidRPr="00F7382A" w:rsidRDefault="0044090F" w:rsidP="00D6007F">
      <w:pPr>
        <w:pStyle w:val="Header"/>
        <w:numPr>
          <w:ilvl w:val="1"/>
          <w:numId w:val="18"/>
        </w:numPr>
        <w:tabs>
          <w:tab w:val="clear" w:pos="4320"/>
          <w:tab w:val="clear" w:pos="8640"/>
        </w:tabs>
        <w:ind w:hanging="720"/>
      </w:pPr>
      <w:r>
        <w:t>R</w:t>
      </w:r>
      <w:r w:rsidRPr="0044090F">
        <w:t xml:space="preserve">econstruction of the Mt Coffee Hydroelectric project which is expected to provide the primary source of low cost energy for Monrovia for the foreseeable future. </w:t>
      </w:r>
      <w:r w:rsidR="00D6007F">
        <w:t xml:space="preserve"> </w:t>
      </w:r>
      <w:r w:rsidRPr="0044090F">
        <w:t xml:space="preserve">The project, which will require </w:t>
      </w:r>
      <w:r>
        <w:t>around four years to implement</w:t>
      </w:r>
      <w:r w:rsidRPr="0044090F">
        <w:t>, is expected to provide in excess of 6</w:t>
      </w:r>
      <w:r w:rsidR="00F6348A">
        <w:t>6</w:t>
      </w:r>
      <w:r w:rsidRPr="0044090F">
        <w:t xml:space="preserve"> MW of capacity in the wet season but only limited firm capacity in the dry season</w:t>
      </w:r>
      <w:r>
        <w:t xml:space="preserve"> of around 9 to 10MW</w:t>
      </w:r>
      <w:r w:rsidRPr="0044090F">
        <w:t xml:space="preserve">.  </w:t>
      </w:r>
    </w:p>
    <w:p w:rsidR="00F7382A" w:rsidRDefault="00F7382A" w:rsidP="00A47437">
      <w:pPr>
        <w:pStyle w:val="Header"/>
        <w:tabs>
          <w:tab w:val="clear" w:pos="4320"/>
          <w:tab w:val="left" w:pos="720"/>
        </w:tabs>
      </w:pPr>
    </w:p>
    <w:p w:rsidR="00130ECC" w:rsidRDefault="00506489">
      <w:pPr>
        <w:pStyle w:val="Header"/>
        <w:tabs>
          <w:tab w:val="clear" w:pos="4320"/>
          <w:tab w:val="center" w:pos="540"/>
        </w:tabs>
      </w:pPr>
      <w:r>
        <w:t xml:space="preserve">In general, the studies above mentioned </w:t>
      </w:r>
      <w:r w:rsidR="006C3BFE" w:rsidRPr="006C3BFE">
        <w:t>concluded that by 2013 at the latest about 10 MW of generation capacity will be missing to meet the demand</w:t>
      </w:r>
      <w:r>
        <w:t xml:space="preserve"> as indicated during the preparation of the LESEP last year</w:t>
      </w:r>
      <w:r w:rsidR="006C3BFE" w:rsidRPr="006C3BFE">
        <w:t>.  Against the background of a status of continued emergency in the power sector, which is putting the just gained social stability at risk, closing that gap is imperative.  Based on current generation expansion plans and the expected load characteristics, it is expected that the most economic generation stacking would involve: (</w:t>
      </w:r>
      <w:proofErr w:type="spellStart"/>
      <w:r w:rsidR="006C3BFE" w:rsidRPr="006C3BFE">
        <w:t>i</w:t>
      </w:r>
      <w:proofErr w:type="spellEnd"/>
      <w:r w:rsidR="006C3BFE" w:rsidRPr="006C3BFE">
        <w:t xml:space="preserve">) 10 MW HFO-fired generation plant and the importation of up to 18 MW of power from the WAPP transmission line to supply base and possibly shoulder loads; and (ii) use of the high speed diesel generation for peaking and, as the system load increases, for some portion of the shoulder loads. </w:t>
      </w:r>
      <w:r>
        <w:t xml:space="preserve">In the mid-term, Mount Coffee hydropower generation will supply the lower electricity cost, however, there is still a need for thermal power generation to compensate the </w:t>
      </w:r>
      <w:r w:rsidRPr="00506489">
        <w:t xml:space="preserve">seasonal fluctuations of the Saint Paul </w:t>
      </w:r>
      <w:r w:rsidRPr="004E7E62">
        <w:t xml:space="preserve">River. </w:t>
      </w:r>
    </w:p>
    <w:p w:rsidR="00130ECC" w:rsidRDefault="00130ECC">
      <w:pPr>
        <w:pStyle w:val="ListParagraph"/>
      </w:pPr>
    </w:p>
    <w:p w:rsidR="0031254A" w:rsidRPr="00162973" w:rsidRDefault="006E6F39" w:rsidP="0031254A">
      <w:pPr>
        <w:pStyle w:val="ListParagraph"/>
        <w:numPr>
          <w:ilvl w:val="0"/>
          <w:numId w:val="7"/>
        </w:numPr>
        <w:ind w:left="0" w:firstLine="0"/>
        <w:rPr>
          <w:lang w:val="en-CA"/>
        </w:rPr>
      </w:pPr>
      <w:r>
        <w:t xml:space="preserve">In terms of potential beneficiaries, this component will support </w:t>
      </w:r>
      <w:r w:rsidR="002D335B">
        <w:t>the availability of</w:t>
      </w:r>
      <w:r w:rsidR="0031254A">
        <w:t xml:space="preserve"> LEC to meet part of the demand</w:t>
      </w:r>
      <w:r>
        <w:t xml:space="preserve"> that is expected to increase the residential base. </w:t>
      </w:r>
      <w:r w:rsidR="002D335B">
        <w:t xml:space="preserve">On one hand this component provides the means for increasing supply availability and enhancement of the distribution network to increase and reach new customers. On the other hand, as part of the LESEP package, GPOBA is providing financing for the connection of 16,000 poor and low income households. Table 1 presents the evolution of LEC on increasing new connections and its shows a growth on the residential customers from 39 percent in July 2010 to 47 percent in </w:t>
      </w:r>
      <w:r w:rsidR="0015271D">
        <w:t>July 2011</w:t>
      </w:r>
      <w:r w:rsidR="0031254A">
        <w:t xml:space="preserve">. Existing residential customers are further </w:t>
      </w:r>
      <w:r w:rsidR="0031254A" w:rsidRPr="00546C17">
        <w:rPr>
          <w:lang w:val="en-CA"/>
        </w:rPr>
        <w:t>broken down into kWh consumption ranges considered to be reasonably representative of income levels</w:t>
      </w:r>
      <w:r w:rsidR="0031254A">
        <w:rPr>
          <w:lang w:val="en-CA"/>
        </w:rPr>
        <w:t xml:space="preserve"> and the distribution is as follows: 26 percent poor, 35 percent low income, 20.6 percent middle income, 13 percent upper income, and 5.4 percent high income. </w:t>
      </w:r>
    </w:p>
    <w:p w:rsidR="0031254A" w:rsidRPr="00162973" w:rsidRDefault="0031254A" w:rsidP="0031254A">
      <w:pPr>
        <w:pStyle w:val="ListParagraph"/>
        <w:ind w:left="0"/>
        <w:rPr>
          <w:lang w:val="en-CA"/>
        </w:rPr>
      </w:pPr>
    </w:p>
    <w:p w:rsidR="0031254A" w:rsidRDefault="006E6F39" w:rsidP="0031254A">
      <w:pPr>
        <w:pStyle w:val="ListParagraph"/>
        <w:ind w:left="0"/>
        <w:jc w:val="center"/>
      </w:pPr>
      <w:proofErr w:type="gramStart"/>
      <w:r>
        <w:t>Table 1</w:t>
      </w:r>
      <w:r w:rsidR="0031254A">
        <w:t>.</w:t>
      </w:r>
      <w:proofErr w:type="gramEnd"/>
      <w:r w:rsidR="0031254A">
        <w:t xml:space="preserve"> </w:t>
      </w:r>
      <w:proofErr w:type="gramStart"/>
      <w:r w:rsidR="0031254A">
        <w:t>LEC Customer base evolution.</w:t>
      </w:r>
      <w:proofErr w:type="gramEnd"/>
    </w:p>
    <w:tbl>
      <w:tblPr>
        <w:tblW w:w="6880" w:type="dxa"/>
        <w:jc w:val="center"/>
        <w:tblInd w:w="98" w:type="dxa"/>
        <w:tblLook w:val="04A0"/>
      </w:tblPr>
      <w:tblGrid>
        <w:gridCol w:w="3140"/>
        <w:gridCol w:w="1300"/>
        <w:gridCol w:w="1480"/>
        <w:gridCol w:w="960"/>
      </w:tblGrid>
      <w:tr w:rsidR="0031254A" w:rsidRPr="00162973" w:rsidTr="0041233B">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000000" w:fill="C6D9F1"/>
            <w:noWrap/>
            <w:vAlign w:val="bottom"/>
            <w:hideMark/>
          </w:tcPr>
          <w:p w:rsidR="0031254A" w:rsidRPr="00162973" w:rsidRDefault="0031254A" w:rsidP="0041233B">
            <w:pPr>
              <w:rPr>
                <w:b/>
                <w:bCs/>
                <w:color w:val="000000"/>
                <w:sz w:val="20"/>
                <w:szCs w:val="20"/>
              </w:rPr>
            </w:pPr>
            <w:r w:rsidRPr="00162973">
              <w:rPr>
                <w:b/>
                <w:bCs/>
                <w:color w:val="000000"/>
                <w:sz w:val="20"/>
                <w:szCs w:val="20"/>
                <w:lang w:val="en-CA"/>
              </w:rPr>
              <w:t>Customer Breakdown:</w:t>
            </w:r>
          </w:p>
        </w:tc>
        <w:tc>
          <w:tcPr>
            <w:tcW w:w="1300" w:type="dxa"/>
            <w:tcBorders>
              <w:top w:val="single" w:sz="4" w:space="0" w:color="auto"/>
              <w:left w:val="nil"/>
              <w:bottom w:val="single" w:sz="4" w:space="0" w:color="auto"/>
              <w:right w:val="single" w:sz="4" w:space="0" w:color="auto"/>
            </w:tcBorders>
            <w:shd w:val="clear" w:color="000000" w:fill="C6D9F1"/>
            <w:noWrap/>
            <w:vAlign w:val="bottom"/>
            <w:hideMark/>
          </w:tcPr>
          <w:p w:rsidR="0031254A" w:rsidRPr="00162973" w:rsidRDefault="0031254A" w:rsidP="0041233B">
            <w:pPr>
              <w:jc w:val="right"/>
              <w:rPr>
                <w:b/>
                <w:bCs/>
                <w:color w:val="000000"/>
                <w:sz w:val="20"/>
                <w:szCs w:val="20"/>
              </w:rPr>
            </w:pPr>
            <w:r w:rsidRPr="00162973">
              <w:rPr>
                <w:b/>
                <w:bCs/>
                <w:color w:val="000000"/>
                <w:sz w:val="20"/>
                <w:szCs w:val="20"/>
              </w:rPr>
              <w:t>Jul-10</w:t>
            </w:r>
          </w:p>
        </w:tc>
        <w:tc>
          <w:tcPr>
            <w:tcW w:w="1480" w:type="dxa"/>
            <w:tcBorders>
              <w:top w:val="single" w:sz="4" w:space="0" w:color="auto"/>
              <w:left w:val="nil"/>
              <w:bottom w:val="single" w:sz="4" w:space="0" w:color="auto"/>
              <w:right w:val="single" w:sz="4" w:space="0" w:color="auto"/>
            </w:tcBorders>
            <w:shd w:val="clear" w:color="000000" w:fill="C6D9F1"/>
            <w:noWrap/>
            <w:vAlign w:val="bottom"/>
            <w:hideMark/>
          </w:tcPr>
          <w:p w:rsidR="0031254A" w:rsidRPr="00162973" w:rsidRDefault="0031254A" w:rsidP="0041233B">
            <w:pPr>
              <w:jc w:val="right"/>
              <w:rPr>
                <w:b/>
                <w:bCs/>
                <w:color w:val="000000"/>
                <w:sz w:val="20"/>
                <w:szCs w:val="20"/>
              </w:rPr>
            </w:pPr>
            <w:r w:rsidRPr="00162973">
              <w:rPr>
                <w:b/>
                <w:bCs/>
                <w:color w:val="000000"/>
                <w:sz w:val="20"/>
                <w:szCs w:val="20"/>
                <w:lang w:val="en-CA"/>
              </w:rPr>
              <w:t>Jan-11</w:t>
            </w:r>
          </w:p>
        </w:tc>
        <w:tc>
          <w:tcPr>
            <w:tcW w:w="960" w:type="dxa"/>
            <w:tcBorders>
              <w:top w:val="single" w:sz="4" w:space="0" w:color="auto"/>
              <w:left w:val="nil"/>
              <w:bottom w:val="single" w:sz="4" w:space="0" w:color="auto"/>
              <w:right w:val="single" w:sz="4" w:space="0" w:color="auto"/>
            </w:tcBorders>
            <w:shd w:val="clear" w:color="000000" w:fill="C6D9F1"/>
            <w:noWrap/>
            <w:vAlign w:val="bottom"/>
            <w:hideMark/>
          </w:tcPr>
          <w:p w:rsidR="0031254A" w:rsidRPr="00162973" w:rsidRDefault="0031254A" w:rsidP="0041233B">
            <w:pPr>
              <w:jc w:val="right"/>
              <w:rPr>
                <w:b/>
                <w:bCs/>
                <w:color w:val="000000"/>
                <w:sz w:val="20"/>
                <w:szCs w:val="20"/>
              </w:rPr>
            </w:pPr>
            <w:r w:rsidRPr="00162973">
              <w:rPr>
                <w:b/>
                <w:bCs/>
                <w:color w:val="000000"/>
                <w:sz w:val="20"/>
                <w:szCs w:val="20"/>
              </w:rPr>
              <w:t>Jul-11</w:t>
            </w:r>
          </w:p>
        </w:tc>
      </w:tr>
      <w:tr w:rsidR="0031254A" w:rsidRPr="00162973" w:rsidTr="0041233B">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254A" w:rsidRPr="00162973" w:rsidRDefault="0031254A" w:rsidP="0041233B">
            <w:pPr>
              <w:rPr>
                <w:color w:val="000000"/>
                <w:sz w:val="20"/>
                <w:szCs w:val="20"/>
              </w:rPr>
            </w:pPr>
            <w:r w:rsidRPr="00162973">
              <w:rPr>
                <w:color w:val="000000"/>
                <w:sz w:val="20"/>
                <w:szCs w:val="20"/>
                <w:lang w:val="en-CA"/>
              </w:rPr>
              <w:t>Residential</w:t>
            </w:r>
          </w:p>
        </w:tc>
        <w:tc>
          <w:tcPr>
            <w:tcW w:w="130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1004</w:t>
            </w:r>
          </w:p>
        </w:tc>
        <w:tc>
          <w:tcPr>
            <w:tcW w:w="148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lang w:val="en-CA"/>
              </w:rPr>
              <w:t>1,177</w:t>
            </w:r>
          </w:p>
        </w:tc>
        <w:tc>
          <w:tcPr>
            <w:tcW w:w="96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2435</w:t>
            </w:r>
          </w:p>
        </w:tc>
      </w:tr>
      <w:tr w:rsidR="0031254A" w:rsidRPr="00162973" w:rsidTr="0041233B">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254A" w:rsidRPr="00162973" w:rsidRDefault="0031254A" w:rsidP="0041233B">
            <w:pPr>
              <w:rPr>
                <w:color w:val="000000"/>
                <w:sz w:val="20"/>
                <w:szCs w:val="20"/>
              </w:rPr>
            </w:pPr>
            <w:r w:rsidRPr="00162973">
              <w:rPr>
                <w:color w:val="000000"/>
                <w:sz w:val="20"/>
                <w:szCs w:val="20"/>
                <w:lang w:val="en-CA"/>
              </w:rPr>
              <w:t>Commercial and Small Industrial</w:t>
            </w:r>
          </w:p>
        </w:tc>
        <w:tc>
          <w:tcPr>
            <w:tcW w:w="130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1038</w:t>
            </w:r>
          </w:p>
        </w:tc>
        <w:tc>
          <w:tcPr>
            <w:tcW w:w="148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lang w:val="en-CA"/>
              </w:rPr>
              <w:t>1,207</w:t>
            </w:r>
          </w:p>
        </w:tc>
        <w:tc>
          <w:tcPr>
            <w:tcW w:w="96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2071</w:t>
            </w:r>
          </w:p>
        </w:tc>
      </w:tr>
      <w:tr w:rsidR="0031254A" w:rsidRPr="00162973" w:rsidTr="0041233B">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254A" w:rsidRPr="00162973" w:rsidRDefault="0031254A" w:rsidP="0041233B">
            <w:pPr>
              <w:rPr>
                <w:color w:val="000000"/>
                <w:sz w:val="20"/>
                <w:szCs w:val="20"/>
              </w:rPr>
            </w:pPr>
            <w:r w:rsidRPr="00162973">
              <w:rPr>
                <w:color w:val="000000"/>
                <w:sz w:val="20"/>
                <w:szCs w:val="20"/>
                <w:lang w:val="en-CA"/>
              </w:rPr>
              <w:lastRenderedPageBreak/>
              <w:t>Government Of Liberia</w:t>
            </w:r>
          </w:p>
        </w:tc>
        <w:tc>
          <w:tcPr>
            <w:tcW w:w="130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96</w:t>
            </w:r>
          </w:p>
        </w:tc>
        <w:tc>
          <w:tcPr>
            <w:tcW w:w="148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lang w:val="en-CA"/>
              </w:rPr>
              <w:t>97</w:t>
            </w:r>
          </w:p>
        </w:tc>
        <w:tc>
          <w:tcPr>
            <w:tcW w:w="96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104</w:t>
            </w:r>
          </w:p>
        </w:tc>
      </w:tr>
      <w:tr w:rsidR="0031254A" w:rsidRPr="00162973" w:rsidTr="0041233B">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254A" w:rsidRPr="00162973" w:rsidRDefault="0031254A" w:rsidP="0041233B">
            <w:pPr>
              <w:rPr>
                <w:color w:val="000000"/>
                <w:sz w:val="20"/>
                <w:szCs w:val="20"/>
              </w:rPr>
            </w:pPr>
            <w:r w:rsidRPr="00162973">
              <w:rPr>
                <w:color w:val="000000"/>
                <w:sz w:val="20"/>
                <w:szCs w:val="20"/>
                <w:lang w:val="en-CA"/>
              </w:rPr>
              <w:t>Non-Governmental Organization</w:t>
            </w:r>
          </w:p>
        </w:tc>
        <w:tc>
          <w:tcPr>
            <w:tcW w:w="130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19</w:t>
            </w:r>
          </w:p>
        </w:tc>
        <w:tc>
          <w:tcPr>
            <w:tcW w:w="148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lang w:val="en-CA"/>
              </w:rPr>
              <w:t>20</w:t>
            </w:r>
          </w:p>
        </w:tc>
        <w:tc>
          <w:tcPr>
            <w:tcW w:w="96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32</w:t>
            </w:r>
          </w:p>
        </w:tc>
      </w:tr>
      <w:tr w:rsidR="0031254A" w:rsidRPr="00162973" w:rsidTr="0041233B">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254A" w:rsidRPr="00162973" w:rsidRDefault="0031254A" w:rsidP="0041233B">
            <w:pPr>
              <w:rPr>
                <w:color w:val="000000"/>
                <w:sz w:val="20"/>
                <w:szCs w:val="20"/>
              </w:rPr>
            </w:pPr>
            <w:r w:rsidRPr="00162973">
              <w:rPr>
                <w:color w:val="000000"/>
                <w:sz w:val="20"/>
                <w:szCs w:val="20"/>
                <w:lang w:val="en-CA"/>
              </w:rPr>
              <w:t>Public Corporation</w:t>
            </w:r>
          </w:p>
        </w:tc>
        <w:tc>
          <w:tcPr>
            <w:tcW w:w="130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7</w:t>
            </w:r>
          </w:p>
        </w:tc>
        <w:tc>
          <w:tcPr>
            <w:tcW w:w="148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lang w:val="en-CA"/>
              </w:rPr>
              <w:t>6</w:t>
            </w:r>
          </w:p>
        </w:tc>
        <w:tc>
          <w:tcPr>
            <w:tcW w:w="96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5</w:t>
            </w:r>
          </w:p>
        </w:tc>
      </w:tr>
      <w:tr w:rsidR="0031254A" w:rsidRPr="00162973" w:rsidTr="0041233B">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254A" w:rsidRPr="00162973" w:rsidRDefault="0031254A" w:rsidP="0041233B">
            <w:pPr>
              <w:rPr>
                <w:color w:val="000000"/>
                <w:sz w:val="20"/>
                <w:szCs w:val="20"/>
              </w:rPr>
            </w:pPr>
            <w:r w:rsidRPr="00162973">
              <w:rPr>
                <w:color w:val="000000"/>
                <w:sz w:val="20"/>
                <w:szCs w:val="20"/>
                <w:lang w:val="en-CA"/>
              </w:rPr>
              <w:t>Liberia Electricity Corporation</w:t>
            </w:r>
          </w:p>
        </w:tc>
        <w:tc>
          <w:tcPr>
            <w:tcW w:w="130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7</w:t>
            </w:r>
          </w:p>
        </w:tc>
        <w:tc>
          <w:tcPr>
            <w:tcW w:w="148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lang w:val="en-CA"/>
              </w:rPr>
              <w:t>7</w:t>
            </w:r>
          </w:p>
        </w:tc>
        <w:tc>
          <w:tcPr>
            <w:tcW w:w="96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8</w:t>
            </w:r>
          </w:p>
        </w:tc>
      </w:tr>
      <w:tr w:rsidR="0031254A" w:rsidRPr="00162973" w:rsidTr="0041233B">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254A" w:rsidRPr="00162973" w:rsidRDefault="0031254A" w:rsidP="0041233B">
            <w:pPr>
              <w:rPr>
                <w:color w:val="000000"/>
                <w:sz w:val="20"/>
                <w:szCs w:val="20"/>
              </w:rPr>
            </w:pPr>
            <w:r w:rsidRPr="00162973">
              <w:rPr>
                <w:color w:val="000000"/>
                <w:sz w:val="20"/>
                <w:szCs w:val="20"/>
                <w:lang w:val="en-CA"/>
              </w:rPr>
              <w:t>Tax Exempt</w:t>
            </w:r>
          </w:p>
        </w:tc>
        <w:tc>
          <w:tcPr>
            <w:tcW w:w="130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1</w:t>
            </w:r>
          </w:p>
        </w:tc>
        <w:tc>
          <w:tcPr>
            <w:tcW w:w="148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lang w:val="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2</w:t>
            </w:r>
          </w:p>
        </w:tc>
      </w:tr>
      <w:tr w:rsidR="0031254A" w:rsidRPr="00162973" w:rsidTr="0041233B">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254A" w:rsidRPr="00162973" w:rsidRDefault="0031254A" w:rsidP="0041233B">
            <w:pPr>
              <w:rPr>
                <w:color w:val="000000"/>
                <w:sz w:val="20"/>
                <w:szCs w:val="20"/>
              </w:rPr>
            </w:pPr>
            <w:r w:rsidRPr="00162973">
              <w:rPr>
                <w:color w:val="000000"/>
                <w:sz w:val="20"/>
                <w:szCs w:val="20"/>
                <w:lang w:val="en-CA"/>
              </w:rPr>
              <w:t>Prepaid Customers Agents</w:t>
            </w:r>
          </w:p>
        </w:tc>
        <w:tc>
          <w:tcPr>
            <w:tcW w:w="130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2</w:t>
            </w:r>
          </w:p>
        </w:tc>
        <w:tc>
          <w:tcPr>
            <w:tcW w:w="148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lang w:val="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color w:val="000000"/>
                <w:sz w:val="20"/>
                <w:szCs w:val="20"/>
              </w:rPr>
            </w:pPr>
            <w:r w:rsidRPr="00162973">
              <w:rPr>
                <w:color w:val="000000"/>
                <w:sz w:val="20"/>
                <w:szCs w:val="20"/>
              </w:rPr>
              <w:t>2</w:t>
            </w:r>
          </w:p>
        </w:tc>
      </w:tr>
      <w:tr w:rsidR="0031254A" w:rsidRPr="00162973" w:rsidTr="0041233B">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254A" w:rsidRPr="00162973" w:rsidRDefault="0031254A" w:rsidP="0041233B">
            <w:pPr>
              <w:rPr>
                <w:b/>
                <w:bCs/>
                <w:color w:val="000000"/>
                <w:sz w:val="20"/>
                <w:szCs w:val="20"/>
              </w:rPr>
            </w:pPr>
            <w:r w:rsidRPr="00162973">
              <w:rPr>
                <w:b/>
                <w:bCs/>
                <w:color w:val="000000"/>
                <w:sz w:val="20"/>
                <w:szCs w:val="20"/>
                <w:lang w:val="en-CA"/>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b/>
                <w:bCs/>
                <w:color w:val="000000"/>
                <w:sz w:val="20"/>
                <w:szCs w:val="20"/>
              </w:rPr>
            </w:pPr>
            <w:r w:rsidRPr="00162973">
              <w:rPr>
                <w:b/>
                <w:bCs/>
                <w:noProof/>
                <w:color w:val="000000"/>
                <w:sz w:val="20"/>
                <w:szCs w:val="20"/>
                <w:lang w:val="en-CA"/>
              </w:rPr>
              <w:t>2,518</w:t>
            </w:r>
          </w:p>
        </w:tc>
        <w:tc>
          <w:tcPr>
            <w:tcW w:w="148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b/>
                <w:bCs/>
                <w:color w:val="000000"/>
                <w:sz w:val="20"/>
                <w:szCs w:val="20"/>
              </w:rPr>
            </w:pPr>
            <w:r w:rsidRPr="00162973">
              <w:rPr>
                <w:b/>
                <w:bCs/>
                <w:noProof/>
                <w:color w:val="000000"/>
                <w:sz w:val="20"/>
                <w:szCs w:val="20"/>
                <w:lang w:val="en-CA"/>
              </w:rPr>
              <w:t>2,518</w:t>
            </w:r>
          </w:p>
        </w:tc>
        <w:tc>
          <w:tcPr>
            <w:tcW w:w="960" w:type="dxa"/>
            <w:tcBorders>
              <w:top w:val="nil"/>
              <w:left w:val="nil"/>
              <w:bottom w:val="single" w:sz="4" w:space="0" w:color="auto"/>
              <w:right w:val="single" w:sz="4" w:space="0" w:color="auto"/>
            </w:tcBorders>
            <w:shd w:val="clear" w:color="auto" w:fill="auto"/>
            <w:noWrap/>
            <w:vAlign w:val="bottom"/>
            <w:hideMark/>
          </w:tcPr>
          <w:p w:rsidR="0031254A" w:rsidRPr="00162973" w:rsidRDefault="0031254A" w:rsidP="0041233B">
            <w:pPr>
              <w:jc w:val="right"/>
              <w:rPr>
                <w:b/>
                <w:bCs/>
                <w:color w:val="000000"/>
                <w:sz w:val="20"/>
                <w:szCs w:val="20"/>
              </w:rPr>
            </w:pPr>
            <w:r w:rsidRPr="00162973">
              <w:rPr>
                <w:b/>
                <w:bCs/>
                <w:noProof/>
                <w:color w:val="000000"/>
                <w:sz w:val="20"/>
                <w:szCs w:val="20"/>
                <w:lang w:val="en-CA"/>
              </w:rPr>
              <w:t>2,518</w:t>
            </w:r>
          </w:p>
        </w:tc>
      </w:tr>
    </w:tbl>
    <w:p w:rsidR="0031254A" w:rsidRDefault="0031254A" w:rsidP="0031254A">
      <w:pPr>
        <w:pStyle w:val="ListParagraph"/>
        <w:ind w:left="0"/>
      </w:pPr>
    </w:p>
    <w:p w:rsidR="0031254A" w:rsidRDefault="0031254A" w:rsidP="0031254A">
      <w:pPr>
        <w:rPr>
          <w:b/>
        </w:rPr>
      </w:pPr>
    </w:p>
    <w:p w:rsidR="00841FF4" w:rsidRDefault="002D335B" w:rsidP="00841FF4">
      <w:pPr>
        <w:pStyle w:val="Header"/>
        <w:numPr>
          <w:ilvl w:val="0"/>
          <w:numId w:val="18"/>
        </w:numPr>
        <w:tabs>
          <w:tab w:val="clear" w:pos="4320"/>
          <w:tab w:val="left" w:pos="720"/>
        </w:tabs>
        <w:ind w:left="0" w:firstLine="0"/>
      </w:pPr>
      <w:r w:rsidRPr="00841FF4">
        <w:t>As part of the Electric Master Plan conducted by the management contractor, a</w:t>
      </w:r>
      <w:r w:rsidR="0031254A" w:rsidRPr="00841FF4">
        <w:t xml:space="preserve"> total of 49 areas or communities were identified</w:t>
      </w:r>
      <w:r w:rsidR="00841FF4" w:rsidRPr="00841FF4">
        <w:t xml:space="preserve"> and mapped using GPS coordinates to show the locations of existing distribution lines and green-field electrification areas requiring new feeders and in some cases the addition of substations fed from the existing or expanded 66kV system. In this regard, LEC will extend service to areas of new formal housing developments and informal settlements that have in recent years experience</w:t>
      </w:r>
      <w:r w:rsidR="00841FF4">
        <w:t xml:space="preserve">d significant population growth which some of poor and low-income household are established. </w:t>
      </w:r>
    </w:p>
    <w:p w:rsidR="00A418CE" w:rsidRDefault="00A418CE" w:rsidP="00A418CE">
      <w:pPr>
        <w:pStyle w:val="Header"/>
        <w:tabs>
          <w:tab w:val="clear" w:pos="4320"/>
          <w:tab w:val="left" w:pos="720"/>
        </w:tabs>
      </w:pPr>
    </w:p>
    <w:p w:rsidR="00A418CE" w:rsidRPr="004E7E62" w:rsidRDefault="00A418CE" w:rsidP="00A418CE">
      <w:pPr>
        <w:pStyle w:val="Header"/>
        <w:numPr>
          <w:ilvl w:val="0"/>
          <w:numId w:val="18"/>
        </w:numPr>
        <w:tabs>
          <w:tab w:val="clear" w:pos="4320"/>
          <w:tab w:val="left" w:pos="720"/>
        </w:tabs>
        <w:ind w:left="0" w:firstLine="0"/>
      </w:pPr>
      <w:r w:rsidRPr="004E7E62">
        <w:t xml:space="preserve">The proposed component, therefore, will support the procurement of 10MW of thermal generation to match projected load growth and to provide adequate system reliability. </w:t>
      </w:r>
      <w:r>
        <w:t xml:space="preserve"> </w:t>
      </w:r>
      <w:r w:rsidRPr="004E7E62">
        <w:t xml:space="preserve">The component will </w:t>
      </w:r>
      <w:r w:rsidR="008C6F72">
        <w:t>also provide</w:t>
      </w:r>
      <w:r w:rsidRPr="004E7E62">
        <w:t xml:space="preserve"> an analysis </w:t>
      </w:r>
      <w:r>
        <w:t xml:space="preserve">through a feasibility study </w:t>
      </w:r>
      <w:r w:rsidRPr="004E7E62">
        <w:t>between the options of HFO-fired power generation and medium speed</w:t>
      </w:r>
      <w:r>
        <w:t xml:space="preserve"> dual diesel power generation in order to identify the comparative financial gains </w:t>
      </w:r>
      <w:r w:rsidRPr="004E7E62">
        <w:t xml:space="preserve">and considering the progress made by the </w:t>
      </w:r>
      <w:proofErr w:type="spellStart"/>
      <w:r w:rsidRPr="004E7E62">
        <w:t>GoL</w:t>
      </w:r>
      <w:proofErr w:type="spellEnd"/>
      <w:r w:rsidRPr="004E7E62">
        <w:t xml:space="preserve"> regarding the </w:t>
      </w:r>
      <w:r>
        <w:t xml:space="preserve">implementation of </w:t>
      </w:r>
      <w:r w:rsidRPr="004E7E62">
        <w:t>handling and storage of HFO</w:t>
      </w:r>
      <w:r>
        <w:t xml:space="preserve"> so </w:t>
      </w:r>
      <w:r w:rsidRPr="004E7E62">
        <w:t>LEC is to be able to secured HFO-fired power plant.</w:t>
      </w:r>
      <w:r>
        <w:t xml:space="preserve">  </w:t>
      </w:r>
    </w:p>
    <w:p w:rsidR="00130ECC" w:rsidRDefault="00130ECC">
      <w:pPr>
        <w:pStyle w:val="Header"/>
        <w:tabs>
          <w:tab w:val="clear" w:pos="4320"/>
          <w:tab w:val="left" w:pos="720"/>
        </w:tabs>
      </w:pPr>
    </w:p>
    <w:p w:rsidR="004B2A57" w:rsidRPr="001B2175" w:rsidRDefault="0031254A" w:rsidP="00A47437">
      <w:pPr>
        <w:pStyle w:val="Header"/>
        <w:numPr>
          <w:ilvl w:val="0"/>
          <w:numId w:val="18"/>
        </w:numPr>
        <w:tabs>
          <w:tab w:val="clear" w:pos="4320"/>
          <w:tab w:val="left" w:pos="720"/>
        </w:tabs>
        <w:ind w:left="0" w:firstLine="0"/>
      </w:pPr>
      <w:r w:rsidRPr="0031254A">
        <w:rPr>
          <w:b/>
        </w:rPr>
        <w:t>Environmental aspects</w:t>
      </w:r>
      <w:r>
        <w:t xml:space="preserve">. </w:t>
      </w:r>
      <w:r w:rsidR="004B2A57">
        <w:t xml:space="preserve">In conjunction with the selection of the most appropriate technologies for new generation and associated works, LEC has initiated preparative work for to address the environmental and social issues.  In this regard, </w:t>
      </w:r>
      <w:r w:rsidR="00A47437">
        <w:t>t</w:t>
      </w:r>
      <w:r w:rsidR="004B2A57" w:rsidRPr="001B2175">
        <w:t>he Environment</w:t>
      </w:r>
      <w:r w:rsidR="004B2A57">
        <w:t>al</w:t>
      </w:r>
      <w:r w:rsidR="004B2A57" w:rsidRPr="001B2175">
        <w:t xml:space="preserve"> and Social Management Framework (ESMF) and the Resettlement Policy Framework (RPF) have been </w:t>
      </w:r>
      <w:r w:rsidR="004B2A57">
        <w:t>prepared</w:t>
      </w:r>
      <w:r w:rsidR="004B2A57" w:rsidRPr="001B2175">
        <w:t xml:space="preserve"> and disclosed. </w:t>
      </w:r>
      <w:r w:rsidR="004B2A57">
        <w:t xml:space="preserve"> </w:t>
      </w:r>
      <w:r w:rsidR="004B2A57" w:rsidRPr="001B2175">
        <w:t xml:space="preserve">These frameworks set out the actions for the overall sector and in particular for the activities included in the original project. </w:t>
      </w:r>
      <w:r w:rsidR="004B2A57">
        <w:t xml:space="preserve"> </w:t>
      </w:r>
      <w:r w:rsidR="004B2A57" w:rsidRPr="001B2175">
        <w:t>They were dis</w:t>
      </w:r>
      <w:r w:rsidR="004B2A57">
        <w:t xml:space="preserve">closed </w:t>
      </w:r>
      <w:r w:rsidR="000F3972">
        <w:t>to</w:t>
      </w:r>
      <w:r w:rsidR="004B2A57">
        <w:t xml:space="preserve"> </w:t>
      </w:r>
      <w:proofErr w:type="spellStart"/>
      <w:r w:rsidR="004B2A57">
        <w:t>Infoshop</w:t>
      </w:r>
      <w:proofErr w:type="spellEnd"/>
      <w:r w:rsidR="004B2A57">
        <w:t xml:space="preserve"> on </w:t>
      </w:r>
      <w:r w:rsidR="000F3972">
        <w:t>September 14</w:t>
      </w:r>
      <w:r w:rsidR="004B2A57">
        <w:t xml:space="preserve">, 2010. </w:t>
      </w:r>
      <w:r w:rsidR="004B2A57" w:rsidRPr="001B2175">
        <w:t xml:space="preserve"> </w:t>
      </w:r>
      <w:r w:rsidR="004B2A57">
        <w:t xml:space="preserve">With regard to </w:t>
      </w:r>
      <w:r w:rsidR="004B2A57" w:rsidRPr="001B2175">
        <w:t xml:space="preserve">the </w:t>
      </w:r>
      <w:r w:rsidR="004B2A57">
        <w:t>new investments (thermal</w:t>
      </w:r>
      <w:r w:rsidR="004B2A57" w:rsidRPr="001B2175">
        <w:t xml:space="preserve"> power generation plan</w:t>
      </w:r>
      <w:r w:rsidR="004B2A57">
        <w:t>t</w:t>
      </w:r>
      <w:r w:rsidR="004B2A57" w:rsidRPr="001B2175">
        <w:t xml:space="preserve"> and fuel storage and </w:t>
      </w:r>
      <w:r w:rsidR="004B2A57">
        <w:t xml:space="preserve">fuel </w:t>
      </w:r>
      <w:r w:rsidR="004B2A57" w:rsidRPr="001B2175">
        <w:t>pipeline</w:t>
      </w:r>
      <w:r w:rsidR="004B2A57">
        <w:t>), proposed to be financed under the Additional Financing,</w:t>
      </w:r>
      <w:r w:rsidR="004B2A57" w:rsidRPr="001B2175">
        <w:t xml:space="preserve"> </w:t>
      </w:r>
      <w:r w:rsidR="004B2A57">
        <w:t xml:space="preserve">a </w:t>
      </w:r>
      <w:r w:rsidR="004B2A57" w:rsidRPr="001B2175">
        <w:t xml:space="preserve">specific </w:t>
      </w:r>
      <w:r w:rsidR="004B2A57" w:rsidRPr="004B2A57">
        <w:t>Environmental and Social Impact Assessment</w:t>
      </w:r>
      <w:r w:rsidR="004B2A57" w:rsidRPr="0031014F">
        <w:t xml:space="preserve"> </w:t>
      </w:r>
      <w:r w:rsidR="004B2A57">
        <w:t>(</w:t>
      </w:r>
      <w:r w:rsidR="004B2A57" w:rsidRPr="001B2175">
        <w:t>ESIA</w:t>
      </w:r>
      <w:r w:rsidR="004B2A57">
        <w:t xml:space="preserve">) </w:t>
      </w:r>
      <w:r w:rsidR="004B2A57" w:rsidRPr="001B2175">
        <w:t xml:space="preserve">and </w:t>
      </w:r>
      <w:r w:rsidR="004B2A57">
        <w:t>Resettlement Action Plan (</w:t>
      </w:r>
      <w:r w:rsidR="004B2A57" w:rsidRPr="001B2175">
        <w:t>RAP</w:t>
      </w:r>
      <w:r w:rsidR="004B2A57">
        <w:t xml:space="preserve">) would be required.  LESEP is currently in the process of preparing the request for proposals to recruit consultants to support the carrying out of these assessments and preparation of the necessary plans.  It is envisaged that the environmental mitigation plan and RAP would be ready for disclosure by April 2012. </w:t>
      </w:r>
      <w:r w:rsidR="004B2A57" w:rsidRPr="001B2175">
        <w:t xml:space="preserve"> </w:t>
      </w:r>
    </w:p>
    <w:p w:rsidR="00F7382A" w:rsidRDefault="00F7382A" w:rsidP="00623450">
      <w:pPr>
        <w:rPr>
          <w:b/>
          <w:highlight w:val="yellow"/>
        </w:rPr>
      </w:pPr>
    </w:p>
    <w:p w:rsidR="00F6348A" w:rsidRDefault="00F6348A" w:rsidP="009E37F6">
      <w:pPr>
        <w:rPr>
          <w:b/>
        </w:rPr>
      </w:pPr>
    </w:p>
    <w:p w:rsidR="00F6348A" w:rsidRDefault="00F6348A" w:rsidP="009E37F6">
      <w:pPr>
        <w:rPr>
          <w:b/>
        </w:rPr>
      </w:pPr>
    </w:p>
    <w:p w:rsidR="00F6348A" w:rsidRDefault="00F6348A" w:rsidP="009E37F6">
      <w:pPr>
        <w:rPr>
          <w:b/>
        </w:rPr>
      </w:pPr>
    </w:p>
    <w:p w:rsidR="00C46673" w:rsidRDefault="00C46673" w:rsidP="009E37F6">
      <w:pPr>
        <w:rPr>
          <w:b/>
        </w:rPr>
      </w:pPr>
    </w:p>
    <w:p w:rsidR="009E37F6" w:rsidRDefault="00A015C6" w:rsidP="009E37F6">
      <w:pPr>
        <w:rPr>
          <w:b/>
        </w:rPr>
      </w:pPr>
      <w:r>
        <w:rPr>
          <w:b/>
        </w:rPr>
        <w:t>Implementation Arrangements</w:t>
      </w:r>
    </w:p>
    <w:p w:rsidR="00A015C6" w:rsidRDefault="00A015C6" w:rsidP="009E37F6">
      <w:pPr>
        <w:rPr>
          <w:b/>
        </w:rPr>
      </w:pPr>
    </w:p>
    <w:p w:rsidR="00A015C6" w:rsidRDefault="00A015C6" w:rsidP="00F01188">
      <w:pPr>
        <w:pStyle w:val="Header"/>
        <w:numPr>
          <w:ilvl w:val="0"/>
          <w:numId w:val="18"/>
        </w:numPr>
        <w:tabs>
          <w:tab w:val="clear" w:pos="4320"/>
          <w:tab w:val="left" w:pos="720"/>
        </w:tabs>
        <w:ind w:left="0" w:firstLine="0"/>
      </w:pPr>
      <w:r w:rsidRPr="00D77AD5">
        <w:lastRenderedPageBreak/>
        <w:t xml:space="preserve">The </w:t>
      </w:r>
      <w:r>
        <w:t xml:space="preserve">additional financing will follow the same implementation arrangements as the original project. </w:t>
      </w:r>
      <w:r w:rsidR="00A47437">
        <w:t xml:space="preserve"> </w:t>
      </w:r>
      <w:r>
        <w:t xml:space="preserve">For the above mentioned components, LEC is the implementation agency and will responsible for the execution of Components A and C.  </w:t>
      </w:r>
      <w:r w:rsidRPr="00D77AD5">
        <w:t>Under this contract</w:t>
      </w:r>
      <w:r>
        <w:t xml:space="preserve"> management contract, LEC is </w:t>
      </w:r>
      <w:r w:rsidRPr="00D77AD5">
        <w:t>benefit</w:t>
      </w:r>
      <w:r>
        <w:t>ing</w:t>
      </w:r>
      <w:r w:rsidRPr="00D77AD5">
        <w:t xml:space="preserve"> from MC’s expertise and MHI assumes full management responsibility.  The project will rely on the institutional and legal agreement already in place for the implementation of the project.  This will help reduce the institutional and transaction costs associated with this project.  </w:t>
      </w:r>
    </w:p>
    <w:p w:rsidR="00A015C6" w:rsidRDefault="00A015C6" w:rsidP="00A015C6">
      <w:pPr>
        <w:pStyle w:val="Header"/>
        <w:tabs>
          <w:tab w:val="clear" w:pos="4320"/>
          <w:tab w:val="center" w:pos="540"/>
        </w:tabs>
      </w:pPr>
    </w:p>
    <w:p w:rsidR="00A015C6" w:rsidRDefault="00A015C6" w:rsidP="00F01188">
      <w:pPr>
        <w:pStyle w:val="Header"/>
        <w:numPr>
          <w:ilvl w:val="0"/>
          <w:numId w:val="18"/>
        </w:numPr>
        <w:tabs>
          <w:tab w:val="clear" w:pos="4320"/>
          <w:tab w:val="left" w:pos="720"/>
        </w:tabs>
        <w:ind w:left="0" w:firstLine="0"/>
      </w:pPr>
      <w:r>
        <w:t xml:space="preserve">The Results Framework under the project will be monitored by the implementing agencies of the various components.  Results will be submitted to the MLME for aggregation of results and reporting of these to the World Bank.  For components A and B, LEC will undertake this reporting.  Under the management contract, LEC has shown a good capacity in reporting these indicators through the monthly reports and through the capacity building.  </w:t>
      </w:r>
    </w:p>
    <w:p w:rsidR="00301651" w:rsidRDefault="00301651" w:rsidP="00301651">
      <w:pPr>
        <w:pStyle w:val="Header"/>
        <w:tabs>
          <w:tab w:val="clear" w:pos="4320"/>
          <w:tab w:val="center" w:pos="540"/>
        </w:tabs>
      </w:pPr>
    </w:p>
    <w:p w:rsidR="00A015C6" w:rsidRPr="00A015C6" w:rsidRDefault="00A015C6" w:rsidP="00F01188">
      <w:pPr>
        <w:pStyle w:val="Header"/>
        <w:numPr>
          <w:ilvl w:val="0"/>
          <w:numId w:val="18"/>
        </w:numPr>
        <w:tabs>
          <w:tab w:val="clear" w:pos="4320"/>
          <w:tab w:val="left" w:pos="720"/>
        </w:tabs>
        <w:ind w:left="0" w:firstLine="0"/>
        <w:rPr>
          <w:b/>
        </w:rPr>
      </w:pPr>
      <w:r w:rsidRPr="00D77AD5">
        <w:t>A project c</w:t>
      </w:r>
      <w:r>
        <w:t xml:space="preserve">oordinator has been </w:t>
      </w:r>
      <w:r w:rsidRPr="00D77AD5">
        <w:t>appointed and will report to the Chief Executive Officer of LEC.  The project c</w:t>
      </w:r>
      <w:r>
        <w:t xml:space="preserve">oordinator is </w:t>
      </w:r>
      <w:r w:rsidRPr="00D77AD5">
        <w:t xml:space="preserve">supported by an accountant, a procurement staff, and an environmental and social focal point currently working under LEC structure.  </w:t>
      </w:r>
    </w:p>
    <w:p w:rsidR="009E37F6" w:rsidRDefault="009E37F6" w:rsidP="00623450">
      <w:pPr>
        <w:rPr>
          <w:b/>
        </w:rPr>
      </w:pPr>
    </w:p>
    <w:p w:rsidR="00226F3E" w:rsidRDefault="00226F3E" w:rsidP="00226F3E">
      <w:pPr>
        <w:rPr>
          <w:b/>
        </w:rPr>
      </w:pPr>
    </w:p>
    <w:p w:rsidR="00A015C6" w:rsidRDefault="00A47437" w:rsidP="00226F3E">
      <w:pPr>
        <w:rPr>
          <w:b/>
        </w:rPr>
      </w:pPr>
      <w:r>
        <w:rPr>
          <w:b/>
        </w:rPr>
        <w:br w:type="page"/>
      </w:r>
    </w:p>
    <w:p w:rsidR="00484195" w:rsidRDefault="00A015C6" w:rsidP="003D2522">
      <w:pPr>
        <w:pStyle w:val="Heading1"/>
        <w:jc w:val="center"/>
      </w:pPr>
      <w:bookmarkStart w:id="13" w:name="_Toc308712770"/>
      <w:r>
        <w:t>Annex 4</w:t>
      </w:r>
      <w:r w:rsidRPr="00FB413A">
        <w:t xml:space="preserve">: </w:t>
      </w:r>
      <w:r w:rsidR="00A47437">
        <w:t xml:space="preserve"> </w:t>
      </w:r>
      <w:r w:rsidR="00FB413A" w:rsidRPr="00FB413A">
        <w:t>GEF Co-Financing for Component C:</w:t>
      </w:r>
      <w:bookmarkEnd w:id="13"/>
      <w:r w:rsidR="00FB413A" w:rsidRPr="00FB413A">
        <w:t xml:space="preserve"> </w:t>
      </w:r>
    </w:p>
    <w:p w:rsidR="00FB413A" w:rsidRPr="00FB413A" w:rsidRDefault="00FB413A" w:rsidP="003D2522">
      <w:pPr>
        <w:pStyle w:val="Heading1"/>
        <w:jc w:val="center"/>
      </w:pPr>
      <w:bookmarkStart w:id="14" w:name="_Toc308712771"/>
      <w:r w:rsidRPr="00FB413A">
        <w:t>Providing Modern Renewable Energy Services to Off-Grid Users</w:t>
      </w:r>
      <w:bookmarkEnd w:id="14"/>
    </w:p>
    <w:p w:rsidR="00FB413A" w:rsidRDefault="00FB413A" w:rsidP="00FB413A"/>
    <w:p w:rsidR="00FB413A" w:rsidRPr="009C5B7D" w:rsidRDefault="00FB413A" w:rsidP="00FB413A">
      <w:pPr>
        <w:rPr>
          <w:b/>
        </w:rPr>
      </w:pPr>
      <w:r w:rsidRPr="009C5B7D">
        <w:rPr>
          <w:b/>
        </w:rPr>
        <w:t xml:space="preserve">Background </w:t>
      </w:r>
    </w:p>
    <w:p w:rsidR="00FB413A" w:rsidRPr="006C6E68" w:rsidRDefault="00FB413A" w:rsidP="00FB413A">
      <w:pPr>
        <w:rPr>
          <w:b/>
          <w:sz w:val="28"/>
          <w:szCs w:val="28"/>
        </w:rPr>
      </w:pPr>
    </w:p>
    <w:p w:rsidR="00FB413A" w:rsidRDefault="00FB413A" w:rsidP="00F01188">
      <w:pPr>
        <w:pStyle w:val="Header"/>
        <w:numPr>
          <w:ilvl w:val="0"/>
          <w:numId w:val="30"/>
        </w:numPr>
        <w:tabs>
          <w:tab w:val="clear" w:pos="4320"/>
          <w:tab w:val="clear" w:pos="8640"/>
          <w:tab w:val="left" w:pos="720"/>
        </w:tabs>
        <w:ind w:left="0" w:firstLine="0"/>
      </w:pPr>
      <w:r>
        <w:t xml:space="preserve">The rate of access to the </w:t>
      </w:r>
      <w:r w:rsidR="00A12AD3">
        <w:t xml:space="preserve">national </w:t>
      </w:r>
      <w:r>
        <w:t>electric grid is</w:t>
      </w:r>
      <w:r w:rsidR="00A12AD3">
        <w:t xml:space="preserve"> effectively</w:t>
      </w:r>
      <w:r>
        <w:t xml:space="preserve"> 0%, with 1.5% of Monrovia’s population having access. Against this background, </w:t>
      </w:r>
      <w:r w:rsidRPr="00B85B65">
        <w:t xml:space="preserve">Liberia’s National Energy Policy (NEP) calls for electrifying 15% of rural Liberia and 30% of the country’s urban and </w:t>
      </w:r>
      <w:proofErr w:type="spellStart"/>
      <w:r w:rsidRPr="00B85B65">
        <w:t>peri</w:t>
      </w:r>
      <w:proofErr w:type="spellEnd"/>
      <w:r w:rsidRPr="00B85B65">
        <w:t>-urban areas by 2015. The NEP also calls for Liberia to be carbon neutral by 2050.  However, the financing available for scaling up Liberia’s rural access agenda is far from what is needed to achieve Liberia’s policy objectives.</w:t>
      </w:r>
      <w:r>
        <w:t xml:space="preserve"> With its high capital cost in excess of US$1000 per customer even in Liberia’s capital Monrovia, the extension of the electrical grid to all people of Liberia will not be realized for many years into the future. To achieve access to modern energy services earlier, programs in Liberia need to be based on innovative approaches that use cutting edge, affordable technologies. </w:t>
      </w:r>
      <w:r>
        <w:tab/>
      </w:r>
    </w:p>
    <w:p w:rsidR="00A12AD3" w:rsidRDefault="00A12AD3" w:rsidP="00A12AD3">
      <w:pPr>
        <w:pStyle w:val="Header"/>
        <w:tabs>
          <w:tab w:val="clear" w:pos="4320"/>
          <w:tab w:val="clear" w:pos="8640"/>
          <w:tab w:val="left" w:pos="720"/>
        </w:tabs>
      </w:pPr>
    </w:p>
    <w:p w:rsidR="00FB413A" w:rsidRDefault="00FB413A" w:rsidP="00A47437">
      <w:pPr>
        <w:pStyle w:val="Header"/>
        <w:numPr>
          <w:ilvl w:val="0"/>
          <w:numId w:val="30"/>
        </w:numPr>
        <w:tabs>
          <w:tab w:val="clear" w:pos="4320"/>
          <w:tab w:val="clear" w:pos="8640"/>
        </w:tabs>
        <w:ind w:left="0" w:firstLine="0"/>
      </w:pPr>
      <w:r>
        <w:t xml:space="preserve">This GEF-financed component proposes to introduce modern Light Emitting Diode (LED) devices, which are powered by renewable sources (mainly solar power) into Liberia’s market for lighting products. It inscribes itself thereby in </w:t>
      </w:r>
      <w:r w:rsidRPr="00362F77">
        <w:t>the World Bank/IFC Lighting Africa program</w:t>
      </w:r>
      <w:r>
        <w:t>, which</w:t>
      </w:r>
      <w:r w:rsidRPr="00362F77">
        <w:t xml:space="preserve"> </w:t>
      </w:r>
      <w:r w:rsidR="00A12AD3">
        <w:t xml:space="preserve">supports the commercial introduction and market scale-up of quality off-grid lighting products and is </w:t>
      </w:r>
      <w:r w:rsidRPr="00362F77">
        <w:t>helping to develop off-grid lighting markets in Sub-Saharan Africa. Lighting Africa is mobilizing the private sector to build sustainable markets to provide safe, affordable, and modern off-grid lighting to 2.5 million people in Africa by 2012 and to 250 million people by 2030.  Since 2010, close to 1.5 million people in Africa have cleaner, safer, better lighting and improved energy access because of the program.</w:t>
      </w:r>
      <w:r>
        <w:rPr>
          <w:rStyle w:val="FootnoteReference"/>
        </w:rPr>
        <w:footnoteReference w:id="9"/>
      </w:r>
      <w:r w:rsidRPr="00362F77">
        <w:t xml:space="preserve"> </w:t>
      </w:r>
    </w:p>
    <w:p w:rsidR="00FB413A" w:rsidRDefault="00FB413A" w:rsidP="00A47437"/>
    <w:p w:rsidR="00FB413A" w:rsidRPr="004537A1" w:rsidRDefault="00FB413A" w:rsidP="00A47437">
      <w:pPr>
        <w:pStyle w:val="Header"/>
        <w:numPr>
          <w:ilvl w:val="0"/>
          <w:numId w:val="30"/>
        </w:numPr>
        <w:tabs>
          <w:tab w:val="clear" w:pos="4320"/>
          <w:tab w:val="clear" w:pos="8640"/>
        </w:tabs>
        <w:ind w:left="0" w:firstLine="0"/>
      </w:pPr>
      <w:r w:rsidRPr="004537A1">
        <w:t xml:space="preserve">The Lighting Lives in Liberia program, based on the private sector platform of Lighting Africa, could reach one-third of the countryside in a short amount of time (eventually one million lives or 200,000 households), resulting in a highly visible, quick impact delivery of improved lighting and micro-systems to households, including in the country’s most neglected counties.  </w:t>
      </w:r>
    </w:p>
    <w:p w:rsidR="00FB413A" w:rsidRDefault="00FB413A" w:rsidP="00A47437"/>
    <w:p w:rsidR="00FB413A" w:rsidRDefault="00FB413A" w:rsidP="00D57350">
      <w:pPr>
        <w:pStyle w:val="Header"/>
        <w:numPr>
          <w:ilvl w:val="0"/>
          <w:numId w:val="30"/>
        </w:numPr>
        <w:tabs>
          <w:tab w:val="clear" w:pos="4320"/>
          <w:tab w:val="clear" w:pos="8640"/>
        </w:tabs>
        <w:ind w:left="0" w:firstLine="0"/>
      </w:pPr>
      <w:r w:rsidRPr="0025315A">
        <w:t xml:space="preserve">The proposed co-financing is intended to scale up </w:t>
      </w:r>
      <w:r>
        <w:t xml:space="preserve">LESEP </w:t>
      </w:r>
      <w:r w:rsidRPr="00F10E7A">
        <w:rPr>
          <w:i/>
        </w:rPr>
        <w:t>Component C:</w:t>
      </w:r>
      <w:r w:rsidRPr="0025315A">
        <w:t xml:space="preserve"> </w:t>
      </w:r>
      <w:r w:rsidRPr="0025315A">
        <w:rPr>
          <w:i/>
        </w:rPr>
        <w:t>Providing modern renewable energy services to off-grid users</w:t>
      </w:r>
      <w:r w:rsidRPr="0025315A">
        <w:t>.  In March 2011, the Government of Liberia requested a grant of $1</w:t>
      </w:r>
      <w:r w:rsidR="00FC5D78">
        <w:t>,</w:t>
      </w:r>
      <w:r>
        <w:t>454,540</w:t>
      </w:r>
      <w:r w:rsidRPr="0025315A">
        <w:t xml:space="preserve"> from the Global Environment Facility (GEF) for the launch of the Lighting Africa program in Liberia, which would primarily comprise a solar lantern exchange program entitled “Lighting lives in Liberia.”  The grant is intended to </w:t>
      </w:r>
      <w:r w:rsidRPr="0025315A">
        <w:rPr>
          <w:noProof/>
        </w:rPr>
        <w:t xml:space="preserve">catalyze private businesses to market and sell, on a large scale, solar lanterns using advanced LED and efficient CFL technologies to displace kerosene and other inefficient or fuel-based lighting, while improving the capacity of the Rural and Renewable Energy Agency (RREA) and the private sector, to ultimately reach a goal of serving 200,000 households or benefitting one million Liberian lives.  </w:t>
      </w:r>
      <w:r w:rsidRPr="0025315A">
        <w:t xml:space="preserve">The co-financing has been approved by the GEF CEO and the GEF Council, as of September 18 and </w:t>
      </w:r>
      <w:r w:rsidRPr="004C2CB1">
        <w:t xml:space="preserve">November </w:t>
      </w:r>
      <w:r>
        <w:t>9</w:t>
      </w:r>
      <w:r w:rsidRPr="004C2CB1">
        <w:t>, respectively.</w:t>
      </w:r>
    </w:p>
    <w:p w:rsidR="00FB413A" w:rsidRDefault="00FB413A" w:rsidP="00A47437">
      <w:pPr>
        <w:rPr>
          <w:noProof/>
        </w:rPr>
      </w:pPr>
    </w:p>
    <w:p w:rsidR="00FB413A" w:rsidRPr="00362F77" w:rsidRDefault="00FB413A" w:rsidP="00A47437">
      <w:pPr>
        <w:rPr>
          <w:b/>
          <w:noProof/>
        </w:rPr>
      </w:pPr>
      <w:r>
        <w:rPr>
          <w:b/>
          <w:noProof/>
        </w:rPr>
        <w:t>Incremental Costs</w:t>
      </w:r>
    </w:p>
    <w:p w:rsidR="00FB413A" w:rsidRDefault="00FB413A" w:rsidP="00A47437">
      <w:pPr>
        <w:rPr>
          <w:noProof/>
        </w:rPr>
      </w:pPr>
    </w:p>
    <w:p w:rsidR="00FB413A" w:rsidRPr="009C5B7D" w:rsidRDefault="00FB413A" w:rsidP="00D57350">
      <w:pPr>
        <w:pStyle w:val="Header"/>
        <w:numPr>
          <w:ilvl w:val="0"/>
          <w:numId w:val="30"/>
        </w:numPr>
        <w:tabs>
          <w:tab w:val="clear" w:pos="4320"/>
          <w:tab w:val="clear" w:pos="8640"/>
        </w:tabs>
        <w:ind w:left="0" w:firstLine="0"/>
        <w:rPr>
          <w:noProof/>
        </w:rPr>
      </w:pPr>
      <w:r w:rsidRPr="009C5B7D">
        <w:rPr>
          <w:noProof/>
        </w:rPr>
        <w:t xml:space="preserve">A </w:t>
      </w:r>
      <w:r>
        <w:rPr>
          <w:noProof/>
        </w:rPr>
        <w:t>2011</w:t>
      </w:r>
      <w:r w:rsidRPr="009C5B7D">
        <w:rPr>
          <w:noProof/>
        </w:rPr>
        <w:t xml:space="preserve"> national Willingness to Pay study conducted in Liberia with GPOBA support found that on average</w:t>
      </w:r>
      <w:r w:rsidR="00D70456">
        <w:rPr>
          <w:noProof/>
        </w:rPr>
        <w:t xml:space="preserve"> rural (non-Monrovia)</w:t>
      </w:r>
      <w:r w:rsidRPr="009C5B7D">
        <w:rPr>
          <w:noProof/>
        </w:rPr>
        <w:t xml:space="preserve"> Liberian consumers spend US$19.84 per month on energy, which ranges from $8.48 at the poorest quartile to $34.28 at the highest.  Of this, an average of $7.01 per month is spent on lighting alone, which ranges from $4.50 to $8.79.  Overall, energy expenditures account for about 11% of Liberian </w:t>
      </w:r>
      <w:r w:rsidR="00D70456">
        <w:rPr>
          <w:noProof/>
        </w:rPr>
        <w:t xml:space="preserve">rural </w:t>
      </w:r>
      <w:r w:rsidRPr="009C5B7D">
        <w:rPr>
          <w:noProof/>
        </w:rPr>
        <w:t xml:space="preserve">household expenditures, with the poorest households expending more on energy, as a percentage of total household expenditures, than </w:t>
      </w:r>
      <w:r w:rsidR="00D70456">
        <w:rPr>
          <w:noProof/>
        </w:rPr>
        <w:t>other</w:t>
      </w:r>
      <w:r w:rsidRPr="009C5B7D">
        <w:rPr>
          <w:noProof/>
        </w:rPr>
        <w:t xml:space="preserve"> </w:t>
      </w:r>
      <w:r>
        <w:rPr>
          <w:noProof/>
        </w:rPr>
        <w:t>households</w:t>
      </w:r>
      <w:r w:rsidRPr="009C5B7D">
        <w:rPr>
          <w:noProof/>
        </w:rPr>
        <w:t xml:space="preserve"> in higher income brackets.  </w:t>
      </w:r>
    </w:p>
    <w:p w:rsidR="00FB413A" w:rsidRPr="009C5B7D" w:rsidRDefault="00FB413A" w:rsidP="00A47437">
      <w:pPr>
        <w:rPr>
          <w:noProof/>
        </w:rPr>
      </w:pPr>
    </w:p>
    <w:p w:rsidR="00FB413A" w:rsidRPr="009C5B7D" w:rsidRDefault="00FB413A" w:rsidP="00D57350">
      <w:pPr>
        <w:pStyle w:val="Header"/>
        <w:numPr>
          <w:ilvl w:val="0"/>
          <w:numId w:val="30"/>
        </w:numPr>
        <w:tabs>
          <w:tab w:val="clear" w:pos="4320"/>
          <w:tab w:val="clear" w:pos="8640"/>
        </w:tabs>
        <w:ind w:left="0" w:firstLine="0"/>
        <w:rPr>
          <w:noProof/>
        </w:rPr>
      </w:pPr>
      <w:r w:rsidRPr="009C5B7D">
        <w:rPr>
          <w:noProof/>
        </w:rPr>
        <w:t>For lighting, the majority of households surveyed (64%) depend on one or more types of battery-operated lights, which range from small torches containing 1–5 LED bulbs to complex LED lamps containing 15 or more LED bulbs.  The average costs of such lights range from US$1.00–7.00, and due to their low quality they must be replaced every few weeks to months.  With the additional cost of disposable batteries, which are typically also low quality, the expenditures on battery-powered lighting equate to $10.43/kWh for the appliances and $1.61/kWh for the batteries.</w:t>
      </w:r>
      <w:r w:rsidR="00D70456">
        <w:rPr>
          <w:rStyle w:val="FootnoteReference"/>
          <w:noProof/>
        </w:rPr>
        <w:footnoteReference w:id="10"/>
      </w:r>
    </w:p>
    <w:p w:rsidR="00FB413A" w:rsidRPr="009C5B7D" w:rsidRDefault="00FB413A" w:rsidP="00A47437">
      <w:pPr>
        <w:rPr>
          <w:noProof/>
        </w:rPr>
      </w:pPr>
    </w:p>
    <w:p w:rsidR="00FB413A" w:rsidRPr="009C5B7D" w:rsidRDefault="00FB413A" w:rsidP="00D57350">
      <w:pPr>
        <w:pStyle w:val="Header"/>
        <w:numPr>
          <w:ilvl w:val="0"/>
          <w:numId w:val="30"/>
        </w:numPr>
        <w:tabs>
          <w:tab w:val="clear" w:pos="4320"/>
          <w:tab w:val="clear" w:pos="8640"/>
        </w:tabs>
        <w:ind w:left="0" w:firstLine="0"/>
        <w:rPr>
          <w:noProof/>
        </w:rPr>
      </w:pPr>
      <w:r w:rsidRPr="009C5B7D">
        <w:rPr>
          <w:noProof/>
        </w:rPr>
        <w:t xml:space="preserve">The survey found that today, only about 10% of Liberians depend on kerosene for </w:t>
      </w:r>
      <w:r>
        <w:rPr>
          <w:noProof/>
        </w:rPr>
        <w:t xml:space="preserve">lighting.  This reflects a </w:t>
      </w:r>
      <w:r w:rsidRPr="009C5B7D">
        <w:rPr>
          <w:noProof/>
        </w:rPr>
        <w:t>recent trend caused by (i) the widespread availability of cheap, battery-powered LED lights; (ii) the relative brightness of LEDs compared to kerosene; and (iii) and rising costs of kerosene coupled with lower availability in rural areas.  In addition, the relatively commonplace occurrence of household fires caused by kerosene and candles has provided a market pull</w:t>
      </w:r>
      <w:r>
        <w:rPr>
          <w:noProof/>
        </w:rPr>
        <w:t>.  H</w:t>
      </w:r>
      <w:r w:rsidRPr="009C5B7D">
        <w:rPr>
          <w:noProof/>
        </w:rPr>
        <w:t xml:space="preserve">ouseholds still using kerosene spend approximately US$6.80 per month, which equates to about $18.00/kWh.  The remainder of households </w:t>
      </w:r>
      <w:r w:rsidR="00B9796D">
        <w:rPr>
          <w:noProof/>
        </w:rPr>
        <w:t>that</w:t>
      </w:r>
      <w:r>
        <w:rPr>
          <w:noProof/>
        </w:rPr>
        <w:t xml:space="preserve"> participated in the WTP analysis used</w:t>
      </w:r>
      <w:r w:rsidRPr="009C5B7D">
        <w:rPr>
          <w:noProof/>
        </w:rPr>
        <w:t xml:space="preserve"> on electric bulbs, powered by small petrol or diesel generator; candles, or homemade palm oil lamps.  </w:t>
      </w:r>
    </w:p>
    <w:p w:rsidR="00FB413A" w:rsidRPr="009C5B7D" w:rsidRDefault="00FB413A" w:rsidP="00A47437">
      <w:pPr>
        <w:rPr>
          <w:noProof/>
        </w:rPr>
      </w:pPr>
    </w:p>
    <w:p w:rsidR="00FB413A" w:rsidRDefault="00FB413A" w:rsidP="00D57350">
      <w:pPr>
        <w:pStyle w:val="Header"/>
        <w:numPr>
          <w:ilvl w:val="0"/>
          <w:numId w:val="30"/>
        </w:numPr>
        <w:tabs>
          <w:tab w:val="clear" w:pos="4320"/>
          <w:tab w:val="clear" w:pos="8640"/>
        </w:tabs>
        <w:ind w:left="0" w:firstLine="0"/>
        <w:rPr>
          <w:noProof/>
        </w:rPr>
      </w:pPr>
      <w:r w:rsidRPr="009C5B7D">
        <w:rPr>
          <w:noProof/>
        </w:rPr>
        <w:t xml:space="preserve">Given the current amount of household expenditures put toward lighting, and the trend of consumer preferences moving from kerosene to LED lights, the introduction of high-quality, low-cost, solar powered lights is promising for Liberia.  The availability of high-quality solar-powered lights could displace 75% of current household energy expenditures on inferior sources of lighting, leaving this income available for other uses.  </w:t>
      </w:r>
    </w:p>
    <w:p w:rsidR="00FB413A" w:rsidRDefault="00FB413A" w:rsidP="00A47437">
      <w:pPr>
        <w:rPr>
          <w:noProof/>
        </w:rPr>
      </w:pPr>
    </w:p>
    <w:p w:rsidR="00FB413A" w:rsidRPr="009C5B7D" w:rsidRDefault="00FB413A" w:rsidP="00D57350">
      <w:pPr>
        <w:pStyle w:val="Header"/>
        <w:numPr>
          <w:ilvl w:val="0"/>
          <w:numId w:val="30"/>
        </w:numPr>
        <w:tabs>
          <w:tab w:val="clear" w:pos="4320"/>
          <w:tab w:val="clear" w:pos="8640"/>
        </w:tabs>
        <w:ind w:left="0" w:firstLine="0"/>
        <w:rPr>
          <w:noProof/>
        </w:rPr>
      </w:pPr>
      <w:r w:rsidRPr="009C5B7D">
        <w:rPr>
          <w:noProof/>
        </w:rPr>
        <w:t>In addition</w:t>
      </w:r>
      <w:r w:rsidR="00B9796D">
        <w:rPr>
          <w:noProof/>
        </w:rPr>
        <w:t xml:space="preserve"> to lighting</w:t>
      </w:r>
      <w:r w:rsidRPr="009C5B7D">
        <w:rPr>
          <w:noProof/>
        </w:rPr>
        <w:t xml:space="preserve">, households typically spend $5–15 per month to charge cell phones at diesel-powered booths (about $0.60 per phone per charge).  With many of the Lighting Africa approved lights also providing a cell phone charging capability, households will have the opportunity to save additional income at this same rate.  In fact, the price point of the “budget” Lighting Africa approved products equals not much more than the average household </w:t>
      </w:r>
      <w:r w:rsidRPr="009C5B7D">
        <w:rPr>
          <w:noProof/>
        </w:rPr>
        <w:lastRenderedPageBreak/>
        <w:t>expenditure of lighting and phone charging combined.  These potential savings would significantly improve the quality of life of off-grid households, and make increasing service levels of high-quality products more affordable over time.  In this way, households can climb the energy ladder from dependence on the smallest appliances to thriving with micro home systems.</w:t>
      </w:r>
    </w:p>
    <w:p w:rsidR="00FB413A" w:rsidRPr="00AE00F3" w:rsidRDefault="00FB413A" w:rsidP="00A47437">
      <w:pPr>
        <w:rPr>
          <w:noProof/>
        </w:rPr>
      </w:pPr>
    </w:p>
    <w:p w:rsidR="008F680F" w:rsidRDefault="008F680F" w:rsidP="008F680F">
      <w:pPr>
        <w:pStyle w:val="BodyTextIndent3"/>
        <w:numPr>
          <w:ilvl w:val="0"/>
          <w:numId w:val="30"/>
        </w:numPr>
        <w:autoSpaceDE/>
        <w:autoSpaceDN/>
        <w:adjustRightInd/>
        <w:spacing w:line="240" w:lineRule="auto"/>
        <w:ind w:left="0" w:firstLine="0"/>
        <w:rPr>
          <w:noProof/>
        </w:rPr>
      </w:pPr>
      <w:r w:rsidRPr="008F680F">
        <w:rPr>
          <w:rFonts w:ascii="Times New Roman" w:hAnsi="Times New Roman" w:cs="Times New Roman"/>
          <w:i w:val="0"/>
          <w:noProof/>
          <w:sz w:val="24"/>
        </w:rPr>
        <w:t xml:space="preserve">Typically the individual lights and lighting packages supported under Lighting Africa are priced between US$25–150 in relatively mature markets such as Kenya. This translates into a cost of electricity of US$1.49 - 5.21 range per kWh. This suggests that the support from the GEF program, which focuses on the barriers of product entry into the Liberian market, should translate into a rapid adoption of these products once they are known to the consumers. </w:t>
      </w:r>
    </w:p>
    <w:p w:rsidR="008F680F" w:rsidRPr="008F680F" w:rsidRDefault="008F680F" w:rsidP="008F680F">
      <w:pPr>
        <w:pStyle w:val="ListParagraph"/>
      </w:pPr>
    </w:p>
    <w:p w:rsidR="008F680F" w:rsidRPr="008F680F" w:rsidRDefault="00AE00F3" w:rsidP="008F680F">
      <w:pPr>
        <w:pStyle w:val="BodyTextIndent3"/>
        <w:numPr>
          <w:ilvl w:val="0"/>
          <w:numId w:val="30"/>
        </w:numPr>
        <w:autoSpaceDE/>
        <w:autoSpaceDN/>
        <w:adjustRightInd/>
        <w:spacing w:line="240" w:lineRule="auto"/>
        <w:ind w:left="0" w:firstLine="0"/>
        <w:rPr>
          <w:noProof/>
          <w:sz w:val="24"/>
        </w:rPr>
      </w:pPr>
      <w:r>
        <w:rPr>
          <w:rFonts w:ascii="Times New Roman" w:hAnsi="Times New Roman" w:cs="Times New Roman"/>
          <w:i w:val="0"/>
          <w:sz w:val="24"/>
        </w:rPr>
        <w:t>The below Table 1</w:t>
      </w:r>
      <w:r w:rsidR="008F680F" w:rsidRPr="008F680F">
        <w:rPr>
          <w:rFonts w:ascii="Times New Roman" w:hAnsi="Times New Roman" w:cs="Times New Roman"/>
          <w:i w:val="0"/>
          <w:sz w:val="24"/>
        </w:rPr>
        <w:t xml:space="preserve"> shows the incremental cost of the project.  It provides an analysis of the impact of GEF funding that will be put toward the solar lighting technology directly, which represents </w:t>
      </w:r>
      <w:r>
        <w:rPr>
          <w:rFonts w:ascii="Times New Roman" w:hAnsi="Times New Roman" w:cs="Times New Roman"/>
          <w:i w:val="0"/>
          <w:sz w:val="24"/>
        </w:rPr>
        <w:t xml:space="preserve">nearly </w:t>
      </w:r>
      <w:r w:rsidR="008F680F" w:rsidRPr="008F680F">
        <w:rPr>
          <w:rFonts w:ascii="Times New Roman" w:hAnsi="Times New Roman" w:cs="Times New Roman"/>
          <w:i w:val="0"/>
          <w:sz w:val="24"/>
        </w:rPr>
        <w:t>8</w:t>
      </w:r>
      <w:r>
        <w:rPr>
          <w:rFonts w:ascii="Times New Roman" w:hAnsi="Times New Roman" w:cs="Times New Roman"/>
          <w:i w:val="0"/>
          <w:sz w:val="24"/>
        </w:rPr>
        <w:t>0</w:t>
      </w:r>
      <w:r w:rsidR="008F680F" w:rsidRPr="008F680F">
        <w:rPr>
          <w:rFonts w:ascii="Times New Roman" w:hAnsi="Times New Roman" w:cs="Times New Roman"/>
          <w:i w:val="0"/>
          <w:sz w:val="24"/>
        </w:rPr>
        <w:t>% of the grant investment.</w:t>
      </w:r>
    </w:p>
    <w:p w:rsidR="00D73BEA" w:rsidRPr="00AE00F3" w:rsidRDefault="00D73BEA" w:rsidP="00D73BEA">
      <w:pPr>
        <w:pStyle w:val="Footer"/>
        <w:tabs>
          <w:tab w:val="clear" w:pos="4320"/>
          <w:tab w:val="clear" w:pos="8640"/>
          <w:tab w:val="num" w:pos="360"/>
          <w:tab w:val="left" w:pos="810"/>
        </w:tabs>
      </w:pPr>
    </w:p>
    <w:p w:rsidR="00D73BEA" w:rsidRDefault="00AE00F3" w:rsidP="00D73BEA">
      <w:pPr>
        <w:pStyle w:val="Footer"/>
        <w:tabs>
          <w:tab w:val="clear" w:pos="4320"/>
          <w:tab w:val="clear" w:pos="8640"/>
          <w:tab w:val="num" w:pos="360"/>
          <w:tab w:val="left" w:pos="810"/>
        </w:tabs>
        <w:rPr>
          <w:b/>
          <w:sz w:val="22"/>
          <w:szCs w:val="22"/>
        </w:rPr>
      </w:pPr>
      <w:proofErr w:type="gramStart"/>
      <w:r>
        <w:rPr>
          <w:b/>
          <w:sz w:val="22"/>
          <w:szCs w:val="22"/>
        </w:rPr>
        <w:t>Table 1</w:t>
      </w:r>
      <w:r w:rsidR="00D73BEA" w:rsidRPr="000D2114">
        <w:rPr>
          <w:b/>
          <w:sz w:val="22"/>
          <w:szCs w:val="22"/>
        </w:rPr>
        <w:t>.</w:t>
      </w:r>
      <w:proofErr w:type="gramEnd"/>
      <w:r w:rsidR="00D73BEA" w:rsidRPr="000D2114">
        <w:rPr>
          <w:b/>
          <w:sz w:val="22"/>
          <w:szCs w:val="22"/>
        </w:rPr>
        <w:t xml:space="preserve"> Incremental Costs of GEF Contribution</w:t>
      </w:r>
    </w:p>
    <w:tbl>
      <w:tblPr>
        <w:tblW w:w="5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420"/>
        <w:gridCol w:w="1760"/>
      </w:tblGrid>
      <w:tr w:rsidR="00D73BEA" w:rsidRPr="00283FC5" w:rsidTr="008B7268">
        <w:trPr>
          <w:trHeight w:val="510"/>
        </w:trPr>
        <w:tc>
          <w:tcPr>
            <w:tcW w:w="3420" w:type="dxa"/>
            <w:shd w:val="clear" w:color="auto" w:fill="auto"/>
            <w:hideMark/>
          </w:tcPr>
          <w:p w:rsidR="00D73BEA" w:rsidRPr="00283FC5" w:rsidRDefault="00D73BEA" w:rsidP="008B7268">
            <w:pPr>
              <w:rPr>
                <w:rFonts w:ascii="Calibri" w:hAnsi="Calibri"/>
                <w:color w:val="000000"/>
                <w:sz w:val="20"/>
                <w:szCs w:val="20"/>
              </w:rPr>
            </w:pPr>
            <w:r w:rsidRPr="00283FC5">
              <w:rPr>
                <w:rFonts w:ascii="Calibri" w:hAnsi="Calibri"/>
                <w:color w:val="000000"/>
                <w:sz w:val="20"/>
                <w:szCs w:val="20"/>
              </w:rPr>
              <w:t>GEF grant for purchase of solar lanterns</w:t>
            </w:r>
          </w:p>
        </w:tc>
        <w:tc>
          <w:tcPr>
            <w:tcW w:w="1760" w:type="dxa"/>
            <w:shd w:val="clear" w:color="auto" w:fill="auto"/>
            <w:hideMark/>
          </w:tcPr>
          <w:p w:rsidR="00D73BEA" w:rsidRPr="00283FC5" w:rsidRDefault="00D73BEA" w:rsidP="008B7268">
            <w:pPr>
              <w:jc w:val="right"/>
              <w:rPr>
                <w:rFonts w:ascii="Calibri" w:hAnsi="Calibri"/>
                <w:color w:val="000000"/>
                <w:sz w:val="20"/>
                <w:szCs w:val="20"/>
              </w:rPr>
            </w:pPr>
            <w:r w:rsidRPr="00283FC5">
              <w:rPr>
                <w:rFonts w:ascii="Calibri" w:hAnsi="Calibri"/>
                <w:color w:val="000000"/>
                <w:sz w:val="20"/>
                <w:szCs w:val="20"/>
              </w:rPr>
              <w:t xml:space="preserve">$1,124,540 </w:t>
            </w:r>
          </w:p>
        </w:tc>
      </w:tr>
      <w:tr w:rsidR="00D73BEA" w:rsidRPr="00283FC5" w:rsidTr="008B7268">
        <w:trPr>
          <w:trHeight w:val="510"/>
        </w:trPr>
        <w:tc>
          <w:tcPr>
            <w:tcW w:w="3420" w:type="dxa"/>
            <w:shd w:val="clear" w:color="auto" w:fill="auto"/>
            <w:hideMark/>
          </w:tcPr>
          <w:p w:rsidR="00D73BEA" w:rsidRPr="00283FC5" w:rsidRDefault="00D73BEA" w:rsidP="008B7268">
            <w:pPr>
              <w:rPr>
                <w:rFonts w:ascii="Calibri" w:hAnsi="Calibri"/>
                <w:color w:val="000000"/>
                <w:sz w:val="20"/>
                <w:szCs w:val="20"/>
              </w:rPr>
            </w:pPr>
            <w:r w:rsidRPr="00283FC5">
              <w:rPr>
                <w:rFonts w:ascii="Calibri" w:hAnsi="Calibri"/>
                <w:color w:val="000000"/>
                <w:sz w:val="20"/>
                <w:szCs w:val="20"/>
              </w:rPr>
              <w:t>Estimated cost for 100,000 budget solar lights (delivered to Monrovia)</w:t>
            </w:r>
          </w:p>
        </w:tc>
        <w:tc>
          <w:tcPr>
            <w:tcW w:w="1760" w:type="dxa"/>
            <w:shd w:val="clear" w:color="auto" w:fill="auto"/>
            <w:hideMark/>
          </w:tcPr>
          <w:p w:rsidR="00D73BEA" w:rsidRPr="00283FC5" w:rsidRDefault="00D73BEA" w:rsidP="008B7268">
            <w:pPr>
              <w:jc w:val="right"/>
              <w:rPr>
                <w:rFonts w:ascii="Calibri" w:hAnsi="Calibri"/>
                <w:color w:val="000000"/>
                <w:sz w:val="20"/>
                <w:szCs w:val="20"/>
              </w:rPr>
            </w:pPr>
            <w:r w:rsidRPr="00283FC5">
              <w:rPr>
                <w:rFonts w:ascii="Calibri" w:hAnsi="Calibri"/>
                <w:color w:val="000000"/>
                <w:sz w:val="20"/>
                <w:szCs w:val="20"/>
              </w:rPr>
              <w:t xml:space="preserve">$2,500,000 </w:t>
            </w:r>
          </w:p>
        </w:tc>
      </w:tr>
      <w:tr w:rsidR="00D73BEA" w:rsidRPr="00283FC5" w:rsidTr="008B7268">
        <w:trPr>
          <w:trHeight w:val="765"/>
        </w:trPr>
        <w:tc>
          <w:tcPr>
            <w:tcW w:w="3420" w:type="dxa"/>
            <w:shd w:val="clear" w:color="auto" w:fill="auto"/>
            <w:hideMark/>
          </w:tcPr>
          <w:p w:rsidR="00D73BEA" w:rsidRPr="00283FC5" w:rsidRDefault="00D73BEA" w:rsidP="008B7268">
            <w:pPr>
              <w:rPr>
                <w:rFonts w:ascii="Calibri" w:hAnsi="Calibri"/>
                <w:color w:val="000000"/>
                <w:sz w:val="20"/>
                <w:szCs w:val="20"/>
              </w:rPr>
            </w:pPr>
            <w:r w:rsidRPr="00283FC5">
              <w:rPr>
                <w:rFonts w:ascii="Calibri" w:hAnsi="Calibri"/>
                <w:color w:val="000000"/>
                <w:sz w:val="20"/>
                <w:szCs w:val="20"/>
              </w:rPr>
              <w:t>Retail cost per lantern (estimated based on current cost of budget-level Lighting Africa products)</w:t>
            </w:r>
          </w:p>
        </w:tc>
        <w:tc>
          <w:tcPr>
            <w:tcW w:w="1760" w:type="dxa"/>
            <w:shd w:val="clear" w:color="auto" w:fill="auto"/>
            <w:hideMark/>
          </w:tcPr>
          <w:p w:rsidR="00D73BEA" w:rsidRPr="00283FC5" w:rsidRDefault="00D73BEA" w:rsidP="008B7268">
            <w:pPr>
              <w:jc w:val="right"/>
              <w:rPr>
                <w:rFonts w:ascii="Calibri" w:hAnsi="Calibri"/>
                <w:color w:val="000000"/>
                <w:sz w:val="20"/>
                <w:szCs w:val="20"/>
              </w:rPr>
            </w:pPr>
            <w:r w:rsidRPr="00283FC5">
              <w:rPr>
                <w:rFonts w:ascii="Calibri" w:hAnsi="Calibri"/>
                <w:color w:val="000000"/>
                <w:sz w:val="20"/>
                <w:szCs w:val="20"/>
              </w:rPr>
              <w:t xml:space="preserve">$30 </w:t>
            </w:r>
          </w:p>
        </w:tc>
      </w:tr>
      <w:tr w:rsidR="00D73BEA" w:rsidRPr="00283FC5" w:rsidTr="008B7268">
        <w:trPr>
          <w:trHeight w:val="300"/>
        </w:trPr>
        <w:tc>
          <w:tcPr>
            <w:tcW w:w="3420" w:type="dxa"/>
            <w:shd w:val="clear" w:color="auto" w:fill="auto"/>
            <w:hideMark/>
          </w:tcPr>
          <w:p w:rsidR="00D73BEA" w:rsidRPr="00283FC5" w:rsidRDefault="00D73BEA" w:rsidP="008B7268">
            <w:pPr>
              <w:rPr>
                <w:rFonts w:ascii="Calibri" w:hAnsi="Calibri"/>
                <w:color w:val="000000"/>
                <w:sz w:val="20"/>
                <w:szCs w:val="20"/>
              </w:rPr>
            </w:pPr>
            <w:r w:rsidRPr="00283FC5">
              <w:rPr>
                <w:rFonts w:ascii="Calibri" w:hAnsi="Calibri"/>
                <w:color w:val="000000"/>
                <w:sz w:val="20"/>
                <w:szCs w:val="20"/>
              </w:rPr>
              <w:t>GEF grant per lantern</w:t>
            </w:r>
          </w:p>
        </w:tc>
        <w:tc>
          <w:tcPr>
            <w:tcW w:w="1760" w:type="dxa"/>
            <w:shd w:val="clear" w:color="auto" w:fill="auto"/>
            <w:hideMark/>
          </w:tcPr>
          <w:p w:rsidR="00D73BEA" w:rsidRPr="00283FC5" w:rsidRDefault="00D73BEA" w:rsidP="008B7268">
            <w:pPr>
              <w:jc w:val="right"/>
              <w:rPr>
                <w:rFonts w:ascii="Calibri" w:hAnsi="Calibri"/>
                <w:color w:val="000000"/>
                <w:sz w:val="20"/>
                <w:szCs w:val="20"/>
              </w:rPr>
            </w:pPr>
            <w:r w:rsidRPr="00283FC5">
              <w:rPr>
                <w:rFonts w:ascii="Calibri" w:hAnsi="Calibri"/>
                <w:color w:val="000000"/>
                <w:sz w:val="20"/>
                <w:szCs w:val="20"/>
              </w:rPr>
              <w:t xml:space="preserve">$11 </w:t>
            </w:r>
          </w:p>
        </w:tc>
      </w:tr>
      <w:tr w:rsidR="00D73BEA" w:rsidRPr="00283FC5" w:rsidTr="008B7268">
        <w:trPr>
          <w:trHeight w:val="510"/>
        </w:trPr>
        <w:tc>
          <w:tcPr>
            <w:tcW w:w="3420" w:type="dxa"/>
            <w:shd w:val="clear" w:color="auto" w:fill="auto"/>
            <w:hideMark/>
          </w:tcPr>
          <w:p w:rsidR="00D73BEA" w:rsidRPr="00283FC5" w:rsidRDefault="00D73BEA" w:rsidP="008B7268">
            <w:pPr>
              <w:rPr>
                <w:rFonts w:ascii="Calibri" w:hAnsi="Calibri"/>
                <w:color w:val="000000"/>
                <w:sz w:val="20"/>
                <w:szCs w:val="20"/>
              </w:rPr>
            </w:pPr>
            <w:r w:rsidRPr="00283FC5">
              <w:rPr>
                <w:rFonts w:ascii="Calibri" w:hAnsi="Calibri"/>
                <w:color w:val="000000"/>
                <w:sz w:val="20"/>
                <w:szCs w:val="20"/>
              </w:rPr>
              <w:t>Net cost/lantern (to be paid by private sector/ consumers)</w:t>
            </w:r>
          </w:p>
        </w:tc>
        <w:tc>
          <w:tcPr>
            <w:tcW w:w="1760" w:type="dxa"/>
            <w:shd w:val="clear" w:color="auto" w:fill="auto"/>
            <w:hideMark/>
          </w:tcPr>
          <w:p w:rsidR="00D73BEA" w:rsidRPr="00283FC5" w:rsidRDefault="00D73BEA" w:rsidP="008B7268">
            <w:pPr>
              <w:jc w:val="right"/>
              <w:rPr>
                <w:rFonts w:ascii="Calibri" w:hAnsi="Calibri"/>
                <w:color w:val="000000"/>
                <w:sz w:val="20"/>
                <w:szCs w:val="20"/>
              </w:rPr>
            </w:pPr>
            <w:r w:rsidRPr="00283FC5">
              <w:rPr>
                <w:rFonts w:ascii="Calibri" w:hAnsi="Calibri"/>
                <w:color w:val="000000"/>
                <w:sz w:val="20"/>
                <w:szCs w:val="20"/>
              </w:rPr>
              <w:t xml:space="preserve">$19 </w:t>
            </w:r>
          </w:p>
        </w:tc>
      </w:tr>
    </w:tbl>
    <w:p w:rsidR="00FB413A" w:rsidRDefault="00FB413A" w:rsidP="00A47437">
      <w:pPr>
        <w:rPr>
          <w:b/>
          <w:noProof/>
        </w:rPr>
      </w:pPr>
    </w:p>
    <w:p w:rsidR="00FB413A" w:rsidRDefault="00FB413A" w:rsidP="00A47437">
      <w:pPr>
        <w:rPr>
          <w:b/>
          <w:noProof/>
        </w:rPr>
      </w:pPr>
      <w:r>
        <w:rPr>
          <w:b/>
          <w:noProof/>
        </w:rPr>
        <w:t>Rationale for Intervention</w:t>
      </w:r>
    </w:p>
    <w:p w:rsidR="00FB413A" w:rsidRDefault="00FB413A" w:rsidP="00A47437">
      <w:pPr>
        <w:rPr>
          <w:noProof/>
        </w:rPr>
      </w:pPr>
    </w:p>
    <w:p w:rsidR="00FB413A" w:rsidRDefault="00FB413A" w:rsidP="00D57350">
      <w:pPr>
        <w:pStyle w:val="Header"/>
        <w:numPr>
          <w:ilvl w:val="0"/>
          <w:numId w:val="30"/>
        </w:numPr>
        <w:tabs>
          <w:tab w:val="clear" w:pos="4320"/>
          <w:tab w:val="clear" w:pos="8640"/>
        </w:tabs>
        <w:ind w:left="0" w:firstLine="0"/>
        <w:rPr>
          <w:noProof/>
        </w:rPr>
      </w:pPr>
      <w:r w:rsidRPr="004A559C">
        <w:rPr>
          <w:noProof/>
        </w:rPr>
        <w:t xml:space="preserve">By utilizing the tools of the Lighting Africa program and the foundation of the AFREA support program to the RREA, the Lighting Lives in Liberia approach is designed to address the failure of </w:t>
      </w:r>
      <w:r>
        <w:rPr>
          <w:noProof/>
        </w:rPr>
        <w:t>many</w:t>
      </w:r>
      <w:r w:rsidRPr="004A559C">
        <w:rPr>
          <w:noProof/>
        </w:rPr>
        <w:t xml:space="preserve"> previous solar PV projects and programs, such as those implemented in Liberia to date, which have been </w:t>
      </w:r>
      <w:r>
        <w:rPr>
          <w:noProof/>
        </w:rPr>
        <w:t>entirely</w:t>
      </w:r>
      <w:r w:rsidRPr="004A559C">
        <w:rPr>
          <w:noProof/>
        </w:rPr>
        <w:t xml:space="preserve"> donor driven and financed, with inadequate mechanisms put in place for long-term sustainability.  Such programs have not established workable solutions for rural communities, and have not adequately addressed the relatively high cost of conventional solar technology or the complexities associated with small-scale and dispersed rural markets. </w:t>
      </w:r>
      <w:r>
        <w:rPr>
          <w:noProof/>
        </w:rPr>
        <w:t>Many of the systems installed only a few years ago have fallen into disrepair or have been sold-on.</w:t>
      </w:r>
      <w:r w:rsidRPr="004A559C">
        <w:rPr>
          <w:noProof/>
        </w:rPr>
        <w:t xml:space="preserve"> This is why the proposed approach is designed as a public-private partnership, as both sectors are necessary for initial traction and long-term sustainability.</w:t>
      </w:r>
    </w:p>
    <w:p w:rsidR="00FB413A" w:rsidRPr="004A559C" w:rsidRDefault="00FB413A" w:rsidP="00A47437">
      <w:pPr>
        <w:rPr>
          <w:noProof/>
        </w:rPr>
      </w:pPr>
    </w:p>
    <w:p w:rsidR="00FB413A" w:rsidRPr="004A559C" w:rsidRDefault="00FB413A" w:rsidP="005522A2">
      <w:pPr>
        <w:pStyle w:val="Header"/>
        <w:numPr>
          <w:ilvl w:val="0"/>
          <w:numId w:val="30"/>
        </w:numPr>
        <w:tabs>
          <w:tab w:val="clear" w:pos="4320"/>
          <w:tab w:val="clear" w:pos="8640"/>
        </w:tabs>
        <w:ind w:left="0" w:firstLine="0"/>
        <w:rPr>
          <w:noProof/>
        </w:rPr>
      </w:pPr>
      <w:r w:rsidRPr="004A559C">
        <w:rPr>
          <w:noProof/>
        </w:rPr>
        <w:t xml:space="preserve">In new markets, such as Liberia's, demand and willingness to pay for higher performing lighting products are yet uncertain.  Firms that may want to get into business to supply such products in Liberia face </w:t>
      </w:r>
      <w:r>
        <w:rPr>
          <w:noProof/>
        </w:rPr>
        <w:t>multiple</w:t>
      </w:r>
      <w:r w:rsidRPr="004A559C">
        <w:rPr>
          <w:noProof/>
        </w:rPr>
        <w:t xml:space="preserve"> challenges and uncertainties that, for the consumers, limit product availability and/or raise prices:</w:t>
      </w:r>
    </w:p>
    <w:p w:rsidR="00FB413A" w:rsidRPr="004A559C" w:rsidRDefault="00FB413A" w:rsidP="00A47437">
      <w:pPr>
        <w:rPr>
          <w:noProof/>
        </w:rPr>
      </w:pPr>
    </w:p>
    <w:p w:rsidR="00FB413A" w:rsidRPr="004A559C" w:rsidRDefault="00FB413A" w:rsidP="00A47437">
      <w:pPr>
        <w:pStyle w:val="ListParagraph"/>
        <w:numPr>
          <w:ilvl w:val="0"/>
          <w:numId w:val="28"/>
        </w:numPr>
        <w:rPr>
          <w:noProof/>
        </w:rPr>
      </w:pPr>
      <w:r w:rsidRPr="004A559C">
        <w:rPr>
          <w:noProof/>
        </w:rPr>
        <w:t xml:space="preserve">Access to information is limited or is lacking entirely;  </w:t>
      </w:r>
    </w:p>
    <w:p w:rsidR="00FB413A" w:rsidRPr="004A559C" w:rsidRDefault="00FB413A" w:rsidP="00A47437">
      <w:pPr>
        <w:pStyle w:val="ListParagraph"/>
        <w:numPr>
          <w:ilvl w:val="0"/>
          <w:numId w:val="28"/>
        </w:numPr>
        <w:rPr>
          <w:noProof/>
        </w:rPr>
      </w:pPr>
      <w:r w:rsidRPr="004A559C">
        <w:rPr>
          <w:noProof/>
        </w:rPr>
        <w:t xml:space="preserve">Duty and tax structures are not prohibitive, but could be improved; </w:t>
      </w:r>
    </w:p>
    <w:p w:rsidR="00FB413A" w:rsidRPr="004A559C" w:rsidRDefault="00FB413A" w:rsidP="00A47437">
      <w:pPr>
        <w:pStyle w:val="ListParagraph"/>
        <w:numPr>
          <w:ilvl w:val="0"/>
          <w:numId w:val="28"/>
        </w:numPr>
        <w:rPr>
          <w:noProof/>
        </w:rPr>
      </w:pPr>
      <w:r w:rsidRPr="004A559C">
        <w:rPr>
          <w:noProof/>
        </w:rPr>
        <w:lastRenderedPageBreak/>
        <w:t>Port clearing procedures are costly and time-consuming, and lack transparency;</w:t>
      </w:r>
    </w:p>
    <w:p w:rsidR="00FB413A" w:rsidRPr="004A559C" w:rsidRDefault="00FB413A" w:rsidP="00A47437">
      <w:pPr>
        <w:pStyle w:val="ListParagraph"/>
        <w:numPr>
          <w:ilvl w:val="0"/>
          <w:numId w:val="28"/>
        </w:numPr>
        <w:rPr>
          <w:noProof/>
        </w:rPr>
      </w:pPr>
      <w:r w:rsidRPr="004A559C">
        <w:rPr>
          <w:noProof/>
        </w:rPr>
        <w:t>Consumer confidence is low or non-existent, making it unlikely that households will spend scarce resources on what are perceived as expensive lighting sources;</w:t>
      </w:r>
    </w:p>
    <w:p w:rsidR="00FB413A" w:rsidRPr="004A559C" w:rsidRDefault="00FB413A" w:rsidP="00A47437">
      <w:pPr>
        <w:pStyle w:val="ListParagraph"/>
        <w:numPr>
          <w:ilvl w:val="0"/>
          <w:numId w:val="28"/>
        </w:numPr>
        <w:rPr>
          <w:noProof/>
        </w:rPr>
      </w:pPr>
      <w:r w:rsidRPr="004A559C">
        <w:rPr>
          <w:noProof/>
        </w:rPr>
        <w:t>Transactions costs will be higher as firms are reluctant to import and stock these items in cost-effective quantities and set up the infrastructure to sell and service them until market demand is proven.  Firms would be purchasing products at smaller volumes and from secondary distributors in near-by countries and they may demand a higher risk premium for stocking these products.</w:t>
      </w:r>
    </w:p>
    <w:p w:rsidR="00FB413A" w:rsidRPr="004A559C" w:rsidRDefault="00FB413A" w:rsidP="00A47437">
      <w:pPr>
        <w:pStyle w:val="ListParagraph"/>
        <w:numPr>
          <w:ilvl w:val="0"/>
          <w:numId w:val="28"/>
        </w:numPr>
        <w:rPr>
          <w:noProof/>
        </w:rPr>
      </w:pPr>
      <w:r w:rsidRPr="004A559C">
        <w:rPr>
          <w:noProof/>
        </w:rPr>
        <w:t>Many firms lack the trade finance to import products in sufficient quantities, due to the requirement to pay 100% of the order cost before shipment.</w:t>
      </w:r>
    </w:p>
    <w:p w:rsidR="00FB413A" w:rsidRPr="004A559C" w:rsidRDefault="00FB413A" w:rsidP="00A47437">
      <w:pPr>
        <w:rPr>
          <w:noProof/>
        </w:rPr>
      </w:pPr>
    </w:p>
    <w:p w:rsidR="00FB413A" w:rsidRPr="004A559C" w:rsidRDefault="00FB413A" w:rsidP="005522A2">
      <w:pPr>
        <w:pStyle w:val="Header"/>
        <w:numPr>
          <w:ilvl w:val="0"/>
          <w:numId w:val="30"/>
        </w:numPr>
        <w:tabs>
          <w:tab w:val="clear" w:pos="4320"/>
          <w:tab w:val="clear" w:pos="8640"/>
        </w:tabs>
        <w:ind w:left="0" w:firstLine="0"/>
        <w:rPr>
          <w:noProof/>
        </w:rPr>
      </w:pPr>
      <w:r w:rsidRPr="004A559C">
        <w:rPr>
          <w:noProof/>
        </w:rPr>
        <w:t xml:space="preserve">Consequently, retail prices would be higher and supply and service networks less established, thus </w:t>
      </w:r>
      <w:r w:rsidR="00B9796D">
        <w:rPr>
          <w:noProof/>
        </w:rPr>
        <w:t>deterring</w:t>
      </w:r>
      <w:r w:rsidRPr="004A559C">
        <w:rPr>
          <w:noProof/>
        </w:rPr>
        <w:t xml:space="preserve"> consumers from purchasing and maintaining these products.  Consumers may continue to buy low quality off-grid electric lights that use disposable batteries due to their lower first cost and familiarity. Such products are currently flooding the Liberian market.  While such products are low cost initially, their life may be one week to a few months and they use disposable dry cell batteries whose costs add up hugely over time and whose disposal harms the environment.  The proposed program aims at tackling the above identified market barriers.</w:t>
      </w:r>
    </w:p>
    <w:p w:rsidR="00FB413A" w:rsidRDefault="00FB413A" w:rsidP="00A47437">
      <w:pPr>
        <w:widowControl w:val="0"/>
        <w:autoSpaceDE w:val="0"/>
        <w:autoSpaceDN w:val="0"/>
        <w:adjustRightInd w:val="0"/>
      </w:pPr>
    </w:p>
    <w:p w:rsidR="00FB413A" w:rsidRPr="002E5DF4" w:rsidRDefault="00FB413A" w:rsidP="00A47437">
      <w:pPr>
        <w:rPr>
          <w:b/>
        </w:rPr>
      </w:pPr>
      <w:r w:rsidRPr="002E5DF4">
        <w:rPr>
          <w:b/>
        </w:rPr>
        <w:t xml:space="preserve">Project Development Objective and </w:t>
      </w:r>
      <w:r>
        <w:rPr>
          <w:b/>
        </w:rPr>
        <w:t>Project Components</w:t>
      </w:r>
    </w:p>
    <w:p w:rsidR="00FB413A" w:rsidRDefault="00FB413A" w:rsidP="00A47437"/>
    <w:p w:rsidR="00FB413A" w:rsidRDefault="00FB413A" w:rsidP="005522A2">
      <w:pPr>
        <w:pStyle w:val="Header"/>
        <w:numPr>
          <w:ilvl w:val="0"/>
          <w:numId w:val="30"/>
        </w:numPr>
        <w:tabs>
          <w:tab w:val="clear" w:pos="4320"/>
          <w:tab w:val="clear" w:pos="8640"/>
        </w:tabs>
        <w:ind w:left="0" w:firstLine="0"/>
      </w:pPr>
      <w:r w:rsidRPr="005B0B55">
        <w:t xml:space="preserve">The project development objective </w:t>
      </w:r>
      <w:r>
        <w:t xml:space="preserve">(PDO) </w:t>
      </w:r>
      <w:r w:rsidRPr="005B0B55">
        <w:t>is</w:t>
      </w:r>
      <w:r>
        <w:t xml:space="preserve"> the same as the IDA project, namely</w:t>
      </w:r>
      <w:r w:rsidRPr="005B0B55">
        <w:t xml:space="preserve"> </w:t>
      </w:r>
      <w:r w:rsidRPr="009F042D">
        <w:rPr>
          <w:i/>
        </w:rPr>
        <w:t>to improve and increase access to electricity</w:t>
      </w:r>
      <w:r>
        <w:t xml:space="preserve"> in Liberia. </w:t>
      </w:r>
    </w:p>
    <w:p w:rsidR="00FB413A" w:rsidRDefault="00FB413A" w:rsidP="00A47437"/>
    <w:p w:rsidR="00FB413A" w:rsidRPr="00C46673" w:rsidRDefault="00380BEC" w:rsidP="005522A2">
      <w:pPr>
        <w:pStyle w:val="Header"/>
        <w:numPr>
          <w:ilvl w:val="0"/>
          <w:numId w:val="30"/>
        </w:numPr>
        <w:tabs>
          <w:tab w:val="clear" w:pos="4320"/>
          <w:tab w:val="clear" w:pos="8640"/>
        </w:tabs>
        <w:ind w:left="0" w:firstLine="0"/>
      </w:pPr>
      <w:r w:rsidRPr="00380BEC">
        <w:t xml:space="preserve">The global environmental objective of this GEF-financed component of the project is </w:t>
      </w:r>
      <w:r w:rsidRPr="00B9796D">
        <w:rPr>
          <w:i/>
        </w:rPr>
        <w:t>to reduce greenhouse gas emissions when compared with Liberia's emissions growth baseline</w:t>
      </w:r>
      <w:r w:rsidRPr="00380BEC">
        <w:t xml:space="preserve">, and thus to contribute to mitigating climate change. The greenhouse gas emissions from kerosene and disposable batteries will be reduced by the program, resulting in a direct offset of about </w:t>
      </w:r>
      <w:r w:rsidR="00B9796D">
        <w:t>335</w:t>
      </w:r>
      <w:r w:rsidRPr="00380BEC">
        <w:t xml:space="preserve">,000 tons of CO2 emissions over the lifetime of the “Lighting Africa” products. </w:t>
      </w:r>
      <w:r w:rsidR="00FB413A" w:rsidRPr="00C46673">
        <w:t xml:space="preserve"> </w:t>
      </w:r>
    </w:p>
    <w:p w:rsidR="00FB413A" w:rsidRDefault="00FB413A" w:rsidP="00A47437"/>
    <w:p w:rsidR="00FB413A" w:rsidRDefault="00FB413A" w:rsidP="005522A2">
      <w:pPr>
        <w:pStyle w:val="Header"/>
        <w:numPr>
          <w:ilvl w:val="0"/>
          <w:numId w:val="30"/>
        </w:numPr>
        <w:tabs>
          <w:tab w:val="clear" w:pos="4320"/>
          <w:tab w:val="clear" w:pos="8640"/>
        </w:tabs>
        <w:ind w:left="0" w:firstLine="0"/>
      </w:pPr>
      <w:r w:rsidRPr="006F7EA2">
        <w:t xml:space="preserve">The proposed GEF </w:t>
      </w:r>
      <w:r>
        <w:t>component will</w:t>
      </w:r>
      <w:r w:rsidRPr="006F7EA2">
        <w:t xml:space="preserve"> seed the off-grid lighting market through a lantern exchange program, which would include supporting commercial marketing and sales of</w:t>
      </w:r>
      <w:r>
        <w:t xml:space="preserve"> about</w:t>
      </w:r>
      <w:r w:rsidRPr="006F7EA2">
        <w:t xml:space="preserve"> 100,000 </w:t>
      </w:r>
      <w:r>
        <w:t>solar lights</w:t>
      </w:r>
      <w:r w:rsidRPr="006F7EA2">
        <w:t xml:space="preserve"> while removing an equal number of polluting and low-quality </w:t>
      </w:r>
      <w:r>
        <w:t xml:space="preserve">lanterns and </w:t>
      </w:r>
      <w:r w:rsidRPr="006F7EA2">
        <w:t xml:space="preserve">products (including disposable battery-powered lights and kerosene) from household use. </w:t>
      </w:r>
      <w:r>
        <w:t>T</w:t>
      </w:r>
      <w:r w:rsidRPr="00636C7C">
        <w:t xml:space="preserve">he </w:t>
      </w:r>
      <w:r>
        <w:t>GEF component effectively</w:t>
      </w:r>
      <w:r w:rsidRPr="00636C7C">
        <w:t xml:space="preserve"> creates is a revolving working capital fund, utilizing incoming payments from retail partners to import additional products and further support the expansion of the market.</w:t>
      </w:r>
      <w:r w:rsidRPr="006F7EA2">
        <w:t xml:space="preserve"> </w:t>
      </w:r>
    </w:p>
    <w:p w:rsidR="00FB413A" w:rsidRDefault="00FB413A" w:rsidP="00A47437"/>
    <w:p w:rsidR="00FB413A" w:rsidRDefault="00FB413A" w:rsidP="005522A2">
      <w:pPr>
        <w:pStyle w:val="Header"/>
        <w:numPr>
          <w:ilvl w:val="0"/>
          <w:numId w:val="30"/>
        </w:numPr>
        <w:tabs>
          <w:tab w:val="clear" w:pos="4320"/>
          <w:tab w:val="clear" w:pos="8640"/>
        </w:tabs>
        <w:ind w:left="0" w:firstLine="0"/>
      </w:pPr>
      <w:r>
        <w:t>The envisaged lantern sales are intended to be enabled through the following mechanisms: (</w:t>
      </w:r>
      <w:proofErr w:type="spellStart"/>
      <w:r>
        <w:t>i</w:t>
      </w:r>
      <w:proofErr w:type="spellEnd"/>
      <w:proofErr w:type="gramStart"/>
      <w:r>
        <w:t>) subsidizing</w:t>
      </w:r>
      <w:proofErr w:type="gramEnd"/>
      <w:r>
        <w:t xml:space="preserve"> the import of the products, so that they can be sold at wholesale cost</w:t>
      </w:r>
      <w:r w:rsidR="00B9796D">
        <w:t xml:space="preserve">. Subsidies will be phased out by the end of the program to ensure full commercial sustainability; </w:t>
      </w:r>
      <w:r>
        <w:t xml:space="preserve"> (ii) provision of trade finance to vetted retailers, so that they can afford to enter the off-grid lighting market in the absence of favorable lending terms from commercial banks; (iii) business support to these same retailers, in the areas of technical training and consumer outreach; (iv) consumer education on solar lighting products, the Lighting Africa program, and </w:t>
      </w:r>
      <w:r>
        <w:lastRenderedPageBreak/>
        <w:t xml:space="preserve">the availability of discounts for surrendered working kerosene or low-quality battery-powered lights; (v) putting the market entry risk on the public sector (RREA), so that products can enter Liberia’s market and consumers gain familiarity; and (vi) </w:t>
      </w:r>
      <w:r w:rsidRPr="003F10F1">
        <w:t>working with government stakeholders to</w:t>
      </w:r>
      <w:r>
        <w:t xml:space="preserve"> improve the policy and regulatory environment to help lower the barriers to business development. </w:t>
      </w:r>
      <w:r w:rsidRPr="00636C7C">
        <w:t>The below figure shows the product, financial, service, and technical assistance flows of the GEF program.</w:t>
      </w:r>
    </w:p>
    <w:p w:rsidR="00FB413A" w:rsidRDefault="00FB413A" w:rsidP="00FB413A">
      <w:pPr>
        <w:pStyle w:val="Footer"/>
        <w:jc w:val="both"/>
      </w:pPr>
    </w:p>
    <w:p w:rsidR="00E12DE7" w:rsidRDefault="00E12DE7" w:rsidP="00FB413A">
      <w:pPr>
        <w:pStyle w:val="Footer"/>
        <w:jc w:val="both"/>
      </w:pPr>
    </w:p>
    <w:p w:rsidR="00E12DE7" w:rsidRDefault="00E12DE7" w:rsidP="00FB413A">
      <w:pPr>
        <w:pStyle w:val="Footer"/>
        <w:jc w:val="both"/>
      </w:pPr>
    </w:p>
    <w:p w:rsidR="00FB413A" w:rsidRPr="00232DD3" w:rsidRDefault="00FB413A" w:rsidP="00E12DE7">
      <w:pPr>
        <w:pStyle w:val="Footer"/>
        <w:keepNext/>
        <w:keepLines/>
        <w:jc w:val="both"/>
        <w:rPr>
          <w:b/>
        </w:rPr>
      </w:pPr>
      <w:r w:rsidRPr="00232DD3">
        <w:rPr>
          <w:b/>
        </w:rPr>
        <w:t>Figure 1: Interaction of Stakeholders under the Lighting Lives Program</w:t>
      </w:r>
    </w:p>
    <w:p w:rsidR="00FB413A" w:rsidRDefault="00FB413A" w:rsidP="00E12DE7">
      <w:pPr>
        <w:pStyle w:val="Footer"/>
        <w:keepNext/>
        <w:keepLines/>
        <w:jc w:val="both"/>
      </w:pPr>
    </w:p>
    <w:p w:rsidR="00FB413A" w:rsidRDefault="0035474B" w:rsidP="00E12DE7">
      <w:pPr>
        <w:pStyle w:val="Footer"/>
        <w:keepNext/>
        <w:keepLines/>
        <w:jc w:val="center"/>
        <w:rPr>
          <w:noProof/>
        </w:rPr>
      </w:pPr>
      <w:r>
        <w:rPr>
          <w:noProof/>
        </w:rPr>
        <w:pict>
          <v:shape id="Picture 2" o:spid="_x0000_i1028" type="#_x0000_t75" style="width:342.65pt;height:206pt;visibility:visible">
            <v:imagedata r:id="rId22" o:title=""/>
          </v:shape>
        </w:pict>
      </w:r>
    </w:p>
    <w:p w:rsidR="00A47437" w:rsidRDefault="00A47437" w:rsidP="00FB413A">
      <w:pPr>
        <w:pStyle w:val="Footer"/>
        <w:jc w:val="center"/>
        <w:rPr>
          <w:noProof/>
        </w:rPr>
      </w:pPr>
    </w:p>
    <w:p w:rsidR="00A47437" w:rsidRDefault="00A47437" w:rsidP="00FB413A">
      <w:pPr>
        <w:pStyle w:val="Footer"/>
        <w:jc w:val="center"/>
      </w:pPr>
    </w:p>
    <w:p w:rsidR="00FB413A" w:rsidRDefault="00FB413A" w:rsidP="005522A2">
      <w:pPr>
        <w:pStyle w:val="Header"/>
        <w:numPr>
          <w:ilvl w:val="0"/>
          <w:numId w:val="30"/>
        </w:numPr>
        <w:tabs>
          <w:tab w:val="clear" w:pos="4320"/>
          <w:tab w:val="clear" w:pos="8640"/>
        </w:tabs>
        <w:ind w:left="0" w:firstLine="0"/>
      </w:pPr>
      <w:r w:rsidRPr="00ED59BE">
        <w:rPr>
          <w:b/>
        </w:rPr>
        <w:t xml:space="preserve">The role of women in </w:t>
      </w:r>
      <w:r>
        <w:rPr>
          <w:b/>
        </w:rPr>
        <w:t xml:space="preserve">making choices for </w:t>
      </w:r>
      <w:r w:rsidRPr="00ED59BE">
        <w:rPr>
          <w:b/>
        </w:rPr>
        <w:t>lighting</w:t>
      </w:r>
      <w:r>
        <w:rPr>
          <w:b/>
        </w:rPr>
        <w:t xml:space="preserve"> devices</w:t>
      </w:r>
      <w:r w:rsidRPr="00ED59BE">
        <w:rPr>
          <w:b/>
        </w:rPr>
        <w:t>:</w:t>
      </w:r>
      <w:r>
        <w:t xml:space="preserve"> women and men alike stand to benefit greatly from better lighting and energy access.  Entrepreneurial women, like men, have a particular stake, since modern lighting and communications technology enable them to strengthen their enterprises.  However, tailored approaches that offer a range of lighting options for different contexts and needs are warranted.  The types of businesses women and men operate shape their lighting preferences.  Women also have specific concerns when purchasing lighting: in particular, health concerns (e.g. indoor pollution for children, and burns) are observed to be more a consideration for women than for men in choosing lighting alternatives.  Finally, women’s access to financing can differ from that of men, tending to be informal.  </w:t>
      </w:r>
    </w:p>
    <w:p w:rsidR="00FB413A" w:rsidRDefault="00FB413A" w:rsidP="00FB413A">
      <w:pPr>
        <w:pStyle w:val="Footer"/>
        <w:tabs>
          <w:tab w:val="center" w:pos="990"/>
        </w:tabs>
      </w:pPr>
    </w:p>
    <w:p w:rsidR="00FB413A" w:rsidRDefault="00FB413A" w:rsidP="005522A2">
      <w:pPr>
        <w:pStyle w:val="Header"/>
        <w:numPr>
          <w:ilvl w:val="0"/>
          <w:numId w:val="30"/>
        </w:numPr>
        <w:tabs>
          <w:tab w:val="clear" w:pos="4320"/>
          <w:tab w:val="clear" w:pos="8640"/>
        </w:tabs>
        <w:ind w:left="0" w:firstLine="0"/>
      </w:pPr>
      <w:r>
        <w:t>In the context of access to energy and lighting, the aim is to identify whether there are any women-specific opportunities in the off-grid lighting market that could enhance product profitability while also improving lives.  The proposed project will seek to build such opportunities and strengthen the role of women in the off-grid lighting market.  For instance, it is anticipated that Liberia’s market women’s network would be involved in the proposed activities as a retail partner.</w:t>
      </w:r>
    </w:p>
    <w:p w:rsidR="00FB413A" w:rsidRDefault="00FB413A" w:rsidP="00FB413A">
      <w:pPr>
        <w:pStyle w:val="Footer"/>
        <w:tabs>
          <w:tab w:val="clear" w:pos="4320"/>
          <w:tab w:val="center" w:pos="990"/>
        </w:tabs>
      </w:pPr>
    </w:p>
    <w:p w:rsidR="00FB413A" w:rsidRDefault="00FB413A" w:rsidP="005522A2">
      <w:pPr>
        <w:pStyle w:val="Header"/>
        <w:numPr>
          <w:ilvl w:val="0"/>
          <w:numId w:val="30"/>
        </w:numPr>
        <w:tabs>
          <w:tab w:val="clear" w:pos="4320"/>
          <w:tab w:val="clear" w:pos="8640"/>
        </w:tabs>
        <w:ind w:left="0" w:firstLine="0"/>
      </w:pPr>
      <w:r w:rsidRPr="00997ABD">
        <w:rPr>
          <w:b/>
        </w:rPr>
        <w:t>Project structure.</w:t>
      </w:r>
      <w:r>
        <w:t xml:space="preserve"> </w:t>
      </w:r>
      <w:r w:rsidRPr="00C21B62">
        <w:t xml:space="preserve">The Lighting Lives in Liberia project is composed of </w:t>
      </w:r>
      <w:r>
        <w:t xml:space="preserve">three components. Component 1 provides for the enabling framework of the project, Component 2 is </w:t>
      </w:r>
      <w:r>
        <w:lastRenderedPageBreak/>
        <w:t xml:space="preserve">dedicated t piloting the “Lighting Africa” products in Liberia, and Component 3 is for project management. Table </w:t>
      </w:r>
      <w:r w:rsidR="00AE00F3">
        <w:t>2</w:t>
      </w:r>
      <w:r>
        <w:t xml:space="preserve"> below gives the financing breakdown by component and gives an overview of the expected project outcomes.</w:t>
      </w:r>
    </w:p>
    <w:p w:rsidR="00F01188" w:rsidRDefault="00F01188" w:rsidP="00FB413A">
      <w:pPr>
        <w:pStyle w:val="Footer"/>
      </w:pPr>
    </w:p>
    <w:p w:rsidR="00FB413A" w:rsidRPr="00636C7C" w:rsidRDefault="00FB413A" w:rsidP="00FB413A">
      <w:pPr>
        <w:pStyle w:val="Footer"/>
        <w:rPr>
          <w:b/>
        </w:rPr>
      </w:pPr>
      <w:r>
        <w:rPr>
          <w:b/>
        </w:rPr>
        <w:tab/>
      </w:r>
      <w:r w:rsidRPr="00636C7C">
        <w:rPr>
          <w:b/>
        </w:rPr>
        <w:t xml:space="preserve">Table </w:t>
      </w:r>
      <w:r w:rsidR="00AE00F3">
        <w:rPr>
          <w:b/>
        </w:rPr>
        <w:t>2</w:t>
      </w:r>
      <w:r w:rsidRPr="00636C7C">
        <w:rPr>
          <w:b/>
        </w:rPr>
        <w:t>: Project by Components and Expected Project Outcomes</w:t>
      </w:r>
    </w:p>
    <w:p w:rsidR="00FB413A" w:rsidRPr="00C21B62" w:rsidRDefault="00FB413A" w:rsidP="00FB413A">
      <w:pPr>
        <w:pStyle w:val="Foote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634"/>
        <w:gridCol w:w="4026"/>
        <w:gridCol w:w="1349"/>
        <w:gridCol w:w="1347"/>
      </w:tblGrid>
      <w:tr w:rsidR="00FB413A" w:rsidRPr="00C21B62" w:rsidTr="00E12DE7">
        <w:trPr>
          <w:trHeight w:val="854"/>
          <w:jc w:val="center"/>
        </w:trPr>
        <w:tc>
          <w:tcPr>
            <w:tcW w:w="1407" w:type="pct"/>
            <w:shd w:val="clear" w:color="auto" w:fill="auto"/>
            <w:tcMar>
              <w:top w:w="72" w:type="dxa"/>
              <w:left w:w="72" w:type="dxa"/>
              <w:bottom w:w="72" w:type="dxa"/>
              <w:right w:w="72" w:type="dxa"/>
            </w:tcMar>
            <w:vAlign w:val="center"/>
          </w:tcPr>
          <w:p w:rsidR="00FB413A" w:rsidRPr="004C383D" w:rsidRDefault="00FB413A" w:rsidP="00953095">
            <w:pPr>
              <w:pStyle w:val="Footer"/>
              <w:jc w:val="both"/>
              <w:rPr>
                <w:b/>
                <w:iCs/>
              </w:rPr>
            </w:pPr>
            <w:r w:rsidRPr="004C383D">
              <w:rPr>
                <w:b/>
                <w:iCs/>
                <w:sz w:val="22"/>
                <w:szCs w:val="22"/>
              </w:rPr>
              <w:t>Project Components</w:t>
            </w:r>
          </w:p>
        </w:tc>
        <w:tc>
          <w:tcPr>
            <w:tcW w:w="2151" w:type="pct"/>
            <w:shd w:val="clear" w:color="auto" w:fill="auto"/>
            <w:tcMar>
              <w:top w:w="72" w:type="dxa"/>
              <w:left w:w="72" w:type="dxa"/>
              <w:bottom w:w="72" w:type="dxa"/>
              <w:right w:w="72" w:type="dxa"/>
            </w:tcMar>
            <w:vAlign w:val="center"/>
          </w:tcPr>
          <w:p w:rsidR="00FB413A" w:rsidRPr="004C383D" w:rsidRDefault="00FB413A" w:rsidP="00953095">
            <w:pPr>
              <w:pStyle w:val="Footer"/>
              <w:jc w:val="both"/>
              <w:rPr>
                <w:b/>
                <w:iCs/>
              </w:rPr>
            </w:pPr>
            <w:r>
              <w:rPr>
                <w:b/>
                <w:iCs/>
                <w:sz w:val="22"/>
                <w:szCs w:val="22"/>
              </w:rPr>
              <w:t>Expected Outcomes</w:t>
            </w:r>
          </w:p>
        </w:tc>
        <w:tc>
          <w:tcPr>
            <w:tcW w:w="721" w:type="pct"/>
            <w:shd w:val="clear" w:color="auto" w:fill="auto"/>
            <w:tcMar>
              <w:top w:w="72" w:type="dxa"/>
              <w:left w:w="72" w:type="dxa"/>
              <w:bottom w:w="72" w:type="dxa"/>
              <w:right w:w="72" w:type="dxa"/>
            </w:tcMar>
            <w:vAlign w:val="center"/>
          </w:tcPr>
          <w:p w:rsidR="00FB413A" w:rsidRPr="004C383D" w:rsidRDefault="00FB413A" w:rsidP="00953095">
            <w:pPr>
              <w:pStyle w:val="Footer"/>
              <w:rPr>
                <w:b/>
                <w:iCs/>
              </w:rPr>
            </w:pPr>
            <w:r w:rsidRPr="004C383D">
              <w:rPr>
                <w:b/>
                <w:iCs/>
                <w:sz w:val="22"/>
                <w:szCs w:val="22"/>
              </w:rPr>
              <w:t>Financing from GEF</w:t>
            </w:r>
          </w:p>
          <w:p w:rsidR="00FB413A" w:rsidRPr="004C383D" w:rsidRDefault="00FB413A" w:rsidP="00953095">
            <w:pPr>
              <w:pStyle w:val="Footer"/>
              <w:rPr>
                <w:iCs/>
              </w:rPr>
            </w:pPr>
            <w:r w:rsidRPr="004C383D">
              <w:rPr>
                <w:b/>
                <w:iCs/>
                <w:sz w:val="22"/>
                <w:szCs w:val="22"/>
              </w:rPr>
              <w:t xml:space="preserve">(US$) </w:t>
            </w:r>
          </w:p>
        </w:tc>
        <w:tc>
          <w:tcPr>
            <w:tcW w:w="720" w:type="pct"/>
            <w:shd w:val="clear" w:color="auto" w:fill="auto"/>
            <w:tcMar>
              <w:top w:w="72" w:type="dxa"/>
              <w:left w:w="72" w:type="dxa"/>
              <w:bottom w:w="72" w:type="dxa"/>
              <w:right w:w="72" w:type="dxa"/>
            </w:tcMar>
            <w:vAlign w:val="center"/>
          </w:tcPr>
          <w:p w:rsidR="00FB413A" w:rsidRPr="004C383D" w:rsidRDefault="00FB413A" w:rsidP="00953095">
            <w:pPr>
              <w:pStyle w:val="Footer"/>
              <w:rPr>
                <w:b/>
                <w:iCs/>
              </w:rPr>
            </w:pPr>
          </w:p>
          <w:p w:rsidR="00FB413A" w:rsidRPr="004C383D" w:rsidRDefault="00FB413A" w:rsidP="00953095">
            <w:pPr>
              <w:pStyle w:val="Footer"/>
              <w:rPr>
                <w:b/>
                <w:iCs/>
              </w:rPr>
            </w:pPr>
            <w:r w:rsidRPr="004C383D">
              <w:rPr>
                <w:b/>
                <w:iCs/>
                <w:sz w:val="22"/>
                <w:szCs w:val="22"/>
              </w:rPr>
              <w:t>Co-financing</w:t>
            </w:r>
          </w:p>
          <w:p w:rsidR="00FB413A" w:rsidRPr="004C383D" w:rsidRDefault="00FB413A" w:rsidP="00953095">
            <w:pPr>
              <w:pStyle w:val="Footer"/>
              <w:rPr>
                <w:iCs/>
              </w:rPr>
            </w:pPr>
            <w:r w:rsidRPr="004C383D">
              <w:rPr>
                <w:b/>
                <w:iCs/>
                <w:sz w:val="22"/>
                <w:szCs w:val="22"/>
              </w:rPr>
              <w:t xml:space="preserve">(US$) </w:t>
            </w:r>
            <w:r w:rsidRPr="004C383D">
              <w:rPr>
                <w:b/>
                <w:iCs/>
                <w:sz w:val="22"/>
                <w:szCs w:val="22"/>
              </w:rPr>
              <w:br/>
            </w:r>
          </w:p>
        </w:tc>
      </w:tr>
      <w:tr w:rsidR="00FB413A" w:rsidRPr="00C21B62" w:rsidTr="00E12DE7">
        <w:trPr>
          <w:trHeight w:val="278"/>
          <w:jc w:val="center"/>
        </w:trPr>
        <w:tc>
          <w:tcPr>
            <w:tcW w:w="1407" w:type="pct"/>
            <w:shd w:val="clear" w:color="auto" w:fill="FFFFFF"/>
            <w:tcMar>
              <w:top w:w="72" w:type="dxa"/>
              <w:left w:w="72" w:type="dxa"/>
              <w:bottom w:w="72" w:type="dxa"/>
              <w:right w:w="72" w:type="dxa"/>
            </w:tcMar>
          </w:tcPr>
          <w:p w:rsidR="00FB413A" w:rsidRPr="004C383D" w:rsidRDefault="00FB413A" w:rsidP="00953095">
            <w:pPr>
              <w:pStyle w:val="Footer"/>
            </w:pPr>
            <w:r w:rsidRPr="004C383D">
              <w:rPr>
                <w:b/>
                <w:sz w:val="22"/>
                <w:szCs w:val="22"/>
              </w:rPr>
              <w:t>Component 1:</w:t>
            </w:r>
            <w:r w:rsidRPr="004C383D">
              <w:rPr>
                <w:sz w:val="22"/>
                <w:szCs w:val="22"/>
              </w:rPr>
              <w:t xml:space="preserve"> </w:t>
            </w:r>
            <w:r w:rsidR="00C727D2">
              <w:rPr>
                <w:sz w:val="22"/>
                <w:szCs w:val="22"/>
              </w:rPr>
              <w:t xml:space="preserve"> </w:t>
            </w:r>
            <w:r w:rsidRPr="004C383D">
              <w:rPr>
                <w:sz w:val="22"/>
                <w:szCs w:val="22"/>
              </w:rPr>
              <w:t>Creation of</w:t>
            </w:r>
            <w:r>
              <w:rPr>
                <w:sz w:val="22"/>
                <w:szCs w:val="22"/>
              </w:rPr>
              <w:t xml:space="preserve"> an enabling m</w:t>
            </w:r>
            <w:r w:rsidRPr="004C383D">
              <w:rPr>
                <w:sz w:val="22"/>
                <w:szCs w:val="22"/>
              </w:rPr>
              <w:t xml:space="preserve">arket </w:t>
            </w:r>
            <w:r>
              <w:rPr>
                <w:sz w:val="22"/>
                <w:szCs w:val="22"/>
              </w:rPr>
              <w:t>e</w:t>
            </w:r>
            <w:r w:rsidRPr="004C383D">
              <w:rPr>
                <w:sz w:val="22"/>
                <w:szCs w:val="22"/>
              </w:rPr>
              <w:t xml:space="preserve">nvironment for </w:t>
            </w:r>
            <w:r>
              <w:rPr>
                <w:sz w:val="22"/>
                <w:szCs w:val="22"/>
              </w:rPr>
              <w:t>“</w:t>
            </w:r>
            <w:r w:rsidRPr="004C383D">
              <w:rPr>
                <w:sz w:val="22"/>
                <w:szCs w:val="22"/>
              </w:rPr>
              <w:t>Lighting Africa</w:t>
            </w:r>
            <w:r>
              <w:rPr>
                <w:sz w:val="22"/>
                <w:szCs w:val="22"/>
              </w:rPr>
              <w:t>” lighting p</w:t>
            </w:r>
            <w:r w:rsidRPr="004C383D">
              <w:rPr>
                <w:sz w:val="22"/>
                <w:szCs w:val="22"/>
              </w:rPr>
              <w:t>roducts</w:t>
            </w:r>
            <w:r>
              <w:rPr>
                <w:sz w:val="22"/>
                <w:szCs w:val="22"/>
              </w:rPr>
              <w:t>.</w:t>
            </w:r>
          </w:p>
        </w:tc>
        <w:tc>
          <w:tcPr>
            <w:tcW w:w="2151" w:type="pct"/>
            <w:shd w:val="clear" w:color="auto" w:fill="FFFFFF"/>
            <w:tcMar>
              <w:top w:w="72" w:type="dxa"/>
              <w:left w:w="72" w:type="dxa"/>
              <w:bottom w:w="72" w:type="dxa"/>
              <w:right w:w="72" w:type="dxa"/>
            </w:tcMar>
            <w:vAlign w:val="center"/>
          </w:tcPr>
          <w:p w:rsidR="00FB413A" w:rsidRPr="003B14DC" w:rsidRDefault="00F01188" w:rsidP="00F01188">
            <w:pPr>
              <w:pStyle w:val="Footer"/>
            </w:pPr>
            <w:r>
              <w:rPr>
                <w:sz w:val="22"/>
                <w:szCs w:val="22"/>
              </w:rPr>
              <w:t>(</w:t>
            </w:r>
            <w:r w:rsidR="00FB413A" w:rsidRPr="003B14DC">
              <w:rPr>
                <w:sz w:val="22"/>
                <w:szCs w:val="22"/>
              </w:rPr>
              <w:t>a</w:t>
            </w:r>
            <w:r>
              <w:rPr>
                <w:sz w:val="22"/>
                <w:szCs w:val="22"/>
              </w:rPr>
              <w:t xml:space="preserve">)  </w:t>
            </w:r>
            <w:r w:rsidR="00FB413A" w:rsidRPr="003B14DC">
              <w:rPr>
                <w:sz w:val="22"/>
                <w:szCs w:val="22"/>
              </w:rPr>
              <w:t>Capacity of RREA and private sector built</w:t>
            </w:r>
            <w:r>
              <w:rPr>
                <w:sz w:val="22"/>
                <w:szCs w:val="22"/>
              </w:rPr>
              <w:t>.</w:t>
            </w:r>
          </w:p>
          <w:p w:rsidR="00FB413A" w:rsidRPr="003B14DC" w:rsidRDefault="00F01188" w:rsidP="00F01188">
            <w:pPr>
              <w:pStyle w:val="Footer"/>
            </w:pPr>
            <w:r>
              <w:rPr>
                <w:sz w:val="22"/>
                <w:szCs w:val="22"/>
              </w:rPr>
              <w:t>(</w:t>
            </w:r>
            <w:r w:rsidR="00FB413A" w:rsidRPr="003B14DC">
              <w:rPr>
                <w:sz w:val="22"/>
                <w:szCs w:val="22"/>
              </w:rPr>
              <w:t>b</w:t>
            </w:r>
            <w:r>
              <w:rPr>
                <w:sz w:val="22"/>
                <w:szCs w:val="22"/>
              </w:rPr>
              <w:t xml:space="preserve">)  </w:t>
            </w:r>
            <w:r w:rsidR="00FB413A" w:rsidRPr="003B14DC">
              <w:rPr>
                <w:sz w:val="22"/>
                <w:szCs w:val="22"/>
              </w:rPr>
              <w:t>Access to sustainable energy rapidly increased</w:t>
            </w:r>
            <w:r>
              <w:rPr>
                <w:sz w:val="22"/>
                <w:szCs w:val="22"/>
              </w:rPr>
              <w:t>.</w:t>
            </w:r>
          </w:p>
          <w:p w:rsidR="00FB413A" w:rsidRPr="003B14DC" w:rsidRDefault="00F01188" w:rsidP="00F01188">
            <w:pPr>
              <w:pStyle w:val="Footer"/>
            </w:pPr>
            <w:r>
              <w:rPr>
                <w:sz w:val="22"/>
                <w:szCs w:val="22"/>
              </w:rPr>
              <w:t xml:space="preserve">(c) </w:t>
            </w:r>
            <w:r w:rsidR="00FB413A" w:rsidRPr="003B14DC">
              <w:rPr>
                <w:sz w:val="22"/>
                <w:szCs w:val="22"/>
              </w:rPr>
              <w:t>Access to improved lighting services offered</w:t>
            </w:r>
            <w:r>
              <w:rPr>
                <w:sz w:val="22"/>
                <w:szCs w:val="22"/>
              </w:rPr>
              <w:t>.</w:t>
            </w:r>
          </w:p>
          <w:p w:rsidR="00FB413A" w:rsidRPr="004C383D" w:rsidRDefault="00F01188" w:rsidP="00F01188">
            <w:pPr>
              <w:pStyle w:val="Footer"/>
            </w:pPr>
            <w:r>
              <w:rPr>
                <w:sz w:val="22"/>
                <w:szCs w:val="22"/>
              </w:rPr>
              <w:t>(</w:t>
            </w:r>
            <w:r w:rsidR="00FB413A" w:rsidRPr="003B14DC">
              <w:rPr>
                <w:sz w:val="22"/>
                <w:szCs w:val="22"/>
              </w:rPr>
              <w:t>d</w:t>
            </w:r>
            <w:r>
              <w:rPr>
                <w:sz w:val="22"/>
                <w:szCs w:val="22"/>
              </w:rPr>
              <w:t xml:space="preserve">) </w:t>
            </w:r>
            <w:r w:rsidR="00FB413A" w:rsidRPr="003B14DC">
              <w:rPr>
                <w:sz w:val="22"/>
                <w:szCs w:val="22"/>
              </w:rPr>
              <w:t>Policies and regulations adopted to support market fac</w:t>
            </w:r>
            <w:r w:rsidR="00FB413A">
              <w:rPr>
                <w:sz w:val="22"/>
                <w:szCs w:val="22"/>
              </w:rPr>
              <w:t>ilitation and quality standards for</w:t>
            </w:r>
            <w:r w:rsidR="00FB413A" w:rsidRPr="003B14DC">
              <w:rPr>
                <w:sz w:val="22"/>
                <w:szCs w:val="22"/>
              </w:rPr>
              <w:t xml:space="preserve"> off-grid lighting services.</w:t>
            </w:r>
          </w:p>
        </w:tc>
        <w:tc>
          <w:tcPr>
            <w:tcW w:w="721" w:type="pct"/>
            <w:shd w:val="clear" w:color="auto" w:fill="FFFFFF"/>
            <w:tcMar>
              <w:top w:w="72" w:type="dxa"/>
              <w:left w:w="72" w:type="dxa"/>
              <w:bottom w:w="72" w:type="dxa"/>
              <w:right w:w="72" w:type="dxa"/>
            </w:tcMar>
            <w:vAlign w:val="center"/>
          </w:tcPr>
          <w:p w:rsidR="00FB413A" w:rsidRPr="004C383D" w:rsidRDefault="00FB413A" w:rsidP="00E12DE7">
            <w:pPr>
              <w:pStyle w:val="Footer"/>
              <w:ind w:left="-73" w:right="199"/>
              <w:jc w:val="right"/>
            </w:pPr>
            <w:r>
              <w:rPr>
                <w:sz w:val="22"/>
                <w:szCs w:val="22"/>
              </w:rPr>
              <w:t>20</w:t>
            </w:r>
            <w:r w:rsidRPr="004C383D">
              <w:rPr>
                <w:sz w:val="22"/>
                <w:szCs w:val="22"/>
              </w:rPr>
              <w:t>0,000</w:t>
            </w:r>
          </w:p>
        </w:tc>
        <w:tc>
          <w:tcPr>
            <w:tcW w:w="720" w:type="pct"/>
            <w:shd w:val="clear" w:color="auto" w:fill="FFFFFF"/>
            <w:tcMar>
              <w:top w:w="72" w:type="dxa"/>
              <w:left w:w="72" w:type="dxa"/>
              <w:bottom w:w="72" w:type="dxa"/>
              <w:right w:w="72" w:type="dxa"/>
            </w:tcMar>
            <w:vAlign w:val="center"/>
          </w:tcPr>
          <w:p w:rsidR="00FB413A" w:rsidRPr="004C383D" w:rsidRDefault="00B9796D" w:rsidP="00B9796D">
            <w:pPr>
              <w:pStyle w:val="Footer"/>
              <w:ind w:right="199"/>
              <w:jc w:val="right"/>
            </w:pPr>
            <w:r>
              <w:rPr>
                <w:sz w:val="22"/>
                <w:szCs w:val="22"/>
              </w:rPr>
              <w:t>1,65</w:t>
            </w:r>
            <w:r w:rsidR="00FB413A" w:rsidRPr="004C383D">
              <w:rPr>
                <w:sz w:val="22"/>
                <w:szCs w:val="22"/>
              </w:rPr>
              <w:t>0,000</w:t>
            </w:r>
          </w:p>
        </w:tc>
      </w:tr>
      <w:tr w:rsidR="00FB413A" w:rsidRPr="00C21B62" w:rsidTr="00E12DE7">
        <w:trPr>
          <w:jc w:val="center"/>
        </w:trPr>
        <w:tc>
          <w:tcPr>
            <w:tcW w:w="1407" w:type="pct"/>
            <w:tcBorders>
              <w:bottom w:val="single" w:sz="4" w:space="0" w:color="auto"/>
            </w:tcBorders>
            <w:shd w:val="clear" w:color="auto" w:fill="FFFFFF"/>
            <w:tcMar>
              <w:top w:w="72" w:type="dxa"/>
              <w:left w:w="72" w:type="dxa"/>
              <w:bottom w:w="72" w:type="dxa"/>
              <w:right w:w="72" w:type="dxa"/>
            </w:tcMar>
          </w:tcPr>
          <w:p w:rsidR="00FB413A" w:rsidRPr="004C383D" w:rsidRDefault="00FB413A" w:rsidP="00953095">
            <w:pPr>
              <w:pStyle w:val="Footer"/>
            </w:pPr>
            <w:r w:rsidRPr="000E44C6">
              <w:rPr>
                <w:b/>
                <w:sz w:val="22"/>
                <w:szCs w:val="22"/>
              </w:rPr>
              <w:t xml:space="preserve">Component </w:t>
            </w:r>
            <w:r>
              <w:rPr>
                <w:b/>
                <w:sz w:val="22"/>
                <w:szCs w:val="22"/>
              </w:rPr>
              <w:t>2</w:t>
            </w:r>
            <w:r w:rsidRPr="000E44C6">
              <w:rPr>
                <w:b/>
                <w:sz w:val="22"/>
                <w:szCs w:val="22"/>
              </w:rPr>
              <w:t>:</w:t>
            </w:r>
            <w:r>
              <w:rPr>
                <w:sz w:val="22"/>
                <w:szCs w:val="22"/>
              </w:rPr>
              <w:t xml:space="preserve"> “Lighting Liberia” -</w:t>
            </w:r>
            <w:r w:rsidRPr="00AA2128">
              <w:rPr>
                <w:sz w:val="22"/>
                <w:szCs w:val="22"/>
              </w:rPr>
              <w:t xml:space="preserve"> </w:t>
            </w:r>
            <w:r>
              <w:rPr>
                <w:sz w:val="22"/>
                <w:szCs w:val="22"/>
              </w:rPr>
              <w:t>business development for u</w:t>
            </w:r>
            <w:r w:rsidRPr="00AA2128">
              <w:rPr>
                <w:sz w:val="22"/>
                <w:szCs w:val="22"/>
              </w:rPr>
              <w:t>se of solar energy for rapid scale-up of access to modern lighting</w:t>
            </w:r>
            <w:r>
              <w:rPr>
                <w:sz w:val="22"/>
                <w:szCs w:val="22"/>
              </w:rPr>
              <w:t>.</w:t>
            </w:r>
          </w:p>
        </w:tc>
        <w:tc>
          <w:tcPr>
            <w:tcW w:w="2151" w:type="pct"/>
            <w:tcBorders>
              <w:bottom w:val="single" w:sz="4" w:space="0" w:color="auto"/>
            </w:tcBorders>
            <w:shd w:val="clear" w:color="auto" w:fill="FFFFFF"/>
            <w:tcMar>
              <w:top w:w="72" w:type="dxa"/>
              <w:left w:w="72" w:type="dxa"/>
              <w:bottom w:w="72" w:type="dxa"/>
              <w:right w:w="72" w:type="dxa"/>
            </w:tcMar>
            <w:vAlign w:val="center"/>
          </w:tcPr>
          <w:p w:rsidR="00FB413A" w:rsidRPr="003B14DC" w:rsidRDefault="00C727D2" w:rsidP="00C727D2">
            <w:pPr>
              <w:pStyle w:val="Footer"/>
            </w:pPr>
            <w:r>
              <w:rPr>
                <w:sz w:val="22"/>
                <w:szCs w:val="22"/>
              </w:rPr>
              <w:t>(</w:t>
            </w:r>
            <w:r w:rsidR="00FB413A" w:rsidRPr="003B14DC">
              <w:rPr>
                <w:sz w:val="22"/>
                <w:szCs w:val="22"/>
              </w:rPr>
              <w:t>a.</w:t>
            </w:r>
            <w:r>
              <w:rPr>
                <w:sz w:val="22"/>
                <w:szCs w:val="22"/>
              </w:rPr>
              <w:t xml:space="preserve">) </w:t>
            </w:r>
            <w:r w:rsidR="00FB413A" w:rsidRPr="003B14DC">
              <w:rPr>
                <w:sz w:val="22"/>
                <w:szCs w:val="22"/>
              </w:rPr>
              <w:t>Quality solar lanterns demonstrated and promoted in Liberia</w:t>
            </w:r>
          </w:p>
          <w:p w:rsidR="00FB413A" w:rsidRPr="003B14DC" w:rsidRDefault="00C727D2" w:rsidP="00C727D2">
            <w:pPr>
              <w:pStyle w:val="Footer"/>
            </w:pPr>
            <w:r>
              <w:rPr>
                <w:sz w:val="22"/>
                <w:szCs w:val="22"/>
              </w:rPr>
              <w:t>(</w:t>
            </w:r>
            <w:r w:rsidR="00FB413A" w:rsidRPr="003B14DC">
              <w:rPr>
                <w:sz w:val="22"/>
                <w:szCs w:val="22"/>
              </w:rPr>
              <w:t>b.</w:t>
            </w:r>
            <w:r>
              <w:rPr>
                <w:sz w:val="22"/>
                <w:szCs w:val="22"/>
              </w:rPr>
              <w:t>)</w:t>
            </w:r>
            <w:r w:rsidR="00FB413A" w:rsidRPr="003B14DC">
              <w:rPr>
                <w:sz w:val="22"/>
                <w:szCs w:val="22"/>
              </w:rPr>
              <w:t xml:space="preserve"> Conditions for commercial market expansion for modern high quality solar lights  created</w:t>
            </w:r>
          </w:p>
          <w:p w:rsidR="00FB413A" w:rsidRPr="003B14DC" w:rsidRDefault="00C727D2" w:rsidP="00C727D2">
            <w:pPr>
              <w:pStyle w:val="Footer"/>
            </w:pPr>
            <w:r>
              <w:rPr>
                <w:sz w:val="22"/>
                <w:szCs w:val="22"/>
              </w:rPr>
              <w:t>(</w:t>
            </w:r>
            <w:r w:rsidR="00FB413A" w:rsidRPr="003B14DC">
              <w:rPr>
                <w:sz w:val="22"/>
                <w:szCs w:val="22"/>
              </w:rPr>
              <w:t>c.</w:t>
            </w:r>
            <w:r>
              <w:rPr>
                <w:sz w:val="22"/>
                <w:szCs w:val="22"/>
              </w:rPr>
              <w:t xml:space="preserve">)  </w:t>
            </w:r>
            <w:r w:rsidR="00FB413A" w:rsidRPr="003B14DC">
              <w:rPr>
                <w:sz w:val="22"/>
                <w:szCs w:val="22"/>
              </w:rPr>
              <w:t>Dissemination of at least 100,000 high-quality solar lanterns</w:t>
            </w:r>
          </w:p>
          <w:p w:rsidR="00FB413A" w:rsidRPr="004C383D" w:rsidRDefault="00C727D2" w:rsidP="00DF4CB6">
            <w:pPr>
              <w:pStyle w:val="Footer"/>
            </w:pPr>
            <w:r>
              <w:rPr>
                <w:sz w:val="22"/>
                <w:szCs w:val="22"/>
              </w:rPr>
              <w:t>(</w:t>
            </w:r>
            <w:r w:rsidR="00FB413A" w:rsidRPr="003B14DC">
              <w:rPr>
                <w:sz w:val="22"/>
                <w:szCs w:val="22"/>
              </w:rPr>
              <w:t>d.</w:t>
            </w:r>
            <w:r>
              <w:rPr>
                <w:sz w:val="22"/>
                <w:szCs w:val="22"/>
              </w:rPr>
              <w:t xml:space="preserve">) </w:t>
            </w:r>
            <w:r w:rsidR="00FB413A" w:rsidRPr="003B14DC">
              <w:rPr>
                <w:sz w:val="22"/>
                <w:szCs w:val="22"/>
              </w:rPr>
              <w:t xml:space="preserve"> Reduced GHG emissions from kerosene of about 15% from the current baseline and direct offset of about </w:t>
            </w:r>
            <w:r w:rsidR="00DF4CB6">
              <w:rPr>
                <w:sz w:val="22"/>
                <w:szCs w:val="22"/>
              </w:rPr>
              <w:t>335</w:t>
            </w:r>
            <w:r w:rsidR="00FB413A" w:rsidRPr="003B14DC">
              <w:rPr>
                <w:sz w:val="22"/>
                <w:szCs w:val="22"/>
              </w:rPr>
              <w:t>,000 tons of CO2 emissions</w:t>
            </w:r>
            <w:r w:rsidR="00FB413A" w:rsidRPr="004C383D">
              <w:rPr>
                <w:sz w:val="22"/>
                <w:szCs w:val="22"/>
              </w:rPr>
              <w:t xml:space="preserve"> </w:t>
            </w:r>
            <w:r w:rsidR="00FB413A">
              <w:rPr>
                <w:sz w:val="22"/>
                <w:szCs w:val="22"/>
              </w:rPr>
              <w:t>over three years.</w:t>
            </w:r>
          </w:p>
        </w:tc>
        <w:tc>
          <w:tcPr>
            <w:tcW w:w="721" w:type="pct"/>
            <w:tcBorders>
              <w:bottom w:val="single" w:sz="4" w:space="0" w:color="auto"/>
            </w:tcBorders>
            <w:shd w:val="clear" w:color="auto" w:fill="FFFFFF"/>
            <w:tcMar>
              <w:top w:w="72" w:type="dxa"/>
              <w:left w:w="72" w:type="dxa"/>
              <w:bottom w:w="72" w:type="dxa"/>
              <w:right w:w="72" w:type="dxa"/>
            </w:tcMar>
            <w:vAlign w:val="center"/>
          </w:tcPr>
          <w:p w:rsidR="00FB413A" w:rsidRPr="004C383D" w:rsidRDefault="00FB413A" w:rsidP="00FC5D78">
            <w:pPr>
              <w:pStyle w:val="Footer"/>
              <w:ind w:left="-73" w:right="199"/>
              <w:jc w:val="right"/>
            </w:pPr>
            <w:r w:rsidRPr="004C383D">
              <w:rPr>
                <w:sz w:val="22"/>
                <w:szCs w:val="22"/>
              </w:rPr>
              <w:t>1,</w:t>
            </w:r>
            <w:r>
              <w:rPr>
                <w:sz w:val="22"/>
                <w:szCs w:val="22"/>
              </w:rPr>
              <w:t>1</w:t>
            </w:r>
            <w:r w:rsidR="00FC5D78">
              <w:rPr>
                <w:sz w:val="22"/>
                <w:szCs w:val="22"/>
              </w:rPr>
              <w:t>24</w:t>
            </w:r>
            <w:r w:rsidRPr="004C383D">
              <w:rPr>
                <w:sz w:val="22"/>
                <w:szCs w:val="22"/>
              </w:rPr>
              <w:t>,</w:t>
            </w:r>
            <w:r>
              <w:rPr>
                <w:sz w:val="22"/>
                <w:szCs w:val="22"/>
              </w:rPr>
              <w:t>54</w:t>
            </w:r>
            <w:r w:rsidRPr="004C383D">
              <w:rPr>
                <w:sz w:val="22"/>
                <w:szCs w:val="22"/>
              </w:rPr>
              <w:t xml:space="preserve">0 </w:t>
            </w:r>
          </w:p>
        </w:tc>
        <w:tc>
          <w:tcPr>
            <w:tcW w:w="720" w:type="pct"/>
            <w:tcBorders>
              <w:bottom w:val="single" w:sz="4" w:space="0" w:color="auto"/>
            </w:tcBorders>
            <w:shd w:val="clear" w:color="auto" w:fill="FFFFFF"/>
            <w:tcMar>
              <w:top w:w="72" w:type="dxa"/>
              <w:left w:w="72" w:type="dxa"/>
              <w:bottom w:w="72" w:type="dxa"/>
              <w:right w:w="72" w:type="dxa"/>
            </w:tcMar>
            <w:vAlign w:val="center"/>
          </w:tcPr>
          <w:p w:rsidR="00FB413A" w:rsidRPr="004C383D" w:rsidRDefault="00B9796D" w:rsidP="00B9796D">
            <w:pPr>
              <w:pStyle w:val="Footer"/>
              <w:ind w:right="199"/>
              <w:jc w:val="right"/>
            </w:pPr>
            <w:r>
              <w:rPr>
                <w:sz w:val="22"/>
                <w:szCs w:val="22"/>
              </w:rPr>
              <w:t>2</w:t>
            </w:r>
            <w:r w:rsidR="00FB413A" w:rsidRPr="004C383D">
              <w:rPr>
                <w:sz w:val="22"/>
                <w:szCs w:val="22"/>
              </w:rPr>
              <w:t>,</w:t>
            </w:r>
            <w:r>
              <w:rPr>
                <w:sz w:val="22"/>
                <w:szCs w:val="22"/>
              </w:rPr>
              <w:t>15</w:t>
            </w:r>
            <w:r w:rsidR="00FB413A" w:rsidRPr="004C383D">
              <w:rPr>
                <w:sz w:val="22"/>
                <w:szCs w:val="22"/>
              </w:rPr>
              <w:t>0,000</w:t>
            </w:r>
          </w:p>
        </w:tc>
      </w:tr>
      <w:tr w:rsidR="00FB413A" w:rsidRPr="00C21B62" w:rsidTr="00E12DE7">
        <w:trPr>
          <w:jc w:val="center"/>
        </w:trPr>
        <w:tc>
          <w:tcPr>
            <w:tcW w:w="1407" w:type="pct"/>
            <w:tcBorders>
              <w:bottom w:val="single" w:sz="4" w:space="0" w:color="auto"/>
            </w:tcBorders>
            <w:shd w:val="clear" w:color="auto" w:fill="FFFFFF"/>
            <w:tcMar>
              <w:top w:w="72" w:type="dxa"/>
              <w:left w:w="72" w:type="dxa"/>
              <w:bottom w:w="72" w:type="dxa"/>
              <w:right w:w="72" w:type="dxa"/>
            </w:tcMar>
          </w:tcPr>
          <w:p w:rsidR="00FB413A" w:rsidRPr="000E44C6" w:rsidRDefault="00FB413A" w:rsidP="00953095">
            <w:pPr>
              <w:pStyle w:val="Footer"/>
              <w:rPr>
                <w:b/>
              </w:rPr>
            </w:pPr>
            <w:r>
              <w:rPr>
                <w:b/>
                <w:sz w:val="22"/>
                <w:szCs w:val="22"/>
              </w:rPr>
              <w:t xml:space="preserve">Component 3: </w:t>
            </w:r>
            <w:r>
              <w:rPr>
                <w:sz w:val="22"/>
                <w:szCs w:val="22"/>
              </w:rPr>
              <w:t>Project m</w:t>
            </w:r>
            <w:r w:rsidRPr="003C0C62">
              <w:rPr>
                <w:sz w:val="22"/>
                <w:szCs w:val="22"/>
              </w:rPr>
              <w:t>anagement</w:t>
            </w:r>
          </w:p>
        </w:tc>
        <w:tc>
          <w:tcPr>
            <w:tcW w:w="2151" w:type="pct"/>
            <w:tcBorders>
              <w:bottom w:val="single" w:sz="4" w:space="0" w:color="auto"/>
            </w:tcBorders>
            <w:shd w:val="clear" w:color="auto" w:fill="FFFFFF"/>
            <w:tcMar>
              <w:top w:w="72" w:type="dxa"/>
              <w:left w:w="72" w:type="dxa"/>
              <w:bottom w:w="72" w:type="dxa"/>
              <w:right w:w="72" w:type="dxa"/>
            </w:tcMar>
            <w:vAlign w:val="center"/>
          </w:tcPr>
          <w:p w:rsidR="00FB413A" w:rsidRPr="004C383D" w:rsidRDefault="00FB413A" w:rsidP="00953095">
            <w:pPr>
              <w:pStyle w:val="Footer"/>
            </w:pPr>
            <w:r>
              <w:rPr>
                <w:sz w:val="22"/>
                <w:szCs w:val="22"/>
              </w:rPr>
              <w:t>Under this component, the project management is being ensured.</w:t>
            </w:r>
          </w:p>
        </w:tc>
        <w:tc>
          <w:tcPr>
            <w:tcW w:w="721" w:type="pct"/>
            <w:tcBorders>
              <w:bottom w:val="single" w:sz="4" w:space="0" w:color="auto"/>
            </w:tcBorders>
            <w:shd w:val="clear" w:color="auto" w:fill="FFFFFF"/>
            <w:tcMar>
              <w:top w:w="72" w:type="dxa"/>
              <w:left w:w="72" w:type="dxa"/>
              <w:bottom w:w="72" w:type="dxa"/>
              <w:right w:w="72" w:type="dxa"/>
            </w:tcMar>
            <w:vAlign w:val="center"/>
          </w:tcPr>
          <w:p w:rsidR="00FB413A" w:rsidRPr="004C383D" w:rsidRDefault="00FC5D78" w:rsidP="00E12DE7">
            <w:pPr>
              <w:pStyle w:val="Footer"/>
              <w:ind w:left="-73" w:right="199"/>
              <w:jc w:val="right"/>
            </w:pPr>
            <w:r>
              <w:rPr>
                <w:sz w:val="22"/>
                <w:szCs w:val="22"/>
              </w:rPr>
              <w:t>13</w:t>
            </w:r>
            <w:r w:rsidR="00FB413A">
              <w:rPr>
                <w:sz w:val="22"/>
                <w:szCs w:val="22"/>
              </w:rPr>
              <w:t>0,000</w:t>
            </w:r>
          </w:p>
        </w:tc>
        <w:tc>
          <w:tcPr>
            <w:tcW w:w="720" w:type="pct"/>
            <w:tcBorders>
              <w:bottom w:val="single" w:sz="4" w:space="0" w:color="auto"/>
            </w:tcBorders>
            <w:shd w:val="clear" w:color="auto" w:fill="FFFFFF"/>
            <w:tcMar>
              <w:top w:w="72" w:type="dxa"/>
              <w:left w:w="72" w:type="dxa"/>
              <w:bottom w:w="72" w:type="dxa"/>
              <w:right w:w="72" w:type="dxa"/>
            </w:tcMar>
            <w:vAlign w:val="center"/>
          </w:tcPr>
          <w:p w:rsidR="00FB413A" w:rsidRPr="004C383D" w:rsidRDefault="00FB413A" w:rsidP="00E12DE7">
            <w:pPr>
              <w:pStyle w:val="Footer"/>
              <w:ind w:right="199"/>
              <w:jc w:val="right"/>
            </w:pPr>
            <w:r>
              <w:rPr>
                <w:sz w:val="22"/>
                <w:szCs w:val="22"/>
              </w:rPr>
              <w:t>250,000</w:t>
            </w:r>
          </w:p>
        </w:tc>
      </w:tr>
      <w:tr w:rsidR="00FB413A" w:rsidRPr="00C21B62" w:rsidTr="00E12DE7">
        <w:trPr>
          <w:trHeight w:val="194"/>
          <w:jc w:val="center"/>
        </w:trPr>
        <w:tc>
          <w:tcPr>
            <w:tcW w:w="3558" w:type="pct"/>
            <w:gridSpan w:val="2"/>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vAlign w:val="center"/>
          </w:tcPr>
          <w:p w:rsidR="00FB413A" w:rsidRPr="004C383D" w:rsidRDefault="00FB413A" w:rsidP="00953095">
            <w:pPr>
              <w:pStyle w:val="Footer"/>
              <w:jc w:val="both"/>
              <w:rPr>
                <w:b/>
              </w:rPr>
            </w:pPr>
            <w:r w:rsidRPr="004C383D">
              <w:rPr>
                <w:b/>
                <w:sz w:val="22"/>
                <w:szCs w:val="22"/>
              </w:rPr>
              <w:t>Total</w:t>
            </w:r>
          </w:p>
        </w:tc>
        <w:tc>
          <w:tcPr>
            <w:tcW w:w="721" w:type="pct"/>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vAlign w:val="center"/>
          </w:tcPr>
          <w:p w:rsidR="00FB413A" w:rsidRPr="00E12DE7" w:rsidRDefault="00FB413A" w:rsidP="00E12DE7">
            <w:pPr>
              <w:pStyle w:val="Footer"/>
              <w:ind w:left="-73" w:right="199"/>
              <w:jc w:val="right"/>
              <w:rPr>
                <w:b/>
                <w:sz w:val="22"/>
                <w:szCs w:val="22"/>
              </w:rPr>
            </w:pPr>
            <w:r w:rsidRPr="004C383D">
              <w:rPr>
                <w:b/>
                <w:sz w:val="22"/>
                <w:szCs w:val="22"/>
              </w:rPr>
              <w:t>1,</w:t>
            </w:r>
            <w:r>
              <w:rPr>
                <w:b/>
                <w:sz w:val="22"/>
                <w:szCs w:val="22"/>
              </w:rPr>
              <w:t>454,540</w:t>
            </w:r>
          </w:p>
        </w:tc>
        <w:tc>
          <w:tcPr>
            <w:tcW w:w="720" w:type="pct"/>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vAlign w:val="center"/>
          </w:tcPr>
          <w:p w:rsidR="00FB413A" w:rsidRPr="004C383D" w:rsidRDefault="00FB413A" w:rsidP="00E12DE7">
            <w:pPr>
              <w:pStyle w:val="Footer"/>
              <w:ind w:right="199"/>
              <w:jc w:val="right"/>
              <w:rPr>
                <w:b/>
              </w:rPr>
            </w:pPr>
            <w:r w:rsidRPr="004C383D">
              <w:rPr>
                <w:b/>
                <w:sz w:val="22"/>
                <w:szCs w:val="22"/>
              </w:rPr>
              <w:t>4,050,000</w:t>
            </w:r>
          </w:p>
        </w:tc>
      </w:tr>
    </w:tbl>
    <w:p w:rsidR="00FB413A" w:rsidRPr="00C21B62" w:rsidRDefault="00FB413A" w:rsidP="00FB413A">
      <w:pPr>
        <w:pStyle w:val="Footer"/>
      </w:pPr>
    </w:p>
    <w:p w:rsidR="00FB413A" w:rsidRPr="00923CE7" w:rsidRDefault="00FB413A" w:rsidP="00FB413A">
      <w:pPr>
        <w:pStyle w:val="Footer"/>
        <w:jc w:val="both"/>
        <w:rPr>
          <w:b/>
        </w:rPr>
      </w:pPr>
      <w:r>
        <w:tab/>
      </w:r>
      <w:r w:rsidRPr="00923CE7">
        <w:rPr>
          <w:b/>
        </w:rPr>
        <w:t xml:space="preserve">Component 1: Creation of an Enabling Market Environment for </w:t>
      </w:r>
      <w:r>
        <w:rPr>
          <w:b/>
        </w:rPr>
        <w:t>“</w:t>
      </w:r>
      <w:r w:rsidRPr="00923CE7">
        <w:rPr>
          <w:b/>
        </w:rPr>
        <w:t>Li</w:t>
      </w:r>
      <w:r>
        <w:rPr>
          <w:b/>
        </w:rPr>
        <w:t>ghting Africa” lighting p</w:t>
      </w:r>
      <w:r w:rsidRPr="00923CE7">
        <w:rPr>
          <w:b/>
        </w:rPr>
        <w:t>roducts</w:t>
      </w:r>
    </w:p>
    <w:p w:rsidR="00FB413A" w:rsidRDefault="00FB413A" w:rsidP="00FB413A">
      <w:pPr>
        <w:pStyle w:val="Footer"/>
        <w:jc w:val="both"/>
      </w:pPr>
    </w:p>
    <w:p w:rsidR="00FB413A" w:rsidRDefault="00FB413A" w:rsidP="005522A2">
      <w:pPr>
        <w:pStyle w:val="Header"/>
        <w:numPr>
          <w:ilvl w:val="0"/>
          <w:numId w:val="30"/>
        </w:numPr>
        <w:tabs>
          <w:tab w:val="clear" w:pos="4320"/>
          <w:tab w:val="clear" w:pos="8640"/>
        </w:tabs>
        <w:ind w:left="0" w:firstLine="0"/>
      </w:pPr>
      <w:r>
        <w:t>Under this component an enabling framework for the sale of “Lighting Africa” approved technologies is being put in place. It will focus on</w:t>
      </w:r>
      <w:r w:rsidRPr="00B154FF">
        <w:t xml:space="preserve"> the development of institutional capacity,</w:t>
      </w:r>
      <w:r>
        <w:t xml:space="preserve"> </w:t>
      </w:r>
      <w:r w:rsidRPr="00B154FF">
        <w:t>policy and regulation, market facilitation, and quality standards</w:t>
      </w:r>
      <w:r>
        <w:t>. Among others, t</w:t>
      </w:r>
      <w:r w:rsidRPr="00435532">
        <w:t xml:space="preserve">his </w:t>
      </w:r>
      <w:r>
        <w:t>Component</w:t>
      </w:r>
      <w:r w:rsidRPr="00435532">
        <w:t xml:space="preserve"> includes the following activities:</w:t>
      </w:r>
    </w:p>
    <w:p w:rsidR="00FB413A" w:rsidRPr="00435532" w:rsidRDefault="00FB413A" w:rsidP="00FB413A">
      <w:pPr>
        <w:pStyle w:val="Footer"/>
        <w:tabs>
          <w:tab w:val="clear" w:pos="4320"/>
          <w:tab w:val="center" w:pos="990"/>
        </w:tabs>
        <w:jc w:val="both"/>
      </w:pPr>
    </w:p>
    <w:p w:rsidR="00FB413A" w:rsidRPr="00435532" w:rsidRDefault="00D526C8" w:rsidP="00E12DE7">
      <w:pPr>
        <w:pStyle w:val="Footer"/>
        <w:numPr>
          <w:ilvl w:val="0"/>
          <w:numId w:val="21"/>
        </w:numPr>
        <w:tabs>
          <w:tab w:val="clear" w:pos="4320"/>
          <w:tab w:val="clear" w:pos="8640"/>
        </w:tabs>
        <w:ind w:left="360"/>
        <w:jc w:val="both"/>
      </w:pPr>
      <w:r>
        <w:lastRenderedPageBreak/>
        <w:pict>
          <v:shapetype id="_x0000_t202" coordsize="21600,21600" o:spt="202" path="m,l,21600r21600,l21600,xe">
            <v:stroke joinstyle="miter"/>
            <v:path gradientshapeok="t" o:connecttype="rect"/>
          </v:shapetype>
          <v:shape id="_x0000_s1053" type="#_x0000_t202" style="position:absolute;left:0;text-align:left;margin-left:3232.7pt;margin-top:35.05pt;width:203.6pt;height:392.45pt;z-index:251657216;mso-position-horizontal:right;mso-position-horizontal-relative:margin" o:allowincell="f" o:allowoverlap="f" fillcolor="#eaf1dd">
            <v:textbox style="mso-next-textbox:#_x0000_s1053">
              <w:txbxContent>
                <w:p w:rsidR="008B7268" w:rsidRDefault="008B7268" w:rsidP="00FB413A">
                  <w:pPr>
                    <w:rPr>
                      <w:rFonts w:ascii="Arial" w:hAnsi="Arial" w:cs="Arial"/>
                      <w:sz w:val="18"/>
                      <w:szCs w:val="18"/>
                    </w:rPr>
                  </w:pPr>
                  <w:r w:rsidRPr="00FF68BC">
                    <w:rPr>
                      <w:rFonts w:ascii="Arial" w:hAnsi="Arial" w:cs="Arial"/>
                      <w:b/>
                      <w:sz w:val="18"/>
                      <w:szCs w:val="18"/>
                    </w:rPr>
                    <w:t>Market and Consumer Outreach Activities</w:t>
                  </w:r>
                </w:p>
                <w:p w:rsidR="008B7268" w:rsidRDefault="008B7268" w:rsidP="00FB413A">
                  <w:pPr>
                    <w:spacing w:before="120"/>
                    <w:rPr>
                      <w:rFonts w:ascii="Arial" w:hAnsi="Arial" w:cs="Arial"/>
                      <w:sz w:val="18"/>
                      <w:szCs w:val="18"/>
                    </w:rPr>
                  </w:pPr>
                  <w:r w:rsidRPr="000A4184">
                    <w:rPr>
                      <w:rFonts w:ascii="Arial" w:hAnsi="Arial" w:cs="Arial"/>
                      <w:sz w:val="18"/>
                      <w:szCs w:val="18"/>
                      <w:u w:val="single"/>
                    </w:rPr>
                    <w:t>Above the line</w:t>
                  </w:r>
                  <w:r>
                    <w:rPr>
                      <w:rFonts w:ascii="Arial" w:hAnsi="Arial" w:cs="Arial"/>
                      <w:sz w:val="18"/>
                      <w:szCs w:val="18"/>
                    </w:rPr>
                    <w:t>:</w:t>
                  </w:r>
                </w:p>
                <w:p w:rsidR="008B7268" w:rsidRDefault="008B7268" w:rsidP="00D940CF">
                  <w:pPr>
                    <w:pStyle w:val="ListParagraph"/>
                    <w:numPr>
                      <w:ilvl w:val="0"/>
                      <w:numId w:val="23"/>
                    </w:numPr>
                    <w:jc w:val="both"/>
                    <w:rPr>
                      <w:rFonts w:ascii="Arial" w:hAnsi="Arial" w:cs="Arial"/>
                      <w:sz w:val="18"/>
                      <w:szCs w:val="18"/>
                    </w:rPr>
                  </w:pPr>
                  <w:r>
                    <w:rPr>
                      <w:rFonts w:ascii="Arial" w:hAnsi="Arial" w:cs="Arial"/>
                      <w:sz w:val="18"/>
                      <w:szCs w:val="18"/>
                    </w:rPr>
                    <w:t>Newspaper advertisements: Display pictures and suggested retail prices of LA-approved products, along with statements and pictures depicting benefits of solar lighting and details of program.  Pictures of LA products serve as a de facto “quality seal.”</w:t>
                  </w:r>
                </w:p>
                <w:p w:rsidR="008B7268" w:rsidRDefault="008B7268" w:rsidP="00D940CF">
                  <w:pPr>
                    <w:pStyle w:val="ListParagraph"/>
                    <w:numPr>
                      <w:ilvl w:val="0"/>
                      <w:numId w:val="23"/>
                    </w:numPr>
                    <w:jc w:val="both"/>
                    <w:rPr>
                      <w:rFonts w:ascii="Arial" w:hAnsi="Arial" w:cs="Arial"/>
                      <w:sz w:val="18"/>
                      <w:szCs w:val="18"/>
                    </w:rPr>
                  </w:pPr>
                  <w:r>
                    <w:rPr>
                      <w:rFonts w:ascii="Arial" w:hAnsi="Arial" w:cs="Arial"/>
                      <w:sz w:val="18"/>
                      <w:szCs w:val="18"/>
                    </w:rPr>
                    <w:t>Radio advertisements: Short spots announcing the program, and longer live discussion sessions on details and benefits of the program and products.</w:t>
                  </w:r>
                </w:p>
                <w:p w:rsidR="008B7268" w:rsidRDefault="008B7268" w:rsidP="00D940CF">
                  <w:pPr>
                    <w:pStyle w:val="ListParagraph"/>
                    <w:numPr>
                      <w:ilvl w:val="0"/>
                      <w:numId w:val="23"/>
                    </w:numPr>
                    <w:jc w:val="both"/>
                    <w:rPr>
                      <w:rFonts w:ascii="Arial" w:hAnsi="Arial" w:cs="Arial"/>
                      <w:sz w:val="18"/>
                      <w:szCs w:val="18"/>
                    </w:rPr>
                  </w:pPr>
                  <w:r>
                    <w:rPr>
                      <w:rFonts w:ascii="Arial" w:hAnsi="Arial" w:cs="Arial"/>
                      <w:sz w:val="18"/>
                      <w:szCs w:val="18"/>
                    </w:rPr>
                    <w:t xml:space="preserve">SMS messages which state, e.g., “text </w:t>
                  </w:r>
                  <w:proofErr w:type="spellStart"/>
                  <w:r>
                    <w:rPr>
                      <w:rFonts w:ascii="Arial" w:hAnsi="Arial" w:cs="Arial"/>
                      <w:sz w:val="18"/>
                      <w:szCs w:val="18"/>
                    </w:rPr>
                    <w:t>xxxxx</w:t>
                  </w:r>
                  <w:proofErr w:type="spellEnd"/>
                  <w:r>
                    <w:rPr>
                      <w:rFonts w:ascii="Arial" w:hAnsi="Arial" w:cs="Arial"/>
                      <w:sz w:val="18"/>
                      <w:szCs w:val="18"/>
                    </w:rPr>
                    <w:t xml:space="preserve"> for information on how to obtain a high-quality solar light” and send back a high-level reply (in partnership with cell phone companies).</w:t>
                  </w:r>
                </w:p>
                <w:p w:rsidR="008B7268" w:rsidRDefault="008B7268" w:rsidP="00D940CF">
                  <w:pPr>
                    <w:pStyle w:val="ListParagraph"/>
                    <w:numPr>
                      <w:ilvl w:val="0"/>
                      <w:numId w:val="23"/>
                    </w:numPr>
                    <w:jc w:val="both"/>
                    <w:rPr>
                      <w:rFonts w:ascii="Arial" w:hAnsi="Arial" w:cs="Arial"/>
                      <w:sz w:val="18"/>
                      <w:szCs w:val="18"/>
                    </w:rPr>
                  </w:pPr>
                  <w:r>
                    <w:rPr>
                      <w:rFonts w:ascii="Arial" w:hAnsi="Arial" w:cs="Arial"/>
                      <w:sz w:val="18"/>
                      <w:szCs w:val="18"/>
                    </w:rPr>
                    <w:t>Corporate outreach: targeting concessions, plantations, large companies (e.g. cell phones), commercial banks/MFIs, etc.</w:t>
                  </w:r>
                </w:p>
                <w:p w:rsidR="008B7268" w:rsidRDefault="008B7268" w:rsidP="00FB413A">
                  <w:pPr>
                    <w:spacing w:before="120"/>
                    <w:rPr>
                      <w:rFonts w:ascii="Arial" w:hAnsi="Arial" w:cs="Arial"/>
                      <w:sz w:val="18"/>
                      <w:szCs w:val="18"/>
                    </w:rPr>
                  </w:pPr>
                  <w:r w:rsidRPr="000A4184">
                    <w:rPr>
                      <w:rFonts w:ascii="Arial" w:hAnsi="Arial" w:cs="Arial"/>
                      <w:sz w:val="18"/>
                      <w:szCs w:val="18"/>
                      <w:u w:val="single"/>
                    </w:rPr>
                    <w:t>Below the line</w:t>
                  </w:r>
                  <w:r>
                    <w:rPr>
                      <w:rFonts w:ascii="Arial" w:hAnsi="Arial" w:cs="Arial"/>
                      <w:sz w:val="18"/>
                      <w:szCs w:val="18"/>
                    </w:rPr>
                    <w:t>:</w:t>
                  </w:r>
                </w:p>
                <w:p w:rsidR="008B7268" w:rsidRDefault="008B7268" w:rsidP="00D940CF">
                  <w:pPr>
                    <w:pStyle w:val="ListParagraph"/>
                    <w:numPr>
                      <w:ilvl w:val="0"/>
                      <w:numId w:val="24"/>
                    </w:numPr>
                    <w:jc w:val="both"/>
                    <w:rPr>
                      <w:rFonts w:ascii="Arial" w:hAnsi="Arial" w:cs="Arial"/>
                      <w:sz w:val="18"/>
                      <w:szCs w:val="18"/>
                    </w:rPr>
                  </w:pPr>
                  <w:r>
                    <w:rPr>
                      <w:rFonts w:ascii="Arial" w:hAnsi="Arial" w:cs="Arial"/>
                      <w:sz w:val="18"/>
                      <w:szCs w:val="18"/>
                    </w:rPr>
                    <w:t>Road shows in areas where retailers have a presence: including social and trade group forums—high intensity, visibility, and impact on market days; poster campaign; door-to-door consumer engagement</w:t>
                  </w:r>
                </w:p>
                <w:p w:rsidR="008B7268" w:rsidRDefault="008B7268" w:rsidP="00D940CF">
                  <w:pPr>
                    <w:pStyle w:val="ListParagraph"/>
                    <w:numPr>
                      <w:ilvl w:val="0"/>
                      <w:numId w:val="24"/>
                    </w:numPr>
                    <w:jc w:val="both"/>
                    <w:rPr>
                      <w:rFonts w:ascii="Arial" w:hAnsi="Arial" w:cs="Arial"/>
                      <w:sz w:val="18"/>
                      <w:szCs w:val="18"/>
                    </w:rPr>
                  </w:pPr>
                  <w:r>
                    <w:rPr>
                      <w:rFonts w:ascii="Arial" w:hAnsi="Arial" w:cs="Arial"/>
                      <w:sz w:val="18"/>
                      <w:szCs w:val="18"/>
                    </w:rPr>
                    <w:t>Village-level entrepreneur drive (in consultation with distributors/retailers)</w:t>
                  </w:r>
                </w:p>
                <w:p w:rsidR="008B7268" w:rsidRDefault="008B7268" w:rsidP="00FB413A">
                  <w:pPr>
                    <w:spacing w:before="120"/>
                    <w:rPr>
                      <w:rFonts w:ascii="Arial" w:hAnsi="Arial" w:cs="Arial"/>
                      <w:sz w:val="18"/>
                      <w:szCs w:val="18"/>
                    </w:rPr>
                  </w:pPr>
                  <w:r w:rsidRPr="000A4184">
                    <w:rPr>
                      <w:rFonts w:ascii="Arial" w:hAnsi="Arial" w:cs="Arial"/>
                      <w:sz w:val="18"/>
                      <w:szCs w:val="18"/>
                      <w:u w:val="single"/>
                    </w:rPr>
                    <w:t>Evaluation</w:t>
                  </w:r>
                  <w:r>
                    <w:rPr>
                      <w:rFonts w:ascii="Arial" w:hAnsi="Arial" w:cs="Arial"/>
                      <w:sz w:val="18"/>
                      <w:szCs w:val="18"/>
                    </w:rPr>
                    <w:t>:</w:t>
                  </w:r>
                </w:p>
                <w:p w:rsidR="008B7268" w:rsidRPr="00215C86" w:rsidRDefault="008B7268" w:rsidP="00D940CF">
                  <w:pPr>
                    <w:pStyle w:val="ListParagraph"/>
                    <w:numPr>
                      <w:ilvl w:val="0"/>
                      <w:numId w:val="25"/>
                    </w:numPr>
                    <w:jc w:val="both"/>
                    <w:rPr>
                      <w:rFonts w:ascii="Arial" w:hAnsi="Arial" w:cs="Arial"/>
                      <w:sz w:val="18"/>
                      <w:szCs w:val="18"/>
                    </w:rPr>
                  </w:pPr>
                  <w:r>
                    <w:rPr>
                      <w:rFonts w:ascii="Arial" w:hAnsi="Arial" w:cs="Arial"/>
                      <w:sz w:val="18"/>
                      <w:szCs w:val="18"/>
                    </w:rPr>
                    <w:t>Registration of each customer in shared RREA/retailer database (name, location, cell #), for follow-up/M&amp;E.</w:t>
                  </w:r>
                </w:p>
              </w:txbxContent>
            </v:textbox>
            <w10:wrap type="square" anchorx="margin"/>
          </v:shape>
        </w:pict>
      </w:r>
      <w:r w:rsidR="00FB413A" w:rsidRPr="00435532">
        <w:rPr>
          <w:u w:val="single"/>
        </w:rPr>
        <w:t>Market assessment</w:t>
      </w:r>
      <w:r w:rsidR="00FB413A" w:rsidRPr="00435532">
        <w:t xml:space="preserve">.  </w:t>
      </w:r>
      <w:r w:rsidR="00FB413A">
        <w:t>A</w:t>
      </w:r>
      <w:r w:rsidR="00FB413A" w:rsidRPr="00435532">
        <w:t xml:space="preserve"> market assessment will be carried out to </w:t>
      </w:r>
      <w:r w:rsidR="00FB413A" w:rsidRPr="00435532">
        <w:rPr>
          <w:color w:val="000000"/>
        </w:rPr>
        <w:t xml:space="preserve">fully determine the potential of the market for modern off-grid lighting devices, to assess and prioritize the needs of the market, and to evaluate the viability of a sustainable commercial solution.  Specifically, the survey will map out the current supply chains and delivery mechanisms for traditional lighting sources (e.g. kerosene) as well as newer technologies (e.g. disposable battery-powered LED lights), and will cover Monrovia as well as the interior counties.  </w:t>
      </w:r>
    </w:p>
    <w:p w:rsidR="00FB413A" w:rsidRPr="00435532" w:rsidRDefault="00FB413A" w:rsidP="00FB413A">
      <w:pPr>
        <w:pStyle w:val="Footer"/>
        <w:ind w:left="360"/>
        <w:jc w:val="both"/>
      </w:pPr>
    </w:p>
    <w:p w:rsidR="00FB413A" w:rsidRDefault="00FB413A" w:rsidP="0050347B">
      <w:pPr>
        <w:pStyle w:val="Footer"/>
        <w:numPr>
          <w:ilvl w:val="0"/>
          <w:numId w:val="21"/>
        </w:numPr>
        <w:tabs>
          <w:tab w:val="clear" w:pos="4320"/>
          <w:tab w:val="clear" w:pos="8640"/>
        </w:tabs>
        <w:ind w:left="360"/>
        <w:jc w:val="both"/>
      </w:pPr>
      <w:r w:rsidRPr="008924A2">
        <w:rPr>
          <w:u w:val="single"/>
        </w:rPr>
        <w:t>Policy and business environment study</w:t>
      </w:r>
      <w:r w:rsidRPr="00435532">
        <w:t>.  This study would include (</w:t>
      </w:r>
      <w:proofErr w:type="spellStart"/>
      <w:r w:rsidRPr="00435532">
        <w:t>i</w:t>
      </w:r>
      <w:proofErr w:type="spellEnd"/>
      <w:r w:rsidRPr="00435532">
        <w:t>) evaluation of current barriers to starting or expanding a renewable energy or off-grid lighting business, such as the processes that are required for regis</w:t>
      </w:r>
      <w:r>
        <w:t xml:space="preserve">tration and import licenses, </w:t>
      </w:r>
      <w:r w:rsidRPr="00435532">
        <w:t>taxes, and customs procedures; (ii) evaluation of the financial and time cost of importing products, including custom and duty tariffs, port clearing fees, and other fee requirements encountered in the process; (iii) identification of any distorting subsidies from traditional fuels; (iv) regulatory standards for energy services, including tariffs and consumer protections</w:t>
      </w:r>
      <w:r>
        <w:t>,</w:t>
      </w:r>
      <w:r w:rsidRPr="00435532">
        <w:t xml:space="preserve"> and products, including for batteries, light bulbs, LED torches and lamps, and solar lamps and other components; and (v) coordination mechanisms between institutions regarding energy policy, grid and off-grid areas.  In particular, the study would propose methods for addressing the key barriers found in Liberia, to include establishing a standards program for </w:t>
      </w:r>
      <w:r>
        <w:t xml:space="preserve">all </w:t>
      </w:r>
      <w:r w:rsidRPr="00435532">
        <w:t>lighting products.</w:t>
      </w:r>
      <w:r>
        <w:t xml:space="preserve"> </w:t>
      </w:r>
      <w:r w:rsidRPr="008924A2">
        <w:t xml:space="preserve">The study will </w:t>
      </w:r>
      <w:r>
        <w:t xml:space="preserve">also </w:t>
      </w:r>
      <w:r w:rsidRPr="008924A2">
        <w:t>provide recommendations to the government on policy and regulatory actions that should create a better enabling environment for clean off-grid lighting.</w:t>
      </w:r>
    </w:p>
    <w:p w:rsidR="00FB413A" w:rsidRDefault="00FB413A" w:rsidP="00FB413A">
      <w:pPr>
        <w:pStyle w:val="Footer"/>
        <w:ind w:left="360"/>
        <w:jc w:val="both"/>
      </w:pPr>
    </w:p>
    <w:p w:rsidR="00FB413A" w:rsidRDefault="00FB413A" w:rsidP="0050347B">
      <w:pPr>
        <w:pStyle w:val="Footer"/>
        <w:numPr>
          <w:ilvl w:val="0"/>
          <w:numId w:val="21"/>
        </w:numPr>
        <w:tabs>
          <w:tab w:val="clear" w:pos="4320"/>
          <w:tab w:val="clear" w:pos="8640"/>
        </w:tabs>
        <w:ind w:left="360"/>
        <w:jc w:val="both"/>
      </w:pPr>
      <w:r w:rsidRPr="00A077AB">
        <w:rPr>
          <w:u w:val="single"/>
        </w:rPr>
        <w:t>Marketing support and consumer outreach</w:t>
      </w:r>
      <w:r w:rsidRPr="00A077AB">
        <w:t xml:space="preserve">. RREA will assist participating retailers to build their marketing and sales capacity.  RREA will also conduct promotional programs (e.g. radio, newspaper and other print/flyer advertising) to inform consumers about the benefits of Lighting Africa approved modern off-grid lighting products over inferior products available on the market, and to build their confidence in the products.  RREA will also assist retailers in </w:t>
      </w:r>
      <w:r w:rsidR="00F32656">
        <w:t>carrying out</w:t>
      </w:r>
      <w:r w:rsidRPr="00A077AB">
        <w:t xml:space="preserve"> a road show once products have arrived in country, as a hands-on outreach effort for off-grid consumers.  Finally, RREA will assist in training retailers as well as service center staff of the retailers in servicing/repairing such products (in close coordination with LA manufacturers).  The key market and outreach activities are shown in the box </w:t>
      </w:r>
      <w:r w:rsidR="00F32656">
        <w:t>above</w:t>
      </w:r>
      <w:r w:rsidRPr="00A077AB">
        <w:t>.</w:t>
      </w:r>
      <w:r>
        <w:t xml:space="preserve"> </w:t>
      </w:r>
      <w:r>
        <w:lastRenderedPageBreak/>
        <w:t>During the phase of product dissemination, the road shows will play a particularly important role to ensure sales.</w:t>
      </w:r>
      <w:r>
        <w:rPr>
          <w:rStyle w:val="FootnoteReference"/>
        </w:rPr>
        <w:footnoteReference w:id="11"/>
      </w:r>
    </w:p>
    <w:p w:rsidR="00FB413A" w:rsidRDefault="00FB413A" w:rsidP="00FB413A">
      <w:pPr>
        <w:pStyle w:val="ListParagraph"/>
        <w:rPr>
          <w:u w:val="single"/>
        </w:rPr>
      </w:pPr>
    </w:p>
    <w:p w:rsidR="00FB413A" w:rsidRPr="00A077AB" w:rsidRDefault="00FB413A" w:rsidP="0050347B">
      <w:pPr>
        <w:pStyle w:val="Footer"/>
        <w:numPr>
          <w:ilvl w:val="0"/>
          <w:numId w:val="21"/>
        </w:numPr>
        <w:tabs>
          <w:tab w:val="clear" w:pos="4320"/>
          <w:tab w:val="clear" w:pos="8640"/>
        </w:tabs>
        <w:ind w:left="360"/>
        <w:jc w:val="both"/>
      </w:pPr>
      <w:r w:rsidRPr="00A077AB">
        <w:rPr>
          <w:u w:val="single"/>
        </w:rPr>
        <w:t>Market Development Support Facility</w:t>
      </w:r>
      <w:r w:rsidRPr="00A077AB">
        <w:t>.  As demand dictates, RREA will provide matching grant assistance to participating companies to improve their business and market development capabilities.  The RREA would cover up to 75 percent of the cost of eligible services (cost-share not to exceed US$37,500).  Eligible services/expenditures would include:</w:t>
      </w:r>
    </w:p>
    <w:p w:rsidR="00FB413A" w:rsidRPr="00A077AB" w:rsidRDefault="00FB413A" w:rsidP="00FB413A">
      <w:pPr>
        <w:pStyle w:val="Footer"/>
      </w:pPr>
    </w:p>
    <w:p w:rsidR="00FB413A" w:rsidRPr="00A077AB" w:rsidRDefault="00FB413A" w:rsidP="0050347B">
      <w:pPr>
        <w:pStyle w:val="Footer"/>
        <w:numPr>
          <w:ilvl w:val="0"/>
          <w:numId w:val="22"/>
        </w:numPr>
        <w:tabs>
          <w:tab w:val="clear" w:pos="4320"/>
          <w:tab w:val="clear" w:pos="8640"/>
        </w:tabs>
      </w:pPr>
      <w:r w:rsidRPr="00A077AB">
        <w:t xml:space="preserve">Market development activities—market and consumer surveys, training of marketing staff or sales agents, design and production of promotional materials, marketing and advertising, participation in promotional events. </w:t>
      </w:r>
    </w:p>
    <w:p w:rsidR="00FB413A" w:rsidRPr="00A077AB" w:rsidRDefault="00FB413A" w:rsidP="0050347B">
      <w:pPr>
        <w:pStyle w:val="Footer"/>
        <w:numPr>
          <w:ilvl w:val="0"/>
          <w:numId w:val="22"/>
        </w:numPr>
        <w:tabs>
          <w:tab w:val="clear" w:pos="4320"/>
          <w:tab w:val="clear" w:pos="8640"/>
        </w:tabs>
      </w:pPr>
      <w:r w:rsidRPr="00A077AB">
        <w:t>Business improvement activities—staff training, business plan preparation, financial or other systems development.</w:t>
      </w:r>
    </w:p>
    <w:p w:rsidR="00FB413A" w:rsidRPr="00A077AB" w:rsidRDefault="00FB413A" w:rsidP="00FB413A">
      <w:pPr>
        <w:pStyle w:val="Footer"/>
      </w:pPr>
    </w:p>
    <w:p w:rsidR="00FB413A" w:rsidRDefault="00FB413A" w:rsidP="00FB413A">
      <w:pPr>
        <w:pStyle w:val="Footer"/>
        <w:ind w:left="360"/>
        <w:jc w:val="both"/>
      </w:pPr>
      <w:r w:rsidRPr="00A077AB">
        <w:t>Ineligible expenses would include salaries or other expenses of company/network staff, consultants, or government officials, and any costs associated with the routine business activities of the company/network.</w:t>
      </w:r>
    </w:p>
    <w:p w:rsidR="00FB413A" w:rsidRPr="007F01F9" w:rsidRDefault="00FB413A" w:rsidP="00FB413A">
      <w:pPr>
        <w:pStyle w:val="Footer"/>
        <w:jc w:val="both"/>
      </w:pPr>
    </w:p>
    <w:p w:rsidR="00FB413A" w:rsidRPr="007F01F9" w:rsidRDefault="00FB413A" w:rsidP="00D940CF">
      <w:pPr>
        <w:pStyle w:val="ListParagraph"/>
        <w:numPr>
          <w:ilvl w:val="0"/>
          <w:numId w:val="21"/>
        </w:numPr>
        <w:ind w:left="360"/>
        <w:jc w:val="both"/>
      </w:pPr>
      <w:r w:rsidRPr="007F01F9">
        <w:rPr>
          <w:u w:val="single"/>
        </w:rPr>
        <w:t>Training</w:t>
      </w:r>
      <w:r w:rsidRPr="007F01F9">
        <w:t xml:space="preserve">. Concurrent with the sale of the lights, the RREA will carry out training of retailers and their representatives in rural areas, to ensure any technical issues with the lights are promptly resolved, and spare batteries are available locally.  The manufacturers of the lights are expected to contribute to technical training initially, and from there the training activity will follow the “train the trainer” </w:t>
      </w:r>
      <w:r w:rsidR="00F32656">
        <w:t>approach</w:t>
      </w:r>
      <w:r w:rsidRPr="007F01F9">
        <w:t>.  Learning the “sales pitch” of the products will also be part of the training.</w:t>
      </w:r>
    </w:p>
    <w:p w:rsidR="00FB413A" w:rsidRDefault="00FB413A" w:rsidP="00FB413A"/>
    <w:p w:rsidR="00FB413A" w:rsidRPr="00A077AB" w:rsidRDefault="00FB413A" w:rsidP="00FB413A">
      <w:pPr>
        <w:rPr>
          <w:b/>
        </w:rPr>
      </w:pPr>
      <w:r w:rsidRPr="00A077AB">
        <w:rPr>
          <w:b/>
        </w:rPr>
        <w:t>Component 2: “Lighting Liberia” - business development for use of solar energy for rapid scale-up of access to modern lighting</w:t>
      </w:r>
    </w:p>
    <w:p w:rsidR="00FB413A" w:rsidRDefault="00FB413A" w:rsidP="00FB413A"/>
    <w:p w:rsidR="00FB413A" w:rsidRDefault="00FB413A" w:rsidP="005522A2">
      <w:pPr>
        <w:pStyle w:val="Header"/>
        <w:numPr>
          <w:ilvl w:val="0"/>
          <w:numId w:val="30"/>
        </w:numPr>
        <w:tabs>
          <w:tab w:val="clear" w:pos="4320"/>
          <w:tab w:val="clear" w:pos="8640"/>
        </w:tabs>
        <w:ind w:left="0" w:firstLine="0"/>
      </w:pPr>
      <w:r>
        <w:t>Under this component, eligible retailers will sell “Lighting Africa” approved products, and collect the lighting products they replace, such as kerosene lanterns and battery-powered lanterns. The different steps of this activity are summarized in the below.</w:t>
      </w:r>
    </w:p>
    <w:p w:rsidR="00FB413A" w:rsidRPr="00A077AB" w:rsidRDefault="00FB413A" w:rsidP="00FB413A"/>
    <w:p w:rsidR="00FB413A" w:rsidRDefault="00FB413A" w:rsidP="005522A2">
      <w:pPr>
        <w:pStyle w:val="Header"/>
        <w:numPr>
          <w:ilvl w:val="0"/>
          <w:numId w:val="30"/>
        </w:numPr>
        <w:tabs>
          <w:tab w:val="clear" w:pos="4320"/>
          <w:tab w:val="clear" w:pos="8640"/>
        </w:tabs>
        <w:ind w:left="0" w:firstLine="0"/>
      </w:pPr>
      <w:r>
        <w:rPr>
          <w:u w:val="single"/>
        </w:rPr>
        <w:lastRenderedPageBreak/>
        <w:t xml:space="preserve">Step 1: </w:t>
      </w:r>
      <w:r w:rsidRPr="00435532">
        <w:rPr>
          <w:u w:val="single"/>
        </w:rPr>
        <w:t>Competitive selection of retailers</w:t>
      </w:r>
      <w:r w:rsidRPr="00435532">
        <w:t xml:space="preserve">.  </w:t>
      </w:r>
      <w:r>
        <w:t>An invitation for expressions of interest (EOI) will be released</w:t>
      </w:r>
      <w:r w:rsidR="000313BC">
        <w:t xml:space="preserve"> by the RREA</w:t>
      </w:r>
      <w:r>
        <w:t xml:space="preserve"> in local papers and on the Web sites of relevant GOL entities, which calls for the proposals of interested potential retail partners to participate in a pilot program making subsidized but commercial sales of sustainable off-grid lighting products to Liberians, including in rural areas.  Partners would receive business facilitation support.  </w:t>
      </w:r>
      <w:r w:rsidRPr="00435532">
        <w:t xml:space="preserve">These </w:t>
      </w:r>
      <w:r>
        <w:t xml:space="preserve">retail partners </w:t>
      </w:r>
      <w:r w:rsidRPr="00435532">
        <w:t xml:space="preserve">may include firms and their dealers that supply mobile phones, phone charging services and/or scratch cards; kerosene, light bulb, and battery-powered lighting retail outlets; women’s </w:t>
      </w:r>
      <w:r>
        <w:t>market</w:t>
      </w:r>
      <w:r w:rsidRPr="00435532">
        <w:t xml:space="preserve"> networks; consumer durable goods suppliers that stock/sell goods of comparable price (e.g. US$15-60); or other local firms currently involved in renewable energy or improved lighting product sales that may need a boost to expand their operations.  </w:t>
      </w:r>
    </w:p>
    <w:p w:rsidR="00FB413A" w:rsidRDefault="00FB413A" w:rsidP="00FB413A">
      <w:pPr>
        <w:pStyle w:val="Footer"/>
        <w:jc w:val="both"/>
      </w:pPr>
    </w:p>
    <w:p w:rsidR="00FB413A" w:rsidRPr="000313BC" w:rsidRDefault="00FB413A" w:rsidP="000313BC">
      <w:pPr>
        <w:pStyle w:val="Header"/>
        <w:numPr>
          <w:ilvl w:val="0"/>
          <w:numId w:val="30"/>
        </w:numPr>
        <w:tabs>
          <w:tab w:val="clear" w:pos="4320"/>
          <w:tab w:val="clear" w:pos="8640"/>
        </w:tabs>
        <w:ind w:left="0" w:firstLine="0"/>
        <w:jc w:val="both"/>
      </w:pPr>
      <w:r w:rsidRPr="00435532">
        <w:t>These “retailers” could also include NGOs, micro-finance organizations, or faith-based organizations that have a national or semi-national presence and currently deliver goods, such as agricultural inputs, to Liberia’s population, on the condition that the organization have a plan for future commercial transition</w:t>
      </w:r>
      <w:r>
        <w:t xml:space="preserve"> and/or </w:t>
      </w:r>
      <w:r w:rsidRPr="00435532">
        <w:t xml:space="preserve">scale-up. </w:t>
      </w:r>
      <w:r>
        <w:t>Up to</w:t>
      </w:r>
      <w:r w:rsidRPr="00435532">
        <w:t xml:space="preserve"> five retailers/networks </w:t>
      </w:r>
      <w:r>
        <w:t>would</w:t>
      </w:r>
      <w:r w:rsidRPr="00435532">
        <w:t xml:space="preserve"> be selected for participation. </w:t>
      </w:r>
      <w:r>
        <w:t xml:space="preserve"> Prior to release of the EOI, t</w:t>
      </w:r>
      <w:r w:rsidRPr="00435532">
        <w:t xml:space="preserve">he </w:t>
      </w:r>
      <w:r>
        <w:t xml:space="preserve">RREA </w:t>
      </w:r>
      <w:r w:rsidRPr="00435532">
        <w:t>will reach out to retailers that would be suitable or have expressed preliminary interest</w:t>
      </w:r>
      <w:r>
        <w:t>, in order to solicit their feedback and confirm program details</w:t>
      </w:r>
      <w:r w:rsidRPr="00435532">
        <w:t xml:space="preserve">; the Liberian Business Association (LIBA) will also be briefed on the activity for the information of its members. </w:t>
      </w:r>
      <w:r w:rsidR="000313BC" w:rsidRPr="000313BC">
        <w:t>The RREA will be responsible for evaluating the response to the EOI and short-listing the most qualified bidders, who will then be invited to submit full proposals to participate in the project.</w:t>
      </w:r>
    </w:p>
    <w:p w:rsidR="00FB413A" w:rsidRDefault="00FB413A" w:rsidP="00FB413A">
      <w:pPr>
        <w:pStyle w:val="Footer"/>
        <w:jc w:val="both"/>
      </w:pPr>
    </w:p>
    <w:p w:rsidR="00FB413A" w:rsidRDefault="00FB413A" w:rsidP="005522A2">
      <w:pPr>
        <w:pStyle w:val="Header"/>
        <w:numPr>
          <w:ilvl w:val="0"/>
          <w:numId w:val="30"/>
        </w:numPr>
        <w:tabs>
          <w:tab w:val="clear" w:pos="4320"/>
          <w:tab w:val="clear" w:pos="8640"/>
        </w:tabs>
        <w:ind w:left="0" w:firstLine="0"/>
      </w:pPr>
      <w:r w:rsidRPr="005003A6">
        <w:t>Participating retailers are required to meet certain conditions, including: offering products for sale at reasonable trade margins (to be approved by RREA), honoring warranties, providing honest and complete information to customers regarding the products and the services they offer, making their staff available to receive training, making timely payments to RREA after consignment sales are made, making sales in the interior counties, providing after-sales services in the geographic area of sales, and providing accurate and timely reports to RREA on sales and sales prices and any issues they may have encountered.</w:t>
      </w:r>
      <w:r w:rsidR="00613261">
        <w:t xml:space="preserve">  In addition, commercial retail partners must pay tax on the profits made from sale of the lights.</w:t>
      </w:r>
    </w:p>
    <w:p w:rsidR="00FB413A" w:rsidRPr="00435532" w:rsidRDefault="00FB413A" w:rsidP="00FB413A">
      <w:pPr>
        <w:pStyle w:val="Footer"/>
        <w:jc w:val="both"/>
      </w:pPr>
    </w:p>
    <w:p w:rsidR="00FB413A" w:rsidRDefault="00FB413A" w:rsidP="005522A2">
      <w:pPr>
        <w:pStyle w:val="Header"/>
        <w:numPr>
          <w:ilvl w:val="0"/>
          <w:numId w:val="30"/>
        </w:numPr>
        <w:tabs>
          <w:tab w:val="clear" w:pos="4320"/>
          <w:tab w:val="clear" w:pos="8640"/>
        </w:tabs>
        <w:ind w:left="0" w:firstLine="0"/>
      </w:pPr>
      <w:r>
        <w:rPr>
          <w:u w:val="single"/>
        </w:rPr>
        <w:t xml:space="preserve">Step 2: </w:t>
      </w:r>
      <w:r w:rsidRPr="00A20FDD">
        <w:rPr>
          <w:u w:val="single"/>
        </w:rPr>
        <w:t>Introduction of Lighting Africa suppliers and products</w:t>
      </w:r>
      <w:r w:rsidRPr="00435532">
        <w:t>. Following release of the EOI</w:t>
      </w:r>
      <w:r w:rsidR="00F32656">
        <w:t xml:space="preserve"> and short-listing of potential partners</w:t>
      </w:r>
      <w:r w:rsidRPr="00435532">
        <w:t>, Lighting Africa manufacturers of approved products</w:t>
      </w:r>
      <w:r>
        <w:t xml:space="preserve"> estimated to be of</w:t>
      </w:r>
      <w:r w:rsidRPr="00435532">
        <w:t xml:space="preserve"> budget</w:t>
      </w:r>
      <w:r>
        <w:t xml:space="preserve"> </w:t>
      </w:r>
      <w:r w:rsidRPr="005B7CCC">
        <w:t xml:space="preserve">(≤$15 FOB) </w:t>
      </w:r>
      <w:r>
        <w:t>or</w:t>
      </w:r>
      <w:r w:rsidRPr="005B7CCC">
        <w:t xml:space="preserve"> mid-range (</w:t>
      </w:r>
      <w:r w:rsidR="00C727D2">
        <w:t>US</w:t>
      </w:r>
      <w:r w:rsidRPr="005B7CCC">
        <w:t xml:space="preserve">$16–30 FOB) </w:t>
      </w:r>
      <w:r>
        <w:t>price level</w:t>
      </w:r>
      <w:r w:rsidRPr="005B7CCC">
        <w:t xml:space="preserve"> will be invited</w:t>
      </w:r>
      <w:r w:rsidRPr="00435532">
        <w:t xml:space="preserve"> to Liberia </w:t>
      </w:r>
      <w:r w:rsidR="000313BC">
        <w:t xml:space="preserve">by the RREA </w:t>
      </w:r>
      <w:r w:rsidRPr="00435532">
        <w:t xml:space="preserve">to meet interested bidders in a pre-bid informational session, where the manufacturers will demonstrate products, answer questions, and evaluate suitability of potential distributors in one-on-one meetings. </w:t>
      </w:r>
      <w:r w:rsidR="00F32656">
        <w:t>Following this pre-bid event, the short-listed retailers/networks will submit proposals for inclusion in the program. Proposals will be evaluated per the program criteria, and up to five retailers/networks will be selected.</w:t>
      </w:r>
    </w:p>
    <w:p w:rsidR="00FB413A" w:rsidRPr="00435532" w:rsidRDefault="00FB413A" w:rsidP="00FB413A">
      <w:pPr>
        <w:pStyle w:val="Footer"/>
        <w:jc w:val="both"/>
      </w:pPr>
    </w:p>
    <w:p w:rsidR="00FB413A" w:rsidRDefault="00FB413A" w:rsidP="005522A2">
      <w:pPr>
        <w:pStyle w:val="Header"/>
        <w:numPr>
          <w:ilvl w:val="0"/>
          <w:numId w:val="30"/>
        </w:numPr>
        <w:tabs>
          <w:tab w:val="clear" w:pos="4320"/>
          <w:tab w:val="clear" w:pos="8640"/>
        </w:tabs>
        <w:ind w:left="0" w:firstLine="0"/>
      </w:pPr>
      <w:r>
        <w:rPr>
          <w:u w:val="single"/>
        </w:rPr>
        <w:t>Step 3: Pilot order</w:t>
      </w:r>
      <w:r w:rsidRPr="00435532">
        <w:t xml:space="preserve">. </w:t>
      </w:r>
      <w:r>
        <w:t xml:space="preserve">Each selected retail partner will decide which product(s) they want to sell, and what quantity they are capable of selling.  </w:t>
      </w:r>
      <w:r w:rsidRPr="00435532">
        <w:t>RREA will aggregate orders from participating firms and place orders on their behalf for Lighting Africa approved products</w:t>
      </w:r>
      <w:r>
        <w:t>, following the direct contracting procurement method</w:t>
      </w:r>
      <w:r w:rsidRPr="00435532">
        <w:t>.</w:t>
      </w:r>
      <w:r w:rsidR="00023C02">
        <w:rPr>
          <w:rStyle w:val="FootnoteReference"/>
        </w:rPr>
        <w:footnoteReference w:id="12"/>
      </w:r>
      <w:r w:rsidRPr="00435532">
        <w:t xml:space="preserve"> This is meant as an initial market test, to </w:t>
      </w:r>
      <w:r w:rsidRPr="00435532">
        <w:lastRenderedPageBreak/>
        <w:t xml:space="preserve">be followed soon after by the full </w:t>
      </w:r>
      <w:r w:rsidR="00F32656">
        <w:t>lantern exchange</w:t>
      </w:r>
      <w:r w:rsidRPr="00435532">
        <w:t xml:space="preserve"> program.  Approximately 5,000 lighting products are proposed to be made available to consumers through this pilot program. </w:t>
      </w:r>
      <w:r>
        <w:t>Legal agreements between the RREA and the retail partners will have to be concluded.</w:t>
      </w:r>
    </w:p>
    <w:p w:rsidR="00FB413A" w:rsidRDefault="00FB413A" w:rsidP="00FB413A">
      <w:pPr>
        <w:pStyle w:val="ListParagraph"/>
      </w:pPr>
    </w:p>
    <w:p w:rsidR="00FB413A" w:rsidRDefault="00FB413A" w:rsidP="005522A2">
      <w:pPr>
        <w:pStyle w:val="Header"/>
        <w:numPr>
          <w:ilvl w:val="0"/>
          <w:numId w:val="30"/>
        </w:numPr>
        <w:tabs>
          <w:tab w:val="clear" w:pos="4320"/>
          <w:tab w:val="clear" w:pos="8640"/>
        </w:tabs>
        <w:ind w:left="0" w:firstLine="0"/>
      </w:pPr>
      <w:r>
        <w:t xml:space="preserve">The </w:t>
      </w:r>
      <w:r w:rsidRPr="00435532">
        <w:t xml:space="preserve">RREA will make these products available to the participating retailers at their </w:t>
      </w:r>
      <w:r>
        <w:t>freight-on-board (</w:t>
      </w:r>
      <w:r w:rsidRPr="00435532">
        <w:t>FOB</w:t>
      </w:r>
      <w:r>
        <w:t xml:space="preserve">—wholesale) </w:t>
      </w:r>
      <w:r w:rsidRPr="00435532">
        <w:t xml:space="preserve">price.  The insurance, </w:t>
      </w:r>
      <w:r w:rsidRPr="003B7E57">
        <w:t>freight, any payable duties and taxes, customs clearing, inspection, and warehousing charges will be borne by RREA.</w:t>
      </w:r>
      <w:r w:rsidR="00613261">
        <w:rPr>
          <w:rStyle w:val="FootnoteReference"/>
        </w:rPr>
        <w:footnoteReference w:id="13"/>
      </w:r>
      <w:r w:rsidRPr="00435532">
        <w:t xml:space="preserve">  As this is a market testing program, the lights will be provided to retailers for a down payment</w:t>
      </w:r>
      <w:r>
        <w:t xml:space="preserve"> (e.g. 50%—to be determined in consultation with selected retail partners),</w:t>
      </w:r>
      <w:r w:rsidRPr="00435532">
        <w:t xml:space="preserve"> with the balance due </w:t>
      </w:r>
      <w:r>
        <w:t>up</w:t>
      </w:r>
      <w:r w:rsidRPr="00435532">
        <w:t xml:space="preserve">on </w:t>
      </w:r>
      <w:r>
        <w:t xml:space="preserve">retail </w:t>
      </w:r>
      <w:r w:rsidRPr="00435532">
        <w:t xml:space="preserve">sale of the lighting products.  </w:t>
      </w:r>
      <w:r>
        <w:t>This is because the average local retailer does not have the capital to pay for 100% of product cost up-front.</w:t>
      </w:r>
      <w:r w:rsidRPr="00435532">
        <w:t xml:space="preserve"> Retailers will use their own networks to sell these products, and must include sales outside of Monrovia in at least two counties (sales in Monrovia are also permitted).  Sales may be for cash, installment payments or with micro-finance loans, as decided by the retailers.   </w:t>
      </w:r>
    </w:p>
    <w:p w:rsidR="00FB413A" w:rsidRDefault="00FB413A" w:rsidP="00FB413A">
      <w:pPr>
        <w:pStyle w:val="Footer"/>
        <w:jc w:val="both"/>
      </w:pPr>
    </w:p>
    <w:p w:rsidR="00FB413A" w:rsidRDefault="00FB413A" w:rsidP="005522A2">
      <w:pPr>
        <w:pStyle w:val="Header"/>
        <w:numPr>
          <w:ilvl w:val="0"/>
          <w:numId w:val="30"/>
        </w:numPr>
        <w:tabs>
          <w:tab w:val="clear" w:pos="4320"/>
          <w:tab w:val="clear" w:pos="8640"/>
        </w:tabs>
        <w:ind w:left="0" w:firstLine="0"/>
      </w:pPr>
      <w:r w:rsidRPr="009F5FA3">
        <w:rPr>
          <w:u w:val="single"/>
        </w:rPr>
        <w:t>Step 4: GEF Program Order</w:t>
      </w:r>
      <w:r>
        <w:rPr>
          <w:u w:val="single"/>
        </w:rPr>
        <w:t>.</w:t>
      </w:r>
      <w:r w:rsidRPr="009F5FA3">
        <w:t xml:space="preserve"> </w:t>
      </w:r>
      <w:r>
        <w:t>Following the pilot phase and based on the lessons learned during this phase, the main phase would be started.</w:t>
      </w:r>
      <w:r w:rsidR="00F32656">
        <w:t xml:space="preserve"> The RREA will assist retail partners to finalize their business plans to ensure that their operations will be sustainable after donor support ends.</w:t>
      </w:r>
      <w:r>
        <w:t xml:space="preserve"> </w:t>
      </w:r>
      <w:r w:rsidRPr="00CD659B">
        <w:t>The retail partners should have a better idea at this stage, following the completion of the pilot sales phase, of what their realistic capital and recurring costs will be.  An accurate valuation prior to scale-up is critical, to ensure retail partners will be able to provide after-sales service at the level required by the program on a long-term and fully commercial basis.</w:t>
      </w:r>
    </w:p>
    <w:p w:rsidR="00FB413A" w:rsidRDefault="00FB413A" w:rsidP="00FB413A">
      <w:pPr>
        <w:pStyle w:val="Footer"/>
        <w:tabs>
          <w:tab w:val="clear" w:pos="4320"/>
          <w:tab w:val="center" w:pos="990"/>
        </w:tabs>
        <w:jc w:val="both"/>
      </w:pPr>
    </w:p>
    <w:p w:rsidR="00FB413A" w:rsidRDefault="00FB413A" w:rsidP="005522A2">
      <w:pPr>
        <w:pStyle w:val="Header"/>
        <w:numPr>
          <w:ilvl w:val="0"/>
          <w:numId w:val="30"/>
        </w:numPr>
        <w:tabs>
          <w:tab w:val="clear" w:pos="4320"/>
          <w:tab w:val="clear" w:pos="8640"/>
        </w:tabs>
        <w:ind w:left="0" w:firstLine="0"/>
      </w:pPr>
      <w:r>
        <w:t>Against this background</w:t>
      </w:r>
      <w:r w:rsidRPr="00CD659B">
        <w:t>, the RREA will finalize the full-scale program and prepare for launch.  This will require signing new legally-binding agreements with retail partners, as well as ensuring that the RREA and retail partners are in agreement on the terms of the full-scale program</w:t>
      </w:r>
      <w:r w:rsidR="00C727D2">
        <w:t xml:space="preserve"> </w:t>
      </w:r>
      <w:r w:rsidRPr="00CD659B">
        <w:t>—</w:t>
      </w:r>
      <w:r w:rsidR="00C727D2">
        <w:t xml:space="preserve"> </w:t>
      </w:r>
      <w:r w:rsidRPr="00CD659B">
        <w:t>e.g., the quantity of lights to be taken per down-payment tranche, and the time allowed for the sale of that tranche.</w:t>
      </w:r>
    </w:p>
    <w:p w:rsidR="00FB413A" w:rsidRDefault="00FB413A" w:rsidP="00FB413A">
      <w:pPr>
        <w:pStyle w:val="Footer"/>
        <w:tabs>
          <w:tab w:val="clear" w:pos="4320"/>
          <w:tab w:val="center" w:pos="990"/>
        </w:tabs>
        <w:jc w:val="both"/>
      </w:pPr>
    </w:p>
    <w:p w:rsidR="00FB413A" w:rsidRPr="000313BC" w:rsidRDefault="00FB413A" w:rsidP="005522A2">
      <w:pPr>
        <w:pStyle w:val="Header"/>
        <w:numPr>
          <w:ilvl w:val="0"/>
          <w:numId w:val="30"/>
        </w:numPr>
        <w:tabs>
          <w:tab w:val="clear" w:pos="4320"/>
          <w:tab w:val="clear" w:pos="8640"/>
        </w:tabs>
        <w:ind w:left="0" w:firstLine="0"/>
      </w:pPr>
      <w:r w:rsidRPr="009F5FA3">
        <w:t>Once the overall quantity of lights has been determined in consultation with each retail partner, the RREA will devise a schedule for that retailer showing how many lights will be released at a</w:t>
      </w:r>
      <w:r>
        <w:t xml:space="preserve"> specific</w:t>
      </w:r>
      <w:r w:rsidRPr="009F5FA3">
        <w:t xml:space="preserve"> time, and how much time the retail partner will be allowed for sales before they are required to return and pay the remainder of the FOB product cost.  </w:t>
      </w:r>
      <w:r w:rsidR="000313BC" w:rsidRPr="000313BC">
        <w:t xml:space="preserve">Orders of the Lighting Africa approved lights will be placed by the RREA following the direct contracting method as described above.  It is expected that, as during the pilot phase, lights would be </w:t>
      </w:r>
      <w:r w:rsidR="000313BC" w:rsidRPr="000313BC">
        <w:lastRenderedPageBreak/>
        <w:t>procured from more than one supplier and in batches, the quantity of which will be based on the sales ability of the retail partners.</w:t>
      </w:r>
    </w:p>
    <w:p w:rsidR="00FB413A" w:rsidRDefault="00FB413A" w:rsidP="00FB413A">
      <w:pPr>
        <w:pStyle w:val="Footer"/>
        <w:tabs>
          <w:tab w:val="clear" w:pos="4320"/>
          <w:tab w:val="center" w:pos="990"/>
        </w:tabs>
        <w:jc w:val="both"/>
      </w:pPr>
    </w:p>
    <w:p w:rsidR="00FB413A" w:rsidRPr="001A511E" w:rsidRDefault="00FB413A" w:rsidP="005522A2">
      <w:pPr>
        <w:pStyle w:val="Header"/>
        <w:numPr>
          <w:ilvl w:val="0"/>
          <w:numId w:val="30"/>
        </w:numPr>
        <w:tabs>
          <w:tab w:val="clear" w:pos="4320"/>
          <w:tab w:val="clear" w:pos="8640"/>
        </w:tabs>
        <w:ind w:left="0" w:firstLine="0"/>
      </w:pPr>
      <w:r w:rsidRPr="009F5FA3">
        <w:t xml:space="preserve">The retail partners will be supervised closely by RREA staff and their consultants throughout the process, to ensure the profit margins set on the products are in accordance with the goals of the program, that retail partners are providing technical training adequately and correctly, and that after-sales service is being offered, including any instances </w:t>
      </w:r>
      <w:r w:rsidRPr="001A511E">
        <w:t>of upholding warranties.</w:t>
      </w:r>
      <w:r>
        <w:t xml:space="preserve"> </w:t>
      </w:r>
    </w:p>
    <w:p w:rsidR="00FB413A" w:rsidRDefault="00FB413A" w:rsidP="00FB413A">
      <w:pPr>
        <w:pStyle w:val="Footer"/>
        <w:jc w:val="both"/>
      </w:pPr>
    </w:p>
    <w:p w:rsidR="00FB413A" w:rsidRDefault="00FB413A" w:rsidP="005522A2">
      <w:pPr>
        <w:pStyle w:val="Header"/>
        <w:numPr>
          <w:ilvl w:val="0"/>
          <w:numId w:val="30"/>
        </w:numPr>
        <w:tabs>
          <w:tab w:val="clear" w:pos="4320"/>
          <w:tab w:val="clear" w:pos="8640"/>
        </w:tabs>
        <w:ind w:left="0" w:firstLine="0"/>
      </w:pPr>
      <w:r w:rsidRPr="006632D5">
        <w:rPr>
          <w:u w:val="single"/>
        </w:rPr>
        <w:t>Step 5: Lantern exchange</w:t>
      </w:r>
      <w:r>
        <w:rPr>
          <w:u w:val="single"/>
        </w:rPr>
        <w:t>.</w:t>
      </w:r>
      <w:r>
        <w:t xml:space="preserve"> </w:t>
      </w:r>
      <w:r w:rsidR="00C727D2">
        <w:t xml:space="preserve"> </w:t>
      </w:r>
      <w:r>
        <w:t xml:space="preserve">In order to remove the old lamps from the system and ensure that greenhouse gas emissions are de facto reduced, a lantern exchange program is envisaged. It is based on the notion that handing in a working kerosene lamp or battery-powered low-quality light will result in a discount for a new “Lighting Africa” approved solar light. </w:t>
      </w:r>
      <w:r w:rsidRPr="006632D5">
        <w:t>Initially, a discount of between 25-33% is being suggested.</w:t>
      </w:r>
      <w:r>
        <w:t xml:space="preserve"> The amount of the discount is to be revised following the pilot phase. Th</w:t>
      </w:r>
      <w:r w:rsidR="002330C3">
        <w:t>e</w:t>
      </w:r>
      <w:r>
        <w:t xml:space="preserve"> mechanism for the lantern exchange is as follows:</w:t>
      </w:r>
    </w:p>
    <w:p w:rsidR="00FB413A" w:rsidRDefault="00FB413A" w:rsidP="00FB413A">
      <w:pPr>
        <w:pStyle w:val="Footer"/>
        <w:jc w:val="both"/>
      </w:pPr>
    </w:p>
    <w:p w:rsidR="00FB413A" w:rsidRDefault="00FB413A" w:rsidP="00E12DE7">
      <w:pPr>
        <w:pStyle w:val="Footer"/>
        <w:numPr>
          <w:ilvl w:val="0"/>
          <w:numId w:val="29"/>
        </w:numPr>
        <w:tabs>
          <w:tab w:val="clear" w:pos="4320"/>
          <w:tab w:val="clear" w:pos="8640"/>
        </w:tabs>
      </w:pPr>
      <w:r>
        <w:t>Retail partner picks up x number of solar lights, pays RREA x percentage of FOB cost.</w:t>
      </w:r>
    </w:p>
    <w:p w:rsidR="00FB413A" w:rsidRDefault="00FB413A" w:rsidP="00E12DE7">
      <w:pPr>
        <w:pStyle w:val="Footer"/>
        <w:numPr>
          <w:ilvl w:val="0"/>
          <w:numId w:val="29"/>
        </w:numPr>
        <w:tabs>
          <w:tab w:val="clear" w:pos="4320"/>
          <w:tab w:val="clear" w:pos="8640"/>
        </w:tabs>
      </w:pPr>
      <w:r>
        <w:t xml:space="preserve">Retail partner sets retail price, makes sale; accepts working kerosene lamp from consumer, and sells solar light minus x percent of retail price in exchange. </w:t>
      </w:r>
    </w:p>
    <w:p w:rsidR="00FB413A" w:rsidRDefault="00FB413A" w:rsidP="00E12DE7">
      <w:pPr>
        <w:pStyle w:val="Footer"/>
        <w:numPr>
          <w:ilvl w:val="0"/>
          <w:numId w:val="29"/>
        </w:numPr>
        <w:tabs>
          <w:tab w:val="clear" w:pos="4320"/>
          <w:tab w:val="clear" w:pos="8640"/>
        </w:tabs>
      </w:pPr>
      <w:r>
        <w:t>Retail partner returns the kerosene lamp to the RREA.</w:t>
      </w:r>
    </w:p>
    <w:p w:rsidR="00FB413A" w:rsidRDefault="00FB413A" w:rsidP="00E12DE7">
      <w:pPr>
        <w:pStyle w:val="Footer"/>
        <w:numPr>
          <w:ilvl w:val="0"/>
          <w:numId w:val="29"/>
        </w:numPr>
        <w:tabs>
          <w:tab w:val="clear" w:pos="4320"/>
          <w:tab w:val="clear" w:pos="8640"/>
        </w:tabs>
      </w:pPr>
      <w:r>
        <w:t>RREA reimburses retailer for the amount of the exchange discount (x percent of retail price).</w:t>
      </w:r>
    </w:p>
    <w:p w:rsidR="00FB413A" w:rsidRDefault="00FB413A" w:rsidP="00E12DE7">
      <w:pPr>
        <w:pStyle w:val="Footer"/>
        <w:numPr>
          <w:ilvl w:val="0"/>
          <w:numId w:val="29"/>
        </w:numPr>
        <w:tabs>
          <w:tab w:val="clear" w:pos="4320"/>
          <w:tab w:val="clear" w:pos="8640"/>
        </w:tabs>
      </w:pPr>
      <w:r>
        <w:t>Retailer retains original profit margin.  RREA retains x amount to recycle into further purchases.</w:t>
      </w:r>
    </w:p>
    <w:p w:rsidR="00FB413A" w:rsidRDefault="00FB413A" w:rsidP="00FB413A">
      <w:pPr>
        <w:pStyle w:val="Footer"/>
        <w:jc w:val="both"/>
      </w:pPr>
    </w:p>
    <w:p w:rsidR="00FB413A" w:rsidRDefault="00FB413A" w:rsidP="00C727D2">
      <w:pPr>
        <w:pStyle w:val="Footer"/>
      </w:pPr>
      <w:r>
        <w:t>The below figure gives an example of how the money flow would work, using indicative figures.</w:t>
      </w:r>
      <w:r>
        <w:rPr>
          <w:rStyle w:val="FootnoteReference"/>
        </w:rPr>
        <w:footnoteReference w:id="14"/>
      </w:r>
      <w:r>
        <w:t xml:space="preserve">  </w:t>
      </w:r>
    </w:p>
    <w:p w:rsidR="005522A2" w:rsidRDefault="005522A2" w:rsidP="00FB413A">
      <w:pPr>
        <w:pStyle w:val="Footer"/>
        <w:keepNext/>
        <w:keepLines/>
        <w:widowControl w:val="0"/>
        <w:jc w:val="both"/>
        <w:rPr>
          <w:b/>
        </w:rPr>
      </w:pPr>
    </w:p>
    <w:p w:rsidR="00FB413A" w:rsidRDefault="00FB413A" w:rsidP="00E12DE7">
      <w:pPr>
        <w:pStyle w:val="Footer"/>
        <w:keepNext/>
        <w:keepLines/>
        <w:widowControl w:val="0"/>
        <w:jc w:val="center"/>
        <w:rPr>
          <w:b/>
        </w:rPr>
      </w:pPr>
      <w:r w:rsidRPr="004A7E67">
        <w:rPr>
          <w:b/>
        </w:rPr>
        <w:t>Figure 2: The mechanics of the lantern exchange program</w:t>
      </w:r>
    </w:p>
    <w:p w:rsidR="00FB413A" w:rsidRPr="004A7E67" w:rsidRDefault="00FB413A" w:rsidP="00FB413A">
      <w:pPr>
        <w:pStyle w:val="Footer"/>
        <w:keepNext/>
        <w:keepLines/>
        <w:widowControl w:val="0"/>
        <w:jc w:val="both"/>
        <w:rPr>
          <w:b/>
        </w:rPr>
      </w:pPr>
    </w:p>
    <w:p w:rsidR="00FB413A" w:rsidRDefault="0035474B" w:rsidP="00E12DE7">
      <w:pPr>
        <w:pStyle w:val="Footer"/>
        <w:keepNext/>
        <w:keepLines/>
        <w:widowControl w:val="0"/>
        <w:jc w:val="center"/>
      </w:pPr>
      <w:r>
        <w:rPr>
          <w:noProof/>
        </w:rPr>
        <w:pict>
          <v:shape id="_x0000_i1029" type="#_x0000_t75" style="width:440pt;height:233.35pt;visibility:visible">
            <v:imagedata r:id="rId23" o:title=""/>
          </v:shape>
        </w:pict>
      </w:r>
    </w:p>
    <w:p w:rsidR="00FB413A" w:rsidRPr="00435532" w:rsidRDefault="00FB413A" w:rsidP="00FB413A">
      <w:pPr>
        <w:pStyle w:val="Footer"/>
        <w:keepNext/>
        <w:keepLines/>
        <w:widowControl w:val="0"/>
        <w:jc w:val="both"/>
      </w:pPr>
    </w:p>
    <w:p w:rsidR="00FB413A" w:rsidRDefault="00FB413A" w:rsidP="00726174">
      <w:pPr>
        <w:pStyle w:val="Header"/>
        <w:numPr>
          <w:ilvl w:val="0"/>
          <w:numId w:val="30"/>
        </w:numPr>
        <w:tabs>
          <w:tab w:val="clear" w:pos="4320"/>
          <w:tab w:val="clear" w:pos="8640"/>
        </w:tabs>
        <w:ind w:left="0" w:firstLine="0"/>
      </w:pPr>
      <w:r>
        <w:rPr>
          <w:u w:val="single"/>
        </w:rPr>
        <w:t>Step 6: Revolving Fund</w:t>
      </w:r>
      <w:r w:rsidRPr="00435532">
        <w:t xml:space="preserve">. </w:t>
      </w:r>
      <w:r w:rsidR="00C727D2">
        <w:t xml:space="preserve"> </w:t>
      </w:r>
      <w:r w:rsidRPr="00435532">
        <w:t xml:space="preserve">Funds </w:t>
      </w:r>
      <w:r>
        <w:t xml:space="preserve">paid and </w:t>
      </w:r>
      <w:r w:rsidRPr="00435532">
        <w:t xml:space="preserve">returned to the RREA by retailers from the sale of Lighting Africa products will be deposited into the </w:t>
      </w:r>
      <w:r>
        <w:t>Rural Ene</w:t>
      </w:r>
      <w:r w:rsidR="00DF4CB6">
        <w:t>r</w:t>
      </w:r>
      <w:r>
        <w:t>gy Fund (</w:t>
      </w:r>
      <w:proofErr w:type="spellStart"/>
      <w:r w:rsidRPr="00435532">
        <w:t>REFund</w:t>
      </w:r>
      <w:proofErr w:type="spellEnd"/>
      <w:r>
        <w:t>)</w:t>
      </w:r>
      <w:r w:rsidRPr="00435532">
        <w:t xml:space="preserve">, which is designed to provide project development support by competitive application.  </w:t>
      </w:r>
      <w:r>
        <w:t>During the project, the funds will be recycled in a project-specific account to enable bulk purchase of additional Lighting Africa products until the goal of 100,000 lanterns is reached.  Following the close of the GEF program, t</w:t>
      </w:r>
      <w:r w:rsidRPr="00435532">
        <w:t xml:space="preserve">he </w:t>
      </w:r>
      <w:r>
        <w:t xml:space="preserve">remaining </w:t>
      </w:r>
      <w:r w:rsidRPr="00435532">
        <w:t xml:space="preserve">funds will be </w:t>
      </w:r>
      <w:r>
        <w:t>made available to similar projects</w:t>
      </w:r>
      <w:r w:rsidRPr="00435532">
        <w:t xml:space="preserve"> </w:t>
      </w:r>
      <w:r>
        <w:t>through the formally established procedures of the</w:t>
      </w:r>
      <w:r w:rsidRPr="00435532">
        <w:t xml:space="preserve"> </w:t>
      </w:r>
      <w:proofErr w:type="spellStart"/>
      <w:r w:rsidRPr="00435532">
        <w:t>REFund</w:t>
      </w:r>
      <w:proofErr w:type="spellEnd"/>
      <w:r>
        <w:t xml:space="preserve">, which are intended to </w:t>
      </w:r>
      <w:r w:rsidRPr="00435532">
        <w:t>catalyze further expansion of renewable energy access in Liberia</w:t>
      </w:r>
      <w:r>
        <w:t xml:space="preserve"> through competitive selection of community, NGO, or private sector rural electrification and energy access projects</w:t>
      </w:r>
      <w:r w:rsidRPr="00435532">
        <w:t>.</w:t>
      </w:r>
    </w:p>
    <w:p w:rsidR="00FB413A" w:rsidRDefault="00FB413A" w:rsidP="00FB413A">
      <w:pPr>
        <w:pStyle w:val="Footer"/>
        <w:tabs>
          <w:tab w:val="clear" w:pos="4320"/>
          <w:tab w:val="clear" w:pos="8640"/>
        </w:tabs>
        <w:jc w:val="both"/>
      </w:pPr>
    </w:p>
    <w:p w:rsidR="002330C3" w:rsidRDefault="002330C3" w:rsidP="00FB413A">
      <w:pPr>
        <w:pStyle w:val="Footer"/>
        <w:tabs>
          <w:tab w:val="clear" w:pos="4320"/>
          <w:tab w:val="clear" w:pos="8640"/>
        </w:tabs>
        <w:jc w:val="both"/>
        <w:rPr>
          <w:b/>
        </w:rPr>
      </w:pPr>
    </w:p>
    <w:p w:rsidR="002330C3" w:rsidRDefault="002330C3" w:rsidP="00FB413A">
      <w:pPr>
        <w:pStyle w:val="Footer"/>
        <w:tabs>
          <w:tab w:val="clear" w:pos="4320"/>
          <w:tab w:val="clear" w:pos="8640"/>
        </w:tabs>
        <w:jc w:val="both"/>
        <w:rPr>
          <w:b/>
        </w:rPr>
      </w:pPr>
    </w:p>
    <w:p w:rsidR="002330C3" w:rsidRDefault="002330C3" w:rsidP="00FB413A">
      <w:pPr>
        <w:pStyle w:val="Footer"/>
        <w:tabs>
          <w:tab w:val="clear" w:pos="4320"/>
          <w:tab w:val="clear" w:pos="8640"/>
        </w:tabs>
        <w:jc w:val="both"/>
        <w:rPr>
          <w:b/>
        </w:rPr>
      </w:pPr>
    </w:p>
    <w:p w:rsidR="00FB413A" w:rsidRPr="00306563" w:rsidRDefault="00FB413A" w:rsidP="00FB413A">
      <w:pPr>
        <w:pStyle w:val="Footer"/>
        <w:tabs>
          <w:tab w:val="clear" w:pos="4320"/>
          <w:tab w:val="clear" w:pos="8640"/>
        </w:tabs>
        <w:jc w:val="both"/>
        <w:rPr>
          <w:b/>
        </w:rPr>
      </w:pPr>
      <w:r w:rsidRPr="00306563">
        <w:rPr>
          <w:b/>
        </w:rPr>
        <w:t>Component 3: Project management</w:t>
      </w:r>
    </w:p>
    <w:p w:rsidR="00FB413A" w:rsidRDefault="00FB413A" w:rsidP="00FB413A">
      <w:pPr>
        <w:pStyle w:val="Footer"/>
        <w:jc w:val="both"/>
        <w:rPr>
          <w:u w:val="single"/>
        </w:rPr>
      </w:pPr>
    </w:p>
    <w:p w:rsidR="00FB413A" w:rsidRDefault="00FB413A" w:rsidP="00726174">
      <w:pPr>
        <w:pStyle w:val="Header"/>
        <w:numPr>
          <w:ilvl w:val="0"/>
          <w:numId w:val="30"/>
        </w:numPr>
        <w:tabs>
          <w:tab w:val="clear" w:pos="4320"/>
          <w:tab w:val="clear" w:pos="8640"/>
        </w:tabs>
        <w:ind w:left="0" w:firstLine="0"/>
      </w:pPr>
      <w:r>
        <w:t>The project management will be conducted by the RREA. Please refer to the section below on implementation arrangements.</w:t>
      </w:r>
    </w:p>
    <w:p w:rsidR="00C727D2" w:rsidRDefault="00C727D2" w:rsidP="00FB413A">
      <w:pPr>
        <w:pStyle w:val="Footer"/>
        <w:tabs>
          <w:tab w:val="clear" w:pos="4320"/>
          <w:tab w:val="center" w:pos="990"/>
        </w:tabs>
        <w:jc w:val="both"/>
      </w:pPr>
    </w:p>
    <w:p w:rsidR="002330C3" w:rsidRDefault="002330C3" w:rsidP="00FB413A">
      <w:pPr>
        <w:pStyle w:val="Footer"/>
        <w:tabs>
          <w:tab w:val="clear" w:pos="4320"/>
          <w:tab w:val="center" w:pos="990"/>
        </w:tabs>
        <w:jc w:val="both"/>
        <w:rPr>
          <w:b/>
        </w:rPr>
      </w:pPr>
    </w:p>
    <w:p w:rsidR="00FB413A" w:rsidRPr="007B5A21" w:rsidRDefault="00FB413A" w:rsidP="00FB413A">
      <w:pPr>
        <w:pStyle w:val="Footer"/>
        <w:tabs>
          <w:tab w:val="clear" w:pos="4320"/>
          <w:tab w:val="center" w:pos="990"/>
        </w:tabs>
        <w:jc w:val="both"/>
        <w:rPr>
          <w:b/>
        </w:rPr>
      </w:pPr>
      <w:r w:rsidRPr="007B5A21">
        <w:rPr>
          <w:b/>
        </w:rPr>
        <w:t>Monitoring and evaluation</w:t>
      </w:r>
    </w:p>
    <w:p w:rsidR="00FB413A" w:rsidRDefault="00FB413A" w:rsidP="00FB413A">
      <w:pPr>
        <w:pStyle w:val="Footer"/>
        <w:tabs>
          <w:tab w:val="clear" w:pos="4320"/>
          <w:tab w:val="center" w:pos="990"/>
        </w:tabs>
        <w:jc w:val="both"/>
      </w:pPr>
    </w:p>
    <w:p w:rsidR="00FB413A" w:rsidRDefault="00FB413A" w:rsidP="00726174">
      <w:pPr>
        <w:pStyle w:val="Header"/>
        <w:numPr>
          <w:ilvl w:val="0"/>
          <w:numId w:val="30"/>
        </w:numPr>
        <w:tabs>
          <w:tab w:val="clear" w:pos="4320"/>
          <w:tab w:val="clear" w:pos="8640"/>
        </w:tabs>
        <w:ind w:left="0" w:firstLine="0"/>
      </w:pPr>
      <w:r>
        <w:t xml:space="preserve">The </w:t>
      </w:r>
      <w:r w:rsidRPr="00435532">
        <w:t xml:space="preserve">RREA will monitor implementation and conduct consumer surveys to assess market response and to </w:t>
      </w:r>
      <w:r w:rsidR="002330C3">
        <w:t>evaluate the success of the program</w:t>
      </w:r>
      <w:r w:rsidRPr="00435532">
        <w:t xml:space="preserve">.  </w:t>
      </w:r>
      <w:r>
        <w:t>C</w:t>
      </w:r>
      <w:r w:rsidRPr="00435532">
        <w:t>ell phone numbers of customers as well as other identity details will be recorded by retailers upon sale</w:t>
      </w:r>
      <w:r w:rsidR="002330C3">
        <w:t>. These will be sampled randomly by the RREA to carry out the M&amp;E</w:t>
      </w:r>
      <w:r>
        <w:t>.</w:t>
      </w:r>
    </w:p>
    <w:p w:rsidR="00FB413A" w:rsidRDefault="00FB413A" w:rsidP="00FB413A">
      <w:pPr>
        <w:pStyle w:val="Footer"/>
        <w:jc w:val="both"/>
      </w:pPr>
    </w:p>
    <w:p w:rsidR="00FB413A" w:rsidRPr="009F5FA3" w:rsidRDefault="00FB413A" w:rsidP="00726174">
      <w:pPr>
        <w:pStyle w:val="Header"/>
        <w:numPr>
          <w:ilvl w:val="0"/>
          <w:numId w:val="30"/>
        </w:numPr>
        <w:tabs>
          <w:tab w:val="clear" w:pos="4320"/>
          <w:tab w:val="clear" w:pos="8640"/>
        </w:tabs>
        <w:ind w:left="0" w:firstLine="0"/>
      </w:pPr>
      <w:r w:rsidRPr="009F5FA3">
        <w:lastRenderedPageBreak/>
        <w:t xml:space="preserve">Indicators to be </w:t>
      </w:r>
      <w:r>
        <w:t>monitored</w:t>
      </w:r>
      <w:r w:rsidRPr="009F5FA3">
        <w:t xml:space="preserve"> include (a) number of lights sold per retailer, and the geographic distribution of the sales; (b) retail price of products sold by each retailer; (c) speed of sales; (d) customer satisfaction with the products after a few months of use, and any problems encountered; (e) availability of after-sales support in sale areas, including any warranty or technical issues; and (f) self-evaluation of retailers regarding the success of the pilot sale phase and their subsequent financial health.</w:t>
      </w:r>
    </w:p>
    <w:p w:rsidR="00FB413A" w:rsidRDefault="00FB413A" w:rsidP="00FB413A">
      <w:pPr>
        <w:pStyle w:val="Footer"/>
        <w:jc w:val="both"/>
      </w:pPr>
    </w:p>
    <w:p w:rsidR="00FB413A" w:rsidRDefault="00FB413A" w:rsidP="00726174">
      <w:pPr>
        <w:pStyle w:val="Header"/>
        <w:numPr>
          <w:ilvl w:val="0"/>
          <w:numId w:val="30"/>
        </w:numPr>
        <w:tabs>
          <w:tab w:val="clear" w:pos="4320"/>
          <w:tab w:val="clear" w:pos="8640"/>
        </w:tabs>
        <w:ind w:left="0" w:firstLine="0"/>
      </w:pPr>
      <w:r>
        <w:t>In addition, the</w:t>
      </w:r>
      <w:r w:rsidRPr="00435532">
        <w:t xml:space="preserve"> RREA will identify after-sales service issues, policy barriers, and transactional bottlenecks that impede the flow a</w:t>
      </w:r>
      <w:r>
        <w:t>nd sustainability of these high-</w:t>
      </w:r>
      <w:r w:rsidRPr="00435532">
        <w:t>quality products into the Liberian market. Approaches to overcoming the problems</w:t>
      </w:r>
      <w:r>
        <w:t xml:space="preserve"> encountered</w:t>
      </w:r>
      <w:r w:rsidRPr="00435532">
        <w:t xml:space="preserve"> will be devised for </w:t>
      </w:r>
      <w:r w:rsidR="002330C3">
        <w:t>incorporation into the ongoing</w:t>
      </w:r>
      <w:r w:rsidRPr="00435532">
        <w:t xml:space="preserve"> program. </w:t>
      </w:r>
    </w:p>
    <w:p w:rsidR="00FB413A" w:rsidRDefault="00FB413A" w:rsidP="00FB413A">
      <w:pPr>
        <w:pStyle w:val="Footer"/>
        <w:jc w:val="both"/>
      </w:pPr>
    </w:p>
    <w:p w:rsidR="00FB413A" w:rsidRDefault="00FB413A" w:rsidP="00726174">
      <w:pPr>
        <w:pStyle w:val="Header"/>
        <w:numPr>
          <w:ilvl w:val="0"/>
          <w:numId w:val="30"/>
        </w:numPr>
        <w:tabs>
          <w:tab w:val="clear" w:pos="4320"/>
          <w:tab w:val="clear" w:pos="8640"/>
        </w:tabs>
        <w:ind w:left="0" w:firstLine="0"/>
      </w:pPr>
      <w:r>
        <w:t>In order to accurately track sales, the RREA will</w:t>
      </w:r>
      <w:r w:rsidR="002330C3">
        <w:t xml:space="preserve"> work together with retailers to</w:t>
      </w:r>
      <w:r>
        <w:t xml:space="preserve"> create a database recording the customers who have purchased lights, including their name, address/location, and cell phone number.  This will allow for monitoring and evaluation during and after the pilot phase, as well as enable the retail partner to provide remote after-sales service if needed (e.g. warranty questions). </w:t>
      </w:r>
    </w:p>
    <w:p w:rsidR="008F680F" w:rsidRDefault="008F680F" w:rsidP="008F680F">
      <w:pPr>
        <w:pStyle w:val="ListParagraph"/>
      </w:pPr>
    </w:p>
    <w:p w:rsidR="00D73BEA" w:rsidRPr="00D73BEA" w:rsidRDefault="008F680F" w:rsidP="00726174">
      <w:pPr>
        <w:pStyle w:val="Header"/>
        <w:numPr>
          <w:ilvl w:val="0"/>
          <w:numId w:val="30"/>
        </w:numPr>
        <w:tabs>
          <w:tab w:val="clear" w:pos="4320"/>
          <w:tab w:val="clear" w:pos="8640"/>
        </w:tabs>
        <w:ind w:left="0" w:firstLine="0"/>
      </w:pPr>
      <w:r w:rsidRPr="008F680F">
        <w:rPr>
          <w:noProof/>
        </w:rPr>
        <w:t>Monitoring and evaluation activities are mapped under the TA component of the project, with a budget of $25,000 which will cover travel.  Staff time of the implementing agency for carrying out M&amp;E is costed elsewhere (program management, Government co-financing).</w:t>
      </w:r>
    </w:p>
    <w:p w:rsidR="00FB413A" w:rsidRDefault="00FB413A" w:rsidP="00FB413A">
      <w:pPr>
        <w:pStyle w:val="Footer"/>
        <w:jc w:val="both"/>
      </w:pPr>
    </w:p>
    <w:p w:rsidR="00FB413A" w:rsidRPr="00B85B65" w:rsidRDefault="00FB413A" w:rsidP="00FB413A">
      <w:pPr>
        <w:jc w:val="both"/>
        <w:rPr>
          <w:b/>
        </w:rPr>
      </w:pPr>
      <w:r w:rsidRPr="00B85B65">
        <w:rPr>
          <w:b/>
        </w:rPr>
        <w:t>Implementation Arrangements</w:t>
      </w:r>
      <w:r>
        <w:rPr>
          <w:b/>
        </w:rPr>
        <w:t xml:space="preserve"> and Stakeholders</w:t>
      </w:r>
    </w:p>
    <w:p w:rsidR="00FB413A" w:rsidRDefault="00FB413A" w:rsidP="00FB413A">
      <w:pPr>
        <w:jc w:val="both"/>
      </w:pPr>
    </w:p>
    <w:p w:rsidR="00FB413A" w:rsidRDefault="00FB413A" w:rsidP="00726174">
      <w:pPr>
        <w:pStyle w:val="Header"/>
        <w:numPr>
          <w:ilvl w:val="0"/>
          <w:numId w:val="30"/>
        </w:numPr>
        <w:tabs>
          <w:tab w:val="clear" w:pos="4320"/>
          <w:tab w:val="clear" w:pos="8640"/>
        </w:tabs>
        <w:ind w:left="0" w:firstLine="0"/>
      </w:pPr>
      <w:r>
        <w:t>The GEF Grant will be implemented by Liberia’s Rural and Renewable Energy Agency (RREA),</w:t>
      </w:r>
      <w:r w:rsidRPr="00382C19">
        <w:t xml:space="preserve"> which is under the policy direction of the Ministry of Lands, Mines and Energy</w:t>
      </w:r>
      <w:r>
        <w:t xml:space="preserve">. </w:t>
      </w:r>
      <w:r w:rsidRPr="00B85B65">
        <w:t>The RREA is the first agency of its kind in the history of Liberia, and its establishment reflects the emphasis put on rural energy access as well as environmental sustainability in Liberia’s National Energy Policy (NEP)</w:t>
      </w:r>
      <w:r>
        <w:t xml:space="preserve">. Rather than setting up a dedicated Project Implementation Unit, the project will be mainstreamed into the normal operations of the RREA. </w:t>
      </w:r>
      <w:r w:rsidR="00C727D2">
        <w:t xml:space="preserve"> </w:t>
      </w:r>
      <w:r>
        <w:t>The RREA will appoint a dedicated project manager.</w:t>
      </w:r>
      <w:r w:rsidRPr="00382C19">
        <w:t xml:space="preserve">  </w:t>
      </w:r>
      <w:r w:rsidR="002330C3">
        <w:t>The RREA</w:t>
      </w:r>
      <w:r w:rsidRPr="00382C19">
        <w:t xml:space="preserve"> is also the key stakeholder in the sense that the objectives of the project are tailored to the RREA’s mandate, and will help the RREA to achieve a significant percentage of its </w:t>
      </w:r>
      <w:r w:rsidR="002330C3">
        <w:t>rural access goa</w:t>
      </w:r>
      <w:r w:rsidRPr="00382C19">
        <w:t>ls under Liberia’s Pover</w:t>
      </w:r>
      <w:r>
        <w:t>t</w:t>
      </w:r>
      <w:r w:rsidRPr="00382C19">
        <w:t>y Reduction Strategy.</w:t>
      </w:r>
      <w:r>
        <w:t xml:space="preserve"> Figure 3 shows the </w:t>
      </w:r>
      <w:proofErr w:type="spellStart"/>
      <w:r>
        <w:t>organigram</w:t>
      </w:r>
      <w:proofErr w:type="spellEnd"/>
      <w:r>
        <w:t xml:space="preserve"> of the RREA.</w:t>
      </w:r>
    </w:p>
    <w:p w:rsidR="00FB413A" w:rsidRDefault="00FB413A" w:rsidP="00FB413A">
      <w:pPr>
        <w:jc w:val="both"/>
      </w:pPr>
    </w:p>
    <w:p w:rsidR="00FB413A" w:rsidRDefault="00FB413A" w:rsidP="00726174">
      <w:pPr>
        <w:pStyle w:val="Header"/>
        <w:numPr>
          <w:ilvl w:val="0"/>
          <w:numId w:val="30"/>
        </w:numPr>
        <w:tabs>
          <w:tab w:val="clear" w:pos="4320"/>
          <w:tab w:val="clear" w:pos="8640"/>
        </w:tabs>
        <w:ind w:left="0" w:firstLine="0"/>
      </w:pPr>
      <w:r w:rsidRPr="00382C19">
        <w:t>In addition, the private sector will be a key stakeholder, as the Lighting Liberia program will work with the toolkits and products from the current Lighting Africa program and adapt them to Liberian requirements and conditions to increase market intelligence, consumer awareness, and improved affordability of high-quality solar products.  Consumers are the ultimate beneficiaries of the investment activities of the proposed project, as the project will support the introduction of low-cost, sustainable, and quality assured products to a market that currently pays exorbitant prices for low-tech and low efficiency products that are damaging to the environment and especially to the health of women and children (e.g. disposable batteries, kerosene breathed indoors).</w:t>
      </w:r>
    </w:p>
    <w:p w:rsidR="00FB413A" w:rsidRDefault="00FB413A" w:rsidP="00FB413A">
      <w:pPr>
        <w:jc w:val="both"/>
      </w:pPr>
    </w:p>
    <w:p w:rsidR="00FB413A" w:rsidRPr="00EA2835" w:rsidRDefault="00FB413A" w:rsidP="00E12DE7">
      <w:pPr>
        <w:keepNext/>
        <w:keepLines/>
        <w:jc w:val="center"/>
        <w:rPr>
          <w:b/>
        </w:rPr>
      </w:pPr>
      <w:r w:rsidRPr="00EA2835">
        <w:rPr>
          <w:b/>
        </w:rPr>
        <w:lastRenderedPageBreak/>
        <w:t xml:space="preserve">Figure 3: </w:t>
      </w:r>
      <w:proofErr w:type="gramStart"/>
      <w:r w:rsidRPr="00EA2835">
        <w:rPr>
          <w:b/>
        </w:rPr>
        <w:t>The</w:t>
      </w:r>
      <w:proofErr w:type="gramEnd"/>
      <w:r w:rsidRPr="00EA2835">
        <w:rPr>
          <w:b/>
        </w:rPr>
        <w:t xml:space="preserve"> RREA’s </w:t>
      </w:r>
      <w:proofErr w:type="spellStart"/>
      <w:r w:rsidRPr="00EA2835">
        <w:rPr>
          <w:b/>
        </w:rPr>
        <w:t>Organigram</w:t>
      </w:r>
      <w:proofErr w:type="spellEnd"/>
    </w:p>
    <w:p w:rsidR="00FB413A" w:rsidRPr="00EA2835" w:rsidRDefault="00FB413A" w:rsidP="00E12DE7">
      <w:pPr>
        <w:keepNext/>
        <w:keepLines/>
        <w:jc w:val="both"/>
        <w:rPr>
          <w:b/>
        </w:rPr>
      </w:pPr>
    </w:p>
    <w:p w:rsidR="00FB413A" w:rsidRPr="00EA2835" w:rsidRDefault="00D526C8" w:rsidP="00E12DE7">
      <w:pPr>
        <w:keepNext/>
        <w:keepLines/>
        <w:jc w:val="center"/>
        <w:rPr>
          <w:b/>
        </w:rPr>
      </w:pPr>
      <w:r w:rsidRPr="00D526C8">
        <w:rPr>
          <w:rFonts w:ascii="Arial" w:hAnsi="Arial" w:cs="Arial"/>
          <w:sz w:val="28"/>
          <w:szCs w:val="28"/>
        </w:rPr>
      </w:r>
      <w:r w:rsidRPr="00D526C8">
        <w:rPr>
          <w:rFonts w:ascii="Arial" w:hAnsi="Arial" w:cs="Arial"/>
          <w:sz w:val="28"/>
          <w:szCs w:val="28"/>
        </w:rPr>
        <w:pict>
          <v:group id="_x0000_s1026" editas="orgchart" style="width:394.15pt;height:313.1pt;mso-position-horizontal-relative:char;mso-position-vertical-relative:line" coordorigin="3607,1817" coordsize="15477,5040">
            <o:lock v:ext="edit" aspectratio="t"/>
            <o:diagram v:ext="edit" dgmstyle="0" dgmscalex="33380" dgmscaley="81432" dgmfontsize="6" constrainbounds="0,0,0,0">
              <o:relationtable v:ext="edit">
                <o:rel v:ext="edit" idsrc="#_s1040" iddest="#_s1040"/>
                <o:rel v:ext="edit" idsrc="#_s1041" iddest="#_s1040" idcntr="#_s1039"/>
                <o:rel v:ext="edit" idsrc="#_s1042" iddest="#_s1041" idcntr="#_s1038"/>
                <o:rel v:ext="edit" idsrc="#_s1043" iddest="#_s1041" idcntr="#_s1037"/>
                <o:rel v:ext="edit" idsrc="#_s1044" iddest="#_s1041" idcntr="#_s1036"/>
                <o:rel v:ext="edit" idsrc="#_s1045" iddest="#_s1041" idcntr="#_s1035"/>
                <o:rel v:ext="edit" idsrc="#_s1047" iddest="#_s1041" idcntr="#_s1033"/>
                <o:rel v:ext="edit" idsrc="#_s1046" iddest="#_s1042" idcntr="#_s1034"/>
                <o:rel v:ext="edit" idsrc="#_s1048" iddest="#_s1043" idcntr="#_s1032"/>
                <o:rel v:ext="edit" idsrc="#_s1049" iddest="#_s1043" idcntr="#_s1031"/>
                <o:rel v:ext="edit" idsrc="#_s1050" iddest="#_s1044" idcntr="#_s1030"/>
                <o:rel v:ext="edit" idsrc="#_s1052" iddest="#_s1044" idcntr="#_s1028"/>
                <o:rel v:ext="edit" idsrc="#_s1051" iddest="#_s1047" idcntr="#_s1029"/>
              </o:relationtable>
            </o:diagram>
            <v:shape id="_x0000_s1027" type="#_x0000_t75" style="position:absolute;left:3607;top:1817;width:15477;height:5040" o:preferrelative="f" filled="t">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11527;top:4697;width:359;height:1799;rotation:180" o:connectortype="elbow" adj="-754820,-96814,-754820" strokeweight="2.25pt"/>
            <v:shape id="_s1029" o:spid="_x0000_s1029" type="#_x0000_t33" style="position:absolute;left:16566;top:4697;width:358;height:720;rotation:180" o:connectortype="elbow" adj="-1057692,-209508,-1057692" strokeweight="2.25pt"/>
            <v:shape id="_s1030" o:spid="_x0000_s1030" type="#_x0000_t33" style="position:absolute;left:11527;top:4697;width:359;height:720;rotation:180" o:connectortype="elbow" adj="-754820,-209508,-754820" strokeweight="2.25pt"/>
            <v:shape id="_s1031" o:spid="_x0000_s1031" type="#_x0000_t33" style="position:absolute;left:8646;top:4697;width:361;height:1800;flip:y" o:connectortype="elbow" adj="-560066,96780,-560066" strokeweight="2.25pt"/>
            <v:shape id="_s1032" o:spid="_x0000_s1032" type="#_x0000_t33" style="position:absolute;left:8646;top:4697;width:361;height:720;flip:y" o:connectortype="elbow" adj="-560066,209508,-56006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3" o:spid="_x0000_s1033" type="#_x0000_t34" style="position:absolute;left:13775;top:1187;width:360;height:5220;rotation:270;flip:x" o:connectortype="elbow" adj="8679,55986,-423225" strokeweight="2.25pt"/>
            <v:shape id="_s1034" o:spid="_x0000_s1034" type="#_x0000_t33" style="position:absolute;left:5767;top:4697;width:359;height:720;flip:y" o:connectortype="elbow" adj="-386911,209508,-386911" strokeweight="2.25pt"/>
            <v:shape id="_s1035" o:spid="_x0000_s1035" type="#_x0000_t34" style="position:absolute;left:12516;top:2446;width:360;height:2701;rotation:270;flip:x" o:connectortype="elbow" adj="8679,108188,-361366" strokeweight="2.25pt"/>
            <v:shape id="_s1036" o:spid="_x0000_s1036" type="#_x0000_t34" style="position:absolute;left:11256;top:3706;width:360;height:182;rotation:270;flip:x" o:connectortype="elbow" adj="8679,1600723,-299507" strokeweight="2.25pt"/>
            <v:shape id="_s1037" o:spid="_x0000_s1037" type="#_x0000_t34" style="position:absolute;left:9996;top:2627;width:360;height:2339;rotation:270" o:connectortype="elbow" adj="8679,-124993,-237600" strokeweight="2.25pt"/>
            <v:shape id="_s1038" o:spid="_x0000_s1038" type="#_x0000_t34" style="position:absolute;left:8556;top:1187;width:360;height:5219;rotation:270" o:connectortype="elbow" adj="8679,-56007,-166870" strokeweight="2.25pt"/>
            <v:shapetype id="_x0000_t32" coordsize="21600,21600" o:spt="32" o:oned="t" path="m,l21600,21600e" filled="f">
              <v:path arrowok="t" fillok="f" o:connecttype="none"/>
              <o:lock v:ext="edit" shapetype="t"/>
            </v:shapetype>
            <v:shape id="_s1039" o:spid="_x0000_s1039" type="#_x0000_t32" style="position:absolute;left:11166;top:2716;width:360;height:1;rotation:270" o:connectortype="elbow" adj="-295683,-1,-295683" strokeweight="2.25pt"/>
            <v:roundrect id="_s1040" o:spid="_x0000_s1040" style="position:absolute;left:10265;top:1817;width:2160;height:720;v-text-anchor:middle" arcsize="10923f" o:dgmlayout="0" o:dgmnodekind="1" fillcolor="#bbe0e3">
              <v:textbox style="mso-next-textbox:#_s1040" inset="0,0,0,0">
                <w:txbxContent>
                  <w:p w:rsidR="008B7268" w:rsidRPr="002330C3" w:rsidRDefault="008B7268" w:rsidP="002330C3">
                    <w:pPr>
                      <w:jc w:val="center"/>
                      <w:rPr>
                        <w:rFonts w:ascii="Arial" w:hAnsi="Arial" w:cs="Arial"/>
                        <w:sz w:val="19"/>
                        <w:szCs w:val="28"/>
                      </w:rPr>
                    </w:pPr>
                    <w:r w:rsidRPr="002330C3">
                      <w:rPr>
                        <w:rFonts w:ascii="Arial" w:hAnsi="Arial" w:cs="Arial"/>
                        <w:sz w:val="19"/>
                        <w:szCs w:val="28"/>
                      </w:rPr>
                      <w:t>RREA Board of Directors</w:t>
                    </w:r>
                  </w:p>
                </w:txbxContent>
              </v:textbox>
            </v:roundrect>
            <v:roundrect id="_s1041" o:spid="_x0000_s1041" style="position:absolute;left:10265;top:2897;width:2160;height:720;v-text-anchor:middle" arcsize="10923f" o:dgmlayout="0" o:dgmnodekind="0" fillcolor="#bbe0e3">
              <v:textbox style="mso-next-textbox:#_s1041" inset="0,0,0,0">
                <w:txbxContent>
                  <w:p w:rsidR="008B7268" w:rsidRPr="002330C3" w:rsidRDefault="008B7268" w:rsidP="002330C3">
                    <w:pPr>
                      <w:jc w:val="center"/>
                      <w:rPr>
                        <w:rFonts w:ascii="Arial" w:hAnsi="Arial" w:cs="Arial"/>
                        <w:sz w:val="17"/>
                        <w:szCs w:val="26"/>
                      </w:rPr>
                    </w:pPr>
                    <w:r w:rsidRPr="002330C3">
                      <w:rPr>
                        <w:rFonts w:ascii="Arial" w:hAnsi="Arial" w:cs="Arial"/>
                        <w:sz w:val="17"/>
                        <w:szCs w:val="26"/>
                      </w:rPr>
                      <w:t>RREA Executive Director</w:t>
                    </w:r>
                  </w:p>
                </w:txbxContent>
              </v:textbox>
            </v:roundrect>
            <v:roundrect id="_s1042" o:spid="_x0000_s1042" style="position:absolute;left:5046;top:3977;width:2160;height:720;v-text-anchor:middle" arcsize="10923f" o:dgmlayout="3" o:dgmnodekind="0" o:dgmlayoutmru="3" fillcolor="#bbe0e3">
              <v:textbox style="mso-next-textbox:#_s1042" inset="0,0,0,0">
                <w:txbxContent>
                  <w:p w:rsidR="008B7268" w:rsidRPr="002330C3" w:rsidRDefault="008B7268" w:rsidP="002330C3">
                    <w:pPr>
                      <w:jc w:val="center"/>
                      <w:rPr>
                        <w:rFonts w:ascii="Arial" w:hAnsi="Arial" w:cs="Arial"/>
                        <w:sz w:val="15"/>
                      </w:rPr>
                    </w:pPr>
                    <w:r w:rsidRPr="002330C3">
                      <w:rPr>
                        <w:rFonts w:ascii="Arial" w:hAnsi="Arial" w:cs="Arial"/>
                        <w:sz w:val="15"/>
                      </w:rPr>
                      <w:t>Director of Finance</w:t>
                    </w:r>
                  </w:p>
                </w:txbxContent>
              </v:textbox>
            </v:roundrect>
            <v:roundrect id="_s1043" o:spid="_x0000_s1043" style="position:absolute;left:7926;top:3977;width:2160;height:720;v-text-anchor:middle" arcsize="10923f" o:dgmlayout="3" o:dgmnodekind="0" o:dgmlayoutmru="3" fillcolor="#bbe0e3">
              <v:textbox style="mso-next-textbox:#_s1043" inset="0,0,0,0">
                <w:txbxContent>
                  <w:p w:rsidR="008B7268" w:rsidRPr="002330C3" w:rsidRDefault="008B7268" w:rsidP="002330C3">
                    <w:pPr>
                      <w:jc w:val="center"/>
                      <w:rPr>
                        <w:rFonts w:ascii="Arial" w:hAnsi="Arial" w:cs="Arial"/>
                        <w:sz w:val="15"/>
                      </w:rPr>
                    </w:pPr>
                    <w:r w:rsidRPr="002330C3">
                      <w:rPr>
                        <w:rFonts w:ascii="Arial" w:hAnsi="Arial" w:cs="Arial"/>
                        <w:sz w:val="15"/>
                      </w:rPr>
                      <w:t xml:space="preserve">Director of Administration and Operations </w:t>
                    </w:r>
                  </w:p>
                </w:txbxContent>
              </v:textbox>
            </v:roundrect>
            <v:roundrect id="_s1044" o:spid="_x0000_s1044" style="position:absolute;left:10446;top:3977;width:2160;height:720;v-text-anchor:middle" arcsize="10923f" o:dgmlayout="2" o:dgmnodekind="0" fillcolor="#bbe0e3">
              <v:textbox style="mso-next-textbox:#_s1044" inset="0,0,0,0">
                <w:txbxContent>
                  <w:p w:rsidR="008B7268" w:rsidRPr="002330C3" w:rsidRDefault="008B7268" w:rsidP="002330C3">
                    <w:pPr>
                      <w:jc w:val="center"/>
                      <w:rPr>
                        <w:sz w:val="15"/>
                      </w:rPr>
                    </w:pPr>
                    <w:r w:rsidRPr="002330C3">
                      <w:rPr>
                        <w:rFonts w:ascii="Arial" w:hAnsi="Arial" w:cs="Arial"/>
                        <w:sz w:val="15"/>
                      </w:rPr>
                      <w:t>Director of Programs</w:t>
                    </w:r>
                  </w:p>
                </w:txbxContent>
              </v:textbox>
            </v:roundrect>
            <v:roundrect id="_s1045" o:spid="_x0000_s1045" style="position:absolute;left:12966;top:3977;width:2159;height:720;v-text-anchor:middle" arcsize="10923f" o:dgmlayout="2" o:dgmnodekind="0" fillcolor="#bbe0e3">
              <v:textbox style="mso-next-textbox:#_s1045" inset="0,0,0,0">
                <w:txbxContent>
                  <w:p w:rsidR="008B7268" w:rsidRPr="002330C3" w:rsidRDefault="008B7268" w:rsidP="002330C3">
                    <w:pPr>
                      <w:jc w:val="center"/>
                      <w:rPr>
                        <w:rFonts w:ascii="Arial" w:hAnsi="Arial" w:cs="Arial"/>
                        <w:sz w:val="15"/>
                      </w:rPr>
                    </w:pPr>
                    <w:r w:rsidRPr="002330C3">
                      <w:rPr>
                        <w:rFonts w:ascii="Arial" w:hAnsi="Arial" w:cs="Arial"/>
                        <w:sz w:val="15"/>
                      </w:rPr>
                      <w:t xml:space="preserve">Director of Technical Services </w:t>
                    </w:r>
                  </w:p>
                </w:txbxContent>
              </v:textbox>
            </v:roundrect>
            <v:roundrect id="_s1046" o:spid="_x0000_s1046" style="position:absolute;left:3607;top:5057;width:2159;height:720;v-text-anchor:middle" arcsize="10923f" o:dgmlayout="2" o:dgmnodekind="0" fillcolor="#bbe0e3">
              <v:textbox style="mso-next-textbox:#_s1046" inset="1.71083mm,0,1.71083mm,0">
                <w:txbxContent>
                  <w:p w:rsidR="008B7268" w:rsidRPr="002330C3" w:rsidRDefault="008B7268" w:rsidP="002330C3">
                    <w:pPr>
                      <w:jc w:val="center"/>
                      <w:rPr>
                        <w:rFonts w:ascii="Arial" w:hAnsi="Arial" w:cs="Arial"/>
                        <w:sz w:val="15"/>
                        <w:szCs w:val="22"/>
                      </w:rPr>
                    </w:pPr>
                    <w:r w:rsidRPr="002330C3">
                      <w:rPr>
                        <w:rFonts w:ascii="Arial" w:hAnsi="Arial" w:cs="Arial"/>
                        <w:sz w:val="15"/>
                        <w:szCs w:val="22"/>
                      </w:rPr>
                      <w:t>Accountant</w:t>
                    </w:r>
                  </w:p>
                </w:txbxContent>
              </v:textbox>
            </v:roundrect>
            <v:roundrect id="_s1047" o:spid="_x0000_s1047" style="position:absolute;left:15485;top:3977;width:2160;height:720;v-text-anchor:middle" arcsize="10923f" o:dgmlayout="2" o:dgmnodekind="0" fillcolor="#bbe0e3">
              <v:textbox style="mso-next-textbox:#_s1047" inset="0,0,0,0">
                <w:txbxContent>
                  <w:p w:rsidR="008B7268" w:rsidRPr="002330C3" w:rsidRDefault="008B7268" w:rsidP="002330C3">
                    <w:pPr>
                      <w:jc w:val="center"/>
                      <w:rPr>
                        <w:rFonts w:ascii="Arial" w:hAnsi="Arial" w:cs="Arial"/>
                        <w:sz w:val="15"/>
                      </w:rPr>
                    </w:pPr>
                    <w:r w:rsidRPr="002330C3">
                      <w:rPr>
                        <w:rFonts w:ascii="Arial" w:hAnsi="Arial" w:cs="Arial"/>
                        <w:sz w:val="15"/>
                      </w:rPr>
                      <w:t>Director of Procurement</w:t>
                    </w:r>
                  </w:p>
                </w:txbxContent>
              </v:textbox>
            </v:roundrect>
            <v:roundrect id="_s1048" o:spid="_x0000_s1048" style="position:absolute;left:6486;top:5057;width:2160;height:720;v-text-anchor:middle" arcsize="10923f" o:dgmlayout="3" o:dgmnodekind="0" fillcolor="#bbe0e3">
              <v:textbox style="mso-next-textbox:#_s1048" inset="1.71083mm,0,1.71083mm,0">
                <w:txbxContent>
                  <w:p w:rsidR="008B7268" w:rsidRPr="002330C3" w:rsidRDefault="008B7268" w:rsidP="002330C3">
                    <w:pPr>
                      <w:jc w:val="center"/>
                      <w:rPr>
                        <w:rFonts w:ascii="Arial" w:hAnsi="Arial" w:cs="Arial"/>
                        <w:sz w:val="15"/>
                        <w:szCs w:val="22"/>
                      </w:rPr>
                    </w:pPr>
                    <w:r w:rsidRPr="002330C3">
                      <w:rPr>
                        <w:rFonts w:ascii="Arial" w:hAnsi="Arial" w:cs="Arial"/>
                        <w:sz w:val="15"/>
                        <w:szCs w:val="22"/>
                      </w:rPr>
                      <w:t>Office Assistants/</w:t>
                    </w:r>
                  </w:p>
                  <w:p w:rsidR="008B7268" w:rsidRPr="002330C3" w:rsidRDefault="008B7268" w:rsidP="002330C3">
                    <w:pPr>
                      <w:jc w:val="center"/>
                      <w:rPr>
                        <w:color w:val="0000FF"/>
                        <w:sz w:val="12"/>
                      </w:rPr>
                    </w:pPr>
                    <w:r w:rsidRPr="002330C3">
                      <w:rPr>
                        <w:rFonts w:ascii="Arial" w:hAnsi="Arial" w:cs="Arial"/>
                        <w:sz w:val="15"/>
                        <w:szCs w:val="22"/>
                      </w:rPr>
                      <w:t>Drivers</w:t>
                    </w:r>
                  </w:p>
                </w:txbxContent>
              </v:textbox>
            </v:roundrect>
            <v:roundrect id="_s1049" o:spid="_x0000_s1049" style="position:absolute;left:6486;top:6137;width:2160;height:720;v-text-anchor:middle" arcsize="10923f" o:dgmlayout="3" o:dgmnodekind="0" fillcolor="#bbe0e3">
              <v:textbox style="mso-next-textbox:#_s1049" inset="1.71083mm,0,1.71083mm,0">
                <w:txbxContent>
                  <w:p w:rsidR="008B7268" w:rsidRPr="002330C3" w:rsidRDefault="008B7268" w:rsidP="002330C3">
                    <w:pPr>
                      <w:jc w:val="center"/>
                      <w:rPr>
                        <w:rFonts w:ascii="Arial" w:hAnsi="Arial" w:cs="Arial"/>
                        <w:sz w:val="15"/>
                        <w:szCs w:val="20"/>
                      </w:rPr>
                    </w:pPr>
                    <w:r w:rsidRPr="002330C3">
                      <w:rPr>
                        <w:rFonts w:ascii="Arial" w:hAnsi="Arial" w:cs="Arial"/>
                        <w:sz w:val="15"/>
                        <w:szCs w:val="20"/>
                      </w:rPr>
                      <w:t>Security</w:t>
                    </w:r>
                  </w:p>
                </w:txbxContent>
              </v:textbox>
            </v:roundrect>
            <v:roundrect id="_s1050" o:spid="_x0000_s1050" style="position:absolute;left:11886;top:5057;width:2159;height:720;v-text-anchor:middle" arcsize="10923f" o:dgmlayout="2" o:dgmnodekind="0" fillcolor="#bbe0e3">
              <v:textbox style="mso-next-textbox:#_s1050" inset="1.71083mm,0,1.71083mm,0">
                <w:txbxContent>
                  <w:p w:rsidR="008B7268" w:rsidRPr="002330C3" w:rsidRDefault="008B7268" w:rsidP="002330C3">
                    <w:pPr>
                      <w:jc w:val="center"/>
                      <w:rPr>
                        <w:rFonts w:ascii="Arial" w:hAnsi="Arial" w:cs="Arial"/>
                        <w:sz w:val="15"/>
                        <w:szCs w:val="18"/>
                      </w:rPr>
                    </w:pPr>
                    <w:r w:rsidRPr="002330C3">
                      <w:rPr>
                        <w:rFonts w:ascii="Arial" w:hAnsi="Arial" w:cs="Arial"/>
                        <w:sz w:val="15"/>
                        <w:szCs w:val="18"/>
                      </w:rPr>
                      <w:t>Energy, Gender and Development Officer</w:t>
                    </w:r>
                  </w:p>
                </w:txbxContent>
              </v:textbox>
            </v:roundrect>
            <v:roundrect id="_s1051" o:spid="_x0000_s1051" style="position:absolute;left:16925;top:5057;width:2159;height:719;v-text-anchor:middle" arcsize="10923f" o:dgmlayout="2" o:dgmnodekind="0" fillcolor="#bbe0e3">
              <v:textbox style="mso-next-textbox:#_s1051" inset="1.71083mm,0,1.71083mm,0">
                <w:txbxContent>
                  <w:p w:rsidR="008B7268" w:rsidRPr="002330C3" w:rsidRDefault="008B7268" w:rsidP="002330C3">
                    <w:pPr>
                      <w:jc w:val="center"/>
                      <w:rPr>
                        <w:rFonts w:ascii="Arial" w:hAnsi="Arial" w:cs="Arial"/>
                        <w:sz w:val="15"/>
                        <w:szCs w:val="18"/>
                      </w:rPr>
                    </w:pPr>
                    <w:r w:rsidRPr="002330C3">
                      <w:rPr>
                        <w:rFonts w:ascii="Arial" w:hAnsi="Arial" w:cs="Arial"/>
                        <w:sz w:val="15"/>
                        <w:szCs w:val="18"/>
                      </w:rPr>
                      <w:t>Procurement Assistant</w:t>
                    </w:r>
                  </w:p>
                </w:txbxContent>
              </v:textbox>
            </v:roundrect>
            <v:roundrect id="_s1052" o:spid="_x0000_s1052" style="position:absolute;left:11886;top:6137;width:2159;height:719;v-text-anchor:middle" arcsize="10923f" o:dgmlayout="2" o:dgmnodekind="0" fillcolor="#bbe0e3">
              <v:textbox inset="1.71083mm,0,1.71083mm,0">
                <w:txbxContent>
                  <w:p w:rsidR="008B7268" w:rsidRPr="002330C3" w:rsidRDefault="008B7268" w:rsidP="002330C3">
                    <w:pPr>
                      <w:jc w:val="center"/>
                      <w:rPr>
                        <w:rFonts w:ascii="Arial" w:hAnsi="Arial" w:cs="Arial"/>
                        <w:sz w:val="15"/>
                        <w:szCs w:val="18"/>
                      </w:rPr>
                    </w:pPr>
                    <w:r w:rsidRPr="002330C3">
                      <w:rPr>
                        <w:rFonts w:ascii="Arial" w:hAnsi="Arial" w:cs="Arial"/>
                        <w:sz w:val="15"/>
                        <w:szCs w:val="18"/>
                      </w:rPr>
                      <w:t>Dedicated Project Managers (2)</w:t>
                    </w:r>
                  </w:p>
                </w:txbxContent>
              </v:textbox>
            </v:roundrect>
            <w10:wrap type="none"/>
            <w10:anchorlock/>
          </v:group>
        </w:pict>
      </w:r>
    </w:p>
    <w:p w:rsidR="00FB413A" w:rsidRDefault="00FB413A" w:rsidP="00FB413A">
      <w:pPr>
        <w:jc w:val="both"/>
        <w:rPr>
          <w:b/>
        </w:rPr>
      </w:pPr>
    </w:p>
    <w:p w:rsidR="00FB413A" w:rsidRDefault="00FB413A" w:rsidP="00FB413A">
      <w:pPr>
        <w:jc w:val="both"/>
        <w:rPr>
          <w:b/>
        </w:rPr>
      </w:pPr>
      <w:r w:rsidRPr="00997ABD">
        <w:rPr>
          <w:b/>
        </w:rPr>
        <w:t xml:space="preserve">Key </w:t>
      </w:r>
      <w:r>
        <w:rPr>
          <w:b/>
        </w:rPr>
        <w:t xml:space="preserve">Project </w:t>
      </w:r>
      <w:r w:rsidRPr="00997ABD">
        <w:rPr>
          <w:b/>
        </w:rPr>
        <w:t>Risks</w:t>
      </w:r>
    </w:p>
    <w:p w:rsidR="00FB413A" w:rsidRPr="00997ABD" w:rsidRDefault="00FB413A" w:rsidP="00FB413A">
      <w:pPr>
        <w:jc w:val="both"/>
        <w:rPr>
          <w:b/>
        </w:rPr>
      </w:pPr>
    </w:p>
    <w:p w:rsidR="00FB413A" w:rsidRPr="00B85B65" w:rsidRDefault="00FB413A" w:rsidP="00726174">
      <w:pPr>
        <w:pStyle w:val="Header"/>
        <w:numPr>
          <w:ilvl w:val="0"/>
          <w:numId w:val="30"/>
        </w:numPr>
        <w:tabs>
          <w:tab w:val="clear" w:pos="4320"/>
          <w:tab w:val="clear" w:pos="8640"/>
        </w:tabs>
        <w:ind w:left="0" w:firstLine="0"/>
        <w:rPr>
          <w:bCs/>
          <w:noProof/>
        </w:rPr>
      </w:pPr>
      <w:r w:rsidRPr="00B85B65">
        <w:rPr>
          <w:bCs/>
          <w:noProof/>
        </w:rPr>
        <w:t xml:space="preserve">There are several  risks to the project’s success.  </w:t>
      </w:r>
    </w:p>
    <w:p w:rsidR="00FB413A" w:rsidRPr="00B85B65" w:rsidRDefault="00FB413A" w:rsidP="00FB413A">
      <w:pPr>
        <w:jc w:val="both"/>
        <w:rPr>
          <w:bCs/>
          <w:noProof/>
        </w:rPr>
      </w:pPr>
    </w:p>
    <w:p w:rsidR="00FB413A" w:rsidRDefault="00FB413A" w:rsidP="005405C5">
      <w:pPr>
        <w:pStyle w:val="ListParagraph"/>
        <w:numPr>
          <w:ilvl w:val="0"/>
          <w:numId w:val="27"/>
        </w:numPr>
        <w:rPr>
          <w:bCs/>
          <w:noProof/>
        </w:rPr>
      </w:pPr>
      <w:r>
        <w:rPr>
          <w:b/>
          <w:bCs/>
          <w:noProof/>
        </w:rPr>
        <w:t>Reputational issues</w:t>
      </w:r>
      <w:r w:rsidRPr="00B85B65">
        <w:rPr>
          <w:b/>
          <w:bCs/>
          <w:noProof/>
        </w:rPr>
        <w:t>:</w:t>
      </w:r>
      <w:r>
        <w:rPr>
          <w:bCs/>
          <w:noProof/>
        </w:rPr>
        <w:t xml:space="preserve"> </w:t>
      </w:r>
      <w:r w:rsidR="00DF4CB6">
        <w:rPr>
          <w:bCs/>
          <w:noProof/>
        </w:rPr>
        <w:t>T</w:t>
      </w:r>
      <w:r>
        <w:rPr>
          <w:bCs/>
          <w:noProof/>
        </w:rPr>
        <w:t>here is a</w:t>
      </w:r>
      <w:r w:rsidRPr="00B85B65">
        <w:rPr>
          <w:bCs/>
          <w:noProof/>
        </w:rPr>
        <w:t xml:space="preserve"> risk of </w:t>
      </w:r>
      <w:r>
        <w:rPr>
          <w:bCs/>
          <w:noProof/>
        </w:rPr>
        <w:t xml:space="preserve">lack of interest </w:t>
      </w:r>
      <w:r w:rsidR="002330C3">
        <w:rPr>
          <w:bCs/>
          <w:noProof/>
        </w:rPr>
        <w:t>in</w:t>
      </w:r>
      <w:r>
        <w:rPr>
          <w:bCs/>
          <w:noProof/>
        </w:rPr>
        <w:t xml:space="preserve"> the new product</w:t>
      </w:r>
      <w:r w:rsidRPr="00B85B65">
        <w:rPr>
          <w:bCs/>
          <w:noProof/>
        </w:rPr>
        <w:t xml:space="preserve"> due to the entry of poor quality </w:t>
      </w:r>
      <w:r>
        <w:rPr>
          <w:bCs/>
          <w:noProof/>
        </w:rPr>
        <w:t xml:space="preserve">solar </w:t>
      </w:r>
      <w:r w:rsidRPr="00B85B65">
        <w:rPr>
          <w:bCs/>
          <w:noProof/>
        </w:rPr>
        <w:t>lighting products into the marketplace</w:t>
      </w:r>
      <w:r>
        <w:rPr>
          <w:bCs/>
          <w:noProof/>
        </w:rPr>
        <w:t xml:space="preserve">, and </w:t>
      </w:r>
      <w:r w:rsidRPr="00B85B65">
        <w:rPr>
          <w:bCs/>
          <w:noProof/>
        </w:rPr>
        <w:t xml:space="preserve">that </w:t>
      </w:r>
      <w:r>
        <w:rPr>
          <w:bCs/>
          <w:noProof/>
        </w:rPr>
        <w:t>may</w:t>
      </w:r>
      <w:r w:rsidRPr="00B85B65">
        <w:rPr>
          <w:bCs/>
          <w:noProof/>
        </w:rPr>
        <w:t xml:space="preserve"> hurt the reputation of solar lights. </w:t>
      </w:r>
      <w:r>
        <w:rPr>
          <w:bCs/>
          <w:noProof/>
        </w:rPr>
        <w:t>To counter this risk,</w:t>
      </w:r>
      <w:r w:rsidRPr="00B85B65">
        <w:rPr>
          <w:bCs/>
          <w:noProof/>
        </w:rPr>
        <w:t xml:space="preserve"> </w:t>
      </w:r>
      <w:r>
        <w:rPr>
          <w:bCs/>
          <w:noProof/>
        </w:rPr>
        <w:t>t</w:t>
      </w:r>
      <w:r w:rsidRPr="00B85B65">
        <w:rPr>
          <w:bCs/>
          <w:noProof/>
        </w:rPr>
        <w:t xml:space="preserve">he RREA will adopt </w:t>
      </w:r>
      <w:r>
        <w:rPr>
          <w:bCs/>
          <w:noProof/>
        </w:rPr>
        <w:t>“</w:t>
      </w:r>
      <w:r w:rsidRPr="00B85B65">
        <w:rPr>
          <w:bCs/>
          <w:noProof/>
        </w:rPr>
        <w:t>Lighting Africa</w:t>
      </w:r>
      <w:r>
        <w:rPr>
          <w:bCs/>
          <w:noProof/>
        </w:rPr>
        <w:t>”</w:t>
      </w:r>
      <w:r w:rsidRPr="00B85B65">
        <w:rPr>
          <w:bCs/>
          <w:noProof/>
        </w:rPr>
        <w:t xml:space="preserve"> quality standards and ensure products supported under the program meets these standards. Information campaigns will also educate potential customers on how to recognize quality products.  Finally, the RREA will work with Customs authorities to make them aware of the quality issues and enlist their help in stopping poor quality products from entering the market.</w:t>
      </w:r>
      <w:r w:rsidRPr="00B85B65">
        <w:rPr>
          <w:noProof/>
        </w:rPr>
        <w:t> </w:t>
      </w:r>
      <w:r w:rsidRPr="00B85B65">
        <w:rPr>
          <w:bCs/>
          <w:noProof/>
        </w:rPr>
        <w:t>This may be carried out by instituting a Lighting Africa “stamp”</w:t>
      </w:r>
      <w:r w:rsidR="00C727D2">
        <w:rPr>
          <w:bCs/>
          <w:noProof/>
        </w:rPr>
        <w:t xml:space="preserve"> </w:t>
      </w:r>
      <w:r w:rsidRPr="00B85B65">
        <w:rPr>
          <w:bCs/>
          <w:noProof/>
        </w:rPr>
        <w:t>—</w:t>
      </w:r>
      <w:r w:rsidR="00C727D2">
        <w:rPr>
          <w:bCs/>
          <w:noProof/>
        </w:rPr>
        <w:t xml:space="preserve"> </w:t>
      </w:r>
      <w:r w:rsidRPr="00B85B65">
        <w:rPr>
          <w:bCs/>
          <w:noProof/>
        </w:rPr>
        <w:t>which signals to customs authorities that these products have already been classified as high-quality and as solar technology, which helps to bypass the normal customs and port clearing bureaucracy and ensures fees that are levied are in accordance with the law.  Such an approach has worked well in Kenya.</w:t>
      </w:r>
    </w:p>
    <w:p w:rsidR="008F680F" w:rsidRDefault="008F680F" w:rsidP="008F680F">
      <w:pPr>
        <w:pStyle w:val="ListParagraph"/>
        <w:ind w:left="360"/>
        <w:rPr>
          <w:bCs/>
          <w:noProof/>
        </w:rPr>
      </w:pPr>
    </w:p>
    <w:p w:rsidR="00807EE6" w:rsidRPr="00DF4CB6" w:rsidRDefault="00DF4CB6" w:rsidP="00DF4CB6">
      <w:pPr>
        <w:pStyle w:val="ListParagraph"/>
        <w:numPr>
          <w:ilvl w:val="0"/>
          <w:numId w:val="27"/>
        </w:numPr>
        <w:rPr>
          <w:bCs/>
          <w:noProof/>
        </w:rPr>
      </w:pPr>
      <w:r w:rsidRPr="00AB13F8">
        <w:rPr>
          <w:b/>
          <w:bCs/>
          <w:noProof/>
        </w:rPr>
        <w:t>Control Mechanism for the Exchange Program</w:t>
      </w:r>
      <w:r>
        <w:rPr>
          <w:bCs/>
          <w:noProof/>
        </w:rPr>
        <w:t xml:space="preserve">: There is a risk of leakage of excessive amounts of returned kerosene lanterns, and abuse of the system whereby the RREA reimburses retailers for surrendered used lamps.  Though the leakage is not expected to be significant, due to the relatively higher expense of solar lights as compared to </w:t>
      </w:r>
      <w:r>
        <w:rPr>
          <w:bCs/>
          <w:noProof/>
        </w:rPr>
        <w:lastRenderedPageBreak/>
        <w:t>kerosene lanterns or LED lamps, a close supervision of the participating retailers is included in the proposed project as part of the monitoring and evaluation effort, and will ensure that the traded in lanterns are eligible.  In addition, the strategy of initiating the project with a pilot sales phase will allow for vetting retail partners ahead of the lantern exchange program.</w:t>
      </w:r>
    </w:p>
    <w:p w:rsidR="00C727D2" w:rsidRDefault="00C727D2" w:rsidP="00C727D2">
      <w:pPr>
        <w:pStyle w:val="ListParagraph"/>
        <w:rPr>
          <w:bCs/>
          <w:noProof/>
        </w:rPr>
      </w:pPr>
    </w:p>
    <w:p w:rsidR="00FB413A" w:rsidRDefault="00FB413A" w:rsidP="005405C5">
      <w:pPr>
        <w:pStyle w:val="ListParagraph"/>
        <w:numPr>
          <w:ilvl w:val="0"/>
          <w:numId w:val="27"/>
        </w:numPr>
        <w:rPr>
          <w:bCs/>
          <w:noProof/>
        </w:rPr>
      </w:pPr>
      <w:r w:rsidRPr="00D27F16">
        <w:rPr>
          <w:b/>
          <w:bCs/>
          <w:noProof/>
        </w:rPr>
        <w:t>Private Sector Interest:</w:t>
      </w:r>
      <w:r>
        <w:rPr>
          <w:bCs/>
          <w:noProof/>
        </w:rPr>
        <w:t xml:space="preserve"> </w:t>
      </w:r>
      <w:r w:rsidR="00DF4CB6">
        <w:rPr>
          <w:bCs/>
          <w:noProof/>
        </w:rPr>
        <w:t>Another</w:t>
      </w:r>
      <w:r w:rsidRPr="00E312AC">
        <w:rPr>
          <w:bCs/>
          <w:noProof/>
        </w:rPr>
        <w:t xml:space="preserve"> risk is that the private sector may not be strong</w:t>
      </w:r>
      <w:r>
        <w:rPr>
          <w:bCs/>
          <w:noProof/>
        </w:rPr>
        <w:t xml:space="preserve"> or interested</w:t>
      </w:r>
      <w:r w:rsidRPr="00E312AC">
        <w:rPr>
          <w:bCs/>
          <w:noProof/>
        </w:rPr>
        <w:t xml:space="preserve"> enough to carry the lantern exchange effort due to its large scale and the relative newness of the off-grid lighting technology to Liberia.  The project proponents and the Bank are aware of this risk and for this reason have implemented the market facilitation effort, or </w:t>
      </w:r>
      <w:r w:rsidR="002330C3">
        <w:rPr>
          <w:bCs/>
          <w:noProof/>
        </w:rPr>
        <w:t>pilot phase</w:t>
      </w:r>
      <w:r w:rsidRPr="00E312AC">
        <w:rPr>
          <w:bCs/>
          <w:noProof/>
        </w:rPr>
        <w:t>, which is aimed at building up the private sector to market and sell small-scale solar products through assistance with trade finance and business facilitation support.  The project team has already identified at least three private sector players who would be strong partners in the effort.  Therefore the risk is considered moderate.</w:t>
      </w:r>
    </w:p>
    <w:p w:rsidR="00C727D2" w:rsidRDefault="00C727D2" w:rsidP="00C727D2">
      <w:pPr>
        <w:pStyle w:val="ListParagraph"/>
        <w:rPr>
          <w:bCs/>
          <w:noProof/>
        </w:rPr>
      </w:pPr>
    </w:p>
    <w:p w:rsidR="00FB413A" w:rsidRDefault="00FB413A" w:rsidP="005405C5">
      <w:pPr>
        <w:pStyle w:val="ListParagraph"/>
        <w:numPr>
          <w:ilvl w:val="0"/>
          <w:numId w:val="27"/>
        </w:numPr>
        <w:rPr>
          <w:bCs/>
          <w:noProof/>
        </w:rPr>
      </w:pPr>
      <w:r w:rsidRPr="00D27F16">
        <w:rPr>
          <w:b/>
          <w:bCs/>
          <w:noProof/>
        </w:rPr>
        <w:t>RREA’s capacity to implement:</w:t>
      </w:r>
      <w:r>
        <w:rPr>
          <w:bCs/>
          <w:noProof/>
        </w:rPr>
        <w:t xml:space="preserve"> </w:t>
      </w:r>
      <w:r w:rsidR="00DF4CB6">
        <w:rPr>
          <w:bCs/>
          <w:noProof/>
        </w:rPr>
        <w:t>An additional</w:t>
      </w:r>
      <w:r w:rsidRPr="00E312AC">
        <w:rPr>
          <w:bCs/>
          <w:noProof/>
        </w:rPr>
        <w:t xml:space="preserve"> risk is the capacity of the RREA to implement the project, due as well to its relative newness as an institution.  The RREA has only been in existence formally since January 2010 and substantively since April of the same year.  However, the GEF program will be the fifth donor program that the RREA will implement since its establishment; its experience began with the AFREA program, and has since grown through rural energy program partnerships with the U.S. Agency for International Development and the Norwegian Agency for Development Cooperation.  Finally, the RREA signed a grant agreement with the European Union’s Energy Facility to implement the country’s rural energy master plan and </w:t>
      </w:r>
      <w:r w:rsidR="002330C3">
        <w:rPr>
          <w:bCs/>
          <w:noProof/>
        </w:rPr>
        <w:t xml:space="preserve">implement the  Sustainable </w:t>
      </w:r>
      <w:r w:rsidR="00EF08DD">
        <w:rPr>
          <w:bCs/>
          <w:noProof/>
        </w:rPr>
        <w:t xml:space="preserve">Solar </w:t>
      </w:r>
      <w:r w:rsidR="002330C3">
        <w:rPr>
          <w:bCs/>
          <w:noProof/>
        </w:rPr>
        <w:t>Market Packages (</w:t>
      </w:r>
      <w:r w:rsidRPr="00E312AC">
        <w:rPr>
          <w:bCs/>
          <w:noProof/>
        </w:rPr>
        <w:t>SSMP</w:t>
      </w:r>
      <w:r w:rsidR="002330C3">
        <w:rPr>
          <w:bCs/>
          <w:noProof/>
        </w:rPr>
        <w:t>)</w:t>
      </w:r>
      <w:r w:rsidRPr="00E312AC">
        <w:rPr>
          <w:bCs/>
          <w:noProof/>
        </w:rPr>
        <w:t xml:space="preserve"> approach in August 2010.  The Agency is in the process of hiring additional staff to carry out these efforts.  Based on the institution’s experience carrying out the aforementioned donor projects, and the sound support it has enjoyed to date, the risk in this regard is also considered moderate.</w:t>
      </w:r>
    </w:p>
    <w:p w:rsidR="00C727D2" w:rsidRDefault="00C727D2" w:rsidP="00C727D2">
      <w:pPr>
        <w:pStyle w:val="ListParagraph"/>
        <w:rPr>
          <w:bCs/>
          <w:noProof/>
        </w:rPr>
      </w:pPr>
    </w:p>
    <w:p w:rsidR="00FB413A" w:rsidRPr="00B85B65" w:rsidRDefault="00FB413A" w:rsidP="005405C5">
      <w:pPr>
        <w:pStyle w:val="ListParagraph"/>
        <w:numPr>
          <w:ilvl w:val="0"/>
          <w:numId w:val="27"/>
        </w:numPr>
        <w:rPr>
          <w:bCs/>
          <w:noProof/>
        </w:rPr>
      </w:pPr>
      <w:r>
        <w:rPr>
          <w:b/>
          <w:bCs/>
          <w:noProof/>
        </w:rPr>
        <w:t>Distance of retailer to the client:</w:t>
      </w:r>
      <w:r>
        <w:rPr>
          <w:bCs/>
          <w:noProof/>
        </w:rPr>
        <w:t xml:space="preserve"> </w:t>
      </w:r>
      <w:r w:rsidRPr="005C54B3">
        <w:rPr>
          <w:bCs/>
          <w:noProof/>
        </w:rPr>
        <w:t>Experience in many countries has shown that even the best designed energy access programs fail if the service provider is absent (in the case of give-away programs) or not sustainable.  In the latter regard, the lessons learned from past programs support the idea of subsidizing the gap between consumer ability to pay and the cost of starting a solar business.  Without a sustainable business, after-sales service will not be provided, and demand for the products, if they stop working, will cease.</w:t>
      </w:r>
      <w:r>
        <w:rPr>
          <w:bCs/>
          <w:noProof/>
        </w:rPr>
        <w:t xml:space="preserve"> </w:t>
      </w:r>
      <w:r w:rsidRPr="00966E49">
        <w:rPr>
          <w:bCs/>
          <w:noProof/>
        </w:rPr>
        <w:t>Based on this understanding, the proposed Lighting Lives program is designed to overcome this challenge by providing both initial business facilitation support and longer-term subsidization and supervision.</w:t>
      </w:r>
    </w:p>
    <w:p w:rsidR="00FB413A" w:rsidRDefault="00FB413A" w:rsidP="00FB413A">
      <w:pPr>
        <w:jc w:val="both"/>
      </w:pPr>
    </w:p>
    <w:p w:rsidR="00FB413A" w:rsidRPr="002F77CE" w:rsidRDefault="00FB413A" w:rsidP="00FB413A">
      <w:pPr>
        <w:jc w:val="both"/>
      </w:pPr>
      <w:r w:rsidRPr="002F77CE">
        <w:rPr>
          <w:b/>
        </w:rPr>
        <w:t>Co-financing Arrangements</w:t>
      </w:r>
    </w:p>
    <w:p w:rsidR="00FB413A" w:rsidRPr="002F77CE" w:rsidRDefault="00FB413A" w:rsidP="00FB413A">
      <w:pPr>
        <w:jc w:val="both"/>
      </w:pPr>
    </w:p>
    <w:p w:rsidR="00FB413A" w:rsidRPr="002F77CE" w:rsidRDefault="00FB413A" w:rsidP="00726174">
      <w:pPr>
        <w:pStyle w:val="Header"/>
        <w:numPr>
          <w:ilvl w:val="0"/>
          <w:numId w:val="30"/>
        </w:numPr>
        <w:tabs>
          <w:tab w:val="clear" w:pos="4320"/>
          <w:tab w:val="clear" w:pos="8640"/>
        </w:tabs>
        <w:ind w:left="0" w:firstLine="0"/>
      </w:pPr>
      <w:r w:rsidRPr="002F77CE">
        <w:t xml:space="preserve">The GEF grant leverages the Africa Renewable Energy Access (AFREA)-supported program </w:t>
      </w:r>
      <w:r w:rsidRPr="002F77CE">
        <w:rPr>
          <w:i/>
        </w:rPr>
        <w:t>Catalyzing New Renewable Energy in Rural Liberia</w:t>
      </w:r>
      <w:r w:rsidRPr="002F77CE">
        <w:t xml:space="preserve">, which began in August 2009 with the aim of helping to establish Liberia’s first-ever Rural and Renewable Energy Agency as a functioning agency that is able to mobilize new renewable energy services and investment for </w:t>
      </w:r>
      <w:r w:rsidRPr="002F77CE">
        <w:lastRenderedPageBreak/>
        <w:t xml:space="preserve">rural areas to meet demand in a technically reliable and affordable manner. Phase I of the project aimed at creating an enabling environment for the full functionality of the RREA, including recruiting and training of local advisors to help set up the Agency; development of legislation; preparation of targeted energy access pilot projects; and outfitting of the Agency for full operation including strategic and foundational documents, and its office and logistical capabilities.  Phase I is complete.  </w:t>
      </w:r>
    </w:p>
    <w:p w:rsidR="00FB413A" w:rsidRPr="002F77CE" w:rsidRDefault="00FB413A" w:rsidP="00FB413A">
      <w:pPr>
        <w:jc w:val="both"/>
      </w:pPr>
    </w:p>
    <w:p w:rsidR="00FB413A" w:rsidRPr="002F77CE" w:rsidRDefault="00FB413A" w:rsidP="00726174">
      <w:pPr>
        <w:pStyle w:val="Header"/>
        <w:numPr>
          <w:ilvl w:val="0"/>
          <w:numId w:val="30"/>
        </w:numPr>
        <w:tabs>
          <w:tab w:val="clear" w:pos="4320"/>
          <w:tab w:val="clear" w:pos="8640"/>
        </w:tabs>
        <w:ind w:left="0" w:firstLine="0"/>
      </w:pPr>
      <w:r w:rsidRPr="002F77CE">
        <w:t xml:space="preserve">Phase II of the program aims at demonstrating viable models for rural electrification; it has comprised Component C of LESEP.  It was intended to include the following energy access pilot projects: (1) rehabilitation of a micro-hydropower mini-grid in the remote community of </w:t>
      </w:r>
      <w:proofErr w:type="spellStart"/>
      <w:r w:rsidRPr="002F77CE">
        <w:t>Yandohun</w:t>
      </w:r>
      <w:proofErr w:type="spellEnd"/>
      <w:r w:rsidRPr="002F77CE">
        <w:t xml:space="preserve">, </w:t>
      </w:r>
      <w:proofErr w:type="spellStart"/>
      <w:r w:rsidRPr="002F77CE">
        <w:t>Lofa</w:t>
      </w:r>
      <w:proofErr w:type="spellEnd"/>
      <w:r w:rsidRPr="002F77CE">
        <w:t xml:space="preserve"> County, which is to be community operated and managed; and (2) implementation of the public-private Sustainable Solar Market Packages (SSMP) approach, in one or two large northwestern counties.  Phase II is underway; the micro-hydropower rehabilitation project is ongoing, including training of the community management team, with commissioning anticipated for mid-2012. During bidding, the SSMP was unable to attract qualified bidders. As a result, the SSMP approach is being restructured into a solar market facilitation effort that retains the principles of SSMP and incorporates the activities and approach of the Lighting Africa program.</w:t>
      </w:r>
      <w:r w:rsidR="00B05AC5">
        <w:t xml:space="preserve">  This new Sustainable </w:t>
      </w:r>
      <w:r w:rsidR="00B05AC5" w:rsidRPr="00B05AC5">
        <w:t>Solar Market Facilitation (SSMF)</w:t>
      </w:r>
      <w:r w:rsidR="00B05AC5">
        <w:t xml:space="preserve"> effort is</w:t>
      </w:r>
      <w:r w:rsidR="00B05AC5" w:rsidRPr="00B05AC5">
        <w:t xml:space="preserve"> a pilot program designed to catalyze the provision of affordable solar lighting devices for households without access to electricity</w:t>
      </w:r>
      <w:r w:rsidR="00B05AC5">
        <w:t>.</w:t>
      </w:r>
    </w:p>
    <w:p w:rsidR="00FB413A" w:rsidRDefault="00FB413A" w:rsidP="00FB413A">
      <w:pPr>
        <w:jc w:val="both"/>
      </w:pPr>
    </w:p>
    <w:p w:rsidR="00FB413A" w:rsidRDefault="00FB413A" w:rsidP="00726174">
      <w:pPr>
        <w:pStyle w:val="Header"/>
        <w:numPr>
          <w:ilvl w:val="0"/>
          <w:numId w:val="30"/>
        </w:numPr>
        <w:tabs>
          <w:tab w:val="clear" w:pos="4320"/>
          <w:tab w:val="clear" w:pos="8640"/>
        </w:tabs>
        <w:ind w:left="0" w:firstLine="0"/>
      </w:pPr>
      <w:r>
        <w:t>The table below gives an overview of the co-financing arrangements for this project.</w:t>
      </w:r>
    </w:p>
    <w:p w:rsidR="00FB413A" w:rsidRDefault="00FB413A" w:rsidP="00FB413A">
      <w:pPr>
        <w:jc w:val="both"/>
      </w:pPr>
    </w:p>
    <w:p w:rsidR="00FE36B3" w:rsidRPr="00FE36B3" w:rsidRDefault="00FE36B3" w:rsidP="00FE36B3">
      <w:pPr>
        <w:jc w:val="center"/>
        <w:rPr>
          <w:b/>
        </w:rPr>
      </w:pPr>
      <w:r w:rsidRPr="00FE36B3">
        <w:rPr>
          <w:b/>
        </w:rPr>
        <w:t xml:space="preserve">Table </w:t>
      </w:r>
      <w:r w:rsidR="00AE00F3">
        <w:rPr>
          <w:b/>
        </w:rPr>
        <w:t>3</w:t>
      </w:r>
      <w:r w:rsidRPr="00FE36B3">
        <w:rPr>
          <w:b/>
        </w:rPr>
        <w:t>: Co-financing arrangements by component</w:t>
      </w:r>
    </w:p>
    <w:p w:rsidR="00FE36B3" w:rsidRDefault="00FE36B3" w:rsidP="00FB413A">
      <w:pPr>
        <w:jc w:val="both"/>
      </w:pPr>
    </w:p>
    <w:tbl>
      <w:tblPr>
        <w:tblW w:w="959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595"/>
        <w:gridCol w:w="1361"/>
        <w:gridCol w:w="1360"/>
        <w:gridCol w:w="1361"/>
        <w:gridCol w:w="1478"/>
        <w:gridCol w:w="1440"/>
      </w:tblGrid>
      <w:tr w:rsidR="00FB413A" w:rsidRPr="005A4015" w:rsidTr="009E6F1F">
        <w:trPr>
          <w:jc w:val="center"/>
        </w:trPr>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953095">
            <w:pPr>
              <w:rPr>
                <w:b/>
                <w:sz w:val="22"/>
                <w:szCs w:val="22"/>
              </w:rPr>
            </w:pPr>
            <w:r w:rsidRPr="00E12DE7">
              <w:rPr>
                <w:b/>
                <w:sz w:val="22"/>
                <w:szCs w:val="22"/>
              </w:rPr>
              <w:t>Component</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953095">
            <w:pPr>
              <w:rPr>
                <w:b/>
                <w:sz w:val="22"/>
                <w:szCs w:val="22"/>
              </w:rPr>
            </w:pPr>
            <w:r w:rsidRPr="00E12DE7">
              <w:rPr>
                <w:b/>
                <w:sz w:val="22"/>
                <w:szCs w:val="22"/>
              </w:rPr>
              <w:t>Total Project Cost (US$)</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953095">
            <w:pPr>
              <w:rPr>
                <w:b/>
                <w:sz w:val="22"/>
                <w:szCs w:val="22"/>
              </w:rPr>
            </w:pPr>
            <w:r w:rsidRPr="00E12DE7">
              <w:rPr>
                <w:b/>
                <w:sz w:val="22"/>
                <w:szCs w:val="22"/>
              </w:rPr>
              <w:t>GEF grant</w:t>
            </w:r>
          </w:p>
          <w:p w:rsidR="00FB413A" w:rsidRPr="00E12DE7" w:rsidRDefault="00FB413A" w:rsidP="00953095">
            <w:pPr>
              <w:rPr>
                <w:b/>
                <w:sz w:val="22"/>
                <w:szCs w:val="22"/>
              </w:rPr>
            </w:pPr>
            <w:r w:rsidRPr="00E12DE7">
              <w:rPr>
                <w:b/>
                <w:sz w:val="22"/>
                <w:szCs w:val="22"/>
              </w:rPr>
              <w:t xml:space="preserve"> (US$)</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953095">
            <w:pPr>
              <w:rPr>
                <w:b/>
                <w:sz w:val="22"/>
                <w:szCs w:val="22"/>
              </w:rPr>
            </w:pPr>
            <w:r w:rsidRPr="00E12DE7">
              <w:rPr>
                <w:b/>
                <w:sz w:val="22"/>
                <w:szCs w:val="22"/>
              </w:rPr>
              <w:t>World Bank (AFREA grant) (US$)</w:t>
            </w:r>
          </w:p>
        </w:tc>
        <w:tc>
          <w:tcPr>
            <w:tcW w:w="1478"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953095">
            <w:pPr>
              <w:rPr>
                <w:b/>
                <w:sz w:val="22"/>
                <w:szCs w:val="22"/>
              </w:rPr>
            </w:pPr>
            <w:r w:rsidRPr="00E12DE7">
              <w:rPr>
                <w:b/>
                <w:sz w:val="22"/>
                <w:szCs w:val="22"/>
              </w:rPr>
              <w:t>Private sector contribution (US$)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953095">
            <w:pPr>
              <w:rPr>
                <w:b/>
                <w:sz w:val="22"/>
                <w:szCs w:val="22"/>
              </w:rPr>
            </w:pPr>
            <w:r w:rsidRPr="00E12DE7">
              <w:rPr>
                <w:b/>
                <w:sz w:val="22"/>
                <w:szCs w:val="22"/>
              </w:rPr>
              <w:t>Government of Liberia (in-kind)</w:t>
            </w:r>
          </w:p>
        </w:tc>
      </w:tr>
      <w:tr w:rsidR="00FB413A" w:rsidRPr="005A4015" w:rsidTr="009E6F1F">
        <w:trPr>
          <w:jc w:val="center"/>
        </w:trPr>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953095">
            <w:pPr>
              <w:rPr>
                <w:sz w:val="22"/>
                <w:szCs w:val="22"/>
              </w:rPr>
            </w:pPr>
            <w:r w:rsidRPr="00E12DE7">
              <w:rPr>
                <w:b/>
                <w:sz w:val="22"/>
                <w:szCs w:val="22"/>
              </w:rPr>
              <w:t>Component 1:</w:t>
            </w:r>
            <w:r w:rsidRPr="00E12DE7">
              <w:rPr>
                <w:sz w:val="22"/>
                <w:szCs w:val="22"/>
              </w:rPr>
              <w:t xml:space="preserve"> Creation of an Enabling Market Environment for Lighting Africa lighting Products.</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347B6A">
            <w:pPr>
              <w:ind w:right="130"/>
              <w:jc w:val="right"/>
              <w:rPr>
                <w:b/>
                <w:sz w:val="22"/>
                <w:szCs w:val="22"/>
              </w:rPr>
            </w:pPr>
            <w:r w:rsidRPr="00E12DE7">
              <w:rPr>
                <w:b/>
                <w:sz w:val="22"/>
                <w:szCs w:val="22"/>
              </w:rPr>
              <w:t>1,85</w:t>
            </w:r>
            <w:r w:rsidR="00347B6A">
              <w:rPr>
                <w:b/>
                <w:sz w:val="22"/>
                <w:szCs w:val="22"/>
              </w:rPr>
              <w:t>0</w:t>
            </w:r>
            <w:r w:rsidRPr="00E12DE7">
              <w:rPr>
                <w:b/>
                <w:sz w:val="22"/>
                <w:szCs w:val="22"/>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B413A" w:rsidRPr="00E12DE7" w:rsidRDefault="00FB413A" w:rsidP="000142E0">
            <w:pPr>
              <w:ind w:right="230"/>
              <w:jc w:val="right"/>
              <w:rPr>
                <w:sz w:val="22"/>
                <w:szCs w:val="22"/>
              </w:rPr>
            </w:pPr>
            <w:r w:rsidRPr="00E12DE7">
              <w:rPr>
                <w:sz w:val="22"/>
                <w:szCs w:val="22"/>
              </w:rPr>
              <w:t>200,000</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0142E0">
            <w:pPr>
              <w:ind w:right="151"/>
              <w:jc w:val="right"/>
              <w:rPr>
                <w:sz w:val="22"/>
                <w:szCs w:val="22"/>
              </w:rPr>
            </w:pPr>
            <w:r w:rsidRPr="00E12DE7">
              <w:rPr>
                <w:sz w:val="22"/>
                <w:szCs w:val="22"/>
              </w:rPr>
              <w:t>1,650,000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FB413A" w:rsidRPr="00E12DE7" w:rsidRDefault="00FB413A" w:rsidP="000142E0">
            <w:pPr>
              <w:ind w:right="99"/>
              <w:jc w:val="right"/>
              <w:rPr>
                <w:sz w:val="22"/>
                <w:szCs w:val="22"/>
              </w:rPr>
            </w:pPr>
            <w:r w:rsidRPr="00E12DE7">
              <w:rPr>
                <w:sz w:val="22"/>
                <w:szCs w:val="22"/>
              </w:rPr>
              <w:t>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0142E0">
            <w:pPr>
              <w:ind w:right="189"/>
              <w:jc w:val="right"/>
              <w:rPr>
                <w:sz w:val="22"/>
                <w:szCs w:val="22"/>
              </w:rPr>
            </w:pPr>
            <w:r w:rsidRPr="00E12DE7">
              <w:rPr>
                <w:sz w:val="22"/>
                <w:szCs w:val="22"/>
              </w:rPr>
              <w:t>0</w:t>
            </w:r>
          </w:p>
        </w:tc>
      </w:tr>
      <w:tr w:rsidR="00FB413A" w:rsidRPr="005A4015" w:rsidTr="009E6F1F">
        <w:trPr>
          <w:jc w:val="center"/>
        </w:trPr>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953095">
            <w:pPr>
              <w:rPr>
                <w:sz w:val="22"/>
                <w:szCs w:val="22"/>
              </w:rPr>
            </w:pPr>
            <w:r w:rsidRPr="00E12DE7">
              <w:rPr>
                <w:b/>
                <w:sz w:val="22"/>
                <w:szCs w:val="22"/>
              </w:rPr>
              <w:t>Component 2:</w:t>
            </w:r>
            <w:r w:rsidRPr="00E12DE7">
              <w:rPr>
                <w:sz w:val="22"/>
                <w:szCs w:val="22"/>
              </w:rPr>
              <w:t xml:space="preserve"> Lighting Liberia - Business Development for Use of solar energy for rapid scale-up of access to modern lighting. </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347B6A">
            <w:pPr>
              <w:ind w:right="130"/>
              <w:jc w:val="right"/>
              <w:rPr>
                <w:b/>
                <w:sz w:val="22"/>
                <w:szCs w:val="22"/>
              </w:rPr>
            </w:pPr>
            <w:r w:rsidRPr="00E12DE7">
              <w:rPr>
                <w:b/>
                <w:sz w:val="22"/>
                <w:szCs w:val="22"/>
              </w:rPr>
              <w:t>3,</w:t>
            </w:r>
            <w:r w:rsidR="00347B6A">
              <w:rPr>
                <w:b/>
                <w:sz w:val="22"/>
                <w:szCs w:val="22"/>
              </w:rPr>
              <w:t>27</w:t>
            </w:r>
            <w:r w:rsidR="00C80A46">
              <w:rPr>
                <w:b/>
                <w:sz w:val="22"/>
                <w:szCs w:val="22"/>
              </w:rPr>
              <w:t>4</w:t>
            </w:r>
            <w:r w:rsidRPr="00E12DE7">
              <w:rPr>
                <w:b/>
                <w:sz w:val="22"/>
                <w:szCs w:val="22"/>
              </w:rPr>
              <w:t>,540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347B6A">
            <w:pPr>
              <w:ind w:right="230"/>
              <w:jc w:val="right"/>
              <w:rPr>
                <w:sz w:val="22"/>
                <w:szCs w:val="22"/>
              </w:rPr>
            </w:pPr>
            <w:r w:rsidRPr="00E12DE7">
              <w:rPr>
                <w:sz w:val="22"/>
                <w:szCs w:val="22"/>
              </w:rPr>
              <w:t>1,1</w:t>
            </w:r>
            <w:r w:rsidR="00347B6A">
              <w:rPr>
                <w:sz w:val="22"/>
                <w:szCs w:val="22"/>
              </w:rPr>
              <w:t>24</w:t>
            </w:r>
            <w:r w:rsidRPr="00E12DE7">
              <w:rPr>
                <w:sz w:val="22"/>
                <w:szCs w:val="22"/>
              </w:rPr>
              <w:t>,540</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0142E0">
            <w:pPr>
              <w:ind w:right="151"/>
              <w:jc w:val="right"/>
              <w:rPr>
                <w:sz w:val="22"/>
                <w:szCs w:val="22"/>
              </w:rPr>
            </w:pPr>
            <w:r w:rsidRPr="00E12DE7">
              <w:rPr>
                <w:sz w:val="22"/>
                <w:szCs w:val="22"/>
              </w:rPr>
              <w:t>100,000</w:t>
            </w:r>
          </w:p>
        </w:tc>
        <w:tc>
          <w:tcPr>
            <w:tcW w:w="1478"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0142E0">
            <w:pPr>
              <w:ind w:right="99"/>
              <w:jc w:val="right"/>
              <w:rPr>
                <w:sz w:val="22"/>
                <w:szCs w:val="22"/>
              </w:rPr>
            </w:pPr>
            <w:r w:rsidRPr="00E12DE7">
              <w:rPr>
                <w:sz w:val="22"/>
                <w:szCs w:val="22"/>
              </w:rPr>
              <w:t>2,000,000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C80A46" w:rsidP="000142E0">
            <w:pPr>
              <w:ind w:right="189"/>
              <w:jc w:val="right"/>
              <w:rPr>
                <w:sz w:val="22"/>
                <w:szCs w:val="22"/>
              </w:rPr>
            </w:pPr>
            <w:r>
              <w:rPr>
                <w:sz w:val="22"/>
                <w:szCs w:val="22"/>
              </w:rPr>
              <w:t>50</w:t>
            </w:r>
            <w:r w:rsidR="00FB413A" w:rsidRPr="00E12DE7">
              <w:rPr>
                <w:sz w:val="22"/>
                <w:szCs w:val="22"/>
              </w:rPr>
              <w:t>,000</w:t>
            </w:r>
          </w:p>
        </w:tc>
      </w:tr>
      <w:tr w:rsidR="00FB413A" w:rsidRPr="005A4015" w:rsidTr="009E6F1F">
        <w:trPr>
          <w:jc w:val="center"/>
        </w:trPr>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953095">
            <w:pPr>
              <w:rPr>
                <w:sz w:val="22"/>
                <w:szCs w:val="22"/>
              </w:rPr>
            </w:pPr>
            <w:r w:rsidRPr="00E12DE7">
              <w:rPr>
                <w:b/>
                <w:sz w:val="22"/>
                <w:szCs w:val="22"/>
              </w:rPr>
              <w:t>Component 3:</w:t>
            </w:r>
            <w:r w:rsidRPr="00E12DE7">
              <w:rPr>
                <w:sz w:val="22"/>
                <w:szCs w:val="22"/>
              </w:rPr>
              <w:t xml:space="preserve"> Project management</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347B6A">
            <w:pPr>
              <w:ind w:right="130"/>
              <w:jc w:val="right"/>
              <w:rPr>
                <w:b/>
                <w:sz w:val="22"/>
                <w:szCs w:val="22"/>
              </w:rPr>
            </w:pPr>
            <w:r w:rsidRPr="00E12DE7">
              <w:rPr>
                <w:b/>
                <w:sz w:val="22"/>
                <w:szCs w:val="22"/>
              </w:rPr>
              <w:t>3</w:t>
            </w:r>
            <w:r w:rsidR="00347B6A">
              <w:rPr>
                <w:b/>
                <w:sz w:val="22"/>
                <w:szCs w:val="22"/>
              </w:rPr>
              <w:t>8</w:t>
            </w:r>
            <w:r w:rsidRPr="00E12DE7">
              <w:rPr>
                <w:b/>
                <w:sz w:val="22"/>
                <w:szCs w:val="22"/>
              </w:rPr>
              <w:t>0,000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347B6A" w:rsidP="000142E0">
            <w:pPr>
              <w:ind w:right="230"/>
              <w:jc w:val="right"/>
              <w:rPr>
                <w:sz w:val="22"/>
                <w:szCs w:val="22"/>
              </w:rPr>
            </w:pPr>
            <w:r>
              <w:rPr>
                <w:sz w:val="22"/>
                <w:szCs w:val="22"/>
              </w:rPr>
              <w:t>13</w:t>
            </w:r>
            <w:r w:rsidR="00FB413A" w:rsidRPr="00E12DE7">
              <w:rPr>
                <w:sz w:val="22"/>
                <w:szCs w:val="22"/>
              </w:rPr>
              <w:t>0,000</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0142E0">
            <w:pPr>
              <w:ind w:right="151"/>
              <w:jc w:val="right"/>
              <w:rPr>
                <w:sz w:val="22"/>
                <w:szCs w:val="22"/>
              </w:rPr>
            </w:pPr>
            <w:r w:rsidRPr="00E12DE7">
              <w:rPr>
                <w:sz w:val="22"/>
                <w:szCs w:val="22"/>
              </w:rPr>
              <w:t>250,000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FB413A" w:rsidRPr="00E12DE7" w:rsidRDefault="00FB413A" w:rsidP="000142E0">
            <w:pPr>
              <w:ind w:right="99"/>
              <w:jc w:val="right"/>
              <w:rPr>
                <w:sz w:val="22"/>
                <w:szCs w:val="22"/>
              </w:rPr>
            </w:pPr>
            <w:r w:rsidRPr="00E12DE7">
              <w:rPr>
                <w:sz w:val="22"/>
                <w:szCs w:val="22"/>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413A" w:rsidRPr="00E12DE7" w:rsidRDefault="00FB413A" w:rsidP="000142E0">
            <w:pPr>
              <w:ind w:right="189"/>
              <w:jc w:val="right"/>
              <w:rPr>
                <w:sz w:val="22"/>
                <w:szCs w:val="22"/>
              </w:rPr>
            </w:pPr>
            <w:r w:rsidRPr="00E12DE7">
              <w:rPr>
                <w:sz w:val="22"/>
                <w:szCs w:val="22"/>
              </w:rPr>
              <w:t>0</w:t>
            </w:r>
          </w:p>
        </w:tc>
      </w:tr>
      <w:tr w:rsidR="00FB413A" w:rsidRPr="005A4015" w:rsidTr="009E6F1F">
        <w:trPr>
          <w:jc w:val="center"/>
        </w:trPr>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953095">
            <w:pPr>
              <w:jc w:val="both"/>
              <w:rPr>
                <w:b/>
                <w:sz w:val="22"/>
                <w:szCs w:val="22"/>
              </w:rPr>
            </w:pPr>
            <w:r w:rsidRPr="00E12DE7">
              <w:rPr>
                <w:b/>
                <w:sz w:val="22"/>
                <w:szCs w:val="22"/>
              </w:rPr>
              <w:t>TOTAL</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0142E0">
            <w:pPr>
              <w:ind w:right="130"/>
              <w:jc w:val="right"/>
              <w:rPr>
                <w:b/>
                <w:sz w:val="22"/>
                <w:szCs w:val="22"/>
              </w:rPr>
            </w:pPr>
            <w:r w:rsidRPr="00E12DE7">
              <w:rPr>
                <w:b/>
                <w:sz w:val="22"/>
                <w:szCs w:val="22"/>
              </w:rPr>
              <w:t>5,504,540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0142E0">
            <w:pPr>
              <w:ind w:right="230"/>
              <w:jc w:val="right"/>
              <w:rPr>
                <w:b/>
                <w:sz w:val="22"/>
                <w:szCs w:val="22"/>
              </w:rPr>
            </w:pPr>
            <w:r w:rsidRPr="00E12DE7">
              <w:rPr>
                <w:b/>
                <w:sz w:val="22"/>
                <w:szCs w:val="22"/>
              </w:rPr>
              <w:t>1,454,540</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0142E0">
            <w:pPr>
              <w:ind w:right="151"/>
              <w:jc w:val="right"/>
              <w:rPr>
                <w:b/>
                <w:sz w:val="22"/>
                <w:szCs w:val="22"/>
              </w:rPr>
            </w:pPr>
            <w:r w:rsidRPr="00E12DE7">
              <w:rPr>
                <w:b/>
                <w:sz w:val="22"/>
                <w:szCs w:val="22"/>
              </w:rPr>
              <w:t>2,000,000</w:t>
            </w:r>
          </w:p>
        </w:tc>
        <w:tc>
          <w:tcPr>
            <w:tcW w:w="1478"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0142E0">
            <w:pPr>
              <w:ind w:right="99"/>
              <w:jc w:val="right"/>
              <w:rPr>
                <w:b/>
                <w:sz w:val="22"/>
                <w:szCs w:val="22"/>
              </w:rPr>
            </w:pPr>
            <w:r w:rsidRPr="00E12DE7">
              <w:rPr>
                <w:b/>
                <w:sz w:val="22"/>
                <w:szCs w:val="22"/>
              </w:rPr>
              <w:t>2,000,000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B413A" w:rsidRPr="00E12DE7" w:rsidRDefault="00FB413A" w:rsidP="000142E0">
            <w:pPr>
              <w:ind w:right="189"/>
              <w:jc w:val="right"/>
              <w:rPr>
                <w:b/>
                <w:sz w:val="22"/>
                <w:szCs w:val="22"/>
              </w:rPr>
            </w:pPr>
            <w:r w:rsidRPr="00E12DE7">
              <w:rPr>
                <w:b/>
                <w:sz w:val="22"/>
                <w:szCs w:val="22"/>
              </w:rPr>
              <w:t>50,000</w:t>
            </w:r>
          </w:p>
        </w:tc>
      </w:tr>
    </w:tbl>
    <w:p w:rsidR="00FB413A" w:rsidRDefault="00FB413A" w:rsidP="00FB413A">
      <w:pPr>
        <w:jc w:val="both"/>
      </w:pPr>
    </w:p>
    <w:p w:rsidR="00FB413A" w:rsidRPr="005C54B3" w:rsidRDefault="00FB413A" w:rsidP="00FB413A">
      <w:pPr>
        <w:jc w:val="both"/>
        <w:rPr>
          <w:b/>
        </w:rPr>
      </w:pPr>
      <w:r w:rsidRPr="005C54B3">
        <w:rPr>
          <w:b/>
        </w:rPr>
        <w:t>Results</w:t>
      </w:r>
    </w:p>
    <w:p w:rsidR="00FB413A" w:rsidRDefault="00FB413A" w:rsidP="00FB413A">
      <w:pPr>
        <w:pStyle w:val="ListParagraph"/>
        <w:ind w:left="0"/>
        <w:outlineLvl w:val="0"/>
        <w:rPr>
          <w:lang w:val="en-GB"/>
        </w:rPr>
      </w:pPr>
    </w:p>
    <w:p w:rsidR="00FB413A" w:rsidRPr="00D766E0" w:rsidRDefault="00FB413A" w:rsidP="00726174">
      <w:pPr>
        <w:pStyle w:val="Header"/>
        <w:numPr>
          <w:ilvl w:val="0"/>
          <w:numId w:val="30"/>
        </w:numPr>
        <w:tabs>
          <w:tab w:val="clear" w:pos="4320"/>
          <w:tab w:val="clear" w:pos="8640"/>
        </w:tabs>
        <w:ind w:left="0" w:firstLine="0"/>
      </w:pPr>
      <w:r>
        <w:rPr>
          <w:lang w:val="en-GB"/>
        </w:rPr>
        <w:t>T</w:t>
      </w:r>
      <w:r w:rsidRPr="00D766E0">
        <w:rPr>
          <w:lang w:val="en-GB"/>
        </w:rPr>
        <w:t xml:space="preserve">he </w:t>
      </w:r>
      <w:r w:rsidRPr="00D766E0">
        <w:t xml:space="preserve">main output of the Lighting Lives in Liberia program will be the large-scale dissemination of high-quality solar lighting products, with the ultimate goal of catalyzing </w:t>
      </w:r>
      <w:r w:rsidRPr="00D766E0">
        <w:lastRenderedPageBreak/>
        <w:t xml:space="preserve">lighting access for one million Liberian lives.  </w:t>
      </w:r>
      <w:r>
        <w:t xml:space="preserve">The indicator of success is the project’s number of beneficiaries.  </w:t>
      </w:r>
      <w:r w:rsidRPr="00D766E0">
        <w:t xml:space="preserve">The </w:t>
      </w:r>
      <w:r>
        <w:t>specific target</w:t>
      </w:r>
      <w:r w:rsidRPr="00D766E0">
        <w:t>s</w:t>
      </w:r>
      <w:r>
        <w:t xml:space="preserve"> of</w:t>
      </w:r>
      <w:r w:rsidRPr="00D766E0">
        <w:t xml:space="preserve"> the program are to: </w:t>
      </w:r>
    </w:p>
    <w:p w:rsidR="00FB413A" w:rsidRPr="00D766E0" w:rsidRDefault="00FB413A" w:rsidP="00FB413A">
      <w:pPr>
        <w:jc w:val="both"/>
      </w:pPr>
    </w:p>
    <w:p w:rsidR="00FB413A" w:rsidRPr="00D766E0" w:rsidRDefault="00FB413A" w:rsidP="001C2F8D">
      <w:pPr>
        <w:pStyle w:val="ListParagraph"/>
        <w:numPr>
          <w:ilvl w:val="0"/>
          <w:numId w:val="26"/>
        </w:numPr>
      </w:pPr>
      <w:r w:rsidRPr="00D766E0">
        <w:t xml:space="preserve">Build the capacity of the sector institutions </w:t>
      </w:r>
      <w:r>
        <w:t xml:space="preserve">and private sector </w:t>
      </w:r>
      <w:r w:rsidRPr="00D766E0">
        <w:t>to expand access to off-grid lighting;</w:t>
      </w:r>
    </w:p>
    <w:p w:rsidR="00FB413A" w:rsidRPr="00D766E0" w:rsidRDefault="00FB413A" w:rsidP="001C2F8D">
      <w:pPr>
        <w:pStyle w:val="ListParagraph"/>
        <w:numPr>
          <w:ilvl w:val="0"/>
          <w:numId w:val="26"/>
        </w:numPr>
      </w:pPr>
      <w:r>
        <w:t>Nurture the dissemination of</w:t>
      </w:r>
      <w:r w:rsidRPr="00D766E0">
        <w:t xml:space="preserve"> at least 100,000 high-quality Lighting Africa approve</w:t>
      </w:r>
      <w:r>
        <w:t xml:space="preserve">d solar lanterns and micro </w:t>
      </w:r>
      <w:r w:rsidRPr="00D766E0">
        <w:t xml:space="preserve">systems, and catalyze </w:t>
      </w:r>
      <w:r>
        <w:t xml:space="preserve">the commercial </w:t>
      </w:r>
      <w:r w:rsidRPr="00D766E0">
        <w:t>dissemination of 100,000 more;</w:t>
      </w:r>
    </w:p>
    <w:p w:rsidR="00FB413A" w:rsidRPr="006E5275" w:rsidRDefault="00FB413A" w:rsidP="001C2F8D">
      <w:pPr>
        <w:pStyle w:val="ListParagraph"/>
        <w:numPr>
          <w:ilvl w:val="0"/>
          <w:numId w:val="26"/>
        </w:numPr>
      </w:pPr>
      <w:r w:rsidRPr="006E5275">
        <w:t>Reduce GHG emissions from kerosene</w:t>
      </w:r>
      <w:r>
        <w:t xml:space="preserve"> and </w:t>
      </w:r>
      <w:r w:rsidR="00D73BEA">
        <w:t xml:space="preserve">GHG and </w:t>
      </w:r>
      <w:r>
        <w:t>environmental pollutants from disposable batteries;</w:t>
      </w:r>
    </w:p>
    <w:p w:rsidR="00FB413A" w:rsidRPr="00D766E0" w:rsidRDefault="00FB413A" w:rsidP="001C2F8D">
      <w:pPr>
        <w:pStyle w:val="ListParagraph"/>
        <w:numPr>
          <w:ilvl w:val="0"/>
          <w:numId w:val="26"/>
        </w:numPr>
      </w:pPr>
      <w:r w:rsidRPr="00D766E0">
        <w:t>Facilitate the availability on the Liberian market of at least three</w:t>
      </w:r>
      <w:r>
        <w:t xml:space="preserve"> different</w:t>
      </w:r>
      <w:r w:rsidRPr="00D766E0">
        <w:t xml:space="preserve"> Lighting Africa approved solar products;</w:t>
      </w:r>
    </w:p>
    <w:p w:rsidR="00FB413A" w:rsidRPr="00D766E0" w:rsidRDefault="00FB413A" w:rsidP="001C2F8D">
      <w:pPr>
        <w:pStyle w:val="ListParagraph"/>
        <w:numPr>
          <w:ilvl w:val="0"/>
          <w:numId w:val="26"/>
        </w:numPr>
      </w:pPr>
      <w:r w:rsidRPr="00D766E0">
        <w:t>Facilitate linkages between at least two distributors</w:t>
      </w:r>
      <w:r>
        <w:t>/retailers</w:t>
      </w:r>
      <w:r w:rsidRPr="00D766E0">
        <w:t xml:space="preserve"> and Lighting Africa manufacturers for the importation of products, and ensure a supply chain to rural areas</w:t>
      </w:r>
      <w:r>
        <w:t xml:space="preserve"> covering at least five counties</w:t>
      </w:r>
      <w:r w:rsidRPr="00D766E0">
        <w:t>;</w:t>
      </w:r>
    </w:p>
    <w:p w:rsidR="00FB413A" w:rsidRPr="00D766E0" w:rsidRDefault="00FB413A" w:rsidP="001C2F8D">
      <w:pPr>
        <w:pStyle w:val="ListParagraph"/>
        <w:numPr>
          <w:ilvl w:val="0"/>
          <w:numId w:val="26"/>
        </w:numPr>
      </w:pPr>
      <w:r w:rsidRPr="00D766E0">
        <w:t>Develop enabling policies for reducing import and other policy</w:t>
      </w:r>
      <w:r>
        <w:t xml:space="preserve"> and bureaucratic</w:t>
      </w:r>
      <w:r w:rsidRPr="00D766E0">
        <w:t xml:space="preserve"> barriers for modern lighting products;</w:t>
      </w:r>
    </w:p>
    <w:p w:rsidR="00FB413A" w:rsidRDefault="00FB413A" w:rsidP="001C2F8D">
      <w:pPr>
        <w:pStyle w:val="ListParagraph"/>
        <w:numPr>
          <w:ilvl w:val="0"/>
          <w:numId w:val="26"/>
        </w:numPr>
      </w:pPr>
      <w:r w:rsidRPr="00D766E0">
        <w:t>Implement a consumer education campaign to educate the Government and the public on the benefits of high quality solar products</w:t>
      </w:r>
      <w:r>
        <w:t>, including instituting a renewable energy and energy efficiency standards setting program</w:t>
      </w:r>
      <w:r w:rsidRPr="00D766E0">
        <w:t>.</w:t>
      </w:r>
    </w:p>
    <w:p w:rsidR="00C80A46" w:rsidRDefault="00C80A46" w:rsidP="00C80A46">
      <w:pPr>
        <w:pStyle w:val="ListParagraph"/>
        <w:ind w:left="0"/>
      </w:pPr>
    </w:p>
    <w:p w:rsidR="00C80A46" w:rsidRPr="00D766E0" w:rsidRDefault="00C80A46" w:rsidP="00FE36B3">
      <w:pPr>
        <w:pStyle w:val="Header"/>
        <w:numPr>
          <w:ilvl w:val="0"/>
          <w:numId w:val="30"/>
        </w:numPr>
        <w:tabs>
          <w:tab w:val="clear" w:pos="4320"/>
          <w:tab w:val="clear" w:pos="8640"/>
        </w:tabs>
        <w:ind w:left="0" w:firstLine="0"/>
      </w:pPr>
      <w:r w:rsidRPr="00C80A46">
        <w:t>The proposed program will build a public-private partnership for off-grid lighting through utilizing grant funding, facilitating Government support, and nurturing a commercial market and rural supply chain.  In doing so, the program activities are expected to result in a significant lasting impact and improve the lives of nearly one-third of Liberia’s citizens.</w:t>
      </w:r>
    </w:p>
    <w:p w:rsidR="00FB413A" w:rsidRDefault="00FB413A" w:rsidP="00FB413A">
      <w:pPr>
        <w:jc w:val="both"/>
      </w:pPr>
    </w:p>
    <w:p w:rsidR="00FB413A" w:rsidRPr="00A2268D" w:rsidRDefault="00FB413A" w:rsidP="00FB413A">
      <w:pPr>
        <w:jc w:val="both"/>
      </w:pPr>
    </w:p>
    <w:p w:rsidR="00FE36B3" w:rsidRPr="00C81DE9" w:rsidRDefault="00FE36B3" w:rsidP="00FE36B3">
      <w:pPr>
        <w:jc w:val="both"/>
        <w:rPr>
          <w:b/>
        </w:rPr>
      </w:pPr>
      <w:r w:rsidRPr="00C81DE9">
        <w:rPr>
          <w:b/>
        </w:rPr>
        <w:t>Global Environmental Benefits</w:t>
      </w:r>
    </w:p>
    <w:p w:rsidR="00FE36B3" w:rsidRDefault="00FE36B3" w:rsidP="00FE36B3">
      <w:pPr>
        <w:jc w:val="both"/>
      </w:pPr>
    </w:p>
    <w:p w:rsidR="00FE36B3" w:rsidRDefault="00FE36B3" w:rsidP="00FE36B3">
      <w:pPr>
        <w:pStyle w:val="Header"/>
        <w:numPr>
          <w:ilvl w:val="0"/>
          <w:numId w:val="30"/>
        </w:numPr>
        <w:tabs>
          <w:tab w:val="clear" w:pos="4320"/>
          <w:tab w:val="clear" w:pos="8640"/>
        </w:tabs>
        <w:ind w:left="0" w:firstLine="0"/>
        <w:rPr>
          <w:noProof/>
        </w:rPr>
      </w:pPr>
      <w:r w:rsidRPr="00FA2BCA">
        <w:t>The</w:t>
      </w:r>
      <w:r w:rsidRPr="00FA2BCA">
        <w:rPr>
          <w:noProof/>
        </w:rPr>
        <w:t xml:space="preserve"> GEF project will </w:t>
      </w:r>
      <w:r>
        <w:rPr>
          <w:noProof/>
        </w:rPr>
        <w:t>produce</w:t>
      </w:r>
      <w:r w:rsidRPr="00FA2BCA">
        <w:rPr>
          <w:noProof/>
        </w:rPr>
        <w:t xml:space="preserve"> global environmental benefits </w:t>
      </w:r>
      <w:r>
        <w:rPr>
          <w:noProof/>
        </w:rPr>
        <w:t>by</w:t>
      </w:r>
      <w:r w:rsidRPr="00FA2BCA">
        <w:rPr>
          <w:noProof/>
        </w:rPr>
        <w:t xml:space="preserve"> helping </w:t>
      </w:r>
      <w:r>
        <w:rPr>
          <w:noProof/>
        </w:rPr>
        <w:t xml:space="preserve">to </w:t>
      </w:r>
      <w:r w:rsidRPr="00FA2BCA">
        <w:rPr>
          <w:noProof/>
        </w:rPr>
        <w:t xml:space="preserve">reduce present and future GHG emissions </w:t>
      </w:r>
      <w:r>
        <w:rPr>
          <w:noProof/>
        </w:rPr>
        <w:t xml:space="preserve">and other harmful environmental pollutants </w:t>
      </w:r>
      <w:r w:rsidRPr="00FA2BCA">
        <w:rPr>
          <w:noProof/>
        </w:rPr>
        <w:t xml:space="preserve">from the Liberian </w:t>
      </w:r>
      <w:r>
        <w:rPr>
          <w:noProof/>
        </w:rPr>
        <w:t xml:space="preserve">household </w:t>
      </w:r>
      <w:r w:rsidRPr="00FA2BCA">
        <w:rPr>
          <w:noProof/>
        </w:rPr>
        <w:t>energy sector.  In particular, the program will eliminate directly the CO</w:t>
      </w:r>
      <w:r w:rsidRPr="00FA2BCA">
        <w:rPr>
          <w:noProof/>
          <w:vertAlign w:val="subscript"/>
        </w:rPr>
        <w:t>2</w:t>
      </w:r>
      <w:r w:rsidRPr="00FA2BCA">
        <w:rPr>
          <w:noProof/>
        </w:rPr>
        <w:t xml:space="preserve"> emissions from at minimum 100,000 </w:t>
      </w:r>
      <w:r>
        <w:rPr>
          <w:noProof/>
        </w:rPr>
        <w:t>kerosene and battery-</w:t>
      </w:r>
      <w:r w:rsidRPr="00233ACB">
        <w:rPr>
          <w:noProof/>
        </w:rPr>
        <w:t xml:space="preserve">powered lanterns whose use is terminated by the GEF project. </w:t>
      </w:r>
    </w:p>
    <w:p w:rsidR="00FE36B3" w:rsidRPr="00D35FD7" w:rsidRDefault="00FE36B3" w:rsidP="00FE36B3">
      <w:pPr>
        <w:pStyle w:val="Footer"/>
        <w:tabs>
          <w:tab w:val="clear" w:pos="4320"/>
          <w:tab w:val="clear" w:pos="8640"/>
        </w:tabs>
        <w:jc w:val="both"/>
        <w:rPr>
          <w:noProof/>
        </w:rPr>
      </w:pPr>
    </w:p>
    <w:p w:rsidR="00FE36B3" w:rsidRDefault="00FE36B3" w:rsidP="00FE36B3">
      <w:pPr>
        <w:pStyle w:val="Header"/>
        <w:numPr>
          <w:ilvl w:val="0"/>
          <w:numId w:val="30"/>
        </w:numPr>
        <w:tabs>
          <w:tab w:val="clear" w:pos="4320"/>
          <w:tab w:val="clear" w:pos="8640"/>
        </w:tabs>
        <w:ind w:left="0" w:firstLine="0"/>
        <w:rPr>
          <w:color w:val="000000"/>
        </w:rPr>
      </w:pPr>
      <w:r w:rsidRPr="00D35FD7">
        <w:rPr>
          <w:noProof/>
        </w:rPr>
        <w:t xml:space="preserve">The effects on greenhouse gas emissions </w:t>
      </w:r>
      <w:r>
        <w:rPr>
          <w:noProof/>
        </w:rPr>
        <w:t xml:space="preserve">(GHG) </w:t>
      </w:r>
      <w:r w:rsidRPr="00D35FD7">
        <w:rPr>
          <w:noProof/>
        </w:rPr>
        <w:t>from burning kerosene are well known and frequently tout</w:t>
      </w:r>
      <w:r>
        <w:rPr>
          <w:noProof/>
        </w:rPr>
        <w:t>ed</w:t>
      </w:r>
      <w:r w:rsidRPr="00D35FD7">
        <w:rPr>
          <w:noProof/>
        </w:rPr>
        <w:t>.  The effects on GH</w:t>
      </w:r>
      <w:r>
        <w:rPr>
          <w:noProof/>
        </w:rPr>
        <w:t xml:space="preserve">G emissions </w:t>
      </w:r>
      <w:r w:rsidRPr="00D35FD7">
        <w:rPr>
          <w:noProof/>
        </w:rPr>
        <w:t xml:space="preserve">and the environment as a whole from disposal of batteries, however, is less </w:t>
      </w:r>
      <w:r>
        <w:rPr>
          <w:noProof/>
        </w:rPr>
        <w:t>discussed in the context of off-grid lighting</w:t>
      </w:r>
      <w:r w:rsidRPr="00D35FD7">
        <w:rPr>
          <w:noProof/>
        </w:rPr>
        <w:t xml:space="preserve">.  Batteries are increasingly in demand worldwide due </w:t>
      </w:r>
      <w:r w:rsidRPr="00D35FD7">
        <w:rPr>
          <w:color w:val="000000"/>
        </w:rPr>
        <w:t xml:space="preserve">to the rapid increase in use of portable power-consuming products such as cellular phones, and in Liberia </w:t>
      </w:r>
      <w:r>
        <w:rPr>
          <w:color w:val="000000"/>
        </w:rPr>
        <w:t xml:space="preserve">in particular </w:t>
      </w:r>
      <w:r w:rsidRPr="00D35FD7">
        <w:rPr>
          <w:color w:val="000000"/>
        </w:rPr>
        <w:t xml:space="preserve">due to the rapid increase in use of low-quality battery-powered lights. In Liberia both urban and rural consumers dispose of </w:t>
      </w:r>
      <w:r>
        <w:rPr>
          <w:color w:val="000000"/>
        </w:rPr>
        <w:t xml:space="preserve">many </w:t>
      </w:r>
      <w:r w:rsidRPr="00D35FD7">
        <w:rPr>
          <w:color w:val="000000"/>
        </w:rPr>
        <w:t>thousands of batteries every year</w:t>
      </w:r>
      <w:r>
        <w:rPr>
          <w:color w:val="000000"/>
        </w:rPr>
        <w:t>, which</w:t>
      </w:r>
      <w:r w:rsidRPr="00D35FD7">
        <w:rPr>
          <w:color w:val="000000"/>
        </w:rPr>
        <w:t xml:space="preserve"> contain toxic or corrosive materials such as mercury, lead, and lithium, without any adequate waste handling facilities</w:t>
      </w:r>
      <w:r>
        <w:rPr>
          <w:color w:val="000000"/>
        </w:rPr>
        <w:t xml:space="preserve"> in the country</w:t>
      </w:r>
      <w:r w:rsidRPr="00D35FD7">
        <w:rPr>
          <w:color w:val="000000"/>
        </w:rPr>
        <w:t xml:space="preserve">.  These batteries are disposed directly into the environment, where they become hazardous waste and pose threats to human health and the environment. </w:t>
      </w:r>
    </w:p>
    <w:p w:rsidR="00FE36B3" w:rsidRDefault="00FE36B3" w:rsidP="00FE36B3">
      <w:pPr>
        <w:pStyle w:val="Footer"/>
        <w:tabs>
          <w:tab w:val="clear" w:pos="4320"/>
          <w:tab w:val="clear" w:pos="8640"/>
        </w:tabs>
        <w:jc w:val="both"/>
        <w:rPr>
          <w:color w:val="000000"/>
        </w:rPr>
      </w:pPr>
    </w:p>
    <w:p w:rsidR="00FE36B3" w:rsidRDefault="00FE36B3" w:rsidP="00FE36B3">
      <w:pPr>
        <w:pStyle w:val="Header"/>
        <w:numPr>
          <w:ilvl w:val="0"/>
          <w:numId w:val="30"/>
        </w:numPr>
        <w:tabs>
          <w:tab w:val="clear" w:pos="4320"/>
          <w:tab w:val="clear" w:pos="8640"/>
        </w:tabs>
        <w:ind w:left="0" w:firstLine="0"/>
        <w:rPr>
          <w:noProof/>
        </w:rPr>
      </w:pPr>
      <w:r w:rsidRPr="00FE36B3">
        <w:rPr>
          <w:noProof/>
        </w:rPr>
        <w:lastRenderedPageBreak/>
        <w:t>Batteries</w:t>
      </w:r>
      <w:r>
        <w:rPr>
          <w:color w:val="000000"/>
        </w:rPr>
        <w:t xml:space="preserve"> also contribute significantly to GHG pollution.  It has been estimated that one regular (e.g. AA) nickel-metal hydride (</w:t>
      </w:r>
      <w:proofErr w:type="spellStart"/>
      <w:r>
        <w:rPr>
          <w:color w:val="000000"/>
        </w:rPr>
        <w:t>NiMH</w:t>
      </w:r>
      <w:proofErr w:type="spellEnd"/>
      <w:r>
        <w:rPr>
          <w:color w:val="000000"/>
        </w:rPr>
        <w:t xml:space="preserve">) </w:t>
      </w:r>
      <w:r>
        <w:t>rechargeable battery has 28.5 times less GHG impacts, and 23 times less potential impact on non-renewable natural resources, than its alkaline equivalent; in addition, it generates 1/30</w:t>
      </w:r>
      <w:r w:rsidRPr="00B47BB7">
        <w:rPr>
          <w:vertAlign w:val="superscript"/>
        </w:rPr>
        <w:t>th</w:t>
      </w:r>
      <w:r>
        <w:t xml:space="preserve"> the air pollution, and a fraction of the amount of water contamination created by the manufacture, transportation, and use of a disposable alkaline cell. Estimates of the CO</w:t>
      </w:r>
      <w:r w:rsidRPr="008446DE">
        <w:rPr>
          <w:vertAlign w:val="subscript"/>
        </w:rPr>
        <w:t>2</w:t>
      </w:r>
      <w:r>
        <w:t xml:space="preserve"> emissions equivalent of a disposable alkaline battery range from 0.35 to 1 kg; thus, the savings per disposable battery will be 0.34 to 0.97 kg CO</w:t>
      </w:r>
      <w:r w:rsidRPr="008446DE">
        <w:rPr>
          <w:vertAlign w:val="subscript"/>
        </w:rPr>
        <w:t>2</w:t>
      </w:r>
      <w:r>
        <w:t>eq.</w:t>
      </w:r>
      <w:r>
        <w:rPr>
          <w:rStyle w:val="FootnoteReference"/>
        </w:rPr>
        <w:footnoteReference w:id="15"/>
      </w:r>
      <w:r>
        <w:t xml:space="preserve">  The current calculation uses an emissions equivalent of 0.5 kg CO</w:t>
      </w:r>
      <w:r w:rsidRPr="008446DE">
        <w:rPr>
          <w:vertAlign w:val="subscript"/>
        </w:rPr>
        <w:t>2</w:t>
      </w:r>
      <w:r>
        <w:t>eq.</w:t>
      </w:r>
      <w:r>
        <w:br/>
      </w:r>
    </w:p>
    <w:p w:rsidR="00FE36B3" w:rsidRDefault="00FE36B3" w:rsidP="00FE36B3">
      <w:pPr>
        <w:pStyle w:val="Header"/>
        <w:numPr>
          <w:ilvl w:val="0"/>
          <w:numId w:val="30"/>
        </w:numPr>
        <w:tabs>
          <w:tab w:val="clear" w:pos="4320"/>
          <w:tab w:val="clear" w:pos="8640"/>
        </w:tabs>
        <w:ind w:left="0" w:firstLine="0"/>
        <w:rPr>
          <w:noProof/>
        </w:rPr>
      </w:pPr>
      <w:r>
        <w:rPr>
          <w:noProof/>
        </w:rPr>
        <w:t>The emissions reductions to be achieved from this project are shown in the below table.  Calculations are based on the recent findings of the aforementioned willingness to pay study in Liberia, which showed that only 10% of household respondents were using kerosene, while consumption of disposable battery-powered lights dominated the majority.  The calculation is therefore ba</w:t>
      </w:r>
      <w:r w:rsidRPr="00233ACB">
        <w:rPr>
          <w:noProof/>
        </w:rPr>
        <w:t xml:space="preserve">sed on the assumption that </w:t>
      </w:r>
      <w:r>
        <w:rPr>
          <w:noProof/>
        </w:rPr>
        <w:t>10% of the lamps</w:t>
      </w:r>
      <w:r w:rsidRPr="00233ACB">
        <w:rPr>
          <w:noProof/>
        </w:rPr>
        <w:t xml:space="preserve"> replaced are kerosene and </w:t>
      </w:r>
      <w:r>
        <w:rPr>
          <w:noProof/>
        </w:rPr>
        <w:t>the remainder are</w:t>
      </w:r>
      <w:r w:rsidRPr="00233ACB">
        <w:rPr>
          <w:noProof/>
        </w:rPr>
        <w:t xml:space="preserve"> disposable battery-powered (assumes alkaline</w:t>
      </w:r>
      <w:r>
        <w:rPr>
          <w:noProof/>
        </w:rPr>
        <w:t>, as this is the most common and cheapest battery in use</w:t>
      </w:r>
      <w:r w:rsidRPr="00233ACB">
        <w:rPr>
          <w:noProof/>
        </w:rPr>
        <w:t>)</w:t>
      </w:r>
      <w:r>
        <w:rPr>
          <w:noProof/>
        </w:rPr>
        <w:t>.  The calculation assumes lighting consumption to be four hours per night.</w:t>
      </w:r>
    </w:p>
    <w:p w:rsidR="00FE36B3" w:rsidRDefault="00FE36B3" w:rsidP="00FE36B3">
      <w:pPr>
        <w:pStyle w:val="Footer"/>
        <w:tabs>
          <w:tab w:val="clear" w:pos="4320"/>
          <w:tab w:val="clear" w:pos="8640"/>
        </w:tabs>
        <w:jc w:val="both"/>
        <w:rPr>
          <w:noProof/>
        </w:rPr>
      </w:pPr>
    </w:p>
    <w:p w:rsidR="00FE36B3" w:rsidRPr="001C77E8" w:rsidRDefault="00FE36B3" w:rsidP="00FE36B3">
      <w:pPr>
        <w:pStyle w:val="Header"/>
        <w:numPr>
          <w:ilvl w:val="0"/>
          <w:numId w:val="30"/>
        </w:numPr>
        <w:tabs>
          <w:tab w:val="clear" w:pos="4320"/>
          <w:tab w:val="clear" w:pos="8640"/>
        </w:tabs>
        <w:ind w:left="0" w:firstLine="0"/>
        <w:rPr>
          <w:noProof/>
        </w:rPr>
      </w:pPr>
      <w:r>
        <w:rPr>
          <w:noProof/>
        </w:rPr>
        <w:t xml:space="preserve">The calculation also takes into account the emissions that result from production, transportation, and use of rechargable batteries such as those used in the Lighting Africa products.  The calculation assumes a battery life of one year for these products, which is conservative—battery life ranges from one year in the worst case to five years in the best in the currently approved </w:t>
      </w:r>
      <w:r w:rsidRPr="001C77E8">
        <w:rPr>
          <w:noProof/>
        </w:rPr>
        <w:t xml:space="preserve">budget and mid-range category products.  The calculation assumes 0.2 kg </w:t>
      </w:r>
      <w:r w:rsidRPr="001C77E8">
        <w:t>CO</w:t>
      </w:r>
      <w:r w:rsidRPr="001C77E8">
        <w:rPr>
          <w:vertAlign w:val="subscript"/>
        </w:rPr>
        <w:t>2</w:t>
      </w:r>
      <w:r w:rsidRPr="001C77E8">
        <w:t xml:space="preserve">eq for these products, which is the estimated amount for </w:t>
      </w:r>
      <w:proofErr w:type="spellStart"/>
      <w:r w:rsidRPr="001C77E8">
        <w:t>NiMH</w:t>
      </w:r>
      <w:proofErr w:type="spellEnd"/>
      <w:r w:rsidRPr="001C77E8">
        <w:t xml:space="preserve"> rechargeable batteries.</w:t>
      </w:r>
      <w:r w:rsidRPr="001C77E8">
        <w:rPr>
          <w:rStyle w:val="FootnoteReference"/>
          <w:noProof/>
        </w:rPr>
        <w:footnoteReference w:id="16"/>
      </w:r>
      <w:r w:rsidRPr="001C77E8">
        <w:t xml:space="preserve">  No data was available for other types of </w:t>
      </w:r>
      <w:proofErr w:type="spellStart"/>
      <w:r w:rsidRPr="001C77E8">
        <w:t>rechargeables</w:t>
      </w:r>
      <w:proofErr w:type="spellEnd"/>
      <w:r w:rsidRPr="001C77E8">
        <w:t>.  The amount of CO</w:t>
      </w:r>
      <w:r w:rsidRPr="001C77E8">
        <w:rPr>
          <w:vertAlign w:val="subscript"/>
        </w:rPr>
        <w:t>2</w:t>
      </w:r>
      <w:r w:rsidRPr="001C77E8">
        <w:t xml:space="preserve"> estimated to be produced from Lighting Africa product batteries was subtracted from the estimated emissions resulting from alkaline batteries to arrive at the amount displaced from removal of alkaline batteries from the household sector.</w:t>
      </w:r>
    </w:p>
    <w:p w:rsidR="00FE36B3" w:rsidRPr="001C77E8" w:rsidRDefault="00FE36B3" w:rsidP="00FE36B3">
      <w:pPr>
        <w:pStyle w:val="Footer"/>
        <w:tabs>
          <w:tab w:val="clear" w:pos="4320"/>
          <w:tab w:val="clear" w:pos="8640"/>
        </w:tabs>
        <w:jc w:val="both"/>
        <w:rPr>
          <w:noProof/>
        </w:rPr>
      </w:pPr>
    </w:p>
    <w:p w:rsidR="00FE36B3" w:rsidRPr="001C77E8" w:rsidRDefault="00FE36B3" w:rsidP="00FE36B3">
      <w:pPr>
        <w:pStyle w:val="Header"/>
        <w:numPr>
          <w:ilvl w:val="0"/>
          <w:numId w:val="30"/>
        </w:numPr>
        <w:tabs>
          <w:tab w:val="clear" w:pos="4320"/>
          <w:tab w:val="clear" w:pos="8640"/>
        </w:tabs>
        <w:ind w:left="0" w:firstLine="0"/>
      </w:pPr>
      <w:r w:rsidRPr="001C77E8">
        <w:rPr>
          <w:noProof/>
        </w:rPr>
        <w:t>Based on these estimates, this</w:t>
      </w:r>
      <w:r w:rsidRPr="001C77E8">
        <w:t xml:space="preserve"> project is expected to directly offset the emission of about 335,000 tons of CO</w:t>
      </w:r>
      <w:r w:rsidRPr="001C77E8">
        <w:rPr>
          <w:vertAlign w:val="subscript"/>
        </w:rPr>
        <w:t>2</w:t>
      </w:r>
      <w:r w:rsidRPr="001C77E8">
        <w:t xml:space="preserve"> at an average cost of US$6.</w:t>
      </w:r>
      <w:r w:rsidR="00D73BEA">
        <w:t>07</w:t>
      </w:r>
      <w:r w:rsidRPr="001C77E8">
        <w:t>/ton of CO</w:t>
      </w:r>
      <w:r w:rsidRPr="001C77E8">
        <w:rPr>
          <w:vertAlign w:val="subscript"/>
        </w:rPr>
        <w:t>2</w:t>
      </w:r>
      <w:r w:rsidRPr="001C77E8">
        <w:t xml:space="preserve"> (considering only the direct grants for 100,000 lanterns of approximately $1.</w:t>
      </w:r>
      <w:r w:rsidR="00D73BEA">
        <w:t>1</w:t>
      </w:r>
      <w:r w:rsidRPr="001C77E8">
        <w:t xml:space="preserve"> million). This is an annual reduction of CO</w:t>
      </w:r>
      <w:r w:rsidRPr="001C77E8">
        <w:rPr>
          <w:vertAlign w:val="subscript"/>
        </w:rPr>
        <w:t>2</w:t>
      </w:r>
      <w:r w:rsidRPr="001C77E8">
        <w:t xml:space="preserve"> emissions of about 112,000 tons.  The analysis is conservative as it assumes that the solar lantern has only a 3-year life overall.  </w:t>
      </w:r>
    </w:p>
    <w:p w:rsidR="00FE36B3" w:rsidRPr="001C77E8" w:rsidRDefault="00FE36B3" w:rsidP="00FE36B3">
      <w:pPr>
        <w:pStyle w:val="Footer"/>
        <w:tabs>
          <w:tab w:val="clear" w:pos="4320"/>
          <w:tab w:val="clear" w:pos="8640"/>
        </w:tabs>
        <w:jc w:val="both"/>
      </w:pPr>
    </w:p>
    <w:p w:rsidR="00FE36B3" w:rsidRDefault="00FE36B3" w:rsidP="00FE36B3">
      <w:pPr>
        <w:pStyle w:val="Header"/>
        <w:numPr>
          <w:ilvl w:val="0"/>
          <w:numId w:val="30"/>
        </w:numPr>
        <w:tabs>
          <w:tab w:val="clear" w:pos="4320"/>
          <w:tab w:val="clear" w:pos="8640"/>
        </w:tabs>
        <w:ind w:left="0" w:firstLine="0"/>
      </w:pPr>
      <w:r w:rsidRPr="001C77E8">
        <w:rPr>
          <w:noProof/>
        </w:rPr>
        <w:t>Including</w:t>
      </w:r>
      <w:r w:rsidRPr="001C77E8">
        <w:t xml:space="preserve"> the multiplier effects of market conditioning activities and capacity strengthening work done under this project, significantly greater emissions reductions will occur as an indirect effect.  Achieving dissemination of 200,000 lanterns overall would offset about 671,000 tons of CO</w:t>
      </w:r>
      <w:r w:rsidRPr="001C77E8">
        <w:rPr>
          <w:vertAlign w:val="subscript"/>
        </w:rPr>
        <w:t>2</w:t>
      </w:r>
      <w:r w:rsidRPr="001C77E8">
        <w:t xml:space="preserve"> at an average cost of US$3.</w:t>
      </w:r>
      <w:r w:rsidR="00D73BEA">
        <w:t>03</w:t>
      </w:r>
      <w:r w:rsidRPr="001C77E8">
        <w:t>/ton of CO</w:t>
      </w:r>
      <w:r w:rsidRPr="001C77E8">
        <w:rPr>
          <w:vertAlign w:val="subscript"/>
        </w:rPr>
        <w:t>2</w:t>
      </w:r>
      <w:r w:rsidRPr="001C77E8">
        <w:t>.   This means the indirect effects will serve to double the direct carbon emissions reductions effected by the project</w:t>
      </w:r>
      <w:r>
        <w:t xml:space="preserve"> and increase its cost effectiveness</w:t>
      </w:r>
      <w:r w:rsidRPr="001C77E8">
        <w:t>.</w:t>
      </w:r>
      <w:r w:rsidRPr="00FA2BCA">
        <w:t xml:space="preserve">  </w:t>
      </w:r>
    </w:p>
    <w:p w:rsidR="00FE36B3" w:rsidRDefault="00FE36B3" w:rsidP="00FE36B3">
      <w:pPr>
        <w:pStyle w:val="Footer"/>
        <w:tabs>
          <w:tab w:val="clear" w:pos="4320"/>
          <w:tab w:val="clear" w:pos="8640"/>
        </w:tabs>
        <w:jc w:val="both"/>
      </w:pPr>
    </w:p>
    <w:p w:rsidR="00FE36B3" w:rsidRPr="00BC0848" w:rsidRDefault="00FE36B3" w:rsidP="00BC0848">
      <w:pPr>
        <w:pStyle w:val="Footer"/>
        <w:tabs>
          <w:tab w:val="clear" w:pos="4320"/>
          <w:tab w:val="clear" w:pos="8640"/>
        </w:tabs>
        <w:jc w:val="center"/>
        <w:rPr>
          <w:b/>
        </w:rPr>
      </w:pPr>
      <w:r w:rsidRPr="00BC0848">
        <w:rPr>
          <w:b/>
        </w:rPr>
        <w:t xml:space="preserve">Table </w:t>
      </w:r>
      <w:r w:rsidR="00AE00F3">
        <w:rPr>
          <w:b/>
        </w:rPr>
        <w:t>4</w:t>
      </w:r>
      <w:r w:rsidRPr="00BC0848">
        <w:rPr>
          <w:b/>
        </w:rPr>
        <w:t xml:space="preserve">: </w:t>
      </w:r>
      <w:r w:rsidR="00BC0848" w:rsidRPr="00BC0848">
        <w:rPr>
          <w:b/>
        </w:rPr>
        <w:t>Calculation of CO</w:t>
      </w:r>
      <w:r w:rsidR="009B5AED" w:rsidRPr="009B5AED">
        <w:rPr>
          <w:b/>
          <w:vertAlign w:val="subscript"/>
        </w:rPr>
        <w:t>2</w:t>
      </w:r>
      <w:r w:rsidR="00BC0848" w:rsidRPr="00BC0848">
        <w:rPr>
          <w:b/>
        </w:rPr>
        <w:t xml:space="preserve"> Emissions Savings</w:t>
      </w:r>
    </w:p>
    <w:tbl>
      <w:tblPr>
        <w:tblW w:w="11049" w:type="dxa"/>
        <w:jc w:val="center"/>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97"/>
        <w:gridCol w:w="1207"/>
        <w:gridCol w:w="1053"/>
        <w:gridCol w:w="1347"/>
        <w:gridCol w:w="986"/>
        <w:gridCol w:w="1270"/>
        <w:gridCol w:w="1348"/>
        <w:gridCol w:w="1207"/>
        <w:gridCol w:w="1134"/>
      </w:tblGrid>
      <w:tr w:rsidR="00D73BEA" w:rsidRPr="004154AA" w:rsidTr="000E7C1D">
        <w:trPr>
          <w:trHeight w:val="960"/>
          <w:jc w:val="center"/>
        </w:trPr>
        <w:tc>
          <w:tcPr>
            <w:tcW w:w="1545" w:type="dxa"/>
            <w:shd w:val="clear" w:color="auto" w:fill="auto"/>
            <w:tcMar>
              <w:left w:w="72" w:type="dxa"/>
              <w:right w:w="72" w:type="dxa"/>
            </w:tcMar>
            <w:vAlign w:val="center"/>
            <w:hideMark/>
          </w:tcPr>
          <w:p w:rsidR="00D73BEA" w:rsidRPr="004154AA" w:rsidRDefault="00D73BEA" w:rsidP="008B7268">
            <w:pPr>
              <w:jc w:val="center"/>
              <w:rPr>
                <w:rFonts w:ascii="Calibri" w:hAnsi="Calibri"/>
                <w:b/>
                <w:bCs/>
                <w:color w:val="000000"/>
                <w:sz w:val="20"/>
                <w:szCs w:val="20"/>
              </w:rPr>
            </w:pPr>
            <w:r w:rsidRPr="004154AA">
              <w:rPr>
                <w:rFonts w:ascii="Calibri" w:hAnsi="Calibri"/>
                <w:b/>
                <w:bCs/>
                <w:color w:val="000000"/>
                <w:sz w:val="20"/>
                <w:szCs w:val="20"/>
              </w:rPr>
              <w:t>Factors</w:t>
            </w:r>
          </w:p>
        </w:tc>
        <w:tc>
          <w:tcPr>
            <w:tcW w:w="1207" w:type="dxa"/>
            <w:shd w:val="clear" w:color="auto" w:fill="auto"/>
            <w:tcMar>
              <w:left w:w="72" w:type="dxa"/>
              <w:right w:w="72" w:type="dxa"/>
            </w:tcMar>
            <w:vAlign w:val="center"/>
            <w:hideMark/>
          </w:tcPr>
          <w:p w:rsidR="00D73BEA" w:rsidRPr="004154AA" w:rsidRDefault="00D73BEA" w:rsidP="008B7268">
            <w:pPr>
              <w:jc w:val="center"/>
              <w:rPr>
                <w:rFonts w:ascii="Calibri" w:hAnsi="Calibri"/>
                <w:b/>
                <w:bCs/>
                <w:color w:val="000000"/>
                <w:sz w:val="20"/>
                <w:szCs w:val="20"/>
              </w:rPr>
            </w:pPr>
            <w:r w:rsidRPr="004154AA">
              <w:rPr>
                <w:rFonts w:ascii="Calibri" w:hAnsi="Calibri"/>
                <w:b/>
                <w:bCs/>
                <w:color w:val="000000"/>
                <w:sz w:val="20"/>
                <w:szCs w:val="20"/>
              </w:rPr>
              <w:t>Kerosene</w:t>
            </w:r>
          </w:p>
        </w:tc>
        <w:tc>
          <w:tcPr>
            <w:tcW w:w="1063" w:type="dxa"/>
            <w:shd w:val="clear" w:color="auto" w:fill="auto"/>
            <w:tcMar>
              <w:left w:w="72" w:type="dxa"/>
              <w:right w:w="72" w:type="dxa"/>
            </w:tcMar>
            <w:vAlign w:val="center"/>
            <w:hideMark/>
          </w:tcPr>
          <w:p w:rsidR="00D73BEA" w:rsidRPr="004154AA" w:rsidRDefault="00D73BEA" w:rsidP="008B7268">
            <w:pPr>
              <w:jc w:val="center"/>
              <w:rPr>
                <w:rFonts w:ascii="Calibri" w:hAnsi="Calibri"/>
                <w:b/>
                <w:bCs/>
                <w:color w:val="000000"/>
                <w:sz w:val="20"/>
                <w:szCs w:val="20"/>
              </w:rPr>
            </w:pPr>
            <w:r w:rsidRPr="004154AA">
              <w:rPr>
                <w:rFonts w:ascii="Calibri" w:hAnsi="Calibri"/>
                <w:b/>
                <w:bCs/>
                <w:color w:val="000000"/>
                <w:sz w:val="20"/>
                <w:szCs w:val="20"/>
              </w:rPr>
              <w:t>Units of Measure</w:t>
            </w:r>
            <w:r>
              <w:rPr>
                <w:b/>
                <w:bCs/>
                <w:color w:val="000000"/>
                <w:sz w:val="20"/>
                <w:szCs w:val="20"/>
              </w:rPr>
              <w:t>-</w:t>
            </w:r>
            <w:proofErr w:type="spellStart"/>
            <w:r w:rsidRPr="004154AA">
              <w:rPr>
                <w:rFonts w:ascii="Calibri" w:hAnsi="Calibri"/>
                <w:b/>
                <w:bCs/>
                <w:color w:val="000000"/>
                <w:sz w:val="20"/>
                <w:szCs w:val="20"/>
              </w:rPr>
              <w:t>ment</w:t>
            </w:r>
            <w:proofErr w:type="spellEnd"/>
          </w:p>
        </w:tc>
        <w:tc>
          <w:tcPr>
            <w:tcW w:w="1350" w:type="dxa"/>
            <w:shd w:val="clear" w:color="auto" w:fill="auto"/>
            <w:tcMar>
              <w:left w:w="72" w:type="dxa"/>
              <w:right w:w="72" w:type="dxa"/>
            </w:tcMar>
            <w:vAlign w:val="center"/>
            <w:hideMark/>
          </w:tcPr>
          <w:p w:rsidR="00D73BEA" w:rsidRPr="004154AA" w:rsidRDefault="00D73BEA" w:rsidP="008B7268">
            <w:pPr>
              <w:jc w:val="center"/>
              <w:rPr>
                <w:rFonts w:ascii="Calibri" w:hAnsi="Calibri"/>
                <w:b/>
                <w:bCs/>
                <w:color w:val="000000"/>
                <w:sz w:val="20"/>
                <w:szCs w:val="20"/>
              </w:rPr>
            </w:pPr>
            <w:r w:rsidRPr="004154AA">
              <w:rPr>
                <w:rFonts w:ascii="Calibri" w:hAnsi="Calibri"/>
                <w:b/>
                <w:bCs/>
                <w:color w:val="000000"/>
                <w:sz w:val="20"/>
                <w:szCs w:val="20"/>
              </w:rPr>
              <w:t>Alkaline Batteries</w:t>
            </w:r>
          </w:p>
        </w:tc>
        <w:tc>
          <w:tcPr>
            <w:tcW w:w="990" w:type="dxa"/>
            <w:shd w:val="clear" w:color="auto" w:fill="auto"/>
            <w:tcMar>
              <w:left w:w="72" w:type="dxa"/>
              <w:right w:w="72" w:type="dxa"/>
            </w:tcMar>
            <w:vAlign w:val="center"/>
            <w:hideMark/>
          </w:tcPr>
          <w:p w:rsidR="00D73BEA" w:rsidRPr="004154AA" w:rsidRDefault="00D73BEA" w:rsidP="008B7268">
            <w:pPr>
              <w:jc w:val="center"/>
              <w:rPr>
                <w:rFonts w:ascii="Calibri" w:hAnsi="Calibri"/>
                <w:b/>
                <w:bCs/>
                <w:color w:val="000000"/>
                <w:sz w:val="20"/>
                <w:szCs w:val="20"/>
              </w:rPr>
            </w:pPr>
            <w:r w:rsidRPr="004154AA">
              <w:rPr>
                <w:rFonts w:ascii="Calibri" w:hAnsi="Calibri"/>
                <w:b/>
                <w:bCs/>
                <w:color w:val="000000"/>
                <w:sz w:val="20"/>
                <w:szCs w:val="20"/>
              </w:rPr>
              <w:t>Units of Measure</w:t>
            </w:r>
            <w:r>
              <w:rPr>
                <w:b/>
                <w:bCs/>
                <w:color w:val="000000"/>
                <w:sz w:val="20"/>
                <w:szCs w:val="20"/>
              </w:rPr>
              <w:t>-</w:t>
            </w:r>
            <w:proofErr w:type="spellStart"/>
            <w:r w:rsidRPr="004154AA">
              <w:rPr>
                <w:rFonts w:ascii="Calibri" w:hAnsi="Calibri"/>
                <w:b/>
                <w:bCs/>
                <w:color w:val="000000"/>
                <w:sz w:val="20"/>
                <w:szCs w:val="20"/>
              </w:rPr>
              <w:t>ment</w:t>
            </w:r>
            <w:proofErr w:type="spellEnd"/>
          </w:p>
        </w:tc>
        <w:tc>
          <w:tcPr>
            <w:tcW w:w="1170" w:type="dxa"/>
            <w:shd w:val="clear" w:color="auto" w:fill="auto"/>
            <w:tcMar>
              <w:left w:w="72" w:type="dxa"/>
              <w:right w:w="72" w:type="dxa"/>
            </w:tcMar>
            <w:vAlign w:val="center"/>
            <w:hideMark/>
          </w:tcPr>
          <w:p w:rsidR="00D73BEA" w:rsidRPr="004154AA" w:rsidRDefault="00D73BEA" w:rsidP="008B7268">
            <w:pPr>
              <w:jc w:val="center"/>
              <w:rPr>
                <w:rFonts w:ascii="Calibri" w:hAnsi="Calibri"/>
                <w:b/>
                <w:bCs/>
                <w:color w:val="000000"/>
                <w:sz w:val="20"/>
                <w:szCs w:val="20"/>
              </w:rPr>
            </w:pPr>
            <w:r w:rsidRPr="004154AA">
              <w:rPr>
                <w:rFonts w:ascii="Calibri" w:hAnsi="Calibri"/>
                <w:b/>
                <w:bCs/>
                <w:color w:val="000000"/>
                <w:sz w:val="20"/>
                <w:szCs w:val="20"/>
              </w:rPr>
              <w:t>Rechargeable Solar Batteries</w:t>
            </w:r>
          </w:p>
        </w:tc>
        <w:tc>
          <w:tcPr>
            <w:tcW w:w="1383" w:type="dxa"/>
            <w:shd w:val="clear" w:color="auto" w:fill="auto"/>
            <w:tcMar>
              <w:left w:w="72" w:type="dxa"/>
              <w:right w:w="72" w:type="dxa"/>
            </w:tcMar>
            <w:vAlign w:val="center"/>
            <w:hideMark/>
          </w:tcPr>
          <w:p w:rsidR="00D73BEA" w:rsidRPr="004154AA" w:rsidRDefault="00D73BEA" w:rsidP="008B7268">
            <w:pPr>
              <w:jc w:val="center"/>
              <w:rPr>
                <w:rFonts w:ascii="Calibri" w:hAnsi="Calibri"/>
                <w:b/>
                <w:bCs/>
                <w:color w:val="000000"/>
                <w:sz w:val="20"/>
                <w:szCs w:val="20"/>
              </w:rPr>
            </w:pPr>
            <w:r w:rsidRPr="004154AA">
              <w:rPr>
                <w:rFonts w:ascii="Calibri" w:hAnsi="Calibri"/>
                <w:b/>
                <w:bCs/>
                <w:color w:val="000000"/>
                <w:sz w:val="20"/>
                <w:szCs w:val="20"/>
              </w:rPr>
              <w:t>Units of Measure</w:t>
            </w:r>
            <w:r>
              <w:rPr>
                <w:b/>
                <w:bCs/>
                <w:color w:val="000000"/>
                <w:sz w:val="20"/>
                <w:szCs w:val="20"/>
              </w:rPr>
              <w:t>-</w:t>
            </w:r>
            <w:proofErr w:type="spellStart"/>
            <w:r w:rsidRPr="004154AA">
              <w:rPr>
                <w:rFonts w:ascii="Calibri" w:hAnsi="Calibri"/>
                <w:b/>
                <w:bCs/>
                <w:color w:val="000000"/>
                <w:sz w:val="20"/>
                <w:szCs w:val="20"/>
              </w:rPr>
              <w:t>ment</w:t>
            </w:r>
            <w:proofErr w:type="spellEnd"/>
          </w:p>
        </w:tc>
        <w:tc>
          <w:tcPr>
            <w:tcW w:w="1207" w:type="dxa"/>
            <w:shd w:val="clear" w:color="auto" w:fill="auto"/>
            <w:tcMar>
              <w:left w:w="72" w:type="dxa"/>
              <w:right w:w="72" w:type="dxa"/>
            </w:tcMar>
            <w:vAlign w:val="center"/>
            <w:hideMark/>
          </w:tcPr>
          <w:p w:rsidR="00D73BEA" w:rsidRPr="004154AA" w:rsidRDefault="00D73BEA" w:rsidP="008B7268">
            <w:pPr>
              <w:jc w:val="center"/>
              <w:rPr>
                <w:rFonts w:ascii="Calibri" w:hAnsi="Calibri"/>
                <w:b/>
                <w:bCs/>
                <w:color w:val="000000"/>
                <w:sz w:val="20"/>
                <w:szCs w:val="20"/>
              </w:rPr>
            </w:pPr>
            <w:r w:rsidRPr="004154AA">
              <w:rPr>
                <w:rFonts w:ascii="Calibri" w:hAnsi="Calibri"/>
                <w:b/>
                <w:bCs/>
                <w:color w:val="000000"/>
                <w:sz w:val="20"/>
                <w:szCs w:val="20"/>
              </w:rPr>
              <w:t>Total</w:t>
            </w:r>
          </w:p>
        </w:tc>
        <w:tc>
          <w:tcPr>
            <w:tcW w:w="1134" w:type="dxa"/>
            <w:shd w:val="clear" w:color="auto" w:fill="auto"/>
            <w:tcMar>
              <w:left w:w="72" w:type="dxa"/>
              <w:right w:w="72" w:type="dxa"/>
            </w:tcMar>
            <w:vAlign w:val="center"/>
            <w:hideMark/>
          </w:tcPr>
          <w:p w:rsidR="00D73BEA" w:rsidRPr="004154AA" w:rsidRDefault="00D73BEA" w:rsidP="008B7268">
            <w:pPr>
              <w:jc w:val="center"/>
              <w:rPr>
                <w:rFonts w:ascii="Calibri" w:hAnsi="Calibri"/>
                <w:b/>
                <w:bCs/>
                <w:color w:val="000000"/>
                <w:sz w:val="20"/>
                <w:szCs w:val="20"/>
              </w:rPr>
            </w:pPr>
            <w:r w:rsidRPr="004154AA">
              <w:rPr>
                <w:rFonts w:ascii="Calibri" w:hAnsi="Calibri"/>
                <w:b/>
                <w:bCs/>
                <w:color w:val="000000"/>
                <w:sz w:val="20"/>
                <w:szCs w:val="20"/>
              </w:rPr>
              <w:t>Units of Measure</w:t>
            </w:r>
            <w:r>
              <w:rPr>
                <w:b/>
                <w:bCs/>
                <w:color w:val="000000"/>
                <w:sz w:val="20"/>
                <w:szCs w:val="20"/>
              </w:rPr>
              <w:t>-</w:t>
            </w:r>
            <w:proofErr w:type="spellStart"/>
            <w:r w:rsidRPr="004154AA">
              <w:rPr>
                <w:rFonts w:ascii="Calibri" w:hAnsi="Calibri"/>
                <w:b/>
                <w:bCs/>
                <w:color w:val="000000"/>
                <w:sz w:val="20"/>
                <w:szCs w:val="20"/>
              </w:rPr>
              <w:t>ment</w:t>
            </w:r>
            <w:proofErr w:type="spellEnd"/>
          </w:p>
        </w:tc>
      </w:tr>
      <w:tr w:rsidR="00D73BEA" w:rsidRPr="004154AA" w:rsidTr="000E7C1D">
        <w:trPr>
          <w:trHeight w:val="300"/>
          <w:jc w:val="center"/>
        </w:trPr>
        <w:tc>
          <w:tcPr>
            <w:tcW w:w="1545"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Number of lanterns </w:t>
            </w:r>
          </w:p>
        </w:tc>
        <w:tc>
          <w:tcPr>
            <w:tcW w:w="1207"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10,000.00 </w:t>
            </w:r>
          </w:p>
        </w:tc>
        <w:tc>
          <w:tcPr>
            <w:tcW w:w="106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35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90,000.00 </w:t>
            </w:r>
          </w:p>
        </w:tc>
        <w:tc>
          <w:tcPr>
            <w:tcW w:w="990"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17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100,000.00 </w:t>
            </w:r>
          </w:p>
        </w:tc>
        <w:tc>
          <w:tcPr>
            <w:tcW w:w="138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207" w:type="dxa"/>
            <w:shd w:val="clear" w:color="auto" w:fill="auto"/>
            <w:noWrap/>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100,000.00 </w:t>
            </w:r>
          </w:p>
        </w:tc>
        <w:tc>
          <w:tcPr>
            <w:tcW w:w="1134" w:type="dxa"/>
            <w:shd w:val="clear" w:color="auto" w:fill="auto"/>
            <w:noWrap/>
            <w:tcMar>
              <w:left w:w="72" w:type="dxa"/>
              <w:right w:w="72" w:type="dxa"/>
            </w:tcMar>
            <w:vAlign w:val="center"/>
            <w:hideMark/>
          </w:tcPr>
          <w:p w:rsidR="00D73BEA" w:rsidRPr="004154AA" w:rsidRDefault="00D73BEA" w:rsidP="008B7268">
            <w:pPr>
              <w:rPr>
                <w:rFonts w:ascii="Calibri" w:hAnsi="Calibri"/>
                <w:color w:val="000000"/>
                <w:sz w:val="20"/>
                <w:szCs w:val="20"/>
              </w:rPr>
            </w:pPr>
          </w:p>
        </w:tc>
      </w:tr>
      <w:tr w:rsidR="00D73BEA" w:rsidRPr="004154AA" w:rsidTr="000E7C1D">
        <w:trPr>
          <w:trHeight w:val="900"/>
          <w:jc w:val="center"/>
        </w:trPr>
        <w:tc>
          <w:tcPr>
            <w:tcW w:w="1545"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Amount kerosene or batteries used per lantern</w:t>
            </w:r>
          </w:p>
        </w:tc>
        <w:tc>
          <w:tcPr>
            <w:tcW w:w="1207"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43.80 </w:t>
            </w:r>
          </w:p>
        </w:tc>
        <w:tc>
          <w:tcPr>
            <w:tcW w:w="106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liters per year * </w:t>
            </w:r>
          </w:p>
        </w:tc>
        <w:tc>
          <w:tcPr>
            <w:tcW w:w="135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116.80 </w:t>
            </w:r>
          </w:p>
        </w:tc>
        <w:tc>
          <w:tcPr>
            <w:tcW w:w="990"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batteries per year †</w:t>
            </w:r>
          </w:p>
        </w:tc>
        <w:tc>
          <w:tcPr>
            <w:tcW w:w="117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1</w:t>
            </w:r>
          </w:p>
        </w:tc>
        <w:tc>
          <w:tcPr>
            <w:tcW w:w="138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batteries per year ‡</w:t>
            </w:r>
          </w:p>
        </w:tc>
        <w:tc>
          <w:tcPr>
            <w:tcW w:w="1207" w:type="dxa"/>
            <w:shd w:val="clear" w:color="auto" w:fill="auto"/>
            <w:noWrap/>
            <w:tcMar>
              <w:left w:w="72" w:type="dxa"/>
              <w:right w:w="72" w:type="dxa"/>
            </w:tcMar>
            <w:vAlign w:val="center"/>
            <w:hideMark/>
          </w:tcPr>
          <w:p w:rsidR="00D73BEA" w:rsidRPr="004154AA" w:rsidRDefault="00D73BEA" w:rsidP="008B7268">
            <w:pPr>
              <w:jc w:val="right"/>
              <w:rPr>
                <w:rFonts w:ascii="Calibri" w:hAnsi="Calibri"/>
                <w:color w:val="000000"/>
                <w:sz w:val="20"/>
                <w:szCs w:val="20"/>
              </w:rPr>
            </w:pPr>
          </w:p>
        </w:tc>
        <w:tc>
          <w:tcPr>
            <w:tcW w:w="1134" w:type="dxa"/>
            <w:shd w:val="clear" w:color="auto" w:fill="auto"/>
            <w:noWrap/>
            <w:tcMar>
              <w:left w:w="72" w:type="dxa"/>
              <w:right w:w="72" w:type="dxa"/>
            </w:tcMar>
            <w:vAlign w:val="center"/>
            <w:hideMark/>
          </w:tcPr>
          <w:p w:rsidR="00D73BEA" w:rsidRPr="004154AA" w:rsidRDefault="00D73BEA" w:rsidP="008B7268">
            <w:pPr>
              <w:rPr>
                <w:rFonts w:ascii="Calibri" w:hAnsi="Calibri"/>
                <w:color w:val="000000"/>
                <w:sz w:val="20"/>
                <w:szCs w:val="20"/>
              </w:rPr>
            </w:pPr>
          </w:p>
        </w:tc>
      </w:tr>
      <w:tr w:rsidR="00D73BEA" w:rsidRPr="004154AA" w:rsidTr="000E7C1D">
        <w:trPr>
          <w:trHeight w:val="600"/>
          <w:jc w:val="center"/>
        </w:trPr>
        <w:tc>
          <w:tcPr>
            <w:tcW w:w="1545"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Total amount used in 3 years for all products</w:t>
            </w:r>
          </w:p>
        </w:tc>
        <w:tc>
          <w:tcPr>
            <w:tcW w:w="1207"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1,314,000.00 </w:t>
            </w:r>
          </w:p>
        </w:tc>
        <w:tc>
          <w:tcPr>
            <w:tcW w:w="106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liters in 3 years </w:t>
            </w:r>
          </w:p>
        </w:tc>
        <w:tc>
          <w:tcPr>
            <w:tcW w:w="135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31,104,000.00 </w:t>
            </w:r>
          </w:p>
        </w:tc>
        <w:tc>
          <w:tcPr>
            <w:tcW w:w="990"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batteries in 3 years</w:t>
            </w:r>
          </w:p>
        </w:tc>
        <w:tc>
          <w:tcPr>
            <w:tcW w:w="117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300,000.00 </w:t>
            </w:r>
          </w:p>
        </w:tc>
        <w:tc>
          <w:tcPr>
            <w:tcW w:w="138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batteries in 3 years</w:t>
            </w:r>
          </w:p>
        </w:tc>
        <w:tc>
          <w:tcPr>
            <w:tcW w:w="1207" w:type="dxa"/>
            <w:shd w:val="clear" w:color="auto" w:fill="auto"/>
            <w:noWrap/>
            <w:tcMar>
              <w:left w:w="72" w:type="dxa"/>
              <w:right w:w="72" w:type="dxa"/>
            </w:tcMar>
            <w:vAlign w:val="center"/>
            <w:hideMark/>
          </w:tcPr>
          <w:p w:rsidR="00D73BEA" w:rsidRPr="004154AA" w:rsidRDefault="00D73BEA" w:rsidP="008B7268">
            <w:pPr>
              <w:jc w:val="right"/>
              <w:rPr>
                <w:rFonts w:ascii="Calibri" w:hAnsi="Calibri"/>
                <w:color w:val="000000"/>
                <w:sz w:val="20"/>
                <w:szCs w:val="20"/>
              </w:rPr>
            </w:pPr>
          </w:p>
        </w:tc>
        <w:tc>
          <w:tcPr>
            <w:tcW w:w="1134" w:type="dxa"/>
            <w:shd w:val="clear" w:color="auto" w:fill="auto"/>
            <w:noWrap/>
            <w:tcMar>
              <w:left w:w="72" w:type="dxa"/>
              <w:right w:w="72" w:type="dxa"/>
            </w:tcMar>
            <w:vAlign w:val="center"/>
            <w:hideMark/>
          </w:tcPr>
          <w:p w:rsidR="00D73BEA" w:rsidRPr="004154AA" w:rsidRDefault="00D73BEA" w:rsidP="008B7268">
            <w:pPr>
              <w:rPr>
                <w:rFonts w:ascii="Calibri" w:hAnsi="Calibri"/>
                <w:color w:val="000000"/>
                <w:sz w:val="20"/>
                <w:szCs w:val="20"/>
              </w:rPr>
            </w:pPr>
          </w:p>
        </w:tc>
      </w:tr>
      <w:tr w:rsidR="00D73BEA" w:rsidRPr="004154AA" w:rsidTr="000E7C1D">
        <w:trPr>
          <w:trHeight w:val="600"/>
          <w:jc w:val="center"/>
        </w:trPr>
        <w:tc>
          <w:tcPr>
            <w:tcW w:w="1545"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Carbon emissions over 3 years</w:t>
            </w:r>
          </w:p>
        </w:tc>
        <w:tc>
          <w:tcPr>
            <w:tcW w:w="1207"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3,383.81 </w:t>
            </w:r>
          </w:p>
        </w:tc>
        <w:tc>
          <w:tcPr>
            <w:tcW w:w="106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Tons CO2 ˜ </w:t>
            </w:r>
          </w:p>
        </w:tc>
        <w:tc>
          <w:tcPr>
            <w:tcW w:w="135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388,800.00 </w:t>
            </w:r>
          </w:p>
        </w:tc>
        <w:tc>
          <w:tcPr>
            <w:tcW w:w="990"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Tons CO2 ** </w:t>
            </w:r>
          </w:p>
        </w:tc>
        <w:tc>
          <w:tcPr>
            <w:tcW w:w="117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56,700.00 </w:t>
            </w:r>
          </w:p>
        </w:tc>
        <w:tc>
          <w:tcPr>
            <w:tcW w:w="138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Tons CO2  *** </w:t>
            </w:r>
          </w:p>
        </w:tc>
        <w:tc>
          <w:tcPr>
            <w:tcW w:w="1207" w:type="dxa"/>
            <w:shd w:val="clear" w:color="auto" w:fill="auto"/>
            <w:noWrap/>
            <w:tcMar>
              <w:left w:w="72" w:type="dxa"/>
              <w:right w:w="72" w:type="dxa"/>
            </w:tcMar>
            <w:vAlign w:val="center"/>
            <w:hideMark/>
          </w:tcPr>
          <w:p w:rsidR="00D73BEA" w:rsidRPr="004154AA" w:rsidRDefault="00D73BEA" w:rsidP="008B7268">
            <w:pPr>
              <w:jc w:val="right"/>
              <w:rPr>
                <w:rFonts w:ascii="Calibri" w:hAnsi="Calibri"/>
                <w:color w:val="000000"/>
                <w:sz w:val="20"/>
                <w:szCs w:val="20"/>
              </w:rPr>
            </w:pPr>
          </w:p>
        </w:tc>
        <w:tc>
          <w:tcPr>
            <w:tcW w:w="1134" w:type="dxa"/>
            <w:shd w:val="clear" w:color="auto" w:fill="auto"/>
            <w:noWrap/>
            <w:tcMar>
              <w:left w:w="72" w:type="dxa"/>
              <w:right w:w="72" w:type="dxa"/>
            </w:tcMar>
            <w:vAlign w:val="center"/>
            <w:hideMark/>
          </w:tcPr>
          <w:p w:rsidR="00D73BEA" w:rsidRPr="004154AA" w:rsidRDefault="00D73BEA" w:rsidP="008B7268">
            <w:pPr>
              <w:rPr>
                <w:rFonts w:ascii="Calibri" w:hAnsi="Calibri"/>
                <w:color w:val="000000"/>
                <w:sz w:val="20"/>
                <w:szCs w:val="20"/>
              </w:rPr>
            </w:pPr>
          </w:p>
        </w:tc>
      </w:tr>
      <w:tr w:rsidR="00D73BEA" w:rsidRPr="004154AA" w:rsidTr="000E7C1D">
        <w:trPr>
          <w:trHeight w:val="900"/>
          <w:jc w:val="center"/>
        </w:trPr>
        <w:tc>
          <w:tcPr>
            <w:tcW w:w="1545"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Carbon emissions avoided over 3 years (life of LA product) </w:t>
            </w:r>
          </w:p>
        </w:tc>
        <w:tc>
          <w:tcPr>
            <w:tcW w:w="1207"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3,383.81 </w:t>
            </w:r>
          </w:p>
        </w:tc>
        <w:tc>
          <w:tcPr>
            <w:tcW w:w="106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Tons CO2  </w:t>
            </w:r>
          </w:p>
        </w:tc>
        <w:tc>
          <w:tcPr>
            <w:tcW w:w="135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332,100.00 </w:t>
            </w:r>
          </w:p>
        </w:tc>
        <w:tc>
          <w:tcPr>
            <w:tcW w:w="990"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Tons CO2 ^ </w:t>
            </w:r>
          </w:p>
        </w:tc>
        <w:tc>
          <w:tcPr>
            <w:tcW w:w="117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p>
        </w:tc>
        <w:tc>
          <w:tcPr>
            <w:tcW w:w="138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207" w:type="dxa"/>
            <w:shd w:val="clear" w:color="auto" w:fill="auto"/>
            <w:noWrap/>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335,483.81 </w:t>
            </w:r>
          </w:p>
        </w:tc>
        <w:tc>
          <w:tcPr>
            <w:tcW w:w="1134" w:type="dxa"/>
            <w:shd w:val="clear" w:color="auto" w:fill="auto"/>
            <w:noWrap/>
            <w:tcMar>
              <w:left w:w="72" w:type="dxa"/>
              <w:right w:w="72" w:type="dxa"/>
            </w:tcMar>
            <w:vAlign w:val="center"/>
            <w:hideMark/>
          </w:tcPr>
          <w:p w:rsidR="00D73BEA" w:rsidRPr="004154AA" w:rsidRDefault="00D73BEA" w:rsidP="008B7268">
            <w:pPr>
              <w:rPr>
                <w:rFonts w:ascii="Calibri" w:hAnsi="Calibri"/>
                <w:color w:val="000000"/>
                <w:sz w:val="20"/>
                <w:szCs w:val="20"/>
              </w:rPr>
            </w:pPr>
          </w:p>
        </w:tc>
      </w:tr>
      <w:tr w:rsidR="00D73BEA" w:rsidRPr="004154AA" w:rsidTr="000E7C1D">
        <w:trPr>
          <w:trHeight w:val="600"/>
          <w:jc w:val="center"/>
        </w:trPr>
        <w:tc>
          <w:tcPr>
            <w:tcW w:w="1545"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Annual reduction of CO2</w:t>
            </w:r>
          </w:p>
        </w:tc>
        <w:tc>
          <w:tcPr>
            <w:tcW w:w="1207"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1,127.94 </w:t>
            </w:r>
          </w:p>
        </w:tc>
        <w:tc>
          <w:tcPr>
            <w:tcW w:w="106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Tons CO2   </w:t>
            </w:r>
          </w:p>
        </w:tc>
        <w:tc>
          <w:tcPr>
            <w:tcW w:w="135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110,700.00 </w:t>
            </w:r>
          </w:p>
        </w:tc>
        <w:tc>
          <w:tcPr>
            <w:tcW w:w="990"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Tons CO2  ^ </w:t>
            </w:r>
          </w:p>
        </w:tc>
        <w:tc>
          <w:tcPr>
            <w:tcW w:w="117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p>
        </w:tc>
        <w:tc>
          <w:tcPr>
            <w:tcW w:w="138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207" w:type="dxa"/>
            <w:shd w:val="clear" w:color="auto" w:fill="auto"/>
            <w:noWrap/>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111,827.94 </w:t>
            </w:r>
          </w:p>
        </w:tc>
        <w:tc>
          <w:tcPr>
            <w:tcW w:w="1134" w:type="dxa"/>
            <w:shd w:val="clear" w:color="auto" w:fill="auto"/>
            <w:noWrap/>
            <w:tcMar>
              <w:left w:w="72" w:type="dxa"/>
              <w:right w:w="72" w:type="dxa"/>
            </w:tcMar>
            <w:vAlign w:val="center"/>
            <w:hideMark/>
          </w:tcPr>
          <w:p w:rsidR="00D73BEA" w:rsidRPr="004154AA" w:rsidRDefault="00D73BEA" w:rsidP="008B7268">
            <w:pPr>
              <w:rPr>
                <w:rFonts w:ascii="Calibri" w:hAnsi="Calibri"/>
                <w:color w:val="000000"/>
                <w:sz w:val="20"/>
                <w:szCs w:val="20"/>
              </w:rPr>
            </w:pPr>
          </w:p>
        </w:tc>
      </w:tr>
      <w:tr w:rsidR="00D73BEA" w:rsidRPr="004154AA" w:rsidTr="000E7C1D">
        <w:trPr>
          <w:trHeight w:val="1200"/>
          <w:jc w:val="center"/>
        </w:trPr>
        <w:tc>
          <w:tcPr>
            <w:tcW w:w="1545"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Carbon emissions avoided over life of LA product if 200,000 lanterns are catalyzed</w:t>
            </w:r>
          </w:p>
        </w:tc>
        <w:tc>
          <w:tcPr>
            <w:tcW w:w="1207"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6,767.62 </w:t>
            </w:r>
          </w:p>
        </w:tc>
        <w:tc>
          <w:tcPr>
            <w:tcW w:w="106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Tons CO2   </w:t>
            </w:r>
          </w:p>
        </w:tc>
        <w:tc>
          <w:tcPr>
            <w:tcW w:w="135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664,200.00 </w:t>
            </w:r>
          </w:p>
        </w:tc>
        <w:tc>
          <w:tcPr>
            <w:tcW w:w="990"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 xml:space="preserve"> Tons CO2  ^ </w:t>
            </w:r>
          </w:p>
        </w:tc>
        <w:tc>
          <w:tcPr>
            <w:tcW w:w="117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p>
        </w:tc>
        <w:tc>
          <w:tcPr>
            <w:tcW w:w="138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207" w:type="dxa"/>
            <w:shd w:val="clear" w:color="auto" w:fill="auto"/>
            <w:noWrap/>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Pr>
                <w:rFonts w:ascii="Calibri" w:hAnsi="Calibri"/>
                <w:color w:val="000000"/>
                <w:sz w:val="20"/>
                <w:szCs w:val="20"/>
              </w:rPr>
              <w:t>670,967.62</w:t>
            </w:r>
          </w:p>
        </w:tc>
        <w:tc>
          <w:tcPr>
            <w:tcW w:w="1134" w:type="dxa"/>
            <w:shd w:val="clear" w:color="auto" w:fill="auto"/>
            <w:noWrap/>
            <w:tcMar>
              <w:left w:w="72" w:type="dxa"/>
              <w:right w:w="72" w:type="dxa"/>
            </w:tcMar>
            <w:vAlign w:val="center"/>
            <w:hideMark/>
          </w:tcPr>
          <w:p w:rsidR="00D73BEA" w:rsidRPr="004154AA" w:rsidRDefault="00D73BEA" w:rsidP="008B7268">
            <w:pPr>
              <w:rPr>
                <w:rFonts w:ascii="Calibri" w:hAnsi="Calibri"/>
                <w:color w:val="000000"/>
                <w:sz w:val="20"/>
                <w:szCs w:val="20"/>
              </w:rPr>
            </w:pPr>
          </w:p>
        </w:tc>
      </w:tr>
      <w:tr w:rsidR="00D73BEA" w:rsidRPr="004154AA" w:rsidTr="000E7C1D">
        <w:trPr>
          <w:trHeight w:val="300"/>
          <w:jc w:val="center"/>
        </w:trPr>
        <w:tc>
          <w:tcPr>
            <w:tcW w:w="1545"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GEF Grant for lanterns</w:t>
            </w:r>
          </w:p>
        </w:tc>
        <w:tc>
          <w:tcPr>
            <w:tcW w:w="1207"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112,454.00 </w:t>
            </w:r>
          </w:p>
        </w:tc>
        <w:tc>
          <w:tcPr>
            <w:tcW w:w="106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35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1,012,086.00 </w:t>
            </w:r>
          </w:p>
        </w:tc>
        <w:tc>
          <w:tcPr>
            <w:tcW w:w="990"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17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p>
        </w:tc>
        <w:tc>
          <w:tcPr>
            <w:tcW w:w="138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207" w:type="dxa"/>
            <w:shd w:val="clear" w:color="auto" w:fill="auto"/>
            <w:noWrap/>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1,124,540.00 </w:t>
            </w:r>
          </w:p>
        </w:tc>
        <w:tc>
          <w:tcPr>
            <w:tcW w:w="1134" w:type="dxa"/>
            <w:shd w:val="clear" w:color="auto" w:fill="auto"/>
            <w:noWrap/>
            <w:tcMar>
              <w:left w:w="72" w:type="dxa"/>
              <w:right w:w="72" w:type="dxa"/>
            </w:tcMar>
            <w:vAlign w:val="center"/>
            <w:hideMark/>
          </w:tcPr>
          <w:p w:rsidR="00D73BEA" w:rsidRPr="004154AA" w:rsidRDefault="00D73BEA" w:rsidP="008B7268">
            <w:pPr>
              <w:rPr>
                <w:rFonts w:ascii="Calibri" w:hAnsi="Calibri"/>
                <w:color w:val="000000"/>
                <w:sz w:val="20"/>
                <w:szCs w:val="20"/>
              </w:rPr>
            </w:pPr>
          </w:p>
        </w:tc>
      </w:tr>
      <w:tr w:rsidR="00D73BEA" w:rsidRPr="004154AA" w:rsidTr="000E7C1D">
        <w:trPr>
          <w:trHeight w:val="900"/>
          <w:jc w:val="center"/>
        </w:trPr>
        <w:tc>
          <w:tcPr>
            <w:tcW w:w="1545"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GEF grant cost of direct emissions avoided</w:t>
            </w:r>
          </w:p>
        </w:tc>
        <w:tc>
          <w:tcPr>
            <w:tcW w:w="1207"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33.23 </w:t>
            </w:r>
          </w:p>
        </w:tc>
        <w:tc>
          <w:tcPr>
            <w:tcW w:w="106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$/Tons CO2</w:t>
            </w:r>
          </w:p>
        </w:tc>
        <w:tc>
          <w:tcPr>
            <w:tcW w:w="135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3.05 </w:t>
            </w:r>
          </w:p>
        </w:tc>
        <w:tc>
          <w:tcPr>
            <w:tcW w:w="990"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$/Tons CO2</w:t>
            </w:r>
          </w:p>
        </w:tc>
        <w:tc>
          <w:tcPr>
            <w:tcW w:w="117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p>
        </w:tc>
        <w:tc>
          <w:tcPr>
            <w:tcW w:w="138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207" w:type="dxa"/>
            <w:shd w:val="clear" w:color="auto" w:fill="auto"/>
            <w:noWrap/>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6.07</w:t>
            </w:r>
          </w:p>
        </w:tc>
        <w:tc>
          <w:tcPr>
            <w:tcW w:w="1134"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$/Tons CO2 ~</w:t>
            </w:r>
          </w:p>
        </w:tc>
      </w:tr>
      <w:tr w:rsidR="00D73BEA" w:rsidRPr="004154AA" w:rsidTr="000E7C1D">
        <w:trPr>
          <w:trHeight w:val="1200"/>
          <w:jc w:val="center"/>
        </w:trPr>
        <w:tc>
          <w:tcPr>
            <w:tcW w:w="1545"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Total GEF grant cost per ton CO2 avoided by catalyzing double number of lanterns</w:t>
            </w:r>
          </w:p>
        </w:tc>
        <w:tc>
          <w:tcPr>
            <w:tcW w:w="1207"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16.62 </w:t>
            </w:r>
          </w:p>
        </w:tc>
        <w:tc>
          <w:tcPr>
            <w:tcW w:w="106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$/Tons CO2</w:t>
            </w:r>
          </w:p>
        </w:tc>
        <w:tc>
          <w:tcPr>
            <w:tcW w:w="135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 xml:space="preserve">                     1.52 </w:t>
            </w:r>
          </w:p>
        </w:tc>
        <w:tc>
          <w:tcPr>
            <w:tcW w:w="990"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$/Tons CO2</w:t>
            </w:r>
          </w:p>
        </w:tc>
        <w:tc>
          <w:tcPr>
            <w:tcW w:w="1170" w:type="dxa"/>
            <w:shd w:val="clear" w:color="auto" w:fill="auto"/>
            <w:tcMar>
              <w:left w:w="72" w:type="dxa"/>
              <w:right w:w="72" w:type="dxa"/>
            </w:tcMar>
            <w:vAlign w:val="center"/>
            <w:hideMark/>
          </w:tcPr>
          <w:p w:rsidR="00D73BEA" w:rsidRPr="004154AA" w:rsidRDefault="00D73BEA" w:rsidP="008B7268">
            <w:pPr>
              <w:jc w:val="right"/>
              <w:rPr>
                <w:rFonts w:ascii="Calibri" w:hAnsi="Calibri"/>
                <w:color w:val="000000"/>
                <w:sz w:val="20"/>
                <w:szCs w:val="20"/>
              </w:rPr>
            </w:pPr>
          </w:p>
        </w:tc>
        <w:tc>
          <w:tcPr>
            <w:tcW w:w="1383"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p>
        </w:tc>
        <w:tc>
          <w:tcPr>
            <w:tcW w:w="1207" w:type="dxa"/>
            <w:shd w:val="clear" w:color="auto" w:fill="auto"/>
            <w:noWrap/>
            <w:tcMar>
              <w:left w:w="72" w:type="dxa"/>
              <w:right w:w="72" w:type="dxa"/>
            </w:tcMar>
            <w:vAlign w:val="center"/>
            <w:hideMark/>
          </w:tcPr>
          <w:p w:rsidR="00D73BEA" w:rsidRPr="004154AA" w:rsidRDefault="00D73BEA" w:rsidP="008B7268">
            <w:pPr>
              <w:jc w:val="right"/>
              <w:rPr>
                <w:rFonts w:ascii="Calibri" w:hAnsi="Calibri"/>
                <w:color w:val="000000"/>
                <w:sz w:val="20"/>
                <w:szCs w:val="20"/>
              </w:rPr>
            </w:pPr>
            <w:r w:rsidRPr="004154AA">
              <w:rPr>
                <w:rFonts w:ascii="Calibri" w:hAnsi="Calibri"/>
                <w:color w:val="000000"/>
                <w:sz w:val="20"/>
                <w:szCs w:val="20"/>
              </w:rPr>
              <w:t>3.03</w:t>
            </w:r>
          </w:p>
        </w:tc>
        <w:tc>
          <w:tcPr>
            <w:tcW w:w="1134" w:type="dxa"/>
            <w:shd w:val="clear" w:color="auto" w:fill="auto"/>
            <w:tcMar>
              <w:left w:w="72" w:type="dxa"/>
              <w:right w:w="72" w:type="dxa"/>
            </w:tcMar>
            <w:vAlign w:val="center"/>
            <w:hideMark/>
          </w:tcPr>
          <w:p w:rsidR="00D73BEA" w:rsidRPr="004154AA" w:rsidRDefault="00D73BEA" w:rsidP="008B7268">
            <w:pPr>
              <w:rPr>
                <w:rFonts w:ascii="Calibri" w:hAnsi="Calibri"/>
                <w:color w:val="000000"/>
                <w:sz w:val="20"/>
                <w:szCs w:val="20"/>
              </w:rPr>
            </w:pPr>
            <w:r w:rsidRPr="004154AA">
              <w:rPr>
                <w:rFonts w:ascii="Calibri" w:hAnsi="Calibri"/>
                <w:color w:val="000000"/>
                <w:sz w:val="20"/>
                <w:szCs w:val="20"/>
              </w:rPr>
              <w:t>$/Tons CO2 ~</w:t>
            </w:r>
          </w:p>
        </w:tc>
      </w:tr>
    </w:tbl>
    <w:p w:rsidR="00FE36B3" w:rsidRPr="00FA2BCA" w:rsidRDefault="00FE36B3" w:rsidP="00FE36B3">
      <w:pPr>
        <w:pStyle w:val="Footer"/>
        <w:tabs>
          <w:tab w:val="clear" w:pos="4320"/>
          <w:tab w:val="clear" w:pos="8640"/>
        </w:tabs>
        <w:jc w:val="both"/>
      </w:pPr>
    </w:p>
    <w:p w:rsidR="00FE36B3" w:rsidRPr="009E36E9" w:rsidRDefault="00FE36B3" w:rsidP="00FE36B3">
      <w:pPr>
        <w:rPr>
          <w:rFonts w:ascii="Calibri" w:hAnsi="Calibri"/>
          <w:b/>
          <w:bCs/>
          <w:color w:val="000000"/>
          <w:sz w:val="18"/>
          <w:szCs w:val="18"/>
        </w:rPr>
      </w:pPr>
      <w:r w:rsidRPr="009E36E9">
        <w:rPr>
          <w:rFonts w:ascii="Calibri" w:hAnsi="Calibri"/>
          <w:b/>
          <w:bCs/>
          <w:color w:val="000000"/>
          <w:sz w:val="18"/>
          <w:szCs w:val="18"/>
        </w:rPr>
        <w:t>Notes:</w:t>
      </w:r>
    </w:p>
    <w:p w:rsidR="00FE36B3" w:rsidRPr="009E36E9" w:rsidRDefault="00FE36B3" w:rsidP="00FE36B3">
      <w:pPr>
        <w:rPr>
          <w:rFonts w:ascii="Calibri" w:hAnsi="Calibri"/>
          <w:color w:val="000000"/>
          <w:sz w:val="18"/>
          <w:szCs w:val="18"/>
        </w:rPr>
      </w:pPr>
      <w:r w:rsidRPr="009E36E9">
        <w:rPr>
          <w:rFonts w:ascii="Calibri" w:hAnsi="Calibri"/>
          <w:color w:val="000000"/>
          <w:sz w:val="18"/>
          <w:szCs w:val="18"/>
        </w:rPr>
        <w:t>* 0.03 liters/hr, 4 hours per day (Lumina Project reports range from 0.005 to 0.042 liters/hour, http://eetd.lbl.gov/emills/pubs/pdf/offgrid-lighting.pdf)</w:t>
      </w:r>
    </w:p>
    <w:p w:rsidR="00FE36B3" w:rsidRPr="009E36E9" w:rsidRDefault="00FE36B3" w:rsidP="00FE36B3">
      <w:pPr>
        <w:rPr>
          <w:rFonts w:ascii="Calibri" w:hAnsi="Calibri"/>
          <w:color w:val="000000"/>
          <w:sz w:val="18"/>
          <w:szCs w:val="18"/>
        </w:rPr>
      </w:pPr>
      <w:r w:rsidRPr="009E36E9">
        <w:rPr>
          <w:rFonts w:ascii="Calibri" w:hAnsi="Calibri"/>
          <w:color w:val="000000"/>
          <w:sz w:val="18"/>
          <w:szCs w:val="18"/>
        </w:rPr>
        <w:t>† Assumes life of 25 hours per alkaline battery, 4 hours use per day; 2 batteries per inferior lighting product</w:t>
      </w:r>
    </w:p>
    <w:p w:rsidR="00FE36B3" w:rsidRPr="009E36E9" w:rsidRDefault="00FE36B3" w:rsidP="00FE36B3">
      <w:pPr>
        <w:rPr>
          <w:rFonts w:ascii="Calibri" w:hAnsi="Calibri"/>
          <w:color w:val="000000"/>
          <w:sz w:val="18"/>
          <w:szCs w:val="18"/>
        </w:rPr>
      </w:pPr>
      <w:r w:rsidRPr="009E36E9">
        <w:rPr>
          <w:rFonts w:ascii="Calibri" w:hAnsi="Calibri"/>
          <w:color w:val="000000"/>
          <w:sz w:val="18"/>
          <w:szCs w:val="18"/>
        </w:rPr>
        <w:t>‡ Conservatively assumes one year battery life; approved LA products have batteries ranging from 1-5 years of life)</w:t>
      </w:r>
    </w:p>
    <w:p w:rsidR="00FE36B3" w:rsidRPr="009E36E9" w:rsidRDefault="00FE36B3" w:rsidP="00FE36B3">
      <w:pPr>
        <w:rPr>
          <w:rFonts w:ascii="Calibri" w:hAnsi="Calibri"/>
          <w:color w:val="000000"/>
          <w:sz w:val="18"/>
          <w:szCs w:val="18"/>
        </w:rPr>
      </w:pPr>
      <w:r w:rsidRPr="009E36E9">
        <w:rPr>
          <w:rFonts w:ascii="Calibri" w:hAnsi="Calibri"/>
          <w:color w:val="000000"/>
          <w:sz w:val="18"/>
          <w:szCs w:val="18"/>
        </w:rPr>
        <w:lastRenderedPageBreak/>
        <w:t xml:space="preserve"> ˜ 2.58 kg CO2 per liter</w:t>
      </w:r>
    </w:p>
    <w:p w:rsidR="00FE36B3" w:rsidRPr="009E36E9" w:rsidRDefault="00FE36B3" w:rsidP="00FE36B3">
      <w:pPr>
        <w:rPr>
          <w:rFonts w:ascii="Calibri" w:hAnsi="Calibri"/>
          <w:color w:val="000000"/>
          <w:sz w:val="18"/>
          <w:szCs w:val="18"/>
        </w:rPr>
      </w:pPr>
      <w:r w:rsidRPr="009E36E9">
        <w:rPr>
          <w:rFonts w:ascii="Calibri" w:hAnsi="Calibri"/>
          <w:color w:val="000000"/>
          <w:sz w:val="18"/>
          <w:szCs w:val="18"/>
        </w:rPr>
        <w:t>** 0.5 kg CO2 equivalent per hour of use (http://www.climatop.ch/downloads/E-Fact_Sheet_Migros_Batteries_v5.pdf)</w:t>
      </w:r>
    </w:p>
    <w:p w:rsidR="00FE36B3" w:rsidRPr="009E36E9" w:rsidRDefault="00FE36B3" w:rsidP="00FE36B3">
      <w:pPr>
        <w:rPr>
          <w:rFonts w:ascii="Calibri" w:hAnsi="Calibri"/>
          <w:color w:val="000000"/>
          <w:sz w:val="18"/>
          <w:szCs w:val="18"/>
        </w:rPr>
      </w:pPr>
      <w:r w:rsidRPr="009E36E9">
        <w:rPr>
          <w:rFonts w:ascii="Calibri" w:hAnsi="Calibri"/>
          <w:color w:val="000000"/>
          <w:sz w:val="18"/>
          <w:szCs w:val="18"/>
        </w:rPr>
        <w:t xml:space="preserve">*** Assumes 0.2 kg Co2 equivalent per hour of use, comparable to </w:t>
      </w:r>
      <w:proofErr w:type="spellStart"/>
      <w:r w:rsidRPr="009E36E9">
        <w:rPr>
          <w:rFonts w:ascii="Calibri" w:hAnsi="Calibri"/>
          <w:color w:val="000000"/>
          <w:sz w:val="18"/>
          <w:szCs w:val="18"/>
        </w:rPr>
        <w:t>NiMH</w:t>
      </w:r>
      <w:proofErr w:type="spellEnd"/>
      <w:r w:rsidRPr="009E36E9">
        <w:rPr>
          <w:rFonts w:ascii="Calibri" w:hAnsi="Calibri"/>
          <w:color w:val="000000"/>
          <w:sz w:val="18"/>
          <w:szCs w:val="18"/>
        </w:rPr>
        <w:t xml:space="preserve"> rechargeable batteries</w:t>
      </w:r>
    </w:p>
    <w:p w:rsidR="00FE36B3" w:rsidRPr="009E36E9" w:rsidRDefault="00FE36B3" w:rsidP="00FE36B3">
      <w:pPr>
        <w:rPr>
          <w:rFonts w:ascii="Calibri" w:hAnsi="Calibri"/>
          <w:color w:val="000000"/>
          <w:sz w:val="18"/>
          <w:szCs w:val="18"/>
        </w:rPr>
      </w:pPr>
      <w:r w:rsidRPr="009E36E9">
        <w:rPr>
          <w:rFonts w:ascii="Calibri" w:hAnsi="Calibri"/>
          <w:color w:val="000000"/>
          <w:sz w:val="18"/>
          <w:szCs w:val="18"/>
        </w:rPr>
        <w:t>^ Subtracts emissions of recharg</w:t>
      </w:r>
      <w:r>
        <w:rPr>
          <w:rFonts w:ascii="Calibri" w:hAnsi="Calibri"/>
          <w:color w:val="000000"/>
          <w:sz w:val="18"/>
          <w:szCs w:val="18"/>
        </w:rPr>
        <w:t>e</w:t>
      </w:r>
      <w:r w:rsidRPr="009E36E9">
        <w:rPr>
          <w:rFonts w:ascii="Calibri" w:hAnsi="Calibri"/>
          <w:color w:val="000000"/>
          <w:sz w:val="18"/>
          <w:szCs w:val="18"/>
        </w:rPr>
        <w:t>able batteries from that of alkaline over same period</w:t>
      </w:r>
    </w:p>
    <w:p w:rsidR="00784D15" w:rsidRDefault="00FE36B3" w:rsidP="00FE36B3">
      <w:pPr>
        <w:rPr>
          <w:b/>
        </w:rPr>
      </w:pPr>
      <w:r w:rsidRPr="009E36E9">
        <w:rPr>
          <w:rFonts w:ascii="Calibri" w:hAnsi="Calibri"/>
          <w:color w:val="000000"/>
          <w:sz w:val="18"/>
          <w:szCs w:val="18"/>
        </w:rPr>
        <w:t>~ Provides average of the two displaced lighting sources.</w:t>
      </w:r>
    </w:p>
    <w:p w:rsidR="00784D15" w:rsidRPr="00784D15" w:rsidRDefault="00FE36B3" w:rsidP="003D2522">
      <w:pPr>
        <w:pStyle w:val="Heading1"/>
        <w:jc w:val="center"/>
      </w:pPr>
      <w:bookmarkStart w:id="15" w:name="_Toc308712772"/>
      <w:r>
        <w:br w:type="page"/>
      </w:r>
      <w:proofErr w:type="gramStart"/>
      <w:r w:rsidR="00A015C6">
        <w:lastRenderedPageBreak/>
        <w:t>Annex 5</w:t>
      </w:r>
      <w:r w:rsidR="00466A4E">
        <w:t>A</w:t>
      </w:r>
      <w:r w:rsidR="00784D15">
        <w:t>.</w:t>
      </w:r>
      <w:proofErr w:type="gramEnd"/>
      <w:r w:rsidR="00784D15">
        <w:t xml:space="preserve"> </w:t>
      </w:r>
      <w:r w:rsidR="00466A4E">
        <w:t xml:space="preserve"> </w:t>
      </w:r>
      <w:r w:rsidR="00A015C6">
        <w:t>Financial analysis</w:t>
      </w:r>
      <w:bookmarkEnd w:id="15"/>
    </w:p>
    <w:p w:rsidR="00784D15" w:rsidRDefault="00784D15" w:rsidP="00784D15">
      <w:pPr>
        <w:jc w:val="center"/>
        <w:rPr>
          <w:b/>
        </w:rPr>
      </w:pPr>
    </w:p>
    <w:p w:rsidR="00784D15" w:rsidRDefault="00784D15" w:rsidP="00D940CF">
      <w:pPr>
        <w:numPr>
          <w:ilvl w:val="0"/>
          <w:numId w:val="10"/>
        </w:numPr>
      </w:pPr>
      <w:r w:rsidRPr="00784D15">
        <w:t>Th</w:t>
      </w:r>
      <w:r w:rsidR="00706C6F">
        <w:t xml:space="preserve">e financial analysis addressed the different scenarios when considering the two similar technologies for power generation. Both technologies offer the same possibility of providing electricity a lower cost compared with diesel power generation. The financial </w:t>
      </w:r>
      <w:proofErr w:type="gramStart"/>
      <w:r w:rsidR="00706C6F">
        <w:t>analysis address</w:t>
      </w:r>
      <w:proofErr w:type="gramEnd"/>
      <w:r w:rsidR="00706C6F">
        <w:t xml:space="preserve"> the situations of HFO availability, electricity tariff changes, capacity factor changes as well. The main conclusions of the this assessment are the following: </w:t>
      </w:r>
    </w:p>
    <w:p w:rsidR="00706C6F" w:rsidRPr="00784D15" w:rsidRDefault="00706C6F" w:rsidP="00706C6F">
      <w:pPr>
        <w:ind w:left="360"/>
      </w:pPr>
    </w:p>
    <w:p w:rsidR="00784D15" w:rsidRPr="00784D15" w:rsidRDefault="00784D15" w:rsidP="00D940CF">
      <w:pPr>
        <w:numPr>
          <w:ilvl w:val="0"/>
          <w:numId w:val="11"/>
        </w:numPr>
        <w:tabs>
          <w:tab w:val="clear" w:pos="720"/>
          <w:tab w:val="num" w:pos="360"/>
        </w:tabs>
        <w:spacing w:after="120"/>
        <w:ind w:left="360" w:hanging="360"/>
      </w:pPr>
      <w:r w:rsidRPr="00784D15">
        <w:t xml:space="preserve">Provided that HFO is available from 2014, either a 10MW dual fuel plant or a </w:t>
      </w:r>
      <w:proofErr w:type="spellStart"/>
      <w:r w:rsidRPr="00784D15">
        <w:t>HFOplant</w:t>
      </w:r>
      <w:proofErr w:type="spellEnd"/>
      <w:r w:rsidRPr="00784D15">
        <w:t xml:space="preserve"> are financially viable (internal rate of return (IRR) respectively of 22.7% and 13.5%) and </w:t>
      </w:r>
      <w:proofErr w:type="gramStart"/>
      <w:r w:rsidR="00A418CE">
        <w:t xml:space="preserve">LEC </w:t>
      </w:r>
      <w:r w:rsidRPr="00784D15">
        <w:t xml:space="preserve"> will</w:t>
      </w:r>
      <w:proofErr w:type="gramEnd"/>
      <w:r w:rsidRPr="00784D15">
        <w:t xml:space="preserve"> be able to reimburse the loan in both cases. LEC would realize savings of US$12 million with the HFO plant compared with the dual fuel option.</w:t>
      </w:r>
    </w:p>
    <w:p w:rsidR="00784D15" w:rsidRPr="00784D15" w:rsidRDefault="00784D15" w:rsidP="00D940CF">
      <w:pPr>
        <w:numPr>
          <w:ilvl w:val="0"/>
          <w:numId w:val="11"/>
        </w:numPr>
        <w:tabs>
          <w:tab w:val="clear" w:pos="720"/>
          <w:tab w:val="num" w:pos="360"/>
        </w:tabs>
        <w:spacing w:after="120"/>
        <w:ind w:left="360" w:hanging="360"/>
      </w:pPr>
      <w:r w:rsidRPr="00784D15">
        <w:t xml:space="preserve">The main risk to the project’s financial viability in both cases is the availability of HFO. If the dual fuel plant has to run with more expensive </w:t>
      </w:r>
      <w:r w:rsidR="00A418CE">
        <w:t xml:space="preserve">fossil </w:t>
      </w:r>
      <w:r w:rsidRPr="00784D15">
        <w:t xml:space="preserve">fuel </w:t>
      </w:r>
      <w:r w:rsidR="00A418CE">
        <w:t xml:space="preserve">for </w:t>
      </w:r>
      <w:r w:rsidRPr="00784D15">
        <w:t>more than four years, the plant would not be financially viable.</w:t>
      </w:r>
    </w:p>
    <w:p w:rsidR="00130ECC" w:rsidRDefault="00784D15">
      <w:pPr>
        <w:numPr>
          <w:ilvl w:val="0"/>
          <w:numId w:val="10"/>
        </w:numPr>
        <w:spacing w:after="120"/>
      </w:pPr>
      <w:r w:rsidRPr="00784D15">
        <w:t>The costs of running the dual fuel plant with diesel are higher than the revenues generated (with the current tariff of 54 US cents/kWh)</w:t>
      </w:r>
      <w:r w:rsidR="000D054E">
        <w:t xml:space="preserve"> due to lower efficiencies compared with the HFO-fired power plant and the higher cost of fossil fuel</w:t>
      </w:r>
      <w:r w:rsidRPr="00784D15">
        <w:t xml:space="preserve">. </w:t>
      </w:r>
      <w:r w:rsidR="000D054E">
        <w:t xml:space="preserve">. Additional results are as follows: </w:t>
      </w:r>
    </w:p>
    <w:p w:rsidR="00706C6F" w:rsidRDefault="00706C6F" w:rsidP="00706C6F"/>
    <w:p w:rsidR="00784D15" w:rsidRPr="00784D15" w:rsidRDefault="00784D15" w:rsidP="00D940CF">
      <w:pPr>
        <w:numPr>
          <w:ilvl w:val="0"/>
          <w:numId w:val="10"/>
        </w:numPr>
      </w:pPr>
      <w:r w:rsidRPr="00784D15">
        <w:t xml:space="preserve">Results independently of financing. The IRR for the HFO plant is 22.7%. The IRR for the dual fuel plant is 13.5%. Provided that HFO is available from 2014, LEC will realize savings of US$12 million with the HFO plant compared with the dual fuel option.   </w:t>
      </w:r>
    </w:p>
    <w:p w:rsidR="00706C6F" w:rsidRDefault="00706C6F" w:rsidP="00706C6F"/>
    <w:p w:rsidR="00F67F4A" w:rsidRPr="00F67F4A" w:rsidRDefault="00784D15" w:rsidP="00F67F4A">
      <w:pPr>
        <w:numPr>
          <w:ilvl w:val="0"/>
          <w:numId w:val="10"/>
        </w:numPr>
      </w:pPr>
      <w:r w:rsidRPr="00784D15">
        <w:t xml:space="preserve">Results with 100% IDA debt financing. Assuming that the project is fully financed with debt under IDA terms, </w:t>
      </w:r>
      <w:r w:rsidR="00D526C8">
        <w:fldChar w:fldCharType="begin"/>
      </w:r>
      <w:r w:rsidR="00D526C8">
        <w:instrText xml:space="preserve"> REF _Ref296784106 \h  \* MERGEFORMAT </w:instrText>
      </w:r>
      <w:r w:rsidR="00D526C8">
        <w:fldChar w:fldCharType="separate"/>
      </w:r>
    </w:p>
    <w:p w:rsidR="00F67F4A" w:rsidRPr="00F67F4A" w:rsidRDefault="00F67F4A" w:rsidP="00F67F4A">
      <w:pPr>
        <w:numPr>
          <w:ilvl w:val="0"/>
          <w:numId w:val="10"/>
        </w:numPr>
      </w:pPr>
    </w:p>
    <w:p w:rsidR="00F67F4A" w:rsidRPr="00F67F4A" w:rsidRDefault="00F67F4A" w:rsidP="00F67F4A">
      <w:pPr>
        <w:numPr>
          <w:ilvl w:val="0"/>
          <w:numId w:val="10"/>
        </w:numPr>
      </w:pPr>
    </w:p>
    <w:p w:rsidR="00F67F4A" w:rsidRDefault="00F67F4A" w:rsidP="00784D15">
      <w:pPr>
        <w:rPr>
          <w:bCs/>
        </w:rPr>
      </w:pPr>
    </w:p>
    <w:p w:rsidR="00F67F4A" w:rsidRDefault="00F67F4A" w:rsidP="00784D15">
      <w:pPr>
        <w:rPr>
          <w:bCs/>
        </w:rPr>
      </w:pPr>
    </w:p>
    <w:p w:rsidR="00F67F4A" w:rsidRDefault="00F67F4A" w:rsidP="00784D15">
      <w:pPr>
        <w:rPr>
          <w:bCs/>
        </w:rPr>
      </w:pPr>
    </w:p>
    <w:p w:rsidR="00784D15" w:rsidRPr="00784D15" w:rsidRDefault="00F67F4A" w:rsidP="00D940CF">
      <w:pPr>
        <w:numPr>
          <w:ilvl w:val="0"/>
          <w:numId w:val="10"/>
        </w:numPr>
      </w:pPr>
      <w:r w:rsidRPr="00C46673">
        <w:rPr>
          <w:b/>
          <w:bCs/>
        </w:rPr>
        <w:t xml:space="preserve">Figure </w:t>
      </w:r>
      <w:r>
        <w:rPr>
          <w:b/>
          <w:bCs/>
          <w:noProof/>
        </w:rPr>
        <w:t>1</w:t>
      </w:r>
      <w:r w:rsidR="00D526C8">
        <w:fldChar w:fldCharType="end"/>
      </w:r>
      <w:r w:rsidR="00784D15" w:rsidRPr="00784D15">
        <w:t xml:space="preserve"> below shows that the net present value (NPV)</w:t>
      </w:r>
      <w:r w:rsidR="00784D15" w:rsidRPr="00784D15">
        <w:rPr>
          <w:vertAlign w:val="superscript"/>
        </w:rPr>
        <w:footnoteReference w:id="17"/>
      </w:r>
      <w:r w:rsidR="00784D15" w:rsidRPr="00784D15">
        <w:t xml:space="preserve"> for the HFO plant (light orange column) is higher than the NPV for the dual fuel plant (dark blue column) – respectively US$29 million and US$17 million. The cumulated cash</w:t>
      </w:r>
      <w:r w:rsidR="00C46673">
        <w:t>-</w:t>
      </w:r>
      <w:r w:rsidR="00784D15" w:rsidRPr="00784D15">
        <w:t xml:space="preserve">flows of the HFO plant are indeed higher (light orange line for HFO and dark blue line for dual fuel). </w:t>
      </w:r>
    </w:p>
    <w:p w:rsidR="00C46673" w:rsidRDefault="00C46673" w:rsidP="00784D15">
      <w:pPr>
        <w:rPr>
          <w:bCs/>
        </w:rPr>
      </w:pPr>
      <w:bookmarkStart w:id="16" w:name="_Ref296784106"/>
    </w:p>
    <w:p w:rsidR="00C46673" w:rsidRDefault="00C46673" w:rsidP="00784D15">
      <w:pPr>
        <w:rPr>
          <w:bCs/>
        </w:rPr>
      </w:pPr>
    </w:p>
    <w:p w:rsidR="00C46673" w:rsidRDefault="00C46673" w:rsidP="00784D15">
      <w:pPr>
        <w:rPr>
          <w:bCs/>
        </w:rPr>
      </w:pPr>
    </w:p>
    <w:p w:rsidR="00C46673" w:rsidRDefault="00C46673" w:rsidP="00784D15">
      <w:pPr>
        <w:rPr>
          <w:bCs/>
        </w:rPr>
      </w:pPr>
    </w:p>
    <w:p w:rsidR="00C46673" w:rsidRDefault="00C46673" w:rsidP="00784D15">
      <w:pPr>
        <w:rPr>
          <w:bCs/>
        </w:rPr>
      </w:pPr>
    </w:p>
    <w:p w:rsidR="00C46673" w:rsidRDefault="00C46673" w:rsidP="00784D15">
      <w:pPr>
        <w:rPr>
          <w:bCs/>
        </w:rPr>
      </w:pPr>
    </w:p>
    <w:p w:rsidR="00784D15" w:rsidRPr="00C46673" w:rsidRDefault="00784D15" w:rsidP="00784D15">
      <w:pPr>
        <w:rPr>
          <w:b/>
          <w:bCs/>
        </w:rPr>
      </w:pPr>
      <w:r w:rsidRPr="00C46673">
        <w:rPr>
          <w:b/>
          <w:bCs/>
        </w:rPr>
        <w:t xml:space="preserve">Figure </w:t>
      </w:r>
      <w:r w:rsidR="00D526C8" w:rsidRPr="00D526C8">
        <w:rPr>
          <w:b/>
          <w:bCs/>
        </w:rPr>
        <w:fldChar w:fldCharType="begin"/>
      </w:r>
      <w:r w:rsidRPr="00C46673">
        <w:rPr>
          <w:b/>
          <w:bCs/>
        </w:rPr>
        <w:instrText xml:space="preserve"> SEQ Figure \* ARABIC </w:instrText>
      </w:r>
      <w:r w:rsidR="00D526C8" w:rsidRPr="00D526C8">
        <w:rPr>
          <w:b/>
          <w:bCs/>
        </w:rPr>
        <w:fldChar w:fldCharType="separate"/>
      </w:r>
      <w:r w:rsidR="00F67F4A">
        <w:rPr>
          <w:b/>
          <w:bCs/>
          <w:noProof/>
        </w:rPr>
        <w:t>1</w:t>
      </w:r>
      <w:r w:rsidR="00D526C8" w:rsidRPr="00C46673">
        <w:rPr>
          <w:b/>
        </w:rPr>
        <w:fldChar w:fldCharType="end"/>
      </w:r>
      <w:bookmarkEnd w:id="16"/>
      <w:r w:rsidRPr="00C46673">
        <w:rPr>
          <w:b/>
          <w:bCs/>
        </w:rPr>
        <w:t>: Net Present Value and Cumulated Cash</w:t>
      </w:r>
      <w:r w:rsidR="00C46673" w:rsidRPr="00C46673">
        <w:rPr>
          <w:b/>
          <w:bCs/>
        </w:rPr>
        <w:t>-</w:t>
      </w:r>
      <w:r w:rsidRPr="00C46673">
        <w:rPr>
          <w:b/>
          <w:bCs/>
        </w:rPr>
        <w:t xml:space="preserve">flows </w:t>
      </w:r>
    </w:p>
    <w:p w:rsidR="00C46673" w:rsidRPr="00784D15" w:rsidRDefault="00C46673" w:rsidP="00784D15">
      <w:pPr>
        <w:rPr>
          <w:bCs/>
        </w:rPr>
      </w:pPr>
    </w:p>
    <w:p w:rsidR="00784D15" w:rsidRPr="00784D15" w:rsidRDefault="0035474B" w:rsidP="00E12DE7">
      <w:pPr>
        <w:jc w:val="center"/>
      </w:pPr>
      <w:r>
        <w:rPr>
          <w:noProof/>
        </w:rPr>
        <w:lastRenderedPageBreak/>
        <w:pict>
          <v:shape id="_x0000_i1031" type="#_x0000_t75" style="width:330.65pt;height:208.65pt;visibility:visible">
            <v:imagedata r:id="rId24" o:title=""/>
          </v:shape>
        </w:pict>
      </w:r>
    </w:p>
    <w:p w:rsidR="00784D15" w:rsidRDefault="00784D15" w:rsidP="00784D15">
      <w:pPr>
        <w:rPr>
          <w:bCs/>
        </w:rPr>
      </w:pPr>
    </w:p>
    <w:p w:rsidR="00953D94" w:rsidRPr="00784D15" w:rsidRDefault="00953D94" w:rsidP="00784D15">
      <w:pPr>
        <w:rPr>
          <w:bCs/>
        </w:rPr>
      </w:pPr>
    </w:p>
    <w:p w:rsidR="00AD35F4" w:rsidRDefault="00784D15" w:rsidP="00D940CF">
      <w:pPr>
        <w:numPr>
          <w:ilvl w:val="0"/>
          <w:numId w:val="10"/>
        </w:numPr>
        <w:rPr>
          <w:bCs/>
        </w:rPr>
      </w:pPr>
      <w:r w:rsidRPr="00784D15">
        <w:t>T</w:t>
      </w:r>
      <w:r w:rsidRPr="00784D15">
        <w:rPr>
          <w:bCs/>
        </w:rPr>
        <w:t>he debt service coverage ratio (DSCR) for the HFO plant is comfortable, at 2.8 over the period. The DSCR for the dual fuel plant is 2.0. However if we assume that HFO is not available, then both plants would have DSCR equal or below 0.</w:t>
      </w:r>
    </w:p>
    <w:p w:rsidR="00784D15" w:rsidRPr="00784D15" w:rsidRDefault="00784D15" w:rsidP="00784D15">
      <w:pPr>
        <w:rPr>
          <w:bCs/>
        </w:rPr>
      </w:pPr>
      <w:r w:rsidRPr="00784D15">
        <w:rPr>
          <w:bCs/>
        </w:rPr>
        <w:t xml:space="preserve"> </w:t>
      </w:r>
    </w:p>
    <w:p w:rsidR="00784D15" w:rsidRDefault="00784D15" w:rsidP="00D940CF">
      <w:pPr>
        <w:numPr>
          <w:ilvl w:val="0"/>
          <w:numId w:val="10"/>
        </w:numPr>
      </w:pPr>
      <w:r w:rsidRPr="00784D15">
        <w:t>Results of the sensitivity analysis. We tested the sensitivity of the financial viability of the dual fuel and HFO plants. The main risk to the project’s financial viability is the availability of HFO. Only severe and unlikely changes to the other key assumptions would make the project not financially viable:</w:t>
      </w:r>
    </w:p>
    <w:p w:rsidR="00953D94" w:rsidRPr="00784D15" w:rsidRDefault="00953D94" w:rsidP="00953D94"/>
    <w:p w:rsidR="00784D15" w:rsidRDefault="00784D15" w:rsidP="00D940CF">
      <w:pPr>
        <w:numPr>
          <w:ilvl w:val="0"/>
          <w:numId w:val="12"/>
        </w:numPr>
      </w:pPr>
      <w:r w:rsidRPr="00784D15">
        <w:t xml:space="preserve">Year when the plant uses HFO – A HFO plant would not be able to run without HFO. If HFO is not available during more than seven years (out of the plant life of ten years), the HFO plant would not be financially viable. A dual fuel plant would run on diesel if HFO is not available. Using HFO means lower operations and maintenance (O&amp;M) costs and higher plant availability. If the dual fuel plant has to run with the more expensive diesel more than four years, the plant would not be financially viable. Therefore, any delay in providing HFO would impact negatively the financial viability of both projects and the ability to repay the debt. </w:t>
      </w:r>
    </w:p>
    <w:p w:rsidR="00953D94" w:rsidRPr="00784D15" w:rsidRDefault="00953D94" w:rsidP="00953D94">
      <w:pPr>
        <w:ind w:left="780"/>
      </w:pPr>
    </w:p>
    <w:p w:rsidR="00784D15" w:rsidRDefault="00784D15" w:rsidP="00D940CF">
      <w:pPr>
        <w:numPr>
          <w:ilvl w:val="0"/>
          <w:numId w:val="12"/>
        </w:numPr>
      </w:pPr>
      <w:r w:rsidRPr="00784D15">
        <w:t>Tariff – Assuming IDA financing, the HFO plant would be financially viable (its NPV would be positive) if the tariff is above 42 US cents/kWh. For the dual fuel plant, the breakeven tariff is 47 US cents/kWh. This is substantially lower than the current tariff of 54 US cents/kWh. With the current tariff, the costs of running the dual fuel plant with diesel are higher than the revenues generated. In this case, the financial viability of the HFO plant (that is not running when HFO is not available) will always be superior to the financial viability of the dual fuel plant. However if we assume that the willingness to pay is higher (that is that the users are willing to pay more than the current tariff or that the government is ready to provide subsidies in addition to the tariff to avoid outages), then the dual fuel plant can have higher financial returns than the HFO plant depending on HFO availability.</w:t>
      </w:r>
    </w:p>
    <w:p w:rsidR="00953D94" w:rsidRPr="00784D15" w:rsidRDefault="00953D94" w:rsidP="00953D94">
      <w:pPr>
        <w:ind w:left="780"/>
      </w:pPr>
    </w:p>
    <w:p w:rsidR="00784D15" w:rsidRDefault="00784D15" w:rsidP="00D940CF">
      <w:pPr>
        <w:numPr>
          <w:ilvl w:val="0"/>
          <w:numId w:val="12"/>
        </w:numPr>
      </w:pPr>
      <w:r w:rsidRPr="00784D15">
        <w:t>Capacity factor – The HFO and the dual fuel plants would be financially viable if the capacity factor is respectively above 16% and 24%. While generating less power, the plant receives fewer revenues but also incurs less O&amp;M costs. This explains in part why the capacity factor can be so low while the projects still viable. Currently LEC’s management contractor estimates the capacity factor</w:t>
      </w:r>
      <w:r w:rsidR="00657A66">
        <w:t xml:space="preserve"> at 60%. </w:t>
      </w:r>
    </w:p>
    <w:p w:rsidR="00953D94" w:rsidRPr="00784D15" w:rsidRDefault="00953D94" w:rsidP="00953D94">
      <w:pPr>
        <w:ind w:left="780"/>
      </w:pPr>
    </w:p>
    <w:p w:rsidR="00784D15" w:rsidRPr="00784D15" w:rsidRDefault="00784D15" w:rsidP="00D940CF">
      <w:pPr>
        <w:numPr>
          <w:ilvl w:val="0"/>
          <w:numId w:val="12"/>
        </w:numPr>
      </w:pPr>
      <w:r w:rsidRPr="00784D15">
        <w:t>O</w:t>
      </w:r>
      <w:r w:rsidR="00953D94">
        <w:t xml:space="preserve"> </w:t>
      </w:r>
      <w:r w:rsidRPr="00784D15">
        <w:t>&amp;</w:t>
      </w:r>
      <w:r w:rsidR="00953D94">
        <w:t xml:space="preserve"> </w:t>
      </w:r>
      <w:r w:rsidRPr="00784D15">
        <w:t>M cost – The HFO and the dual fuel plants would be financially viable if the O&amp;M cost remains below 0.30 US cents/kWh. LEC’s management contractor currently estimates O</w:t>
      </w:r>
      <w:r w:rsidR="00953D94">
        <w:t xml:space="preserve"> </w:t>
      </w:r>
      <w:r w:rsidRPr="00784D15">
        <w:t>&amp;</w:t>
      </w:r>
      <w:r w:rsidR="00953D94">
        <w:t xml:space="preserve"> </w:t>
      </w:r>
      <w:r w:rsidRPr="00784D15">
        <w:t>M costs at 0.19 US cents/kWh for HFO and 0.31 US cents/kWh for diesel.</w:t>
      </w:r>
    </w:p>
    <w:p w:rsidR="00657A66" w:rsidRDefault="00657A66" w:rsidP="00657A66"/>
    <w:p w:rsidR="00784D15" w:rsidRPr="00784D15" w:rsidRDefault="00784D15" w:rsidP="00D940CF">
      <w:pPr>
        <w:numPr>
          <w:ilvl w:val="0"/>
          <w:numId w:val="10"/>
        </w:numPr>
      </w:pPr>
      <w:r w:rsidRPr="00784D15">
        <w:t xml:space="preserve">Assumptions used. </w:t>
      </w:r>
      <w:fldSimple w:instr=" REF _Ref307933717 \h  \* MERGEFORMAT ">
        <w:r w:rsidR="00F67F4A" w:rsidRPr="00F67F4A">
          <w:rPr>
            <w:bCs/>
          </w:rPr>
          <w:t>Table 1</w:t>
        </w:r>
      </w:fldSimple>
      <w:r w:rsidRPr="00784D15">
        <w:rPr>
          <w:bCs/>
        </w:rPr>
        <w:t xml:space="preserve"> shows the technical and financial assumptions.</w:t>
      </w:r>
      <w:bookmarkStart w:id="17" w:name="_Ref263934978"/>
    </w:p>
    <w:p w:rsidR="00784D15" w:rsidRPr="00784D15" w:rsidRDefault="00784D15" w:rsidP="00784D15">
      <w:pPr>
        <w:rPr>
          <w:b/>
          <w:bCs/>
        </w:rPr>
        <w:sectPr w:rsidR="00784D15" w:rsidRPr="00784D15" w:rsidSect="00C05D44">
          <w:headerReference w:type="first" r:id="rId25"/>
          <w:pgSz w:w="12240" w:h="15840"/>
          <w:pgMar w:top="1440" w:right="1440" w:bottom="1440" w:left="1440" w:header="720" w:footer="720" w:gutter="0"/>
          <w:cols w:space="720"/>
          <w:docGrid w:linePitch="326"/>
        </w:sectPr>
      </w:pPr>
    </w:p>
    <w:p w:rsidR="00784D15" w:rsidRDefault="00784D15" w:rsidP="00E751C7">
      <w:pPr>
        <w:jc w:val="center"/>
        <w:rPr>
          <w:b/>
          <w:bCs/>
        </w:rPr>
      </w:pPr>
      <w:bookmarkStart w:id="18" w:name="_Ref307933717"/>
      <w:bookmarkEnd w:id="17"/>
      <w:r w:rsidRPr="00784D15">
        <w:rPr>
          <w:b/>
          <w:bCs/>
        </w:rPr>
        <w:lastRenderedPageBreak/>
        <w:t xml:space="preserve">Table </w:t>
      </w:r>
      <w:r w:rsidR="00D526C8" w:rsidRPr="00D526C8">
        <w:rPr>
          <w:b/>
          <w:bCs/>
        </w:rPr>
        <w:fldChar w:fldCharType="begin"/>
      </w:r>
      <w:r w:rsidRPr="00784D15">
        <w:rPr>
          <w:b/>
          <w:bCs/>
        </w:rPr>
        <w:instrText xml:space="preserve"> SEQ Table \* ARABIC </w:instrText>
      </w:r>
      <w:r w:rsidR="00D526C8" w:rsidRPr="00D526C8">
        <w:rPr>
          <w:b/>
          <w:bCs/>
        </w:rPr>
        <w:fldChar w:fldCharType="separate"/>
      </w:r>
      <w:r w:rsidR="00F67F4A">
        <w:rPr>
          <w:b/>
          <w:bCs/>
          <w:noProof/>
        </w:rPr>
        <w:t>1</w:t>
      </w:r>
      <w:r w:rsidR="00D526C8" w:rsidRPr="00784D15">
        <w:rPr>
          <w:b/>
        </w:rPr>
        <w:fldChar w:fldCharType="end"/>
      </w:r>
      <w:bookmarkEnd w:id="18"/>
      <w:r w:rsidRPr="00784D15">
        <w:rPr>
          <w:b/>
          <w:bCs/>
        </w:rPr>
        <w:t>: Technical and Financial Assumptions</w:t>
      </w:r>
      <w:r w:rsidR="0015271D">
        <w:rPr>
          <w:b/>
          <w:bCs/>
        </w:rPr>
        <w:t xml:space="preserve"> </w:t>
      </w:r>
    </w:p>
    <w:p w:rsidR="00A1275B" w:rsidRPr="00784D15" w:rsidRDefault="00A1275B" w:rsidP="00784D1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072"/>
        <w:gridCol w:w="912"/>
        <w:gridCol w:w="1065"/>
        <w:gridCol w:w="197"/>
        <w:gridCol w:w="868"/>
        <w:gridCol w:w="4462"/>
      </w:tblGrid>
      <w:tr w:rsidR="00784D15" w:rsidRPr="00784D15" w:rsidTr="00944BE6">
        <w:trPr>
          <w:trHeight w:val="298"/>
        </w:trPr>
        <w:tc>
          <w:tcPr>
            <w:tcW w:w="1082" w:type="pct"/>
            <w:shd w:val="clear" w:color="auto" w:fill="D9D9D9"/>
            <w:noWrap/>
            <w:vAlign w:val="bottom"/>
            <w:hideMark/>
          </w:tcPr>
          <w:p w:rsidR="00784D15" w:rsidRPr="00784D15" w:rsidRDefault="00784D15" w:rsidP="00784D15">
            <w:pPr>
              <w:rPr>
                <w:sz w:val="20"/>
                <w:szCs w:val="20"/>
              </w:rPr>
            </w:pPr>
            <w:r w:rsidRPr="00784D15">
              <w:rPr>
                <w:sz w:val="20"/>
                <w:szCs w:val="20"/>
              </w:rPr>
              <w:t>Item</w:t>
            </w:r>
          </w:p>
        </w:tc>
        <w:tc>
          <w:tcPr>
            <w:tcW w:w="476" w:type="pct"/>
            <w:shd w:val="clear" w:color="auto" w:fill="D9D9D9"/>
            <w:noWrap/>
            <w:vAlign w:val="bottom"/>
            <w:hideMark/>
          </w:tcPr>
          <w:p w:rsidR="00784D15" w:rsidRPr="00784D15" w:rsidRDefault="00784D15" w:rsidP="00784D15">
            <w:pPr>
              <w:rPr>
                <w:sz w:val="20"/>
                <w:szCs w:val="20"/>
              </w:rPr>
            </w:pPr>
            <w:r w:rsidRPr="00784D15">
              <w:rPr>
                <w:sz w:val="20"/>
                <w:szCs w:val="20"/>
              </w:rPr>
              <w:t>Unit</w:t>
            </w:r>
          </w:p>
        </w:tc>
        <w:tc>
          <w:tcPr>
            <w:tcW w:w="556" w:type="pct"/>
            <w:shd w:val="clear" w:color="auto" w:fill="D9D9D9"/>
            <w:noWrap/>
            <w:vAlign w:val="bottom"/>
            <w:hideMark/>
          </w:tcPr>
          <w:p w:rsidR="00784D15" w:rsidRPr="00784D15" w:rsidRDefault="00784D15" w:rsidP="00784D15">
            <w:pPr>
              <w:rPr>
                <w:bCs/>
                <w:sz w:val="20"/>
                <w:szCs w:val="20"/>
              </w:rPr>
            </w:pPr>
            <w:r w:rsidRPr="00784D15">
              <w:rPr>
                <w:bCs/>
                <w:sz w:val="20"/>
                <w:szCs w:val="20"/>
              </w:rPr>
              <w:t>Dual Fuel</w:t>
            </w:r>
          </w:p>
        </w:tc>
        <w:tc>
          <w:tcPr>
            <w:tcW w:w="556" w:type="pct"/>
            <w:gridSpan w:val="2"/>
            <w:shd w:val="clear" w:color="auto" w:fill="D9D9D9"/>
            <w:noWrap/>
            <w:vAlign w:val="bottom"/>
            <w:hideMark/>
          </w:tcPr>
          <w:p w:rsidR="00784D15" w:rsidRPr="00784D15" w:rsidRDefault="00784D15" w:rsidP="00784D15">
            <w:pPr>
              <w:rPr>
                <w:bCs/>
                <w:sz w:val="20"/>
                <w:szCs w:val="20"/>
              </w:rPr>
            </w:pPr>
            <w:r w:rsidRPr="00784D15">
              <w:rPr>
                <w:bCs/>
                <w:sz w:val="20"/>
                <w:szCs w:val="20"/>
              </w:rPr>
              <w:t>HFO</w:t>
            </w:r>
          </w:p>
        </w:tc>
        <w:tc>
          <w:tcPr>
            <w:tcW w:w="2330" w:type="pct"/>
            <w:shd w:val="clear" w:color="auto" w:fill="D9D9D9"/>
            <w:noWrap/>
            <w:vAlign w:val="bottom"/>
            <w:hideMark/>
          </w:tcPr>
          <w:p w:rsidR="00784D15" w:rsidRPr="00784D15" w:rsidRDefault="00784D15" w:rsidP="00784D15">
            <w:pPr>
              <w:rPr>
                <w:sz w:val="20"/>
                <w:szCs w:val="20"/>
              </w:rPr>
            </w:pPr>
            <w:r w:rsidRPr="00784D15">
              <w:rPr>
                <w:sz w:val="20"/>
                <w:szCs w:val="20"/>
              </w:rPr>
              <w:t>Source</w:t>
            </w:r>
          </w:p>
        </w:tc>
      </w:tr>
      <w:tr w:rsidR="00784D15" w:rsidRPr="00784D15" w:rsidTr="00E751C7">
        <w:trPr>
          <w:trHeight w:val="298"/>
        </w:trPr>
        <w:tc>
          <w:tcPr>
            <w:tcW w:w="5000" w:type="pct"/>
            <w:gridSpan w:val="6"/>
            <w:shd w:val="clear" w:color="auto" w:fill="FFFFFF"/>
            <w:noWrap/>
            <w:vAlign w:val="bottom"/>
            <w:hideMark/>
          </w:tcPr>
          <w:p w:rsidR="00784D15" w:rsidRPr="00784D15" w:rsidRDefault="00784D15" w:rsidP="00784D15">
            <w:pPr>
              <w:rPr>
                <w:sz w:val="20"/>
                <w:szCs w:val="20"/>
              </w:rPr>
            </w:pPr>
            <w:r w:rsidRPr="00784D15">
              <w:rPr>
                <w:sz w:val="20"/>
                <w:szCs w:val="20"/>
              </w:rPr>
              <w:t>Technical</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Capacity</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MW</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10</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10</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 xml:space="preserve">LEC management contractor </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Construction period</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Years</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1.3</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1.3</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 xml:space="preserve">World Bank assumption </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Start of construction</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Year</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2012</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2012</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 xml:space="preserve">World Bank assumption </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Life of the plant</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Years</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10</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10</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 xml:space="preserve">World Bank assumption </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bCs/>
                <w:sz w:val="20"/>
                <w:szCs w:val="20"/>
              </w:rPr>
            </w:pPr>
            <w:r w:rsidRPr="00784D15">
              <w:rPr>
                <w:bCs/>
                <w:sz w:val="20"/>
                <w:szCs w:val="20"/>
              </w:rPr>
              <w:t>Year when plant uses HFO</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Year</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2014</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2014</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World Bank assumption based on indicative timeline for HFO terminal</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Availability factor</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93%</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93%</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 xml:space="preserve">LEC management contractor </w:t>
            </w:r>
          </w:p>
        </w:tc>
      </w:tr>
      <w:tr w:rsidR="00784D15" w:rsidRPr="00784D15" w:rsidTr="00E751C7">
        <w:trPr>
          <w:trHeight w:val="298"/>
        </w:trPr>
        <w:tc>
          <w:tcPr>
            <w:tcW w:w="5000" w:type="pct"/>
            <w:gridSpan w:val="6"/>
            <w:shd w:val="clear" w:color="auto" w:fill="FFFFFF"/>
            <w:noWrap/>
            <w:vAlign w:val="bottom"/>
            <w:hideMark/>
          </w:tcPr>
          <w:p w:rsidR="00784D15" w:rsidRPr="00784D15" w:rsidRDefault="00E751C7" w:rsidP="00E751C7">
            <w:pPr>
              <w:ind w:left="-107" w:right="226"/>
              <w:rPr>
                <w:sz w:val="20"/>
                <w:szCs w:val="20"/>
              </w:rPr>
            </w:pPr>
            <w:r>
              <w:rPr>
                <w:sz w:val="20"/>
                <w:szCs w:val="20"/>
              </w:rPr>
              <w:t xml:space="preserve">  </w:t>
            </w:r>
            <w:r w:rsidR="00784D15" w:rsidRPr="00784D15">
              <w:rPr>
                <w:sz w:val="20"/>
                <w:szCs w:val="20"/>
              </w:rPr>
              <w:t>Financial (independently of financing)</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bCs/>
                <w:sz w:val="20"/>
                <w:szCs w:val="20"/>
              </w:rPr>
            </w:pPr>
            <w:r w:rsidRPr="00784D15">
              <w:rPr>
                <w:bCs/>
                <w:sz w:val="20"/>
                <w:szCs w:val="20"/>
              </w:rPr>
              <w:t>Total operating cost</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$/kWh</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0.24</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 xml:space="preserve">                0.21 </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 xml:space="preserve">LEC management contractor </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bCs/>
                <w:sz w:val="20"/>
                <w:szCs w:val="20"/>
              </w:rPr>
            </w:pPr>
            <w:r w:rsidRPr="00784D15">
              <w:rPr>
                <w:bCs/>
                <w:sz w:val="20"/>
                <w:szCs w:val="20"/>
              </w:rPr>
              <w:t>Tariff</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US$</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0.54</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 xml:space="preserve">                0.54 </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 xml:space="preserve">Current tariff </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Part of tariff covering generation</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81%</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81%</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Cost of T&amp;D around 10 cents (World Bank)</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Collection rate</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92%</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92%</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Current management contract performance</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Depreciation period</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Years</w:t>
            </w:r>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10</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 xml:space="preserve">                    10 </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Same as life of the plant (World Bank assumption)</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Termination value</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 xml:space="preserve">% of </w:t>
            </w:r>
            <w:proofErr w:type="spellStart"/>
            <w:r w:rsidRPr="00784D15">
              <w:rPr>
                <w:sz w:val="20"/>
                <w:szCs w:val="20"/>
              </w:rPr>
              <w:t>capex</w:t>
            </w:r>
            <w:proofErr w:type="spellEnd"/>
          </w:p>
        </w:tc>
        <w:tc>
          <w:tcPr>
            <w:tcW w:w="659" w:type="pct"/>
            <w:gridSpan w:val="2"/>
            <w:shd w:val="clear" w:color="auto" w:fill="FFFFFF"/>
            <w:noWrap/>
            <w:vAlign w:val="bottom"/>
            <w:hideMark/>
          </w:tcPr>
          <w:p w:rsidR="00784D15" w:rsidRPr="00784D15" w:rsidRDefault="00784D15" w:rsidP="00E751C7">
            <w:pPr>
              <w:ind w:right="226"/>
              <w:jc w:val="right"/>
              <w:rPr>
                <w:sz w:val="20"/>
                <w:szCs w:val="20"/>
              </w:rPr>
            </w:pPr>
            <w:r w:rsidRPr="00784D15">
              <w:rPr>
                <w:sz w:val="20"/>
                <w:szCs w:val="20"/>
              </w:rPr>
              <w:t>0%</w:t>
            </w:r>
          </w:p>
        </w:tc>
        <w:tc>
          <w:tcPr>
            <w:tcW w:w="453" w:type="pct"/>
            <w:shd w:val="clear" w:color="auto" w:fill="FFFFFF"/>
            <w:noWrap/>
            <w:vAlign w:val="bottom"/>
            <w:hideMark/>
          </w:tcPr>
          <w:p w:rsidR="00784D15" w:rsidRPr="00784D15" w:rsidRDefault="00784D15" w:rsidP="00E751C7">
            <w:pPr>
              <w:ind w:left="-107"/>
              <w:jc w:val="right"/>
              <w:rPr>
                <w:sz w:val="20"/>
                <w:szCs w:val="20"/>
              </w:rPr>
            </w:pPr>
            <w:r w:rsidRPr="00784D15">
              <w:rPr>
                <w:sz w:val="20"/>
                <w:szCs w:val="20"/>
              </w:rPr>
              <w:t>0%</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World Bank assumption</w:t>
            </w:r>
          </w:p>
        </w:tc>
      </w:tr>
      <w:tr w:rsidR="00784D15" w:rsidRPr="00784D15" w:rsidTr="00944BE6">
        <w:trPr>
          <w:trHeight w:val="298"/>
        </w:trPr>
        <w:tc>
          <w:tcPr>
            <w:tcW w:w="1082" w:type="pct"/>
            <w:shd w:val="clear" w:color="auto" w:fill="FFFFFF"/>
            <w:noWrap/>
            <w:hideMark/>
          </w:tcPr>
          <w:p w:rsidR="00784D15" w:rsidRPr="00784D15" w:rsidRDefault="00784D15" w:rsidP="00784D15">
            <w:pPr>
              <w:rPr>
                <w:sz w:val="20"/>
                <w:szCs w:val="20"/>
              </w:rPr>
            </w:pPr>
            <w:r w:rsidRPr="00784D15">
              <w:rPr>
                <w:sz w:val="20"/>
                <w:szCs w:val="20"/>
              </w:rPr>
              <w:t>Tax rate</w:t>
            </w:r>
          </w:p>
        </w:tc>
        <w:tc>
          <w:tcPr>
            <w:tcW w:w="476" w:type="pct"/>
            <w:shd w:val="clear" w:color="auto" w:fill="FFFFFF"/>
            <w:noWrap/>
            <w:hideMark/>
          </w:tcPr>
          <w:p w:rsidR="00784D15" w:rsidRPr="00784D15" w:rsidRDefault="00784D15" w:rsidP="00E751C7">
            <w:pPr>
              <w:jc w:val="center"/>
              <w:rPr>
                <w:sz w:val="20"/>
                <w:szCs w:val="20"/>
              </w:rPr>
            </w:pPr>
            <w:r w:rsidRPr="00784D15">
              <w:rPr>
                <w:sz w:val="20"/>
                <w:szCs w:val="20"/>
              </w:rPr>
              <w:t>%</w:t>
            </w:r>
          </w:p>
        </w:tc>
        <w:tc>
          <w:tcPr>
            <w:tcW w:w="659" w:type="pct"/>
            <w:gridSpan w:val="2"/>
            <w:shd w:val="clear" w:color="auto" w:fill="FFFFFF"/>
            <w:noWrap/>
            <w:hideMark/>
          </w:tcPr>
          <w:p w:rsidR="00784D15" w:rsidRPr="00784D15" w:rsidRDefault="00784D15" w:rsidP="00E751C7">
            <w:pPr>
              <w:ind w:right="226"/>
              <w:jc w:val="right"/>
              <w:rPr>
                <w:sz w:val="20"/>
                <w:szCs w:val="20"/>
              </w:rPr>
            </w:pPr>
            <w:r w:rsidRPr="00784D15">
              <w:rPr>
                <w:sz w:val="20"/>
                <w:szCs w:val="20"/>
              </w:rPr>
              <w:t>35%</w:t>
            </w:r>
          </w:p>
        </w:tc>
        <w:tc>
          <w:tcPr>
            <w:tcW w:w="453" w:type="pct"/>
            <w:shd w:val="clear" w:color="auto" w:fill="FFFFFF"/>
            <w:noWrap/>
            <w:hideMark/>
          </w:tcPr>
          <w:p w:rsidR="00784D15" w:rsidRPr="00784D15" w:rsidRDefault="00784D15" w:rsidP="00E751C7">
            <w:pPr>
              <w:ind w:left="-107"/>
              <w:jc w:val="right"/>
              <w:rPr>
                <w:sz w:val="20"/>
                <w:szCs w:val="20"/>
              </w:rPr>
            </w:pPr>
            <w:r w:rsidRPr="00784D15">
              <w:rPr>
                <w:sz w:val="20"/>
                <w:szCs w:val="20"/>
              </w:rPr>
              <w:t>35%</w:t>
            </w:r>
          </w:p>
        </w:tc>
        <w:tc>
          <w:tcPr>
            <w:tcW w:w="2330" w:type="pct"/>
            <w:shd w:val="clear" w:color="auto" w:fill="FFFFFF"/>
            <w:noWrap/>
            <w:hideMark/>
          </w:tcPr>
          <w:p w:rsidR="00784D15" w:rsidRPr="00784D15" w:rsidRDefault="00784D15" w:rsidP="00784D15">
            <w:pPr>
              <w:rPr>
                <w:sz w:val="20"/>
                <w:szCs w:val="20"/>
              </w:rPr>
            </w:pPr>
            <w:r w:rsidRPr="00784D15">
              <w:rPr>
                <w:sz w:val="20"/>
                <w:szCs w:val="20"/>
              </w:rPr>
              <w:t>http://www.doingbusiness.org/data/exploreeconomies/liberia/paying-taxes/</w:t>
            </w:r>
          </w:p>
        </w:tc>
      </w:tr>
      <w:tr w:rsidR="00784D15" w:rsidRPr="00784D15" w:rsidTr="00E751C7">
        <w:trPr>
          <w:trHeight w:val="298"/>
        </w:trPr>
        <w:tc>
          <w:tcPr>
            <w:tcW w:w="5000" w:type="pct"/>
            <w:gridSpan w:val="6"/>
            <w:shd w:val="clear" w:color="auto" w:fill="FFFFFF"/>
            <w:noWrap/>
            <w:hideMark/>
          </w:tcPr>
          <w:p w:rsidR="00784D15" w:rsidRPr="00784D15" w:rsidRDefault="00784D15" w:rsidP="00784D15">
            <w:pPr>
              <w:rPr>
                <w:sz w:val="20"/>
                <w:szCs w:val="20"/>
              </w:rPr>
            </w:pPr>
            <w:r w:rsidRPr="00784D15">
              <w:rPr>
                <w:sz w:val="20"/>
                <w:szCs w:val="20"/>
              </w:rPr>
              <w:t>Working capital is assumed to be nil because some customers have prepaid meters and the utility plans to install more and for simplicity</w:t>
            </w:r>
          </w:p>
        </w:tc>
      </w:tr>
      <w:tr w:rsidR="00784D15" w:rsidRPr="00784D15" w:rsidTr="00E751C7">
        <w:trPr>
          <w:trHeight w:val="298"/>
        </w:trPr>
        <w:tc>
          <w:tcPr>
            <w:tcW w:w="5000" w:type="pct"/>
            <w:gridSpan w:val="6"/>
            <w:shd w:val="clear" w:color="auto" w:fill="FFFFFF"/>
            <w:noWrap/>
            <w:hideMark/>
          </w:tcPr>
          <w:p w:rsidR="00784D15" w:rsidRPr="00784D15" w:rsidRDefault="00784D15" w:rsidP="00784D15">
            <w:pPr>
              <w:rPr>
                <w:sz w:val="20"/>
                <w:szCs w:val="20"/>
              </w:rPr>
            </w:pPr>
            <w:r w:rsidRPr="00784D15">
              <w:rPr>
                <w:sz w:val="20"/>
                <w:szCs w:val="20"/>
              </w:rPr>
              <w:t>Financial (with 100% IDA debt financing)</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Equity</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w:t>
            </w:r>
          </w:p>
        </w:tc>
        <w:tc>
          <w:tcPr>
            <w:tcW w:w="556" w:type="pct"/>
            <w:shd w:val="clear" w:color="auto" w:fill="FFFFFF"/>
            <w:noWrap/>
            <w:vAlign w:val="bottom"/>
            <w:hideMark/>
          </w:tcPr>
          <w:p w:rsidR="00784D15" w:rsidRPr="00784D15" w:rsidRDefault="00784D15" w:rsidP="00E751C7">
            <w:pPr>
              <w:jc w:val="right"/>
              <w:rPr>
                <w:sz w:val="20"/>
                <w:szCs w:val="20"/>
              </w:rPr>
            </w:pPr>
            <w:r w:rsidRPr="00784D15">
              <w:rPr>
                <w:sz w:val="20"/>
                <w:szCs w:val="20"/>
              </w:rPr>
              <w:t>0%</w:t>
            </w:r>
          </w:p>
        </w:tc>
        <w:tc>
          <w:tcPr>
            <w:tcW w:w="556" w:type="pct"/>
            <w:gridSpan w:val="2"/>
            <w:shd w:val="clear" w:color="auto" w:fill="FFFFFF"/>
            <w:noWrap/>
            <w:vAlign w:val="bottom"/>
            <w:hideMark/>
          </w:tcPr>
          <w:p w:rsidR="00784D15" w:rsidRPr="00784D15" w:rsidRDefault="00784D15" w:rsidP="00E751C7">
            <w:pPr>
              <w:tabs>
                <w:tab w:val="decimal" w:pos="540"/>
              </w:tabs>
              <w:ind w:right="29"/>
              <w:jc w:val="right"/>
              <w:rPr>
                <w:sz w:val="20"/>
                <w:szCs w:val="20"/>
              </w:rPr>
            </w:pPr>
            <w:r w:rsidRPr="00784D15">
              <w:rPr>
                <w:sz w:val="20"/>
                <w:szCs w:val="20"/>
              </w:rPr>
              <w:t>0%</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 xml:space="preserve">World Bank assumption </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Debt</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w:t>
            </w:r>
          </w:p>
        </w:tc>
        <w:tc>
          <w:tcPr>
            <w:tcW w:w="556" w:type="pct"/>
            <w:shd w:val="clear" w:color="auto" w:fill="FFFFFF"/>
            <w:noWrap/>
            <w:vAlign w:val="bottom"/>
            <w:hideMark/>
          </w:tcPr>
          <w:p w:rsidR="00784D15" w:rsidRPr="00784D15" w:rsidRDefault="00784D15" w:rsidP="00E751C7">
            <w:pPr>
              <w:jc w:val="right"/>
              <w:rPr>
                <w:sz w:val="20"/>
                <w:szCs w:val="20"/>
              </w:rPr>
            </w:pPr>
            <w:r w:rsidRPr="00784D15">
              <w:rPr>
                <w:sz w:val="20"/>
                <w:szCs w:val="20"/>
              </w:rPr>
              <w:t>100%</w:t>
            </w:r>
          </w:p>
        </w:tc>
        <w:tc>
          <w:tcPr>
            <w:tcW w:w="556" w:type="pct"/>
            <w:gridSpan w:val="2"/>
            <w:shd w:val="clear" w:color="auto" w:fill="FFFFFF"/>
            <w:noWrap/>
            <w:vAlign w:val="bottom"/>
            <w:hideMark/>
          </w:tcPr>
          <w:p w:rsidR="00784D15" w:rsidRPr="00784D15" w:rsidRDefault="00784D15" w:rsidP="00E751C7">
            <w:pPr>
              <w:tabs>
                <w:tab w:val="decimal" w:pos="540"/>
              </w:tabs>
              <w:ind w:right="29"/>
              <w:jc w:val="right"/>
              <w:rPr>
                <w:sz w:val="20"/>
                <w:szCs w:val="20"/>
              </w:rPr>
            </w:pPr>
            <w:r w:rsidRPr="00784D15">
              <w:rPr>
                <w:sz w:val="20"/>
                <w:szCs w:val="20"/>
              </w:rPr>
              <w:t>100%</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 xml:space="preserve">World Bank assumption </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Equity - Estimated return</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w:t>
            </w:r>
          </w:p>
        </w:tc>
        <w:tc>
          <w:tcPr>
            <w:tcW w:w="556" w:type="pct"/>
            <w:shd w:val="clear" w:color="auto" w:fill="FFFFFF"/>
            <w:noWrap/>
            <w:vAlign w:val="bottom"/>
            <w:hideMark/>
          </w:tcPr>
          <w:p w:rsidR="00784D15" w:rsidRPr="00784D15" w:rsidRDefault="00784D15" w:rsidP="00E751C7">
            <w:pPr>
              <w:jc w:val="right"/>
              <w:rPr>
                <w:sz w:val="20"/>
                <w:szCs w:val="20"/>
              </w:rPr>
            </w:pPr>
            <w:r w:rsidRPr="00784D15">
              <w:rPr>
                <w:sz w:val="20"/>
                <w:szCs w:val="20"/>
              </w:rPr>
              <w:t>10%</w:t>
            </w:r>
          </w:p>
        </w:tc>
        <w:tc>
          <w:tcPr>
            <w:tcW w:w="556" w:type="pct"/>
            <w:gridSpan w:val="2"/>
            <w:shd w:val="clear" w:color="auto" w:fill="FFFFFF"/>
            <w:noWrap/>
            <w:vAlign w:val="bottom"/>
            <w:hideMark/>
          </w:tcPr>
          <w:p w:rsidR="00784D15" w:rsidRPr="00784D15" w:rsidRDefault="00784D15" w:rsidP="00E751C7">
            <w:pPr>
              <w:tabs>
                <w:tab w:val="decimal" w:pos="540"/>
              </w:tabs>
              <w:ind w:right="29"/>
              <w:jc w:val="right"/>
              <w:rPr>
                <w:sz w:val="20"/>
                <w:szCs w:val="20"/>
              </w:rPr>
            </w:pPr>
            <w:r w:rsidRPr="00784D15">
              <w:rPr>
                <w:sz w:val="20"/>
                <w:szCs w:val="20"/>
              </w:rPr>
              <w:t>10%</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World Bank assumption for a public utility</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Debt - Interest rate</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w:t>
            </w:r>
          </w:p>
        </w:tc>
        <w:tc>
          <w:tcPr>
            <w:tcW w:w="556" w:type="pct"/>
            <w:shd w:val="clear" w:color="auto" w:fill="FFFFFF"/>
            <w:noWrap/>
            <w:vAlign w:val="bottom"/>
            <w:hideMark/>
          </w:tcPr>
          <w:p w:rsidR="00784D15" w:rsidRPr="00784D15" w:rsidRDefault="00784D15" w:rsidP="00E751C7">
            <w:pPr>
              <w:jc w:val="right"/>
              <w:rPr>
                <w:sz w:val="20"/>
                <w:szCs w:val="20"/>
              </w:rPr>
            </w:pPr>
            <w:r w:rsidRPr="00784D15">
              <w:rPr>
                <w:sz w:val="20"/>
                <w:szCs w:val="20"/>
              </w:rPr>
              <w:t>0.75%</w:t>
            </w:r>
          </w:p>
        </w:tc>
        <w:tc>
          <w:tcPr>
            <w:tcW w:w="556" w:type="pct"/>
            <w:gridSpan w:val="2"/>
            <w:shd w:val="clear" w:color="auto" w:fill="FFFFFF"/>
            <w:noWrap/>
            <w:vAlign w:val="bottom"/>
            <w:hideMark/>
          </w:tcPr>
          <w:p w:rsidR="00784D15" w:rsidRPr="00784D15" w:rsidRDefault="00784D15" w:rsidP="00E751C7">
            <w:pPr>
              <w:tabs>
                <w:tab w:val="decimal" w:pos="540"/>
              </w:tabs>
              <w:ind w:right="29"/>
              <w:jc w:val="right"/>
              <w:rPr>
                <w:sz w:val="20"/>
                <w:szCs w:val="20"/>
              </w:rPr>
            </w:pPr>
            <w:r w:rsidRPr="00784D15">
              <w:rPr>
                <w:sz w:val="20"/>
                <w:szCs w:val="20"/>
              </w:rPr>
              <w:t>0.75%</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IDA terms. July 2011</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 xml:space="preserve">WACC </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w:t>
            </w:r>
          </w:p>
        </w:tc>
        <w:tc>
          <w:tcPr>
            <w:tcW w:w="556" w:type="pct"/>
            <w:shd w:val="clear" w:color="auto" w:fill="FFFFFF"/>
            <w:noWrap/>
            <w:vAlign w:val="bottom"/>
            <w:hideMark/>
          </w:tcPr>
          <w:p w:rsidR="00784D15" w:rsidRPr="00784D15" w:rsidRDefault="00784D15" w:rsidP="00E751C7">
            <w:pPr>
              <w:jc w:val="right"/>
              <w:rPr>
                <w:sz w:val="20"/>
                <w:szCs w:val="20"/>
              </w:rPr>
            </w:pPr>
            <w:r w:rsidRPr="00784D15">
              <w:rPr>
                <w:sz w:val="20"/>
                <w:szCs w:val="20"/>
              </w:rPr>
              <w:t>0.49%</w:t>
            </w:r>
          </w:p>
        </w:tc>
        <w:tc>
          <w:tcPr>
            <w:tcW w:w="556" w:type="pct"/>
            <w:gridSpan w:val="2"/>
            <w:shd w:val="clear" w:color="auto" w:fill="FFFFFF"/>
            <w:noWrap/>
            <w:vAlign w:val="bottom"/>
            <w:hideMark/>
          </w:tcPr>
          <w:p w:rsidR="00784D15" w:rsidRPr="00784D15" w:rsidRDefault="00784D15" w:rsidP="00E751C7">
            <w:pPr>
              <w:tabs>
                <w:tab w:val="decimal" w:pos="540"/>
              </w:tabs>
              <w:ind w:right="29"/>
              <w:jc w:val="right"/>
              <w:rPr>
                <w:sz w:val="20"/>
                <w:szCs w:val="20"/>
              </w:rPr>
            </w:pPr>
            <w:r w:rsidRPr="00784D15">
              <w:rPr>
                <w:sz w:val="20"/>
                <w:szCs w:val="20"/>
              </w:rPr>
              <w:t>0.49%</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Calculation of the WACC</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Debt - Tenor</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Years</w:t>
            </w:r>
          </w:p>
        </w:tc>
        <w:tc>
          <w:tcPr>
            <w:tcW w:w="556" w:type="pct"/>
            <w:shd w:val="clear" w:color="auto" w:fill="FFFFFF"/>
            <w:noWrap/>
            <w:vAlign w:val="bottom"/>
            <w:hideMark/>
          </w:tcPr>
          <w:p w:rsidR="00784D15" w:rsidRPr="00784D15" w:rsidRDefault="00784D15" w:rsidP="00E751C7">
            <w:pPr>
              <w:jc w:val="right"/>
              <w:rPr>
                <w:sz w:val="20"/>
                <w:szCs w:val="20"/>
              </w:rPr>
            </w:pPr>
            <w:r w:rsidRPr="00784D15">
              <w:rPr>
                <w:sz w:val="20"/>
                <w:szCs w:val="20"/>
              </w:rPr>
              <w:t xml:space="preserve">9 </w:t>
            </w:r>
          </w:p>
        </w:tc>
        <w:tc>
          <w:tcPr>
            <w:tcW w:w="556" w:type="pct"/>
            <w:gridSpan w:val="2"/>
            <w:shd w:val="clear" w:color="auto" w:fill="FFFFFF"/>
            <w:noWrap/>
            <w:vAlign w:val="bottom"/>
            <w:hideMark/>
          </w:tcPr>
          <w:p w:rsidR="00784D15" w:rsidRPr="00784D15" w:rsidRDefault="00784D15" w:rsidP="00E751C7">
            <w:pPr>
              <w:tabs>
                <w:tab w:val="decimal" w:pos="540"/>
              </w:tabs>
              <w:ind w:right="29"/>
              <w:jc w:val="right"/>
              <w:rPr>
                <w:sz w:val="20"/>
                <w:szCs w:val="20"/>
              </w:rPr>
            </w:pPr>
            <w:r w:rsidRPr="00784D15">
              <w:rPr>
                <w:sz w:val="20"/>
                <w:szCs w:val="20"/>
              </w:rPr>
              <w:t xml:space="preserve">                      9 </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Life of the plant minus grace period (World Bank assumption)</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Debt - Drawdown</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Year</w:t>
            </w:r>
          </w:p>
        </w:tc>
        <w:tc>
          <w:tcPr>
            <w:tcW w:w="556" w:type="pct"/>
            <w:shd w:val="clear" w:color="auto" w:fill="FFFFFF"/>
            <w:noWrap/>
            <w:vAlign w:val="bottom"/>
            <w:hideMark/>
          </w:tcPr>
          <w:p w:rsidR="00784D15" w:rsidRPr="00784D15" w:rsidRDefault="00784D15" w:rsidP="00E751C7">
            <w:pPr>
              <w:jc w:val="right"/>
              <w:rPr>
                <w:sz w:val="20"/>
                <w:szCs w:val="20"/>
              </w:rPr>
            </w:pPr>
            <w:r w:rsidRPr="00784D15">
              <w:rPr>
                <w:sz w:val="20"/>
                <w:szCs w:val="20"/>
              </w:rPr>
              <w:t>2012</w:t>
            </w:r>
          </w:p>
        </w:tc>
        <w:tc>
          <w:tcPr>
            <w:tcW w:w="556" w:type="pct"/>
            <w:gridSpan w:val="2"/>
            <w:shd w:val="clear" w:color="auto" w:fill="FFFFFF"/>
            <w:noWrap/>
            <w:vAlign w:val="bottom"/>
            <w:hideMark/>
          </w:tcPr>
          <w:p w:rsidR="00784D15" w:rsidRPr="00784D15" w:rsidRDefault="00784D15" w:rsidP="00E751C7">
            <w:pPr>
              <w:tabs>
                <w:tab w:val="decimal" w:pos="540"/>
              </w:tabs>
              <w:ind w:right="29"/>
              <w:jc w:val="right"/>
              <w:rPr>
                <w:sz w:val="20"/>
                <w:szCs w:val="20"/>
              </w:rPr>
            </w:pPr>
            <w:r w:rsidRPr="00784D15">
              <w:rPr>
                <w:sz w:val="20"/>
                <w:szCs w:val="20"/>
              </w:rPr>
              <w:t>2012</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Full drawdown at start of construction (World Bank assumption)</w:t>
            </w:r>
          </w:p>
        </w:tc>
      </w:tr>
      <w:tr w:rsidR="00784D15" w:rsidRPr="00784D15" w:rsidTr="00944BE6">
        <w:trPr>
          <w:trHeight w:val="298"/>
        </w:trPr>
        <w:tc>
          <w:tcPr>
            <w:tcW w:w="1082" w:type="pct"/>
            <w:shd w:val="clear" w:color="auto" w:fill="FFFFFF"/>
            <w:noWrap/>
            <w:vAlign w:val="bottom"/>
            <w:hideMark/>
          </w:tcPr>
          <w:p w:rsidR="00784D15" w:rsidRPr="00784D15" w:rsidRDefault="00784D15" w:rsidP="00784D15">
            <w:pPr>
              <w:rPr>
                <w:sz w:val="20"/>
                <w:szCs w:val="20"/>
              </w:rPr>
            </w:pPr>
            <w:r w:rsidRPr="00784D15">
              <w:rPr>
                <w:sz w:val="20"/>
                <w:szCs w:val="20"/>
              </w:rPr>
              <w:t>Grace period</w:t>
            </w:r>
          </w:p>
        </w:tc>
        <w:tc>
          <w:tcPr>
            <w:tcW w:w="476" w:type="pct"/>
            <w:shd w:val="clear" w:color="auto" w:fill="FFFFFF"/>
            <w:noWrap/>
            <w:vAlign w:val="bottom"/>
            <w:hideMark/>
          </w:tcPr>
          <w:p w:rsidR="00784D15" w:rsidRPr="00784D15" w:rsidRDefault="00784D15" w:rsidP="00E751C7">
            <w:pPr>
              <w:jc w:val="center"/>
              <w:rPr>
                <w:sz w:val="20"/>
                <w:szCs w:val="20"/>
              </w:rPr>
            </w:pPr>
            <w:r w:rsidRPr="00784D15">
              <w:rPr>
                <w:sz w:val="20"/>
                <w:szCs w:val="20"/>
              </w:rPr>
              <w:t>Years</w:t>
            </w:r>
          </w:p>
        </w:tc>
        <w:tc>
          <w:tcPr>
            <w:tcW w:w="556" w:type="pct"/>
            <w:shd w:val="clear" w:color="auto" w:fill="FFFFFF"/>
            <w:noWrap/>
            <w:vAlign w:val="bottom"/>
            <w:hideMark/>
          </w:tcPr>
          <w:p w:rsidR="00784D15" w:rsidRPr="00784D15" w:rsidRDefault="00784D15" w:rsidP="00E751C7">
            <w:pPr>
              <w:jc w:val="right"/>
              <w:rPr>
                <w:sz w:val="20"/>
                <w:szCs w:val="20"/>
              </w:rPr>
            </w:pPr>
            <w:r w:rsidRPr="00784D15">
              <w:rPr>
                <w:sz w:val="20"/>
                <w:szCs w:val="20"/>
              </w:rPr>
              <w:t xml:space="preserve">  2 </w:t>
            </w:r>
          </w:p>
        </w:tc>
        <w:tc>
          <w:tcPr>
            <w:tcW w:w="556" w:type="pct"/>
            <w:gridSpan w:val="2"/>
            <w:shd w:val="clear" w:color="auto" w:fill="FFFFFF"/>
            <w:noWrap/>
            <w:vAlign w:val="bottom"/>
            <w:hideMark/>
          </w:tcPr>
          <w:p w:rsidR="00784D15" w:rsidRPr="00784D15" w:rsidRDefault="00784D15" w:rsidP="00E751C7">
            <w:pPr>
              <w:tabs>
                <w:tab w:val="decimal" w:pos="540"/>
              </w:tabs>
              <w:ind w:right="29"/>
              <w:jc w:val="right"/>
              <w:rPr>
                <w:sz w:val="20"/>
                <w:szCs w:val="20"/>
              </w:rPr>
            </w:pPr>
            <w:r w:rsidRPr="00784D15">
              <w:rPr>
                <w:sz w:val="20"/>
                <w:szCs w:val="20"/>
              </w:rPr>
              <w:t xml:space="preserve"> 2 </w:t>
            </w:r>
          </w:p>
        </w:tc>
        <w:tc>
          <w:tcPr>
            <w:tcW w:w="2330" w:type="pct"/>
            <w:shd w:val="clear" w:color="auto" w:fill="FFFFFF"/>
            <w:noWrap/>
            <w:vAlign w:val="bottom"/>
            <w:hideMark/>
          </w:tcPr>
          <w:p w:rsidR="00784D15" w:rsidRPr="00784D15" w:rsidRDefault="00784D15" w:rsidP="00784D15">
            <w:pPr>
              <w:rPr>
                <w:sz w:val="20"/>
                <w:szCs w:val="20"/>
              </w:rPr>
            </w:pPr>
            <w:r w:rsidRPr="00784D15">
              <w:rPr>
                <w:sz w:val="20"/>
                <w:szCs w:val="20"/>
              </w:rPr>
              <w:t>Repayment starts at end of construction (World Bank assumption)</w:t>
            </w:r>
          </w:p>
        </w:tc>
      </w:tr>
    </w:tbl>
    <w:p w:rsidR="00226F3E" w:rsidRDefault="00226F3E" w:rsidP="00226F3E">
      <w:pPr>
        <w:rPr>
          <w:b/>
        </w:rPr>
      </w:pPr>
    </w:p>
    <w:p w:rsidR="00226F3E" w:rsidRDefault="00226F3E" w:rsidP="00226F3E">
      <w:pPr>
        <w:rPr>
          <w:b/>
        </w:rPr>
      </w:pPr>
    </w:p>
    <w:p w:rsidR="00226F3E" w:rsidRDefault="00226F3E" w:rsidP="00226F3E">
      <w:pPr>
        <w:rPr>
          <w:b/>
        </w:rPr>
      </w:pPr>
    </w:p>
    <w:p w:rsidR="00623450" w:rsidRDefault="00993247" w:rsidP="003D2522">
      <w:pPr>
        <w:pStyle w:val="Heading1"/>
        <w:jc w:val="center"/>
      </w:pPr>
      <w:bookmarkStart w:id="19" w:name="_Toc308712773"/>
      <w:r>
        <w:br w:type="page"/>
      </w:r>
      <w:proofErr w:type="gramStart"/>
      <w:r w:rsidR="00567EFC">
        <w:lastRenderedPageBreak/>
        <w:t>Annex 5</w:t>
      </w:r>
      <w:r w:rsidR="00466A4E">
        <w:t>B</w:t>
      </w:r>
      <w:r w:rsidR="00567EFC">
        <w:t>.</w:t>
      </w:r>
      <w:proofErr w:type="gramEnd"/>
      <w:r w:rsidR="00567EFC">
        <w:t xml:space="preserve"> </w:t>
      </w:r>
      <w:r w:rsidR="00466A4E">
        <w:t xml:space="preserve"> </w:t>
      </w:r>
      <w:r w:rsidR="00623450">
        <w:t>Financial Managemen</w:t>
      </w:r>
      <w:r w:rsidR="007A2A83">
        <w:t>t and Disbursement Arrangements</w:t>
      </w:r>
      <w:bookmarkEnd w:id="19"/>
    </w:p>
    <w:p w:rsidR="00623450" w:rsidRPr="00623450" w:rsidRDefault="00623450" w:rsidP="00623450"/>
    <w:p w:rsidR="00623450" w:rsidRDefault="00623450" w:rsidP="00623450"/>
    <w:p w:rsidR="005B2CBC" w:rsidRDefault="005038A8" w:rsidP="005B2CBC">
      <w:pPr>
        <w:autoSpaceDE w:val="0"/>
        <w:autoSpaceDN w:val="0"/>
        <w:adjustRightInd w:val="0"/>
        <w:rPr>
          <w:b/>
        </w:rPr>
      </w:pPr>
      <w:r>
        <w:rPr>
          <w:b/>
        </w:rPr>
        <w:t xml:space="preserve"> </w:t>
      </w:r>
    </w:p>
    <w:p w:rsidR="005038A8" w:rsidRPr="008C5AEB" w:rsidRDefault="005038A8" w:rsidP="005B2CBC">
      <w:pPr>
        <w:autoSpaceDE w:val="0"/>
        <w:autoSpaceDN w:val="0"/>
        <w:adjustRightInd w:val="0"/>
        <w:rPr>
          <w:b/>
        </w:rPr>
      </w:pPr>
    </w:p>
    <w:p w:rsidR="007A2A83" w:rsidRPr="007A2A83" w:rsidRDefault="005B2CBC" w:rsidP="00D940CF">
      <w:pPr>
        <w:pStyle w:val="Header"/>
        <w:numPr>
          <w:ilvl w:val="0"/>
          <w:numId w:val="19"/>
        </w:numPr>
        <w:tabs>
          <w:tab w:val="clear" w:pos="4320"/>
          <w:tab w:val="center" w:pos="540"/>
        </w:tabs>
        <w:ind w:left="0" w:firstLine="0"/>
        <w:rPr>
          <w:lang w:val="en-GB"/>
        </w:rPr>
      </w:pPr>
      <w:r w:rsidRPr="008C5AEB">
        <w:rPr>
          <w:bCs/>
          <w:i/>
          <w:u w:val="single"/>
        </w:rPr>
        <w:t>Introduction</w:t>
      </w:r>
      <w:r w:rsidRPr="008C5AEB">
        <w:rPr>
          <w:bCs/>
          <w:i/>
        </w:rPr>
        <w:t xml:space="preserve">: </w:t>
      </w:r>
      <w:r w:rsidRPr="008C5AEB">
        <w:rPr>
          <w:i/>
          <w:u w:val="single"/>
        </w:rPr>
        <w:t xml:space="preserve"> </w:t>
      </w:r>
      <w:r w:rsidRPr="008C5AEB">
        <w:t xml:space="preserve">In accordance with the Financial Management Practices Manual issued by the Financial Management Sector Board on March, 2010, a financial management assessment was carried out to assesses the adequacy or otherwise of the financial management arrangements for managing the Liberia Electricity System Enhancement- Additional Financing project by the Liberian Electricity Corporation (LEC). </w:t>
      </w:r>
    </w:p>
    <w:p w:rsidR="007A2A83" w:rsidRDefault="007A2A83" w:rsidP="007A2A83">
      <w:pPr>
        <w:pStyle w:val="Header"/>
        <w:tabs>
          <w:tab w:val="clear" w:pos="4320"/>
          <w:tab w:val="center" w:pos="540"/>
        </w:tabs>
        <w:rPr>
          <w:lang w:val="en-GB"/>
        </w:rPr>
      </w:pPr>
    </w:p>
    <w:p w:rsidR="007A2A83" w:rsidRDefault="005B2CBC" w:rsidP="00D940CF">
      <w:pPr>
        <w:pStyle w:val="Header"/>
        <w:numPr>
          <w:ilvl w:val="0"/>
          <w:numId w:val="19"/>
        </w:numPr>
        <w:tabs>
          <w:tab w:val="clear" w:pos="4320"/>
          <w:tab w:val="center" w:pos="540"/>
        </w:tabs>
        <w:ind w:left="0" w:firstLine="0"/>
        <w:rPr>
          <w:lang w:val="en-GB"/>
        </w:rPr>
      </w:pPr>
      <w:r w:rsidRPr="007A2A83">
        <w:rPr>
          <w:lang w:val="en-GB"/>
        </w:rPr>
        <w:t xml:space="preserve">The objective of the assessment was to determine whether LEC has acceptable financial management arrangements, which will ensure: (1) the funds are used only for the intended purposes in an efficient and economical way; (2) the preparation of accurate, reliable and timely periodic financial reports; (3) safeguard the entity’s assets; and (4) adequate fiduciary assurances are provided through an independent audit of the project. The LEC Finance Department will undertake the financial management functions of the project. The overall FM risk for the project has been assessed as Medium-I. But, with the articulated risk mitigation measures through the use of the international management contractor, Manitoba Hydro International (MHI) during implementation, this FM risk will residually fall to </w:t>
      </w:r>
      <w:r w:rsidRPr="007A2A83">
        <w:rPr>
          <w:i/>
          <w:lang w:val="en-GB"/>
        </w:rPr>
        <w:t>Moderate</w:t>
      </w:r>
      <w:r w:rsidRPr="007A2A83">
        <w:rPr>
          <w:lang w:val="en-GB"/>
        </w:rPr>
        <w:t xml:space="preserve">.  </w:t>
      </w:r>
    </w:p>
    <w:p w:rsidR="007A2A83" w:rsidRDefault="007A2A83" w:rsidP="007A2A83">
      <w:pPr>
        <w:pStyle w:val="ListParagraph"/>
        <w:rPr>
          <w:i/>
          <w:u w:val="single"/>
          <w:lang w:val="en-GB"/>
        </w:rPr>
      </w:pPr>
    </w:p>
    <w:p w:rsidR="007A2A83" w:rsidRDefault="005B2CBC" w:rsidP="00D940CF">
      <w:pPr>
        <w:pStyle w:val="Header"/>
        <w:numPr>
          <w:ilvl w:val="0"/>
          <w:numId w:val="19"/>
        </w:numPr>
        <w:tabs>
          <w:tab w:val="clear" w:pos="4320"/>
          <w:tab w:val="center" w:pos="540"/>
        </w:tabs>
        <w:ind w:left="0" w:firstLine="0"/>
        <w:rPr>
          <w:lang w:val="en-GB"/>
        </w:rPr>
      </w:pPr>
      <w:r w:rsidRPr="007A2A83">
        <w:rPr>
          <w:i/>
          <w:u w:val="single"/>
          <w:lang w:val="en-GB"/>
        </w:rPr>
        <w:t>Country and Sector Issues</w:t>
      </w:r>
      <w:r w:rsidRPr="007A2A83">
        <w:rPr>
          <w:lang w:val="en-GB"/>
        </w:rPr>
        <w:t xml:space="preserve">: A PEMFAR was conducted in 2007 that included an analysis of Liberia’s Public Financial Management (PFM) strengths and weaknesses.  The findings from the PEMFAR showed that the government has taken considerable actions to improve public financial management since 2006.  </w:t>
      </w:r>
    </w:p>
    <w:p w:rsidR="007A2A83" w:rsidRDefault="007A2A83" w:rsidP="007A2A83">
      <w:pPr>
        <w:pStyle w:val="ListParagraph"/>
      </w:pPr>
    </w:p>
    <w:p w:rsidR="007A2A83" w:rsidRDefault="005B2CBC" w:rsidP="00D940CF">
      <w:pPr>
        <w:pStyle w:val="Header"/>
        <w:numPr>
          <w:ilvl w:val="0"/>
          <w:numId w:val="19"/>
        </w:numPr>
        <w:tabs>
          <w:tab w:val="clear" w:pos="4320"/>
          <w:tab w:val="center" w:pos="540"/>
        </w:tabs>
        <w:ind w:left="0" w:firstLine="0"/>
        <w:rPr>
          <w:lang w:val="en-GB"/>
        </w:rPr>
      </w:pPr>
      <w:r w:rsidRPr="008C5AEB">
        <w:t>In partnership with multilateral and bilateral development partners, the government has implemented a wide range of public financial management reforms covering aspects of policy, legislation and institutional arrangements and systems. These reforms have sought to restore working conditions of the PFM systems and to modernize them to enable Government respond better to implementing its poverty reduction and development strategies. The most critical of these reforms has been the passing of the PFM Act in August 2009 which has also provided the foundation of other PFM reforms. Several institutional reforms have also been implemented; a macro fiscal analysis unit has been created; the former Bureau of the Budget has been merged into the Ministry of Finance (</w:t>
      </w:r>
      <w:proofErr w:type="spellStart"/>
      <w:r w:rsidRPr="008C5AEB">
        <w:t>MoF</w:t>
      </w:r>
      <w:proofErr w:type="spellEnd"/>
      <w:r w:rsidRPr="008C5AEB">
        <w:t>), as a department; a Debt Management unit has been strengthened and the accounting function has been unified by merging two department and bringing them under the control of the Comptroller General. Moreover, t</w:t>
      </w:r>
      <w:r w:rsidRPr="007A2A83">
        <w:rPr>
          <w:lang w:val="en-GB"/>
        </w:rPr>
        <w:t xml:space="preserve">he Cabinet approved the Internal Audit strategy in June 2008 that will see the establishment of an internal audit cadre and a charter clarifying the roles and responsibilities for internal controls. </w:t>
      </w:r>
    </w:p>
    <w:p w:rsidR="007A2A83" w:rsidRDefault="007A2A83" w:rsidP="007A2A83">
      <w:pPr>
        <w:pStyle w:val="Header"/>
        <w:tabs>
          <w:tab w:val="clear" w:pos="4320"/>
          <w:tab w:val="center" w:pos="540"/>
        </w:tabs>
        <w:rPr>
          <w:lang w:val="en-GB"/>
        </w:rPr>
      </w:pPr>
    </w:p>
    <w:p w:rsidR="007A2A83" w:rsidRPr="007A2A83" w:rsidRDefault="005B2CBC" w:rsidP="00D940CF">
      <w:pPr>
        <w:pStyle w:val="Header"/>
        <w:numPr>
          <w:ilvl w:val="0"/>
          <w:numId w:val="19"/>
        </w:numPr>
        <w:tabs>
          <w:tab w:val="clear" w:pos="4320"/>
          <w:tab w:val="center" w:pos="540"/>
        </w:tabs>
        <w:ind w:left="0" w:firstLine="0"/>
        <w:rPr>
          <w:lang w:val="en-GB"/>
        </w:rPr>
      </w:pPr>
      <w:r w:rsidRPr="007A2A83">
        <w:rPr>
          <w:lang w:val="en-GB"/>
        </w:rPr>
        <w:t>The</w:t>
      </w:r>
      <w:r w:rsidRPr="008C5AEB">
        <w:t xml:space="preserve"> government has also adopted Cash Basis IPSAS as the standard for government accounting. The implementation of the IFMIS has automated government accounting and preparation of budget and fiscal outturn reports in the </w:t>
      </w:r>
      <w:proofErr w:type="spellStart"/>
      <w:r w:rsidRPr="008C5AEB">
        <w:t>MoF</w:t>
      </w:r>
      <w:proofErr w:type="spellEnd"/>
      <w:r w:rsidRPr="007A2A83">
        <w:rPr>
          <w:lang w:val="en-GB"/>
        </w:rPr>
        <w:t xml:space="preserve">. Government revenues have increased several folds since 2002/03, and expenditure controls have been strengthened through the establishment of the cash management committee and the interim commitment control system.  The government’s developmental and poverty reduction priorities are anchored in the </w:t>
      </w:r>
      <w:r w:rsidRPr="007A2A83">
        <w:rPr>
          <w:lang w:val="en-GB"/>
        </w:rPr>
        <w:lastRenderedPageBreak/>
        <w:t xml:space="preserve">PRSP which is generally aligned with the budget although there is no formal poverty reducing expenditure tracking systems. The budget cycle is coordinated by an inter-ministerial Budget Committee and spending ministries are consulted early in the budgeting process. All revenues are by law deposited into a revenue bank account at the Central Bank and expenditure from this account is strictly in accordance with annual cash plans and allotments. </w:t>
      </w:r>
      <w:r w:rsidRPr="008C5AEB">
        <w:t xml:space="preserve">Notwithstanding these improvements, many challenges remain. </w:t>
      </w:r>
    </w:p>
    <w:p w:rsidR="007A2A83" w:rsidRDefault="007A2A83" w:rsidP="007A2A83">
      <w:pPr>
        <w:pStyle w:val="ListParagraph"/>
      </w:pPr>
    </w:p>
    <w:p w:rsidR="007A2A83" w:rsidRPr="007A2A83" w:rsidRDefault="007A2A83" w:rsidP="00D940CF">
      <w:pPr>
        <w:pStyle w:val="Header"/>
        <w:numPr>
          <w:ilvl w:val="0"/>
          <w:numId w:val="19"/>
        </w:numPr>
        <w:tabs>
          <w:tab w:val="clear" w:pos="4320"/>
          <w:tab w:val="center" w:pos="540"/>
        </w:tabs>
        <w:ind w:left="0" w:firstLine="0"/>
        <w:rPr>
          <w:lang w:val="en-GB"/>
        </w:rPr>
      </w:pPr>
      <w:r>
        <w:t>T</w:t>
      </w:r>
      <w:r w:rsidR="005B2CBC" w:rsidRPr="008C5AEB">
        <w:t>here is the critical need to expand and deepen the implementation of the PFM law and to have its full effect on all aspects of Government PFM systems. Improving budget credibility will be key particularly as Government implements its second generation PRS over 2012/13-15/16; it will be critical to strengthen alignment of the budget during its formulation and execution with its policy commitments and extend its coverage to more aspects of aid resources and other areas that have hitherto not been well captured. In the same vein, improving accounting and reporting and the oversight functions of the General Audit Commission and the Legislature will need to be addressed. Importantly, attention will need to be paid to strengthen roles of key PFM units (Ministry of Finance Ministry of Planning and Economic Affairs and M&amp;</w:t>
      </w:r>
      <w:proofErr w:type="gramStart"/>
      <w:r w:rsidR="005B2CBC" w:rsidRPr="008C5AEB">
        <w:t>As</w:t>
      </w:r>
      <w:proofErr w:type="gramEnd"/>
      <w:r w:rsidR="005B2CBC" w:rsidRPr="008C5AEB">
        <w:t xml:space="preserve">) to provide requisite leadership in the implementation of the reforms. Moreover, majority of donor expenditure is project based and not executed through the government budget. This is critical and needs to be addressed in accordance with the aspirations of the Paris Declaration and Accra Agenda for Action on aid effectiveness and use of country systems. </w:t>
      </w:r>
    </w:p>
    <w:p w:rsidR="007A2A83" w:rsidRDefault="007A2A83" w:rsidP="007A2A83">
      <w:pPr>
        <w:pStyle w:val="Header"/>
        <w:tabs>
          <w:tab w:val="clear" w:pos="4320"/>
          <w:tab w:val="center" w:pos="540"/>
        </w:tabs>
        <w:rPr>
          <w:lang w:val="en-GB"/>
        </w:rPr>
      </w:pPr>
    </w:p>
    <w:p w:rsidR="007A2A83" w:rsidRDefault="005B2CBC" w:rsidP="00D940CF">
      <w:pPr>
        <w:pStyle w:val="Header"/>
        <w:numPr>
          <w:ilvl w:val="0"/>
          <w:numId w:val="19"/>
        </w:numPr>
        <w:tabs>
          <w:tab w:val="clear" w:pos="4320"/>
          <w:tab w:val="center" w:pos="540"/>
        </w:tabs>
        <w:ind w:left="0" w:firstLine="0"/>
        <w:rPr>
          <w:lang w:val="en-GB"/>
        </w:rPr>
      </w:pPr>
      <w:r w:rsidRPr="008C5AEB">
        <w:t xml:space="preserve">Furthermore, the country lacks a sufficient number of qualified accountants to serve the public and private sector. A Project Financial Management Unit (PFMU) hosted in the </w:t>
      </w:r>
      <w:proofErr w:type="spellStart"/>
      <w:r w:rsidRPr="008C5AEB">
        <w:t>MoF</w:t>
      </w:r>
      <w:proofErr w:type="spellEnd"/>
      <w:r w:rsidRPr="008C5AEB">
        <w:t xml:space="preserve"> provides centralized project financial management for donor projects as capacity augmentation arrangement in the short to medium term.</w:t>
      </w:r>
      <w:r w:rsidRPr="007A2A83">
        <w:rPr>
          <w:lang w:val="en-GB"/>
        </w:rPr>
        <w:t xml:space="preserve"> The lack of qualified PFM personnel is a major constraint to the implementation of PFM reforms to address the weaknesses identified in the PEMFAR. At the moment key agencies such as the MOF are staffed with foreign experts through technical assistance financed by development partners. In the area of procurement, the Public Procurement and Concessions (PPC) Act came into effect in January 2006, as Liberia’s first significant step towards subjecting public sector contracts to transparency and meaningful competition. These measures in financial management and procurement will put in place appropriate structures and processes to promote transparency and accountability and mitigate the fiduciary risk in utilizing public funds both at the country and project level.</w:t>
      </w:r>
    </w:p>
    <w:p w:rsidR="007A2A83" w:rsidRDefault="007A2A83" w:rsidP="007A2A83">
      <w:pPr>
        <w:pStyle w:val="Header"/>
        <w:tabs>
          <w:tab w:val="clear" w:pos="4320"/>
          <w:tab w:val="center" w:pos="540"/>
        </w:tabs>
        <w:rPr>
          <w:lang w:val="en-GB"/>
        </w:rPr>
      </w:pPr>
    </w:p>
    <w:p w:rsidR="007A2A83" w:rsidRDefault="005B2CBC" w:rsidP="00D940CF">
      <w:pPr>
        <w:pStyle w:val="Header"/>
        <w:numPr>
          <w:ilvl w:val="0"/>
          <w:numId w:val="19"/>
        </w:numPr>
        <w:tabs>
          <w:tab w:val="clear" w:pos="4320"/>
          <w:tab w:val="center" w:pos="540"/>
        </w:tabs>
        <w:ind w:left="0" w:firstLine="0"/>
        <w:rPr>
          <w:lang w:val="en-GB"/>
        </w:rPr>
      </w:pPr>
      <w:r w:rsidRPr="007A2A83">
        <w:rPr>
          <w:i/>
          <w:u w:val="single"/>
        </w:rPr>
        <w:t xml:space="preserve">Overview of Project and </w:t>
      </w:r>
      <w:r w:rsidRPr="007A2A83">
        <w:rPr>
          <w:bCs/>
          <w:i/>
          <w:u w:val="single"/>
        </w:rPr>
        <w:t>Institutional Arrangements</w:t>
      </w:r>
      <w:r w:rsidRPr="007A2A83">
        <w:rPr>
          <w:lang w:val="en-GB"/>
        </w:rPr>
        <w:t xml:space="preserve">: </w:t>
      </w:r>
      <w:r w:rsidRPr="007A2A83">
        <w:rPr>
          <w:bCs/>
          <w:iCs/>
        </w:rPr>
        <w:t xml:space="preserve">The objective of the proposed project </w:t>
      </w:r>
      <w:r w:rsidR="007A2A83" w:rsidRPr="007A2A83">
        <w:rPr>
          <w:bCs/>
          <w:iCs/>
        </w:rPr>
        <w:t>is to improve and increase access to electricity in Liberia.</w:t>
      </w:r>
      <w:r w:rsidR="007A2A83">
        <w:rPr>
          <w:bCs/>
          <w:iCs/>
        </w:rPr>
        <w:t xml:space="preserve"> </w:t>
      </w:r>
    </w:p>
    <w:p w:rsidR="007A2A83" w:rsidRDefault="007A2A83" w:rsidP="007A2A83">
      <w:pPr>
        <w:pStyle w:val="ListParagraph"/>
      </w:pPr>
    </w:p>
    <w:p w:rsidR="007A2A83" w:rsidRPr="007A2A83" w:rsidRDefault="005B2CBC" w:rsidP="00D940CF">
      <w:pPr>
        <w:pStyle w:val="Header"/>
        <w:numPr>
          <w:ilvl w:val="0"/>
          <w:numId w:val="19"/>
        </w:numPr>
        <w:tabs>
          <w:tab w:val="clear" w:pos="4320"/>
          <w:tab w:val="center" w:pos="540"/>
        </w:tabs>
        <w:ind w:left="0" w:firstLine="0"/>
        <w:rPr>
          <w:lang w:val="en-GB"/>
        </w:rPr>
      </w:pPr>
      <w:r w:rsidRPr="008C5AEB">
        <w:t>Project financial management will largely rely on the existing LEC accounting system in place to ensure an effective and efficient management of resources.</w:t>
      </w:r>
      <w:r w:rsidRPr="007A2A83">
        <w:rPr>
          <w:lang w:val="en-GB"/>
        </w:rPr>
        <w:t xml:space="preserve"> </w:t>
      </w:r>
      <w:r w:rsidRPr="008C5AEB">
        <w:t xml:space="preserve">The Liberian Electricity Corporation (LEC) has a management contract with Manitoba Hydro International (MHI) to manage the operations of LEC for a period of 5 years. The MHI has finance and accounting unit that will be responsible for the financial management work of LEC for the duration of the contract. The old finance unit of LEC in conjunction with that of MHI is staffed with a Chief Financial Officer (CFO), an Assistant Controller, a Chief Accountant, two Accounting Officers and Internal Auditor who reports directly to the Board of Directors of LEC. The Assistant Controller and the Chief Accountant report directly to the CFO. Together the accounting unit has </w:t>
      </w:r>
      <w:r w:rsidRPr="008C5AEB">
        <w:lastRenderedPageBreak/>
        <w:t>over 35 years of accounting experience. Moreover, the LEC is currently implementing the original LESEP project being financed by IDA worth $10 million. LEC Finance Department will build on its experience of the Bank’s disbursement and financial management procedures through this additional financing. The FM unit will be responsible for: maintaining up to-date accounting records and ledgers, submitting interim financial reports, submitting annual financial audit reports and ensuring that internal controls are adhered to in order to achieve accountability at all levels. The staffing strength of LEC was assessed as adequate for the purposes of undertaking the financial management of the project</w:t>
      </w:r>
    </w:p>
    <w:p w:rsidR="007A2A83" w:rsidRDefault="007A2A83" w:rsidP="007A2A83">
      <w:pPr>
        <w:pStyle w:val="Header"/>
        <w:tabs>
          <w:tab w:val="clear" w:pos="4320"/>
          <w:tab w:val="center" w:pos="540"/>
        </w:tabs>
        <w:rPr>
          <w:lang w:val="en-GB"/>
        </w:rPr>
      </w:pPr>
    </w:p>
    <w:p w:rsidR="007A2A83" w:rsidRPr="007A2A83" w:rsidRDefault="005B2CBC" w:rsidP="00D940CF">
      <w:pPr>
        <w:pStyle w:val="Header"/>
        <w:numPr>
          <w:ilvl w:val="0"/>
          <w:numId w:val="19"/>
        </w:numPr>
        <w:tabs>
          <w:tab w:val="clear" w:pos="4320"/>
          <w:tab w:val="center" w:pos="540"/>
        </w:tabs>
        <w:ind w:left="0" w:firstLine="0"/>
        <w:rPr>
          <w:lang w:val="en-GB"/>
        </w:rPr>
      </w:pPr>
      <w:r w:rsidRPr="007A2A83">
        <w:rPr>
          <w:i/>
          <w:u w:val="single"/>
        </w:rPr>
        <w:t>Budgeting</w:t>
      </w:r>
      <w:r w:rsidRPr="007A2A83">
        <w:rPr>
          <w:i/>
        </w:rPr>
        <w:t xml:space="preserve">: </w:t>
      </w:r>
      <w:r w:rsidRPr="008C5AEB">
        <w:t>LEC will prepare an annual budget based on an annual work plan that has been approved by the World Bank. Most of the activities of the key components are already known and these will be included in the Credit’s annual budgets. The budget will be approved by the World Banks and incorporated into the quarterly interim un-audited financial reports for monitoring against actual expenditures of activities within components and disbursement categories of the project during implementation.</w:t>
      </w:r>
    </w:p>
    <w:p w:rsidR="007A2A83" w:rsidRDefault="007A2A83" w:rsidP="007A2A83">
      <w:pPr>
        <w:pStyle w:val="ListParagraph"/>
        <w:rPr>
          <w:i/>
          <w:u w:val="single"/>
        </w:rPr>
      </w:pPr>
    </w:p>
    <w:p w:rsidR="007A2A83" w:rsidRPr="007A2A83" w:rsidRDefault="005B2CBC" w:rsidP="00D940CF">
      <w:pPr>
        <w:pStyle w:val="Header"/>
        <w:numPr>
          <w:ilvl w:val="0"/>
          <w:numId w:val="19"/>
        </w:numPr>
        <w:tabs>
          <w:tab w:val="clear" w:pos="4320"/>
          <w:tab w:val="center" w:pos="540"/>
        </w:tabs>
        <w:ind w:left="0" w:firstLine="0"/>
        <w:rPr>
          <w:lang w:val="en-GB"/>
        </w:rPr>
      </w:pPr>
      <w:r w:rsidRPr="007A2A83">
        <w:rPr>
          <w:i/>
          <w:u w:val="single"/>
        </w:rPr>
        <w:t>Internal Control &amp; Internal Auditing</w:t>
      </w:r>
      <w:r w:rsidRPr="007A2A83">
        <w:rPr>
          <w:i/>
        </w:rPr>
        <w:t xml:space="preserve">: </w:t>
      </w:r>
      <w:r w:rsidRPr="007A2A83">
        <w:rPr>
          <w:lang w:val="en-GB"/>
        </w:rPr>
        <w:t>LEC has an internal audit unit that reviews all financial transactions to ensure that the transactions comply with project financing agreements and all national financial rules and regulations. Moreover, LEC’s FM manual has</w:t>
      </w:r>
      <w:r w:rsidRPr="008C5AEB">
        <w:t xml:space="preserve"> laid down internal control procedures and processes that ensure that transactions are approved by appropriate personnel and ensure segregation of duties between approval, execution, accounting and reporting functions. The Internal Audit unit is manned by two qualified staff who perform periodic reviews and report on their findings.  The presence of these internal audit functions in LEC has strengthened its internal managements.  Currently, the focus of the internal audit functions is split between pre-audit and systemic audits. The emphasis on both pre-audit and systemic checks has added greater value to their control functions. </w:t>
      </w:r>
    </w:p>
    <w:p w:rsidR="007A2A83" w:rsidRDefault="007A2A83" w:rsidP="007A2A83">
      <w:pPr>
        <w:pStyle w:val="ListParagraph"/>
        <w:rPr>
          <w:i/>
          <w:u w:val="single"/>
        </w:rPr>
      </w:pPr>
    </w:p>
    <w:p w:rsidR="007A2A83" w:rsidRDefault="005B2CBC" w:rsidP="00D940CF">
      <w:pPr>
        <w:pStyle w:val="Header"/>
        <w:numPr>
          <w:ilvl w:val="0"/>
          <w:numId w:val="19"/>
        </w:numPr>
        <w:tabs>
          <w:tab w:val="clear" w:pos="4320"/>
          <w:tab w:val="center" w:pos="540"/>
        </w:tabs>
        <w:ind w:left="0" w:firstLine="0"/>
        <w:rPr>
          <w:lang w:val="en-GB"/>
        </w:rPr>
      </w:pPr>
      <w:r w:rsidRPr="007A2A83">
        <w:rPr>
          <w:i/>
          <w:u w:val="single"/>
        </w:rPr>
        <w:t>Accounting and Maintenance of Records</w:t>
      </w:r>
      <w:r w:rsidRPr="007A2A83">
        <w:rPr>
          <w:lang w:val="en-GB"/>
        </w:rPr>
        <w:t>:</w:t>
      </w:r>
      <w:r w:rsidRPr="008C5AEB">
        <w:t xml:space="preserve"> </w:t>
      </w:r>
      <w:r w:rsidRPr="007A2A83">
        <w:rPr>
          <w:lang w:val="en-GB"/>
        </w:rPr>
        <w:t xml:space="preserve">Accounting for the use of the project funds, using a cash basis of accounting, will be carried out by the LEC using its automated accounting system (Quick Books Accounting system) that provides for adequate segregation of function, accurate recording of all accounting transactions of the project. The system is also capable of producing accurate periodic financial reports including interim un-audited financial reports (IFR) and annual project financial statements that considered acceptable to the Bank. A project Fixed Assets register will be maintained at all times to correctly reflect assets acquired or created under the project. </w:t>
      </w:r>
    </w:p>
    <w:p w:rsidR="007A2A83" w:rsidRDefault="007A2A83" w:rsidP="007A2A83">
      <w:pPr>
        <w:pStyle w:val="ListParagraph"/>
        <w:rPr>
          <w:i/>
          <w:snapToGrid w:val="0"/>
          <w:u w:val="single"/>
        </w:rPr>
      </w:pPr>
    </w:p>
    <w:p w:rsidR="007A2A83" w:rsidRPr="007A2A83" w:rsidRDefault="005B2CBC" w:rsidP="00D940CF">
      <w:pPr>
        <w:pStyle w:val="Header"/>
        <w:numPr>
          <w:ilvl w:val="0"/>
          <w:numId w:val="19"/>
        </w:numPr>
        <w:tabs>
          <w:tab w:val="clear" w:pos="4320"/>
          <w:tab w:val="center" w:pos="540"/>
        </w:tabs>
        <w:ind w:left="0" w:firstLine="0"/>
        <w:rPr>
          <w:lang w:val="en-GB"/>
        </w:rPr>
      </w:pPr>
      <w:r w:rsidRPr="007A2A83">
        <w:rPr>
          <w:i/>
          <w:snapToGrid w:val="0"/>
          <w:u w:val="single"/>
        </w:rPr>
        <w:t>Financial Reporting Arrangements</w:t>
      </w:r>
      <w:r w:rsidRPr="007A2A83">
        <w:rPr>
          <w:snapToGrid w:val="0"/>
        </w:rPr>
        <w:t xml:space="preserve">: </w:t>
      </w:r>
      <w:r w:rsidRPr="008C5AEB">
        <w:t>LEC will prepare quarterly Interim (un-audited) Financial Statements or Reports (IFR) to be submitted to the World Bank within 45 days after the end of each calendar quarter. The IFR will comprise the following statements: sources and uses of funds; Uses of Funds by activity within component; status of funds disbursement; schedule of commitments/contracts; schedule of fixed assets (acquired under the Grant); bank statements and bank reconciliation statements.</w:t>
      </w:r>
    </w:p>
    <w:p w:rsidR="007A2A83" w:rsidRDefault="007A2A83" w:rsidP="007A2A83">
      <w:pPr>
        <w:pStyle w:val="ListParagraph"/>
        <w:rPr>
          <w:i/>
          <w:u w:val="single"/>
        </w:rPr>
      </w:pPr>
    </w:p>
    <w:p w:rsidR="007A2A83" w:rsidRDefault="005B2CBC" w:rsidP="00D940CF">
      <w:pPr>
        <w:pStyle w:val="Header"/>
        <w:numPr>
          <w:ilvl w:val="0"/>
          <w:numId w:val="19"/>
        </w:numPr>
        <w:tabs>
          <w:tab w:val="clear" w:pos="4320"/>
          <w:tab w:val="center" w:pos="540"/>
        </w:tabs>
        <w:ind w:left="0" w:firstLine="0"/>
        <w:rPr>
          <w:lang w:val="en-GB"/>
        </w:rPr>
      </w:pPr>
      <w:r w:rsidRPr="007A2A83">
        <w:rPr>
          <w:i/>
          <w:u w:val="single"/>
        </w:rPr>
        <w:t>External Auditing Arrangements</w:t>
      </w:r>
      <w:r w:rsidRPr="008C5AEB">
        <w:t xml:space="preserve">: The Liberia General Auditing Commission (GAC) will carry out an annual financial audit of the project. The arrangements for the audit of the project must be finalized within four months of the project being declared effective. The CF’s annual </w:t>
      </w:r>
      <w:r w:rsidRPr="008C5AEB">
        <w:lastRenderedPageBreak/>
        <w:t xml:space="preserve">financial statements including designated accounts activity will be audited in accordance with International Standards of Auditing (ISA) and a single opinion will be issued to cover the project financial statements, SOEs and the designated account. The auditors’ report and opinion in respect of the financial statements including the management letter would be furnished to the World Bank within six months of the close of each </w:t>
      </w:r>
      <w:proofErr w:type="spellStart"/>
      <w:r w:rsidRPr="008C5AEB">
        <w:t>GoL</w:t>
      </w:r>
      <w:proofErr w:type="spellEnd"/>
      <w:r w:rsidRPr="008C5AEB">
        <w:t xml:space="preserve"> fiscal year</w:t>
      </w:r>
      <w:r w:rsidRPr="007A2A83">
        <w:rPr>
          <w:lang w:val="en-GB"/>
        </w:rPr>
        <w:t>.</w:t>
      </w:r>
    </w:p>
    <w:p w:rsidR="007A2A83" w:rsidRDefault="007A2A83" w:rsidP="007A2A83">
      <w:pPr>
        <w:pStyle w:val="ListParagraph"/>
        <w:rPr>
          <w:i/>
          <w:u w:val="single"/>
        </w:rPr>
      </w:pPr>
    </w:p>
    <w:p w:rsidR="007A2A83" w:rsidRDefault="005B2CBC" w:rsidP="00D940CF">
      <w:pPr>
        <w:pStyle w:val="Header"/>
        <w:numPr>
          <w:ilvl w:val="0"/>
          <w:numId w:val="19"/>
        </w:numPr>
        <w:tabs>
          <w:tab w:val="clear" w:pos="4320"/>
          <w:tab w:val="center" w:pos="540"/>
        </w:tabs>
        <w:ind w:left="0" w:firstLine="0"/>
        <w:rPr>
          <w:lang w:val="en-GB"/>
        </w:rPr>
      </w:pPr>
      <w:r w:rsidRPr="007A2A83">
        <w:rPr>
          <w:i/>
          <w:u w:val="single"/>
        </w:rPr>
        <w:t>Funds Flow and Disbursement Arrangements</w:t>
      </w:r>
      <w:r w:rsidRPr="008C5AEB">
        <w:t xml:space="preserve">: Under the Credit, LEC will establish a Designated Account with a </w:t>
      </w:r>
      <w:r>
        <w:t>commercial bank approved by the World Bank</w:t>
      </w:r>
      <w:r w:rsidRPr="008C5AEB">
        <w:t xml:space="preserve">. The Designated Account will be maintained in US$ to receive disbursements from the Credit.  LEC will execute the activities as approved in the procurement plan in respect to the project components and make payments for approved and authorized transactions to contractors, suppliers and service providers. </w:t>
      </w:r>
      <w:r w:rsidRPr="007A2A83">
        <w:rPr>
          <w:lang w:val="en-GB"/>
        </w:rPr>
        <w:t xml:space="preserve">The report-based disbursement method (Interim Financial Reports) will be used as a basis for the withdrawal of credit proceeds. </w:t>
      </w:r>
    </w:p>
    <w:p w:rsidR="007A2A83" w:rsidRDefault="007A2A83" w:rsidP="007A2A83">
      <w:pPr>
        <w:pStyle w:val="ListParagraph"/>
        <w:rPr>
          <w:lang w:val="en-GB"/>
        </w:rPr>
      </w:pPr>
    </w:p>
    <w:p w:rsidR="007A2A83" w:rsidRDefault="005B2CBC" w:rsidP="00D940CF">
      <w:pPr>
        <w:pStyle w:val="Header"/>
        <w:numPr>
          <w:ilvl w:val="0"/>
          <w:numId w:val="19"/>
        </w:numPr>
        <w:tabs>
          <w:tab w:val="clear" w:pos="4320"/>
          <w:tab w:val="center" w:pos="540"/>
        </w:tabs>
        <w:ind w:left="0" w:firstLine="0"/>
        <w:rPr>
          <w:lang w:val="en-GB"/>
        </w:rPr>
      </w:pPr>
      <w:r w:rsidRPr="007A2A83">
        <w:rPr>
          <w:lang w:val="en-GB"/>
        </w:rPr>
        <w:t xml:space="preserve">The project provides for the use of advances, reimbursements, special commitments and direct payments as applicable disbursement methods, and these will be specified in the disbursement letter.  An initial advance will be provided for the implementing entity, based on a forecast of eligible expenditures against each component, linked to the appropriate disbursement categories and in accordance with instructions provided in the Disbursement Letter.  These forecasts will be premised on the annual work plans that will be provided to IDA and cleared by the task team leader.  Replenishments, through fresh withdrawal applications to the Bank, into the designated accounts will be made subsequently, at quarterly intervals, but such withdrawals will equally be based on the net cash requirements that are linked to </w:t>
      </w:r>
      <w:proofErr w:type="gramStart"/>
      <w:r w:rsidRPr="007A2A83">
        <w:rPr>
          <w:lang w:val="en-GB"/>
        </w:rPr>
        <w:t>approved</w:t>
      </w:r>
      <w:proofErr w:type="gramEnd"/>
      <w:r w:rsidRPr="007A2A83">
        <w:rPr>
          <w:lang w:val="en-GB"/>
        </w:rPr>
        <w:t xml:space="preserve"> work plans.  Supporting documentation will be retained by the implementing agencies for review by IDA missions and external auditors. Any advances made for contracts will be secured by a bank guarantee or performance-based bonds and a retention amount withheld.</w:t>
      </w:r>
    </w:p>
    <w:p w:rsidR="007A2A83" w:rsidRDefault="007A2A83" w:rsidP="007A2A83">
      <w:pPr>
        <w:pStyle w:val="ListParagraph"/>
        <w:rPr>
          <w:snapToGrid w:val="0"/>
        </w:rPr>
      </w:pPr>
    </w:p>
    <w:p w:rsidR="007A2A83" w:rsidRPr="007A2A83" w:rsidRDefault="005B2CBC" w:rsidP="00D940CF">
      <w:pPr>
        <w:pStyle w:val="Header"/>
        <w:numPr>
          <w:ilvl w:val="0"/>
          <w:numId w:val="19"/>
        </w:numPr>
        <w:tabs>
          <w:tab w:val="clear" w:pos="4320"/>
          <w:tab w:val="center" w:pos="540"/>
        </w:tabs>
        <w:ind w:left="0" w:firstLine="0"/>
        <w:rPr>
          <w:lang w:val="en-GB"/>
        </w:rPr>
      </w:pPr>
      <w:r w:rsidRPr="007A2A83">
        <w:rPr>
          <w:snapToGrid w:val="0"/>
        </w:rPr>
        <w:t xml:space="preserve">For a period of four (4) months after the closing date of the Grant, disbursements for expenditures incurred prior to the closing date will be allowed. </w:t>
      </w:r>
    </w:p>
    <w:p w:rsidR="007A2A83" w:rsidRDefault="007A2A83" w:rsidP="007A2A83">
      <w:pPr>
        <w:pStyle w:val="ListParagraph"/>
        <w:rPr>
          <w:i/>
          <w:u w:val="single"/>
          <w:lang w:val="en-GB"/>
        </w:rPr>
      </w:pPr>
    </w:p>
    <w:p w:rsidR="005B2CBC" w:rsidRPr="007A2A83" w:rsidRDefault="005B2CBC" w:rsidP="00D940CF">
      <w:pPr>
        <w:pStyle w:val="Header"/>
        <w:numPr>
          <w:ilvl w:val="0"/>
          <w:numId w:val="19"/>
        </w:numPr>
        <w:tabs>
          <w:tab w:val="clear" w:pos="4320"/>
          <w:tab w:val="center" w:pos="540"/>
        </w:tabs>
        <w:ind w:left="0" w:firstLine="0"/>
        <w:rPr>
          <w:lang w:val="en-GB"/>
        </w:rPr>
      </w:pPr>
      <w:r w:rsidRPr="007A2A83">
        <w:rPr>
          <w:i/>
          <w:u w:val="single"/>
          <w:lang w:val="en-GB"/>
        </w:rPr>
        <w:t>Disbursement Summary</w:t>
      </w:r>
      <w:r w:rsidRPr="007A2A83">
        <w:rPr>
          <w:lang w:val="en-GB"/>
        </w:rPr>
        <w:t xml:space="preserve">: The disbursement summary by category is shown in the table below: </w:t>
      </w:r>
    </w:p>
    <w:p w:rsidR="005B2CBC" w:rsidRPr="008C5AEB" w:rsidRDefault="005B2CBC" w:rsidP="005B2CBC">
      <w:pPr>
        <w:widowControl w:val="0"/>
        <w:autoSpaceDE w:val="0"/>
        <w:autoSpaceDN w:val="0"/>
        <w:ind w:right="162"/>
        <w:jc w:val="both"/>
      </w:pPr>
    </w:p>
    <w:p w:rsidR="005B2CBC" w:rsidRPr="008C5AEB" w:rsidRDefault="005B2CBC" w:rsidP="005B2CBC">
      <w:pPr>
        <w:widowControl w:val="0"/>
        <w:autoSpaceDE w:val="0"/>
        <w:autoSpaceDN w:val="0"/>
        <w:ind w:right="16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1"/>
        <w:gridCol w:w="2015"/>
        <w:gridCol w:w="4840"/>
      </w:tblGrid>
      <w:tr w:rsidR="005B2CBC" w:rsidRPr="008C5AEB" w:rsidTr="00C05D44">
        <w:tc>
          <w:tcPr>
            <w:tcW w:w="1421" w:type="pct"/>
          </w:tcPr>
          <w:p w:rsidR="005B2CBC" w:rsidRPr="003B4797" w:rsidRDefault="005B2CBC" w:rsidP="00C05D44">
            <w:pPr>
              <w:widowControl w:val="0"/>
              <w:autoSpaceDE w:val="0"/>
              <w:autoSpaceDN w:val="0"/>
              <w:ind w:right="162"/>
              <w:jc w:val="both"/>
              <w:rPr>
                <w:b/>
                <w:bCs/>
              </w:rPr>
            </w:pPr>
            <w:r w:rsidRPr="003B4797">
              <w:rPr>
                <w:b/>
                <w:bCs/>
              </w:rPr>
              <w:t>Category</w:t>
            </w:r>
          </w:p>
        </w:tc>
        <w:tc>
          <w:tcPr>
            <w:tcW w:w="1052" w:type="pct"/>
          </w:tcPr>
          <w:p w:rsidR="005B2CBC" w:rsidRPr="003B4797" w:rsidRDefault="005B2CBC" w:rsidP="00C05D44">
            <w:pPr>
              <w:widowControl w:val="0"/>
              <w:autoSpaceDE w:val="0"/>
              <w:autoSpaceDN w:val="0"/>
              <w:ind w:right="162"/>
              <w:jc w:val="both"/>
              <w:rPr>
                <w:b/>
                <w:bCs/>
              </w:rPr>
            </w:pPr>
            <w:r w:rsidRPr="003B4797">
              <w:rPr>
                <w:b/>
                <w:bCs/>
              </w:rPr>
              <w:t>Amount of the Credit Allocated (expressed in USD)</w:t>
            </w:r>
          </w:p>
        </w:tc>
        <w:tc>
          <w:tcPr>
            <w:tcW w:w="2527" w:type="pct"/>
          </w:tcPr>
          <w:p w:rsidR="005B2CBC" w:rsidRPr="003B4797" w:rsidRDefault="005B2CBC" w:rsidP="00C05D44">
            <w:pPr>
              <w:widowControl w:val="0"/>
              <w:autoSpaceDE w:val="0"/>
              <w:autoSpaceDN w:val="0"/>
              <w:ind w:right="162"/>
              <w:jc w:val="both"/>
              <w:rPr>
                <w:b/>
                <w:bCs/>
              </w:rPr>
            </w:pPr>
            <w:r w:rsidRPr="003B4797">
              <w:rPr>
                <w:b/>
                <w:bCs/>
              </w:rPr>
              <w:t>Percentage of Expenditures to be Financed</w:t>
            </w:r>
          </w:p>
          <w:p w:rsidR="005B2CBC" w:rsidRPr="003B4797" w:rsidRDefault="005B2CBC" w:rsidP="00C05D44">
            <w:pPr>
              <w:widowControl w:val="0"/>
              <w:autoSpaceDE w:val="0"/>
              <w:autoSpaceDN w:val="0"/>
              <w:ind w:right="162"/>
              <w:jc w:val="both"/>
              <w:rPr>
                <w:b/>
                <w:bCs/>
              </w:rPr>
            </w:pPr>
            <w:r w:rsidRPr="003B4797">
              <w:rPr>
                <w:b/>
                <w:bCs/>
              </w:rPr>
              <w:t>(inclusive of Taxes)</w:t>
            </w:r>
          </w:p>
        </w:tc>
      </w:tr>
      <w:tr w:rsidR="005B2CBC" w:rsidRPr="008C5AEB" w:rsidTr="00C05D44">
        <w:tc>
          <w:tcPr>
            <w:tcW w:w="1421" w:type="pct"/>
          </w:tcPr>
          <w:p w:rsidR="002873A4" w:rsidRDefault="00A5506B">
            <w:pPr>
              <w:widowControl w:val="0"/>
              <w:autoSpaceDE w:val="0"/>
              <w:autoSpaceDN w:val="0"/>
              <w:ind w:right="162"/>
            </w:pPr>
            <w:r>
              <w:t xml:space="preserve">Sub-component A.1:  Distribution network reinforcement and extension.  </w:t>
            </w:r>
          </w:p>
          <w:p w:rsidR="002873A4" w:rsidRDefault="002873A4">
            <w:pPr>
              <w:widowControl w:val="0"/>
              <w:autoSpaceDE w:val="0"/>
              <w:autoSpaceDN w:val="0"/>
              <w:ind w:right="162"/>
            </w:pPr>
          </w:p>
        </w:tc>
        <w:tc>
          <w:tcPr>
            <w:tcW w:w="1052" w:type="pct"/>
          </w:tcPr>
          <w:p w:rsidR="005B2CBC" w:rsidRPr="008C5AEB" w:rsidRDefault="00A5506B" w:rsidP="00C05D44">
            <w:pPr>
              <w:widowControl w:val="0"/>
              <w:autoSpaceDE w:val="0"/>
              <w:autoSpaceDN w:val="0"/>
              <w:ind w:right="162"/>
              <w:jc w:val="both"/>
            </w:pPr>
            <w:r>
              <w:t>3,000,000</w:t>
            </w:r>
          </w:p>
        </w:tc>
        <w:tc>
          <w:tcPr>
            <w:tcW w:w="2527" w:type="pct"/>
          </w:tcPr>
          <w:p w:rsidR="002873A4" w:rsidRDefault="00A5506B">
            <w:pPr>
              <w:widowControl w:val="0"/>
              <w:autoSpaceDE w:val="0"/>
              <w:autoSpaceDN w:val="0"/>
              <w:ind w:right="162"/>
              <w:jc w:val="center"/>
            </w:pPr>
            <w:r>
              <w:t>100%</w:t>
            </w:r>
          </w:p>
        </w:tc>
      </w:tr>
      <w:tr w:rsidR="00A5506B" w:rsidRPr="008C5AEB" w:rsidTr="00C05D44">
        <w:tc>
          <w:tcPr>
            <w:tcW w:w="1421" w:type="pct"/>
          </w:tcPr>
          <w:p w:rsidR="002873A4" w:rsidRDefault="008A6C9F">
            <w:pPr>
              <w:widowControl w:val="0"/>
              <w:autoSpaceDE w:val="0"/>
              <w:autoSpaceDN w:val="0"/>
              <w:ind w:right="162"/>
              <w:rPr>
                <w:bCs/>
              </w:rPr>
            </w:pPr>
            <w:r w:rsidRPr="008A6C9F">
              <w:rPr>
                <w:bCs/>
              </w:rPr>
              <w:t xml:space="preserve">Component B1: Construction of </w:t>
            </w:r>
            <w:r w:rsidRPr="008A6C9F">
              <w:rPr>
                <w:bCs/>
              </w:rPr>
              <w:lastRenderedPageBreak/>
              <w:t>Thermal Plant</w:t>
            </w:r>
          </w:p>
        </w:tc>
        <w:tc>
          <w:tcPr>
            <w:tcW w:w="1052" w:type="pct"/>
          </w:tcPr>
          <w:p w:rsidR="00A5506B" w:rsidRPr="008C5AEB" w:rsidRDefault="00A5506B" w:rsidP="00C05D44">
            <w:pPr>
              <w:widowControl w:val="0"/>
              <w:autoSpaceDE w:val="0"/>
              <w:autoSpaceDN w:val="0"/>
              <w:ind w:right="162"/>
              <w:jc w:val="both"/>
            </w:pPr>
            <w:r>
              <w:lastRenderedPageBreak/>
              <w:t>16,000,000</w:t>
            </w:r>
          </w:p>
        </w:tc>
        <w:tc>
          <w:tcPr>
            <w:tcW w:w="2527" w:type="pct"/>
          </w:tcPr>
          <w:p w:rsidR="002873A4" w:rsidRDefault="00A5506B">
            <w:pPr>
              <w:widowControl w:val="0"/>
              <w:autoSpaceDE w:val="0"/>
              <w:autoSpaceDN w:val="0"/>
              <w:ind w:right="162"/>
              <w:jc w:val="center"/>
            </w:pPr>
            <w:r>
              <w:t>100%</w:t>
            </w:r>
          </w:p>
        </w:tc>
      </w:tr>
      <w:tr w:rsidR="00A5506B" w:rsidRPr="008C5AEB" w:rsidTr="00C05D44">
        <w:tc>
          <w:tcPr>
            <w:tcW w:w="1421" w:type="pct"/>
          </w:tcPr>
          <w:p w:rsidR="002873A4" w:rsidRDefault="008A6C9F">
            <w:pPr>
              <w:widowControl w:val="0"/>
              <w:autoSpaceDE w:val="0"/>
              <w:autoSpaceDN w:val="0"/>
              <w:ind w:right="162"/>
              <w:rPr>
                <w:bCs/>
              </w:rPr>
            </w:pPr>
            <w:r w:rsidRPr="008A6C9F">
              <w:rPr>
                <w:bCs/>
              </w:rPr>
              <w:lastRenderedPageBreak/>
              <w:t>Component D: Technical Assistance</w:t>
            </w:r>
          </w:p>
        </w:tc>
        <w:tc>
          <w:tcPr>
            <w:tcW w:w="1052" w:type="pct"/>
          </w:tcPr>
          <w:p w:rsidR="00A5506B" w:rsidRPr="008C5AEB" w:rsidRDefault="00A5506B" w:rsidP="00C05D44">
            <w:pPr>
              <w:widowControl w:val="0"/>
              <w:autoSpaceDE w:val="0"/>
              <w:autoSpaceDN w:val="0"/>
              <w:ind w:right="162"/>
              <w:jc w:val="both"/>
            </w:pPr>
            <w:r>
              <w:t>500,000</w:t>
            </w:r>
          </w:p>
        </w:tc>
        <w:tc>
          <w:tcPr>
            <w:tcW w:w="2527" w:type="pct"/>
          </w:tcPr>
          <w:p w:rsidR="002873A4" w:rsidRDefault="00A5506B">
            <w:pPr>
              <w:widowControl w:val="0"/>
              <w:autoSpaceDE w:val="0"/>
              <w:autoSpaceDN w:val="0"/>
              <w:ind w:right="162"/>
              <w:jc w:val="center"/>
            </w:pPr>
            <w:r>
              <w:t>100%</w:t>
            </w:r>
          </w:p>
        </w:tc>
      </w:tr>
      <w:tr w:rsidR="00A5506B" w:rsidRPr="008C5AEB" w:rsidTr="00C05D44">
        <w:tc>
          <w:tcPr>
            <w:tcW w:w="1421" w:type="pct"/>
          </w:tcPr>
          <w:p w:rsidR="00A5506B" w:rsidRPr="00A5506B" w:rsidRDefault="008A6C9F" w:rsidP="00C05D44">
            <w:pPr>
              <w:widowControl w:val="0"/>
              <w:autoSpaceDE w:val="0"/>
              <w:autoSpaceDN w:val="0"/>
              <w:ind w:right="162"/>
              <w:jc w:val="both"/>
              <w:rPr>
                <w:bCs/>
              </w:rPr>
            </w:pPr>
            <w:r w:rsidRPr="008A6C9F">
              <w:rPr>
                <w:bCs/>
              </w:rPr>
              <w:t>Unallocated</w:t>
            </w:r>
          </w:p>
        </w:tc>
        <w:tc>
          <w:tcPr>
            <w:tcW w:w="1052" w:type="pct"/>
          </w:tcPr>
          <w:p w:rsidR="00A5506B" w:rsidRPr="008C5AEB" w:rsidRDefault="00A5506B" w:rsidP="00C05D44">
            <w:pPr>
              <w:widowControl w:val="0"/>
              <w:autoSpaceDE w:val="0"/>
              <w:autoSpaceDN w:val="0"/>
              <w:ind w:right="162"/>
              <w:jc w:val="both"/>
            </w:pPr>
            <w:r>
              <w:t>1,500,000</w:t>
            </w:r>
          </w:p>
        </w:tc>
        <w:tc>
          <w:tcPr>
            <w:tcW w:w="2527" w:type="pct"/>
          </w:tcPr>
          <w:p w:rsidR="002873A4" w:rsidRDefault="00A5506B">
            <w:pPr>
              <w:widowControl w:val="0"/>
              <w:autoSpaceDE w:val="0"/>
              <w:autoSpaceDN w:val="0"/>
              <w:ind w:right="162"/>
              <w:jc w:val="center"/>
            </w:pPr>
            <w:r>
              <w:t>100%</w:t>
            </w:r>
          </w:p>
        </w:tc>
      </w:tr>
      <w:tr w:rsidR="005B2CBC" w:rsidRPr="008C5AEB" w:rsidTr="00C05D44">
        <w:tc>
          <w:tcPr>
            <w:tcW w:w="1421" w:type="pct"/>
          </w:tcPr>
          <w:p w:rsidR="005B2CBC" w:rsidRPr="008C5AEB" w:rsidRDefault="005B2CBC" w:rsidP="00C05D44">
            <w:pPr>
              <w:widowControl w:val="0"/>
              <w:autoSpaceDE w:val="0"/>
              <w:autoSpaceDN w:val="0"/>
              <w:ind w:right="162"/>
              <w:jc w:val="both"/>
              <w:rPr>
                <w:b/>
                <w:bCs/>
              </w:rPr>
            </w:pPr>
            <w:r w:rsidRPr="008C5AEB">
              <w:rPr>
                <w:b/>
                <w:bCs/>
              </w:rPr>
              <w:t xml:space="preserve">TOTAL </w:t>
            </w:r>
          </w:p>
        </w:tc>
        <w:tc>
          <w:tcPr>
            <w:tcW w:w="1052" w:type="pct"/>
          </w:tcPr>
          <w:p w:rsidR="005B2CBC" w:rsidRPr="008C5AEB" w:rsidRDefault="005B2CBC" w:rsidP="00C05D44">
            <w:pPr>
              <w:widowControl w:val="0"/>
              <w:autoSpaceDE w:val="0"/>
              <w:autoSpaceDN w:val="0"/>
              <w:ind w:right="162"/>
              <w:jc w:val="both"/>
            </w:pPr>
          </w:p>
        </w:tc>
        <w:tc>
          <w:tcPr>
            <w:tcW w:w="2527" w:type="pct"/>
          </w:tcPr>
          <w:p w:rsidR="005B2CBC" w:rsidRPr="008C5AEB" w:rsidRDefault="005B2CBC" w:rsidP="00C05D44">
            <w:pPr>
              <w:widowControl w:val="0"/>
              <w:autoSpaceDE w:val="0"/>
              <w:autoSpaceDN w:val="0"/>
              <w:ind w:right="162"/>
              <w:jc w:val="both"/>
            </w:pPr>
          </w:p>
        </w:tc>
      </w:tr>
    </w:tbl>
    <w:p w:rsidR="005B2CBC" w:rsidRPr="008C5AEB" w:rsidRDefault="005B2CBC" w:rsidP="005B2CBC">
      <w:pPr>
        <w:widowControl w:val="0"/>
        <w:autoSpaceDE w:val="0"/>
        <w:autoSpaceDN w:val="0"/>
        <w:ind w:right="162"/>
        <w:jc w:val="both"/>
      </w:pPr>
    </w:p>
    <w:p w:rsidR="005B2CBC" w:rsidRPr="008C5AEB" w:rsidRDefault="005B2CBC" w:rsidP="005B2CBC">
      <w:pPr>
        <w:pStyle w:val="ListParagraph"/>
        <w:tabs>
          <w:tab w:val="left" w:pos="0"/>
        </w:tabs>
        <w:ind w:left="0"/>
        <w:contextualSpacing w:val="0"/>
        <w:jc w:val="both"/>
      </w:pPr>
      <w:r w:rsidRPr="008C5AEB">
        <w:t xml:space="preserve"> </w:t>
      </w:r>
    </w:p>
    <w:p w:rsidR="005B2CBC" w:rsidRPr="008C5AEB" w:rsidRDefault="005B2CBC" w:rsidP="00D940CF">
      <w:pPr>
        <w:pStyle w:val="Header"/>
        <w:numPr>
          <w:ilvl w:val="0"/>
          <w:numId w:val="19"/>
        </w:numPr>
        <w:tabs>
          <w:tab w:val="clear" w:pos="4320"/>
          <w:tab w:val="center" w:pos="540"/>
        </w:tabs>
        <w:ind w:left="0" w:firstLine="0"/>
        <w:rPr>
          <w:lang w:val="en-GB"/>
        </w:rPr>
      </w:pPr>
      <w:r w:rsidRPr="008C5AEB">
        <w:rPr>
          <w:i/>
        </w:rPr>
        <w:t>FM Supervision plan</w:t>
      </w:r>
      <w:r w:rsidRPr="008C5AEB">
        <w:t xml:space="preserve">: Consistent with the risk rating an annual FM implementation support mission will be carried at the LEC. The FM supervision missions’ objectives will include ensuring that strong financial management systems are maintained for the project at the LEC and providing adequate FM implementation guidance provided to LEC throughout the project’s life.  The supervision will include desk reviews of IFRs, testing of expenditures, review of audit reports, and evaluation of the efficiency of the payment processing, internal control processes, and funds flow arrangements. </w:t>
      </w:r>
    </w:p>
    <w:p w:rsidR="00623450" w:rsidRDefault="00623450" w:rsidP="00623450"/>
    <w:p w:rsidR="005B2CBC" w:rsidRPr="00BE0F6A" w:rsidRDefault="005B2CBC" w:rsidP="005B2CBC">
      <w:pPr>
        <w:autoSpaceDE w:val="0"/>
        <w:autoSpaceDN w:val="0"/>
        <w:adjustRightInd w:val="0"/>
        <w:rPr>
          <w:b/>
          <w:sz w:val="22"/>
        </w:rPr>
      </w:pPr>
      <w:r w:rsidRPr="00BE0F6A">
        <w:rPr>
          <w:b/>
          <w:sz w:val="22"/>
        </w:rPr>
        <w:t>F</w:t>
      </w:r>
      <w:r w:rsidR="007A2A83">
        <w:rPr>
          <w:b/>
          <w:sz w:val="22"/>
        </w:rPr>
        <w:t xml:space="preserve">inancial </w:t>
      </w:r>
      <w:r w:rsidRPr="00BE0F6A">
        <w:rPr>
          <w:b/>
          <w:sz w:val="22"/>
        </w:rPr>
        <w:t>M</w:t>
      </w:r>
      <w:r w:rsidR="007A2A83">
        <w:rPr>
          <w:b/>
          <w:sz w:val="22"/>
        </w:rPr>
        <w:t xml:space="preserve">anagement </w:t>
      </w:r>
      <w:r w:rsidRPr="00BE0F6A">
        <w:rPr>
          <w:b/>
          <w:sz w:val="22"/>
        </w:rPr>
        <w:t>A</w:t>
      </w:r>
      <w:r>
        <w:rPr>
          <w:b/>
          <w:sz w:val="22"/>
        </w:rPr>
        <w:t>ssessment of RREA</w:t>
      </w:r>
    </w:p>
    <w:p w:rsidR="005B2CBC" w:rsidRPr="00BE0F6A" w:rsidRDefault="005B2CBC" w:rsidP="005B2CBC">
      <w:pPr>
        <w:autoSpaceDE w:val="0"/>
        <w:autoSpaceDN w:val="0"/>
        <w:adjustRightInd w:val="0"/>
        <w:rPr>
          <w:b/>
          <w:sz w:val="22"/>
        </w:rPr>
      </w:pPr>
    </w:p>
    <w:p w:rsidR="007A2A83" w:rsidRPr="00301651" w:rsidRDefault="005B2CBC" w:rsidP="00D940CF">
      <w:pPr>
        <w:pStyle w:val="Header"/>
        <w:numPr>
          <w:ilvl w:val="0"/>
          <w:numId w:val="19"/>
        </w:numPr>
        <w:tabs>
          <w:tab w:val="clear" w:pos="4320"/>
          <w:tab w:val="center" w:pos="540"/>
        </w:tabs>
        <w:ind w:left="0" w:firstLine="0"/>
        <w:rPr>
          <w:b/>
          <w:bCs/>
          <w:sz w:val="22"/>
        </w:rPr>
      </w:pPr>
      <w:r w:rsidRPr="00301651">
        <w:rPr>
          <w:bCs/>
          <w:i/>
          <w:u w:val="single"/>
        </w:rPr>
        <w:t>Introduction</w:t>
      </w:r>
      <w:r w:rsidRPr="00301651">
        <w:rPr>
          <w:bCs/>
          <w:i/>
        </w:rPr>
        <w:t xml:space="preserve">: </w:t>
      </w:r>
      <w:r w:rsidRPr="00301651">
        <w:rPr>
          <w:i/>
          <w:u w:val="single"/>
        </w:rPr>
        <w:t xml:space="preserve"> </w:t>
      </w:r>
      <w:r w:rsidRPr="001B6D57">
        <w:t>In accordance with the Financial Management Practices Manual issued by the Financial Management Sector Board on March, 2010, a financial management assessment was carried out to assesses the adequacy or otherwise of the financial management arrangements for managing the</w:t>
      </w:r>
      <w:r w:rsidR="007A2A83">
        <w:t xml:space="preserve"> LESEP </w:t>
      </w:r>
      <w:r>
        <w:t xml:space="preserve">project </w:t>
      </w:r>
      <w:r w:rsidRPr="001B6D57">
        <w:t xml:space="preserve">by the </w:t>
      </w:r>
      <w:r>
        <w:t>Liberia Rural Renewable Energy Agency (RREA)</w:t>
      </w:r>
      <w:r w:rsidRPr="001B6D57">
        <w:t xml:space="preserve">. </w:t>
      </w:r>
    </w:p>
    <w:p w:rsidR="007A2A83" w:rsidRDefault="007A2A83" w:rsidP="007A2A83">
      <w:pPr>
        <w:pStyle w:val="Header"/>
        <w:tabs>
          <w:tab w:val="clear" w:pos="4320"/>
          <w:tab w:val="center" w:pos="540"/>
        </w:tabs>
        <w:rPr>
          <w:lang w:val="en-GB"/>
        </w:rPr>
      </w:pPr>
    </w:p>
    <w:p w:rsidR="007A2A83" w:rsidRDefault="005B2CBC" w:rsidP="00D940CF">
      <w:pPr>
        <w:pStyle w:val="Header"/>
        <w:numPr>
          <w:ilvl w:val="0"/>
          <w:numId w:val="19"/>
        </w:numPr>
        <w:tabs>
          <w:tab w:val="clear" w:pos="4320"/>
          <w:tab w:val="center" w:pos="540"/>
        </w:tabs>
        <w:ind w:left="0" w:firstLine="0"/>
        <w:rPr>
          <w:lang w:val="en-GB"/>
        </w:rPr>
      </w:pPr>
      <w:r w:rsidRPr="007A2A83">
        <w:rPr>
          <w:lang w:val="en-GB"/>
        </w:rPr>
        <w:t xml:space="preserve">The objective of the assessment was to determine whether RREA has acceptable financial management arrangements, which will ensure: (1) the funds are used only for the intended purposes in an efficient and economical way; (2) the preparation of accurate, reliable and timely periodic financial reports; (3) safeguard the entity’s assets; and (4) adequate fiduciary assurances are provided through an independent audit of the project. The RREA Finance Department will undertake the financial management functions of the project. The overall FM risk for the project has been assessed as </w:t>
      </w:r>
      <w:r w:rsidRPr="007A2A83">
        <w:rPr>
          <w:i/>
          <w:lang w:val="en-GB"/>
        </w:rPr>
        <w:t>High</w:t>
      </w:r>
      <w:r w:rsidRPr="007A2A83">
        <w:rPr>
          <w:lang w:val="en-GB"/>
        </w:rPr>
        <w:t xml:space="preserve">. But, with the articulated risk mitigation measures during implementation, this FM risk will residually fall to </w:t>
      </w:r>
      <w:r w:rsidRPr="007A2A83">
        <w:rPr>
          <w:i/>
          <w:lang w:val="en-GB"/>
        </w:rPr>
        <w:t>Substantial</w:t>
      </w:r>
      <w:r w:rsidRPr="007A2A83">
        <w:rPr>
          <w:lang w:val="en-GB"/>
        </w:rPr>
        <w:t xml:space="preserve">.  </w:t>
      </w:r>
    </w:p>
    <w:p w:rsidR="007A2A83" w:rsidRDefault="007A2A83" w:rsidP="007A2A83">
      <w:pPr>
        <w:pStyle w:val="ListParagraph"/>
        <w:rPr>
          <w:i/>
          <w:u w:val="single"/>
          <w:lang w:val="en-GB"/>
        </w:rPr>
      </w:pPr>
    </w:p>
    <w:p w:rsidR="007A2A83" w:rsidRPr="00E751C7" w:rsidRDefault="005B2CBC" w:rsidP="00D940CF">
      <w:pPr>
        <w:pStyle w:val="Header"/>
        <w:numPr>
          <w:ilvl w:val="0"/>
          <w:numId w:val="19"/>
        </w:numPr>
        <w:tabs>
          <w:tab w:val="clear" w:pos="4320"/>
          <w:tab w:val="center" w:pos="540"/>
        </w:tabs>
        <w:ind w:left="0" w:firstLine="0"/>
        <w:rPr>
          <w:b/>
        </w:rPr>
      </w:pPr>
      <w:r w:rsidRPr="007A2A83">
        <w:rPr>
          <w:i/>
          <w:u w:val="single"/>
        </w:rPr>
        <w:t xml:space="preserve">Overview of Project and </w:t>
      </w:r>
      <w:r w:rsidRPr="007A2A83">
        <w:rPr>
          <w:bCs/>
          <w:i/>
          <w:u w:val="single"/>
        </w:rPr>
        <w:t>Institutional Arrangements</w:t>
      </w:r>
      <w:r w:rsidRPr="007A2A83">
        <w:rPr>
          <w:lang w:val="en-GB"/>
        </w:rPr>
        <w:t xml:space="preserve">: </w:t>
      </w:r>
      <w:r w:rsidRPr="007A2A83">
        <w:rPr>
          <w:bCs/>
          <w:iCs/>
        </w:rPr>
        <w:t xml:space="preserve">The objective of the proposed project </w:t>
      </w:r>
      <w:r w:rsidR="007A2A83" w:rsidRPr="00AC5342">
        <w:rPr>
          <w:bCs/>
          <w:iCs/>
        </w:rPr>
        <w:t xml:space="preserve">is to improve and increase access to electricity in Liberia, </w:t>
      </w:r>
    </w:p>
    <w:p w:rsidR="00E751C7" w:rsidRPr="00AC5342" w:rsidRDefault="00E751C7" w:rsidP="00E751C7">
      <w:pPr>
        <w:pStyle w:val="Header"/>
        <w:tabs>
          <w:tab w:val="clear" w:pos="4320"/>
          <w:tab w:val="center" w:pos="540"/>
        </w:tabs>
        <w:rPr>
          <w:b/>
        </w:rPr>
      </w:pPr>
    </w:p>
    <w:p w:rsidR="005B2CBC" w:rsidRPr="007A2A83" w:rsidRDefault="005B2CBC" w:rsidP="00D940CF">
      <w:pPr>
        <w:pStyle w:val="Header"/>
        <w:numPr>
          <w:ilvl w:val="0"/>
          <w:numId w:val="19"/>
        </w:numPr>
        <w:tabs>
          <w:tab w:val="clear" w:pos="4320"/>
          <w:tab w:val="center" w:pos="540"/>
        </w:tabs>
        <w:ind w:left="0" w:firstLine="0"/>
        <w:rPr>
          <w:b/>
        </w:rPr>
      </w:pPr>
      <w:r w:rsidRPr="004F5ED1">
        <w:t xml:space="preserve">Project financial management and coordination will rely on the existing RREA accounting system in place to ensure an effective and efficient management of resources. The RREA has been responsible for implementing the Bank Executed (BE) </w:t>
      </w:r>
      <w:r>
        <w:t>R</w:t>
      </w:r>
      <w:r w:rsidRPr="004F5ED1">
        <w:t xml:space="preserve">ural </w:t>
      </w:r>
      <w:r>
        <w:t>E</w:t>
      </w:r>
      <w:r w:rsidRPr="004F5ED1">
        <w:t>lectrification project in Liberia since its inception</w:t>
      </w:r>
      <w:r>
        <w:t xml:space="preserve"> in </w:t>
      </w:r>
      <w:r w:rsidRPr="003B4797">
        <w:t>April of 2010</w:t>
      </w:r>
      <w:r w:rsidRPr="004F5ED1">
        <w:t>. The Agency is now executing the $2 million Recipient Executed World Bank financed Catalyzing New Renewable Energy in Rural Liberia</w:t>
      </w:r>
      <w:r>
        <w:t xml:space="preserve"> project</w:t>
      </w:r>
      <w:r w:rsidRPr="004F5ED1">
        <w:t xml:space="preserve">. The RREA is staffed with a strong project implementation team with vast experience in rural electrification. The finance unit is </w:t>
      </w:r>
      <w:r>
        <w:t xml:space="preserve">also </w:t>
      </w:r>
      <w:r w:rsidRPr="004F5ED1">
        <w:t>staffed with an Accountant who has about 9 years of project financial management experience. As part of its contribution to the project, the Government of Liberia (</w:t>
      </w:r>
      <w:proofErr w:type="spellStart"/>
      <w:r w:rsidRPr="004F5ED1">
        <w:t>GoL</w:t>
      </w:r>
      <w:proofErr w:type="spellEnd"/>
      <w:r w:rsidRPr="004F5ED1">
        <w:t>) has committed $200,000 to support project staff salaries. Part of this amount will be used to recruit</w:t>
      </w:r>
      <w:r>
        <w:t xml:space="preserve"> an incremental </w:t>
      </w:r>
      <w:r w:rsidRPr="004F5ED1">
        <w:t xml:space="preserve">Accounting Officer </w:t>
      </w:r>
      <w:r>
        <w:t>to support this</w:t>
      </w:r>
      <w:r w:rsidRPr="004F5ED1">
        <w:t xml:space="preserve"> project.</w:t>
      </w:r>
    </w:p>
    <w:p w:rsidR="007A2A83" w:rsidRPr="007A2A83" w:rsidRDefault="007A2A83" w:rsidP="007A2A83">
      <w:pPr>
        <w:pStyle w:val="Header"/>
        <w:tabs>
          <w:tab w:val="clear" w:pos="4320"/>
          <w:tab w:val="center" w:pos="540"/>
        </w:tabs>
        <w:rPr>
          <w:lang w:val="en-GB"/>
        </w:rPr>
      </w:pPr>
    </w:p>
    <w:p w:rsidR="005B2CBC" w:rsidRPr="004F5ED1" w:rsidRDefault="005B2CBC" w:rsidP="00D940CF">
      <w:pPr>
        <w:pStyle w:val="Header"/>
        <w:numPr>
          <w:ilvl w:val="0"/>
          <w:numId w:val="19"/>
        </w:numPr>
        <w:tabs>
          <w:tab w:val="clear" w:pos="4320"/>
          <w:tab w:val="center" w:pos="540"/>
        </w:tabs>
        <w:ind w:left="0" w:firstLine="0"/>
        <w:rPr>
          <w:lang w:val="en-GB"/>
        </w:rPr>
      </w:pPr>
      <w:r w:rsidRPr="004F5ED1">
        <w:rPr>
          <w:i/>
          <w:u w:val="single"/>
        </w:rPr>
        <w:lastRenderedPageBreak/>
        <w:t>Budgeting</w:t>
      </w:r>
      <w:r w:rsidRPr="004F5ED1">
        <w:rPr>
          <w:i/>
        </w:rPr>
        <w:t xml:space="preserve">: </w:t>
      </w:r>
      <w:r w:rsidRPr="004F5ED1">
        <w:t>RREA will prepare an annual budget based on an annual work</w:t>
      </w:r>
      <w:r>
        <w:t xml:space="preserve"> plan</w:t>
      </w:r>
      <w:r w:rsidRPr="004F5ED1">
        <w:t xml:space="preserve"> that has been approved by the World Bank. Most of the activities of the key components are already known and these will be included in the Credit’s annual budgets. The budget will be approved by the World Banks and incorporated into the quarterly interim un-audited financial reports for monitoring against actual expenditures of activities within components and disbursement categories of the project</w:t>
      </w:r>
      <w:r>
        <w:t xml:space="preserve"> during implementation</w:t>
      </w:r>
      <w:r w:rsidRPr="004F5ED1">
        <w:t>.</w:t>
      </w:r>
    </w:p>
    <w:p w:rsidR="007A2A83" w:rsidRPr="007A2A83" w:rsidRDefault="007A2A83" w:rsidP="007A2A83">
      <w:pPr>
        <w:pStyle w:val="Header"/>
        <w:tabs>
          <w:tab w:val="clear" w:pos="4320"/>
          <w:tab w:val="center" w:pos="540"/>
        </w:tabs>
        <w:rPr>
          <w:lang w:val="en-GB"/>
        </w:rPr>
      </w:pPr>
    </w:p>
    <w:p w:rsidR="007A2A83" w:rsidRPr="007A2A83" w:rsidRDefault="005B2CBC" w:rsidP="00D940CF">
      <w:pPr>
        <w:pStyle w:val="Header"/>
        <w:numPr>
          <w:ilvl w:val="0"/>
          <w:numId w:val="19"/>
        </w:numPr>
        <w:tabs>
          <w:tab w:val="clear" w:pos="4320"/>
          <w:tab w:val="center" w:pos="540"/>
        </w:tabs>
        <w:ind w:left="0" w:firstLine="0"/>
        <w:rPr>
          <w:lang w:val="en-GB"/>
        </w:rPr>
      </w:pPr>
      <w:r w:rsidRPr="004F5ED1">
        <w:rPr>
          <w:i/>
          <w:u w:val="single"/>
        </w:rPr>
        <w:t>Internal Control &amp; Internal Auditing</w:t>
      </w:r>
      <w:r w:rsidRPr="004F5ED1">
        <w:rPr>
          <w:i/>
        </w:rPr>
        <w:t xml:space="preserve">: </w:t>
      </w:r>
      <w:r w:rsidRPr="004F5ED1">
        <w:rPr>
          <w:lang w:val="en-GB"/>
        </w:rPr>
        <w:t>RREA’s FM manual has</w:t>
      </w:r>
      <w:r w:rsidRPr="004F5ED1">
        <w:t xml:space="preserve"> laid down internal control procedures and processes that ensure that transactions are approved by appropriate personnel and ensure segregation of duties between approval, execution, accounting and reporting functions. </w:t>
      </w:r>
    </w:p>
    <w:p w:rsidR="007A2A83" w:rsidRDefault="007A2A83" w:rsidP="007A2A83">
      <w:pPr>
        <w:pStyle w:val="ListParagraph"/>
        <w:rPr>
          <w:i/>
          <w:u w:val="single"/>
        </w:rPr>
      </w:pPr>
    </w:p>
    <w:p w:rsidR="007A2A83" w:rsidRDefault="005B2CBC" w:rsidP="00D940CF">
      <w:pPr>
        <w:pStyle w:val="Header"/>
        <w:numPr>
          <w:ilvl w:val="0"/>
          <w:numId w:val="19"/>
        </w:numPr>
        <w:tabs>
          <w:tab w:val="clear" w:pos="4320"/>
          <w:tab w:val="center" w:pos="540"/>
        </w:tabs>
        <w:ind w:left="0" w:firstLine="0"/>
        <w:rPr>
          <w:lang w:val="en-GB"/>
        </w:rPr>
      </w:pPr>
      <w:r w:rsidRPr="007A2A83">
        <w:rPr>
          <w:i/>
          <w:u w:val="single"/>
        </w:rPr>
        <w:t>Accounting and Maintenance of Records</w:t>
      </w:r>
      <w:r w:rsidRPr="007A2A83">
        <w:rPr>
          <w:lang w:val="en-GB"/>
        </w:rPr>
        <w:t xml:space="preserve">:  Accounting for the use of the project funds, using a cash basis of accounting, will be carried out by the RREA using its automated accounting system (Quick Books Accounting system) that provides for adequate segregation of function, accurate recording of all accounting transactions of the project. The system is also capable of producing accurate periodic financial reports including interim un-audited financial reports (IFR) and annual project financial statements that considered acceptable to the Bank. A project Fixed Assets register will be maintained at all times to correctly reflect assets acquired or created under the project. </w:t>
      </w:r>
    </w:p>
    <w:p w:rsidR="007A2A83" w:rsidRDefault="007A2A83" w:rsidP="007A2A83">
      <w:pPr>
        <w:pStyle w:val="ListParagraph"/>
        <w:rPr>
          <w:i/>
          <w:snapToGrid w:val="0"/>
          <w:u w:val="single"/>
        </w:rPr>
      </w:pPr>
    </w:p>
    <w:p w:rsidR="007A2A83" w:rsidRPr="007A2A83" w:rsidRDefault="005B2CBC" w:rsidP="00D940CF">
      <w:pPr>
        <w:pStyle w:val="Header"/>
        <w:numPr>
          <w:ilvl w:val="0"/>
          <w:numId w:val="19"/>
        </w:numPr>
        <w:tabs>
          <w:tab w:val="clear" w:pos="4320"/>
          <w:tab w:val="center" w:pos="540"/>
        </w:tabs>
        <w:ind w:left="0" w:firstLine="0"/>
        <w:rPr>
          <w:lang w:val="en-GB"/>
        </w:rPr>
      </w:pPr>
      <w:r w:rsidRPr="007A2A83">
        <w:rPr>
          <w:i/>
          <w:snapToGrid w:val="0"/>
          <w:u w:val="single"/>
        </w:rPr>
        <w:t>Financial Reporting Arrangements</w:t>
      </w:r>
      <w:r w:rsidRPr="007A2A83">
        <w:rPr>
          <w:snapToGrid w:val="0"/>
        </w:rPr>
        <w:t xml:space="preserve">: </w:t>
      </w:r>
      <w:r w:rsidRPr="004F5ED1">
        <w:t xml:space="preserve">RREA will prepare quarterly Interim (un-audited) Financial Statements or Reports (IFR) to be submitted to the World Bank within 45 days after the end of each calendar quarter. The IFR will comprise the following statements: sources and uses of funds; Uses of Funds by activity within component; status of funds disbursement; schedule of commitments/contracts; schedule of fixed assets (acquired under the Grant); bank statements and bank reconciliation statements. </w:t>
      </w:r>
    </w:p>
    <w:p w:rsidR="007A2A83" w:rsidRDefault="007A2A83" w:rsidP="007A2A83">
      <w:pPr>
        <w:pStyle w:val="ListParagraph"/>
        <w:rPr>
          <w:i/>
          <w:u w:val="single"/>
        </w:rPr>
      </w:pPr>
    </w:p>
    <w:p w:rsidR="007A2A83" w:rsidRDefault="005B2CBC" w:rsidP="00D940CF">
      <w:pPr>
        <w:pStyle w:val="Header"/>
        <w:numPr>
          <w:ilvl w:val="0"/>
          <w:numId w:val="19"/>
        </w:numPr>
        <w:tabs>
          <w:tab w:val="clear" w:pos="4320"/>
          <w:tab w:val="center" w:pos="540"/>
        </w:tabs>
        <w:ind w:left="0" w:firstLine="0"/>
        <w:rPr>
          <w:lang w:val="en-GB"/>
        </w:rPr>
      </w:pPr>
      <w:r w:rsidRPr="007A2A83">
        <w:rPr>
          <w:i/>
          <w:u w:val="single"/>
        </w:rPr>
        <w:t>External Auditing Arrangements</w:t>
      </w:r>
      <w:r w:rsidRPr="004F5ED1">
        <w:t xml:space="preserve">: The Liberia General Auditing Commission (GAC) will carry out an annual financial audit of the project. The arrangements for the audit of the project must be finalized within four months of the project being declared effective. The CF’s annual financial statements including designated accounts activity will be audited in accordance with International Standards of Auditing (ISA) and a single opinion will be issued to cover the project financial statements, SOEs and the designated account. The auditors’ report and opinion in respect of the financial statements including the management letter would be furnished to the World Bank within six months of the close of each </w:t>
      </w:r>
      <w:proofErr w:type="spellStart"/>
      <w:r>
        <w:t>GoL</w:t>
      </w:r>
      <w:proofErr w:type="spellEnd"/>
      <w:r>
        <w:t xml:space="preserve"> </w:t>
      </w:r>
      <w:r w:rsidRPr="004F5ED1">
        <w:t>fiscal year</w:t>
      </w:r>
      <w:r w:rsidRPr="007A2A83">
        <w:rPr>
          <w:lang w:val="en-GB"/>
        </w:rPr>
        <w:t>.</w:t>
      </w:r>
    </w:p>
    <w:p w:rsidR="007A2A83" w:rsidRDefault="007A2A83" w:rsidP="007A2A83">
      <w:pPr>
        <w:pStyle w:val="ListParagraph"/>
        <w:rPr>
          <w:i/>
          <w:u w:val="single"/>
        </w:rPr>
      </w:pPr>
    </w:p>
    <w:p w:rsidR="007A2A83" w:rsidRDefault="005B2CBC" w:rsidP="00D940CF">
      <w:pPr>
        <w:pStyle w:val="Header"/>
        <w:numPr>
          <w:ilvl w:val="0"/>
          <w:numId w:val="19"/>
        </w:numPr>
        <w:tabs>
          <w:tab w:val="clear" w:pos="4320"/>
          <w:tab w:val="center" w:pos="540"/>
        </w:tabs>
        <w:ind w:left="0" w:firstLine="0"/>
        <w:rPr>
          <w:lang w:val="en-GB"/>
        </w:rPr>
      </w:pPr>
      <w:r w:rsidRPr="007A2A83">
        <w:rPr>
          <w:i/>
          <w:u w:val="single"/>
        </w:rPr>
        <w:t>Funds Flow and Disbursement Arrangements</w:t>
      </w:r>
      <w:r w:rsidRPr="002B02B0">
        <w:t>: Under the Credit, RREA will establish a Designated Account with</w:t>
      </w:r>
      <w:r>
        <w:t xml:space="preserve"> a commercial bank approved by the World Bank</w:t>
      </w:r>
      <w:r w:rsidRPr="002B02B0">
        <w:t xml:space="preserve">. The Designated Account will be maintained in US$ to receive disbursements from the Credit.  RREA will execute the activities as approved in the procurement plan in respect to the project components and make payments for approved and authorized transactions to contractors, suppliers and service providers. </w:t>
      </w:r>
      <w:r w:rsidRPr="007A2A83">
        <w:rPr>
          <w:lang w:val="en-GB"/>
        </w:rPr>
        <w:t>The report-based disbursement method (Interim Financial Reports) will be used as a basis for the withdrawal of credit proceeds. The project provides for the use of advances, reimbursements, special commitments and direct payments as applicable disbursement methods, and these will be specifie</w:t>
      </w:r>
      <w:r w:rsidR="007A2A83">
        <w:rPr>
          <w:lang w:val="en-GB"/>
        </w:rPr>
        <w:t xml:space="preserve">d in the disbursement letter.  </w:t>
      </w:r>
    </w:p>
    <w:p w:rsidR="007A2A83" w:rsidRDefault="007A2A83" w:rsidP="007A2A83">
      <w:pPr>
        <w:pStyle w:val="ListParagraph"/>
        <w:rPr>
          <w:lang w:val="en-GB"/>
        </w:rPr>
      </w:pPr>
    </w:p>
    <w:p w:rsidR="007A2A83" w:rsidRDefault="007A2A83" w:rsidP="00D940CF">
      <w:pPr>
        <w:pStyle w:val="Header"/>
        <w:numPr>
          <w:ilvl w:val="0"/>
          <w:numId w:val="19"/>
        </w:numPr>
        <w:tabs>
          <w:tab w:val="clear" w:pos="4320"/>
          <w:tab w:val="center" w:pos="540"/>
        </w:tabs>
        <w:ind w:left="0" w:firstLine="0"/>
        <w:rPr>
          <w:lang w:val="en-GB"/>
        </w:rPr>
      </w:pPr>
      <w:r>
        <w:rPr>
          <w:lang w:val="en-GB"/>
        </w:rPr>
        <w:lastRenderedPageBreak/>
        <w:t>A</w:t>
      </w:r>
      <w:r w:rsidR="005B2CBC" w:rsidRPr="007A2A83">
        <w:rPr>
          <w:lang w:val="en-GB"/>
        </w:rPr>
        <w:t xml:space="preserve">n initial advance will be provided for the implementing entity, based on a forecast of eligible expenditures against each component, linked to the appropriate disbursement categories and in accordance with instructions provided in the Disbursement Letter.  These forecasts will be premised on the annual work plans that will be provided to IDA and cleared by the task team leader.  Replenishments, through fresh withdrawal applications to the Bank, into the designated accounts will be made subsequently, at quarterly intervals, but such withdrawals will equally be based on the net cash requirements that are linked to </w:t>
      </w:r>
      <w:proofErr w:type="gramStart"/>
      <w:r w:rsidR="005B2CBC" w:rsidRPr="007A2A83">
        <w:rPr>
          <w:lang w:val="en-GB"/>
        </w:rPr>
        <w:t>approved</w:t>
      </w:r>
      <w:proofErr w:type="gramEnd"/>
      <w:r w:rsidR="005B2CBC" w:rsidRPr="007A2A83">
        <w:rPr>
          <w:lang w:val="en-GB"/>
        </w:rPr>
        <w:t xml:space="preserve"> work plans.  Supporting documentation will be retained by the implementing agencies for review by IDA missions and external auditors. Any advances made for contracts will be secured by a bank guarantee or performance-based bonds and a retention amount withheld.</w:t>
      </w:r>
    </w:p>
    <w:p w:rsidR="005B2CBC" w:rsidRPr="007A2A83" w:rsidRDefault="005B2CBC" w:rsidP="00D940CF">
      <w:pPr>
        <w:pStyle w:val="Header"/>
        <w:numPr>
          <w:ilvl w:val="0"/>
          <w:numId w:val="19"/>
        </w:numPr>
        <w:tabs>
          <w:tab w:val="clear" w:pos="4320"/>
          <w:tab w:val="center" w:pos="540"/>
        </w:tabs>
        <w:ind w:left="0" w:firstLine="0"/>
        <w:rPr>
          <w:lang w:val="en-GB"/>
        </w:rPr>
      </w:pPr>
      <w:r w:rsidRPr="0034193E">
        <w:t>For a period of four (4) months after the closing date of the Grant, disbursements for expenditures incurred prior to the closing date will be allowed</w:t>
      </w:r>
      <w:r>
        <w:t>.</w:t>
      </w:r>
    </w:p>
    <w:p w:rsidR="005B2CBC" w:rsidRPr="004F5ED1" w:rsidRDefault="005B2CBC" w:rsidP="005B2CBC">
      <w:pPr>
        <w:spacing w:after="120"/>
        <w:jc w:val="both"/>
      </w:pPr>
    </w:p>
    <w:p w:rsidR="005B2CBC" w:rsidRPr="004F5ED1" w:rsidRDefault="005B2CBC" w:rsidP="00217E5F">
      <w:pPr>
        <w:widowControl w:val="0"/>
        <w:numPr>
          <w:ilvl w:val="0"/>
          <w:numId w:val="14"/>
        </w:numPr>
        <w:autoSpaceDE w:val="0"/>
        <w:autoSpaceDN w:val="0"/>
        <w:ind w:left="1440" w:right="162" w:hanging="1440"/>
        <w:jc w:val="both"/>
        <w:rPr>
          <w:lang w:val="en-GB"/>
        </w:rPr>
      </w:pPr>
      <w:r w:rsidRPr="004F5ED1">
        <w:rPr>
          <w:i/>
          <w:u w:val="single"/>
          <w:lang w:val="en-GB"/>
        </w:rPr>
        <w:t>Disbursement Summary</w:t>
      </w:r>
      <w:r w:rsidRPr="004F5ED1">
        <w:rPr>
          <w:lang w:val="en-GB"/>
        </w:rPr>
        <w:t xml:space="preserve">: The disbursement summary by category is shown in the table below: </w:t>
      </w:r>
    </w:p>
    <w:p w:rsidR="005B2CBC" w:rsidRPr="004F5ED1" w:rsidRDefault="005B2CBC" w:rsidP="005B2CBC">
      <w:pPr>
        <w:widowControl w:val="0"/>
        <w:autoSpaceDE w:val="0"/>
        <w:autoSpaceDN w:val="0"/>
        <w:ind w:right="162"/>
        <w:jc w:val="both"/>
      </w:pPr>
    </w:p>
    <w:p w:rsidR="005B2CBC" w:rsidRPr="004F5ED1" w:rsidRDefault="005B2CBC" w:rsidP="005B2CBC">
      <w:pPr>
        <w:widowControl w:val="0"/>
        <w:autoSpaceDE w:val="0"/>
        <w:autoSpaceDN w:val="0"/>
        <w:ind w:right="162"/>
        <w:jc w:val="both"/>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1"/>
        <w:gridCol w:w="2015"/>
        <w:gridCol w:w="4733"/>
      </w:tblGrid>
      <w:tr w:rsidR="005B2CBC" w:rsidRPr="004F5ED1" w:rsidTr="000E7C1D">
        <w:trPr>
          <w:jc w:val="center"/>
        </w:trPr>
        <w:tc>
          <w:tcPr>
            <w:tcW w:w="1437" w:type="pct"/>
          </w:tcPr>
          <w:p w:rsidR="005B2CBC" w:rsidRPr="003B4797" w:rsidRDefault="005B2CBC" w:rsidP="00C05D44">
            <w:pPr>
              <w:widowControl w:val="0"/>
              <w:autoSpaceDE w:val="0"/>
              <w:autoSpaceDN w:val="0"/>
              <w:ind w:right="162"/>
              <w:jc w:val="both"/>
              <w:rPr>
                <w:b/>
                <w:bCs/>
              </w:rPr>
            </w:pPr>
            <w:r w:rsidRPr="003B4797">
              <w:rPr>
                <w:b/>
                <w:bCs/>
              </w:rPr>
              <w:t>Category</w:t>
            </w:r>
          </w:p>
        </w:tc>
        <w:tc>
          <w:tcPr>
            <w:tcW w:w="1064" w:type="pct"/>
          </w:tcPr>
          <w:p w:rsidR="005B2CBC" w:rsidRPr="003B4797" w:rsidRDefault="005B2CBC" w:rsidP="00C05D44">
            <w:pPr>
              <w:widowControl w:val="0"/>
              <w:autoSpaceDE w:val="0"/>
              <w:autoSpaceDN w:val="0"/>
              <w:ind w:right="162"/>
              <w:jc w:val="both"/>
              <w:rPr>
                <w:b/>
                <w:bCs/>
              </w:rPr>
            </w:pPr>
            <w:r w:rsidRPr="003B4797">
              <w:rPr>
                <w:b/>
                <w:bCs/>
              </w:rPr>
              <w:t>Amount of the Credit Allocated (expressed in USD)</w:t>
            </w:r>
          </w:p>
        </w:tc>
        <w:tc>
          <w:tcPr>
            <w:tcW w:w="2499" w:type="pct"/>
          </w:tcPr>
          <w:p w:rsidR="005B2CBC" w:rsidRPr="003B4797" w:rsidRDefault="005B2CBC" w:rsidP="00C05D44">
            <w:pPr>
              <w:widowControl w:val="0"/>
              <w:autoSpaceDE w:val="0"/>
              <w:autoSpaceDN w:val="0"/>
              <w:ind w:right="162"/>
              <w:jc w:val="both"/>
              <w:rPr>
                <w:b/>
                <w:bCs/>
              </w:rPr>
            </w:pPr>
            <w:r w:rsidRPr="003B4797">
              <w:rPr>
                <w:b/>
                <w:bCs/>
              </w:rPr>
              <w:t>Percentage of Expenditures to be Financed</w:t>
            </w:r>
          </w:p>
          <w:p w:rsidR="005B2CBC" w:rsidRPr="003B4797" w:rsidRDefault="005B2CBC" w:rsidP="00C05D44">
            <w:pPr>
              <w:widowControl w:val="0"/>
              <w:autoSpaceDE w:val="0"/>
              <w:autoSpaceDN w:val="0"/>
              <w:ind w:right="162"/>
              <w:jc w:val="both"/>
              <w:rPr>
                <w:b/>
                <w:bCs/>
              </w:rPr>
            </w:pPr>
            <w:r w:rsidRPr="003B4797">
              <w:rPr>
                <w:b/>
                <w:bCs/>
              </w:rPr>
              <w:t>(inclusive of Taxes)</w:t>
            </w:r>
          </w:p>
        </w:tc>
      </w:tr>
      <w:tr w:rsidR="005B2CBC" w:rsidRPr="004F5ED1" w:rsidTr="000E7C1D">
        <w:trPr>
          <w:jc w:val="center"/>
        </w:trPr>
        <w:tc>
          <w:tcPr>
            <w:tcW w:w="1437" w:type="pct"/>
          </w:tcPr>
          <w:p w:rsidR="005B2CBC" w:rsidRPr="004F5ED1" w:rsidRDefault="005B2CBC" w:rsidP="00D940CF">
            <w:pPr>
              <w:widowControl w:val="0"/>
              <w:numPr>
                <w:ilvl w:val="0"/>
                <w:numId w:val="13"/>
              </w:numPr>
              <w:autoSpaceDE w:val="0"/>
              <w:autoSpaceDN w:val="0"/>
              <w:ind w:right="162"/>
              <w:jc w:val="both"/>
            </w:pPr>
          </w:p>
        </w:tc>
        <w:tc>
          <w:tcPr>
            <w:tcW w:w="1064" w:type="pct"/>
          </w:tcPr>
          <w:p w:rsidR="005B2CBC" w:rsidRPr="004F5ED1" w:rsidRDefault="005B2CBC" w:rsidP="00C05D44">
            <w:pPr>
              <w:widowControl w:val="0"/>
              <w:autoSpaceDE w:val="0"/>
              <w:autoSpaceDN w:val="0"/>
              <w:ind w:right="162"/>
              <w:jc w:val="both"/>
            </w:pPr>
          </w:p>
        </w:tc>
        <w:tc>
          <w:tcPr>
            <w:tcW w:w="2499" w:type="pct"/>
          </w:tcPr>
          <w:p w:rsidR="005B2CBC" w:rsidRPr="004F5ED1" w:rsidRDefault="005B2CBC" w:rsidP="00C05D44">
            <w:pPr>
              <w:widowControl w:val="0"/>
              <w:autoSpaceDE w:val="0"/>
              <w:autoSpaceDN w:val="0"/>
              <w:ind w:right="162"/>
              <w:jc w:val="both"/>
            </w:pPr>
          </w:p>
        </w:tc>
      </w:tr>
      <w:tr w:rsidR="005B2CBC" w:rsidRPr="004F5ED1" w:rsidTr="000E7C1D">
        <w:trPr>
          <w:jc w:val="center"/>
        </w:trPr>
        <w:tc>
          <w:tcPr>
            <w:tcW w:w="1437" w:type="pct"/>
          </w:tcPr>
          <w:p w:rsidR="005B2CBC" w:rsidRPr="004F5ED1" w:rsidRDefault="005B2CBC" w:rsidP="00C05D44">
            <w:pPr>
              <w:widowControl w:val="0"/>
              <w:autoSpaceDE w:val="0"/>
              <w:autoSpaceDN w:val="0"/>
              <w:ind w:right="162"/>
              <w:jc w:val="both"/>
              <w:rPr>
                <w:b/>
                <w:bCs/>
              </w:rPr>
            </w:pPr>
            <w:r w:rsidRPr="004F5ED1">
              <w:rPr>
                <w:b/>
                <w:bCs/>
              </w:rPr>
              <w:t xml:space="preserve">TOTAL </w:t>
            </w:r>
          </w:p>
        </w:tc>
        <w:tc>
          <w:tcPr>
            <w:tcW w:w="1064" w:type="pct"/>
          </w:tcPr>
          <w:p w:rsidR="005B2CBC" w:rsidRPr="004F5ED1" w:rsidRDefault="005B2CBC" w:rsidP="00C05D44">
            <w:pPr>
              <w:widowControl w:val="0"/>
              <w:autoSpaceDE w:val="0"/>
              <w:autoSpaceDN w:val="0"/>
              <w:ind w:right="162"/>
              <w:jc w:val="both"/>
            </w:pPr>
          </w:p>
        </w:tc>
        <w:tc>
          <w:tcPr>
            <w:tcW w:w="2499" w:type="pct"/>
          </w:tcPr>
          <w:p w:rsidR="005B2CBC" w:rsidRPr="004F5ED1" w:rsidRDefault="005B2CBC" w:rsidP="00C05D44">
            <w:pPr>
              <w:widowControl w:val="0"/>
              <w:autoSpaceDE w:val="0"/>
              <w:autoSpaceDN w:val="0"/>
              <w:ind w:right="162"/>
              <w:jc w:val="both"/>
            </w:pPr>
          </w:p>
        </w:tc>
      </w:tr>
    </w:tbl>
    <w:p w:rsidR="005B2CBC" w:rsidRPr="004F5ED1" w:rsidRDefault="005B2CBC" w:rsidP="005B2CBC">
      <w:pPr>
        <w:widowControl w:val="0"/>
        <w:autoSpaceDE w:val="0"/>
        <w:autoSpaceDN w:val="0"/>
        <w:ind w:right="162"/>
        <w:jc w:val="both"/>
      </w:pPr>
    </w:p>
    <w:p w:rsidR="005B2CBC" w:rsidRPr="004F5ED1" w:rsidRDefault="005B2CBC" w:rsidP="005B2CBC">
      <w:pPr>
        <w:pStyle w:val="ListParagraph"/>
        <w:tabs>
          <w:tab w:val="left" w:pos="0"/>
        </w:tabs>
        <w:ind w:left="0"/>
        <w:contextualSpacing w:val="0"/>
        <w:jc w:val="both"/>
      </w:pPr>
    </w:p>
    <w:p w:rsidR="005B2CBC" w:rsidRPr="004F5ED1" w:rsidRDefault="005B2CBC" w:rsidP="00217E5F">
      <w:pPr>
        <w:numPr>
          <w:ilvl w:val="0"/>
          <w:numId w:val="14"/>
        </w:numPr>
        <w:spacing w:after="120"/>
        <w:ind w:left="0" w:firstLine="0"/>
        <w:rPr>
          <w:lang w:val="en-GB"/>
        </w:rPr>
      </w:pPr>
      <w:r w:rsidRPr="004F5ED1">
        <w:rPr>
          <w:i/>
        </w:rPr>
        <w:t>FM Supervision plan</w:t>
      </w:r>
      <w:r w:rsidRPr="004F5ED1">
        <w:t xml:space="preserve">: </w:t>
      </w:r>
      <w:r w:rsidR="00217E5F">
        <w:t xml:space="preserve"> </w:t>
      </w:r>
      <w:r w:rsidRPr="004F5ED1">
        <w:t>Consistent with the risk rating an</w:t>
      </w:r>
      <w:r w:rsidR="00217E5F">
        <w:t>d</w:t>
      </w:r>
      <w:r w:rsidRPr="004F5ED1">
        <w:t xml:space="preserve"> semi-annual FM implementation support mission will be carried at the RREA. The FM supervision missions’ objectives will include ensuring that strong financial management systems are maintained for the project at the RREA and providing guidance to RREA on financial management issues throughout the project’s life.  The supervision will include desk reviews of IFRs, testing of expenditures, review of audit reports, and evaluation of the efficiency of the payment processing, internal control processes, and funds flow arrangements. </w:t>
      </w:r>
    </w:p>
    <w:p w:rsidR="005B2CBC" w:rsidRDefault="005B2CBC" w:rsidP="00217E5F">
      <w:pPr>
        <w:rPr>
          <w:lang w:val="en-GB"/>
        </w:rPr>
      </w:pPr>
    </w:p>
    <w:p w:rsidR="00AC5342" w:rsidRDefault="00AC5342" w:rsidP="00623450">
      <w:pPr>
        <w:rPr>
          <w:lang w:val="en-GB"/>
        </w:rPr>
      </w:pPr>
    </w:p>
    <w:p w:rsidR="00AC5342" w:rsidRDefault="00AC5342" w:rsidP="00623450">
      <w:pPr>
        <w:rPr>
          <w:lang w:val="en-GB"/>
        </w:rPr>
      </w:pPr>
    </w:p>
    <w:p w:rsidR="00AC5342" w:rsidRDefault="00AC5342" w:rsidP="00623450">
      <w:pPr>
        <w:rPr>
          <w:lang w:val="en-GB"/>
        </w:rPr>
      </w:pPr>
    </w:p>
    <w:p w:rsidR="00AC5342" w:rsidRDefault="00217E5F" w:rsidP="00623450">
      <w:pPr>
        <w:rPr>
          <w:lang w:val="en-GB"/>
        </w:rPr>
      </w:pPr>
      <w:r>
        <w:rPr>
          <w:lang w:val="en-GB"/>
        </w:rPr>
        <w:br w:type="page"/>
      </w:r>
    </w:p>
    <w:p w:rsidR="00623450" w:rsidRDefault="005B2CBC" w:rsidP="003D2522">
      <w:pPr>
        <w:pStyle w:val="Heading1"/>
        <w:jc w:val="center"/>
      </w:pPr>
      <w:bookmarkStart w:id="20" w:name="_Toc308712774"/>
      <w:r>
        <w:t xml:space="preserve">Annex 6. </w:t>
      </w:r>
      <w:r w:rsidR="00217E5F">
        <w:t xml:space="preserve"> </w:t>
      </w:r>
      <w:r>
        <w:t xml:space="preserve">Procurement </w:t>
      </w:r>
      <w:r w:rsidR="007A2A83">
        <w:t>Assessment</w:t>
      </w:r>
      <w:bookmarkEnd w:id="20"/>
    </w:p>
    <w:p w:rsidR="005B2CBC" w:rsidRDefault="005B2CBC" w:rsidP="00623450">
      <w:pPr>
        <w:rPr>
          <w:b/>
        </w:rPr>
      </w:pPr>
    </w:p>
    <w:p w:rsidR="00C05D44" w:rsidRPr="00115EAC" w:rsidRDefault="007A2A83" w:rsidP="00C05D44">
      <w:pPr>
        <w:jc w:val="center"/>
        <w:rPr>
          <w:b/>
          <w:u w:val="single"/>
        </w:rPr>
      </w:pPr>
      <w:r>
        <w:rPr>
          <w:b/>
          <w:u w:val="single"/>
        </w:rPr>
        <w:t xml:space="preserve">LESEP </w:t>
      </w:r>
      <w:r w:rsidR="00C05D44" w:rsidRPr="00115EAC">
        <w:rPr>
          <w:b/>
          <w:u w:val="single"/>
        </w:rPr>
        <w:t>ADDITIONAL FINANCING</w:t>
      </w:r>
    </w:p>
    <w:p w:rsidR="00C05D44" w:rsidRDefault="00C05D44" w:rsidP="00C05D44">
      <w:pPr>
        <w:rPr>
          <w:b/>
        </w:rPr>
      </w:pPr>
    </w:p>
    <w:p w:rsidR="00C05D44" w:rsidRDefault="00C05D44" w:rsidP="00C05D44">
      <w:pPr>
        <w:rPr>
          <w:b/>
        </w:rPr>
      </w:pPr>
    </w:p>
    <w:p w:rsidR="00C05D44" w:rsidRPr="00D77AD5" w:rsidRDefault="00C05D44" w:rsidP="00C05D44">
      <w:pPr>
        <w:rPr>
          <w:b/>
        </w:rPr>
      </w:pPr>
      <w:r>
        <w:rPr>
          <w:b/>
        </w:rPr>
        <w:t xml:space="preserve">Procurement </w:t>
      </w:r>
      <w:r w:rsidRPr="00D77AD5">
        <w:rPr>
          <w:b/>
        </w:rPr>
        <w:t>Assessment of the two Agencies’ capacity to implement procurement</w:t>
      </w:r>
    </w:p>
    <w:p w:rsidR="00C05D44" w:rsidRPr="00D77AD5" w:rsidRDefault="00C05D44" w:rsidP="00C05D44">
      <w:pPr>
        <w:rPr>
          <w:b/>
        </w:rPr>
      </w:pPr>
    </w:p>
    <w:p w:rsidR="00C05D44" w:rsidRPr="00D77AD5" w:rsidRDefault="00C05D44" w:rsidP="00D940CF">
      <w:pPr>
        <w:pStyle w:val="ListParagraph"/>
        <w:numPr>
          <w:ilvl w:val="0"/>
          <w:numId w:val="16"/>
        </w:numPr>
        <w:autoSpaceDE w:val="0"/>
        <w:autoSpaceDN w:val="0"/>
        <w:adjustRightInd w:val="0"/>
        <w:ind w:left="0" w:firstLine="0"/>
        <w:contextualSpacing w:val="0"/>
      </w:pPr>
      <w:r w:rsidRPr="00D77AD5">
        <w:t xml:space="preserve"> An assessment of the capacity of the two Agencies, which operate under the aegis of the Ministry of Mines Lands and Energy, i.e. Liberia Electricity Corporation (LEC) and the Rural and Renewable Energy Agency (RREA) to implement procurement actions under the</w:t>
      </w:r>
      <w:r w:rsidRPr="00D77AD5">
        <w:rPr>
          <w:b/>
        </w:rPr>
        <w:t xml:space="preserve"> </w:t>
      </w:r>
      <w:r w:rsidRPr="00D77AD5">
        <w:t xml:space="preserve">LESEP was </w:t>
      </w:r>
      <w:r>
        <w:t xml:space="preserve">originally </w:t>
      </w:r>
      <w:r w:rsidRPr="00D77AD5">
        <w:t xml:space="preserve">carried out in October 2010 by a World Bank Consultant based in the Ghana Country Office.  </w:t>
      </w:r>
      <w:r>
        <w:t xml:space="preserve">The assessment was validated in November 2011. </w:t>
      </w:r>
      <w:r w:rsidRPr="00D77AD5">
        <w:t xml:space="preserve">The </w:t>
      </w:r>
      <w:r>
        <w:t>validation</w:t>
      </w:r>
      <w:r w:rsidRPr="00D77AD5">
        <w:t xml:space="preserve"> reviewed, to some extent, the organizational structure for implementing the respective project components and the interaction between the projects’ staff responsible for procurement and the environment within which procurement is to be delivered.  The risks identified for the LEC assessment were: (</w:t>
      </w:r>
      <w:proofErr w:type="spellStart"/>
      <w:r w:rsidRPr="00D77AD5">
        <w:t>i</w:t>
      </w:r>
      <w:proofErr w:type="spellEnd"/>
      <w:r w:rsidRPr="00D77AD5">
        <w:t xml:space="preserve">) inadequate capacity to handle the high volume of procurement actions; (ii) lack of in-house experience and familiarity with World Bank procurement guidelines and procedures, (iii) sustainable capacity by LEC staff to handle procurement when MHI contract expires; and </w:t>
      </w:r>
      <w:proofErr w:type="gramStart"/>
      <w:r w:rsidRPr="00D77AD5">
        <w:t>(iv) fraud</w:t>
      </w:r>
      <w:proofErr w:type="gramEnd"/>
      <w:r w:rsidRPr="00D77AD5">
        <w:t xml:space="preserve"> and corruption.  On the other hand the risks identified for the RREA assessment were:  (</w:t>
      </w:r>
      <w:proofErr w:type="spellStart"/>
      <w:r w:rsidRPr="00D77AD5">
        <w:t>i</w:t>
      </w:r>
      <w:proofErr w:type="spellEnd"/>
      <w:r w:rsidRPr="00D77AD5">
        <w:t xml:space="preserve">) lack of publication of the relevant legislation to legitimize the existence of RREA and make it operational as a Government Agency; (ii) the Procurement Specialist’s </w:t>
      </w:r>
      <w:r>
        <w:t>limited</w:t>
      </w:r>
      <w:r w:rsidRPr="00D77AD5">
        <w:t xml:space="preserve"> experience with World Bank Guidelines and procedures to facilitate the management of the procurement cycle; and (iii) the low number of recruited staff, limiting appointment of procurement committee, etc. </w:t>
      </w:r>
    </w:p>
    <w:p w:rsidR="00C05D44" w:rsidRPr="00D77AD5" w:rsidRDefault="00C05D44" w:rsidP="00C05D44">
      <w:pPr>
        <w:pStyle w:val="ListParagraph"/>
        <w:autoSpaceDE w:val="0"/>
        <w:autoSpaceDN w:val="0"/>
        <w:adjustRightInd w:val="0"/>
        <w:ind w:left="0"/>
        <w:contextualSpacing w:val="0"/>
      </w:pPr>
    </w:p>
    <w:p w:rsidR="00C05D44" w:rsidRPr="00D77AD5" w:rsidRDefault="00C05D44" w:rsidP="00D940CF">
      <w:pPr>
        <w:pStyle w:val="ListParagraph"/>
        <w:numPr>
          <w:ilvl w:val="0"/>
          <w:numId w:val="17"/>
        </w:numPr>
        <w:contextualSpacing w:val="0"/>
        <w:rPr>
          <w:b/>
          <w:i/>
          <w:u w:val="single"/>
        </w:rPr>
      </w:pPr>
      <w:r w:rsidRPr="00D77AD5">
        <w:rPr>
          <w:b/>
          <w:i/>
          <w:u w:val="single"/>
        </w:rPr>
        <w:t>Liberia Electricity Corporation (LEC)</w:t>
      </w:r>
    </w:p>
    <w:p w:rsidR="00C05D44" w:rsidRPr="00D77AD5" w:rsidRDefault="00C05D44" w:rsidP="00C05D44">
      <w:pPr>
        <w:ind w:left="720"/>
        <w:rPr>
          <w:b/>
          <w:i/>
          <w:u w:val="single"/>
        </w:rPr>
      </w:pPr>
    </w:p>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rsidRPr="00D77AD5">
        <w:t xml:space="preserve"> The LEC was established as a corporation by the “Act to Amend the Public Authorities Law to Create the Liberia Electricity Corporation” in July 12, 1973.  The Corporation is overseen by LEC’s Board of Directors. Its procurement rules respond to the Public Procurement and Concessions Act (PPCA) of Liberia, which was enacted in 2005, and amended and restated in September 2010 and herein called ‘The Amendment and Restatement of the Public Procurement and Concession Act, 2010’.  It provides a good legal framework for the conduct of transparent and comprehensive procurement.  In response to the PPCA, LEC as a procurement entity has the required structures, i.e. a procurement unit and a procurement committee.  Further, ad hoc evaluation panels are set up to evaluate bids and make recommendations to the Procurement Committee, as required by law, whenever there is a process that involves competition.  The procurement and supply management functions are clearly distinguished, and LEC has auditing arrangements in-house. In addition, it has clear technical and administrative controls for reviews, approvals and decision making. </w:t>
      </w:r>
    </w:p>
    <w:p w:rsidR="00C05D44" w:rsidRDefault="00C05D44" w:rsidP="00D940CF">
      <w:pPr>
        <w:pStyle w:val="ListParagraph"/>
        <w:numPr>
          <w:ilvl w:val="0"/>
          <w:numId w:val="16"/>
        </w:numPr>
        <w:autoSpaceDE w:val="0"/>
        <w:autoSpaceDN w:val="0"/>
        <w:adjustRightInd w:val="0"/>
        <w:spacing w:after="240"/>
        <w:ind w:left="0" w:firstLine="0"/>
        <w:contextualSpacing w:val="0"/>
      </w:pPr>
      <w:r w:rsidRPr="00D77AD5">
        <w:t xml:space="preserve">LEC has hired a Management Contractor, Manitoba Hydro Incorporated (MHI) to manage the project for a period of 5 years.  The key functions at LEC are assigned and duly staffed.  LEC has a Customer Service, Distribution &amp; Procurement Unit which is responsible for procurement.  </w:t>
      </w:r>
      <w:r>
        <w:t>Up to July 2011, t</w:t>
      </w:r>
      <w:r w:rsidRPr="00D77AD5">
        <w:t xml:space="preserve">he procurement function </w:t>
      </w:r>
      <w:r>
        <w:t>wa</w:t>
      </w:r>
      <w:r w:rsidRPr="00D77AD5">
        <w:t xml:space="preserve">s headed by an Executive Director </w:t>
      </w:r>
      <w:r>
        <w:t xml:space="preserve">(ED) </w:t>
      </w:r>
      <w:r w:rsidRPr="00D77AD5">
        <w:t xml:space="preserve">who </w:t>
      </w:r>
      <w:r>
        <w:t>wa</w:t>
      </w:r>
      <w:r w:rsidRPr="00D77AD5">
        <w:t xml:space="preserve">s a qualified Engineer and a Procurement Specialist, with a lot of experience in Donor funded projects.  He </w:t>
      </w:r>
      <w:r>
        <w:t>was</w:t>
      </w:r>
      <w:r w:rsidRPr="00D77AD5">
        <w:t xml:space="preserve"> part of the MHI team.  He </w:t>
      </w:r>
      <w:r>
        <w:t>wa</w:t>
      </w:r>
      <w:r w:rsidRPr="00D77AD5">
        <w:t xml:space="preserve">s ably assisted by three local LEC </w:t>
      </w:r>
      <w:r w:rsidRPr="00D77AD5">
        <w:lastRenderedPageBreak/>
        <w:t>staff, two with responsibility for procurement and the third responsible for the Warehouse.</w:t>
      </w:r>
      <w:r>
        <w:t xml:space="preserve"> The Executive Director resigned in July 2011 and MHI have not replaced him. </w:t>
      </w:r>
      <w:r w:rsidRPr="00D77AD5">
        <w:t xml:space="preserve"> </w:t>
      </w:r>
      <w:r>
        <w:t>Since that time, Procurement is headed by t</w:t>
      </w:r>
      <w:r w:rsidRPr="00D77AD5">
        <w:t xml:space="preserve">he Procurement Manager and his Assistant </w:t>
      </w:r>
      <w:proofErr w:type="gramStart"/>
      <w:r w:rsidRPr="00D77AD5">
        <w:t>are</w:t>
      </w:r>
      <w:proofErr w:type="gramEnd"/>
      <w:r w:rsidRPr="00D77AD5">
        <w:t xml:space="preserve"> well qualified to handle procurement in line with the PPC Act.  However, they have no experience in procurement for donor funded projects.  </w:t>
      </w:r>
      <w:r>
        <w:t xml:space="preserve">To strengthen the Procurement Unit, a Procurement Analyst has now been added to the unit. The Procurement Analyst is new to procurement and has never had previous training in procurement. </w:t>
      </w:r>
      <w:r w:rsidRPr="00D77AD5">
        <w:t xml:space="preserve">MHI </w:t>
      </w:r>
      <w:r>
        <w:t xml:space="preserve">continues to assist </w:t>
      </w:r>
      <w:r w:rsidRPr="00D77AD5">
        <w:t xml:space="preserve">the procurement team </w:t>
      </w:r>
      <w:r>
        <w:t>using</w:t>
      </w:r>
      <w:r w:rsidRPr="00D77AD5">
        <w:t xml:space="preserve"> a Supply Chain Management Specialist</w:t>
      </w:r>
      <w:r>
        <w:t xml:space="preserve"> (SCMS)</w:t>
      </w:r>
      <w:r w:rsidRPr="00D77AD5">
        <w:t>, who</w:t>
      </w:r>
      <w:r>
        <w:t xml:space="preserve"> continues to be </w:t>
      </w:r>
      <w:r w:rsidRPr="00D77AD5">
        <w:t xml:space="preserve">in charge of Materials Management.  </w:t>
      </w:r>
      <w:r>
        <w:t xml:space="preserve">The SCMS is based in Canada but comes to Liberia once in a while. </w:t>
      </w:r>
    </w:p>
    <w:p w:rsidR="00C05D44" w:rsidRDefault="00C05D44" w:rsidP="00D940CF">
      <w:pPr>
        <w:pStyle w:val="ListParagraph"/>
        <w:numPr>
          <w:ilvl w:val="0"/>
          <w:numId w:val="16"/>
        </w:numPr>
        <w:autoSpaceDE w:val="0"/>
        <w:autoSpaceDN w:val="0"/>
        <w:adjustRightInd w:val="0"/>
        <w:spacing w:after="240"/>
        <w:ind w:left="0" w:firstLine="0"/>
        <w:contextualSpacing w:val="0"/>
      </w:pPr>
      <w:r>
        <w:t xml:space="preserve">Procurement was carried out by the ED before he resigned. It was also apparent that there was no training of the local staff as they are still unfamiliar to World Bank procurement procedures. Since the departure of the ED, a total of 5 ICB procurements have been initiated, all of which are still in progress. The </w:t>
      </w:r>
      <w:proofErr w:type="gramStart"/>
      <w:r>
        <w:t>staff to some extent have</w:t>
      </w:r>
      <w:proofErr w:type="gramEnd"/>
      <w:r>
        <w:t xml:space="preserve"> managed because the procurement involved is mostly a repeat of what was previously done </w:t>
      </w:r>
      <w:r w:rsidRPr="00D77AD5">
        <w:t>and</w:t>
      </w:r>
      <w:r>
        <w:t xml:space="preserve"> previous documents have been used as templates.  </w:t>
      </w:r>
    </w:p>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rsidRPr="00634A66">
        <w:t xml:space="preserve">Record keeping at the time of the assessment was satisfactory. The procuring unit maintains a complete record of the process. </w:t>
      </w:r>
      <w:r>
        <w:t>However, the system can be improved for easier access to documents</w:t>
      </w:r>
      <w:r w:rsidRPr="00634A66">
        <w:t>.</w:t>
      </w:r>
    </w:p>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rsidRPr="00D77AD5">
        <w:t xml:space="preserve">The current LEC Procurement Unit key </w:t>
      </w:r>
      <w:proofErr w:type="gramStart"/>
      <w:r w:rsidRPr="00D77AD5">
        <w:t>staff,</w:t>
      </w:r>
      <w:r>
        <w:t xml:space="preserve"> </w:t>
      </w:r>
      <w:r w:rsidRPr="00D77AD5">
        <w:t>their designations, qualifications and procurement training are</w:t>
      </w:r>
      <w:proofErr w:type="gramEnd"/>
      <w:r w:rsidRPr="00D77AD5">
        <w:t xml:space="preserve"> shown in the table below. </w:t>
      </w:r>
    </w:p>
    <w:p w:rsidR="00C05D44" w:rsidRPr="00D77AD5" w:rsidRDefault="00C05D44" w:rsidP="00C05D44">
      <w:pPr>
        <w:pStyle w:val="ListParagraph"/>
        <w:autoSpaceDE w:val="0"/>
        <w:autoSpaceDN w:val="0"/>
        <w:adjustRightInd w:val="0"/>
        <w:spacing w:after="240"/>
        <w:ind w:left="0"/>
        <w:contextualSpacing w:val="0"/>
      </w:pPr>
    </w:p>
    <w:tbl>
      <w:tblPr>
        <w:tblW w:w="4872" w:type="pct"/>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
        <w:gridCol w:w="2284"/>
        <w:gridCol w:w="3462"/>
        <w:gridCol w:w="3094"/>
      </w:tblGrid>
      <w:tr w:rsidR="00C05D44" w:rsidRPr="00D77AD5" w:rsidTr="00953D94">
        <w:trPr>
          <w:jc w:val="center"/>
        </w:trPr>
        <w:tc>
          <w:tcPr>
            <w:tcW w:w="263" w:type="pct"/>
          </w:tcPr>
          <w:p w:rsidR="00C05D44" w:rsidRPr="00D77AD5" w:rsidRDefault="00C05D44" w:rsidP="00C05D44">
            <w:pPr>
              <w:rPr>
                <w:b/>
              </w:rPr>
            </w:pPr>
          </w:p>
        </w:tc>
        <w:tc>
          <w:tcPr>
            <w:tcW w:w="1224" w:type="pct"/>
          </w:tcPr>
          <w:p w:rsidR="00C05D44" w:rsidRPr="00D77AD5" w:rsidRDefault="00C05D44" w:rsidP="00C05D44">
            <w:pPr>
              <w:rPr>
                <w:b/>
              </w:rPr>
            </w:pPr>
            <w:r w:rsidRPr="00D77AD5">
              <w:rPr>
                <w:b/>
                <w:sz w:val="22"/>
                <w:szCs w:val="22"/>
              </w:rPr>
              <w:t>Designation</w:t>
            </w:r>
          </w:p>
        </w:tc>
        <w:tc>
          <w:tcPr>
            <w:tcW w:w="1855" w:type="pct"/>
          </w:tcPr>
          <w:p w:rsidR="00C05D44" w:rsidRPr="00D77AD5" w:rsidRDefault="00C05D44" w:rsidP="00C05D44">
            <w:pPr>
              <w:rPr>
                <w:b/>
              </w:rPr>
            </w:pPr>
            <w:r w:rsidRPr="00D77AD5">
              <w:rPr>
                <w:b/>
                <w:sz w:val="22"/>
                <w:szCs w:val="22"/>
              </w:rPr>
              <w:t>Qualifications</w:t>
            </w:r>
          </w:p>
        </w:tc>
        <w:tc>
          <w:tcPr>
            <w:tcW w:w="1658" w:type="pct"/>
          </w:tcPr>
          <w:p w:rsidR="00C05D44" w:rsidRPr="00D77AD5" w:rsidRDefault="00C05D44" w:rsidP="00C05D44">
            <w:pPr>
              <w:rPr>
                <w:b/>
              </w:rPr>
            </w:pPr>
            <w:r w:rsidRPr="00D77AD5">
              <w:rPr>
                <w:b/>
                <w:sz w:val="22"/>
                <w:szCs w:val="22"/>
              </w:rPr>
              <w:t>Procurement Training</w:t>
            </w:r>
          </w:p>
        </w:tc>
      </w:tr>
      <w:tr w:rsidR="00C05D44" w:rsidRPr="00D77AD5" w:rsidTr="00953D94">
        <w:trPr>
          <w:jc w:val="center"/>
        </w:trPr>
        <w:tc>
          <w:tcPr>
            <w:tcW w:w="263" w:type="pct"/>
          </w:tcPr>
          <w:p w:rsidR="00C05D44" w:rsidRPr="00D77AD5" w:rsidRDefault="00C05D44" w:rsidP="00C05D44">
            <w:r>
              <w:rPr>
                <w:sz w:val="22"/>
                <w:szCs w:val="22"/>
              </w:rPr>
              <w:t>1</w:t>
            </w:r>
            <w:r w:rsidRPr="00D77AD5">
              <w:rPr>
                <w:sz w:val="22"/>
                <w:szCs w:val="22"/>
              </w:rPr>
              <w:t>.</w:t>
            </w:r>
          </w:p>
        </w:tc>
        <w:tc>
          <w:tcPr>
            <w:tcW w:w="1224" w:type="pct"/>
          </w:tcPr>
          <w:p w:rsidR="00C05D44" w:rsidRPr="00D77AD5" w:rsidRDefault="00C05D44" w:rsidP="00C05D44">
            <w:r w:rsidRPr="00D77AD5">
              <w:rPr>
                <w:sz w:val="22"/>
                <w:szCs w:val="22"/>
              </w:rPr>
              <w:t>Supply Chain Management Specialist</w:t>
            </w:r>
          </w:p>
        </w:tc>
        <w:tc>
          <w:tcPr>
            <w:tcW w:w="1855" w:type="pct"/>
          </w:tcPr>
          <w:p w:rsidR="00C05D44" w:rsidRPr="00D77AD5" w:rsidRDefault="00C05D44" w:rsidP="00C05D44">
            <w:r w:rsidRPr="00D77AD5">
              <w:rPr>
                <w:sz w:val="22"/>
                <w:szCs w:val="22"/>
              </w:rPr>
              <w:t>B.A Degree in Economics, University of Manitoba.</w:t>
            </w:r>
          </w:p>
          <w:p w:rsidR="00C05D44" w:rsidRPr="00D77AD5" w:rsidRDefault="00C05D44" w:rsidP="00C05D44">
            <w:r w:rsidRPr="00D77AD5">
              <w:rPr>
                <w:sz w:val="22"/>
                <w:szCs w:val="22"/>
              </w:rPr>
              <w:t>Journeyman Construction Electrician Certificate, University of Manitoba.</w:t>
            </w:r>
          </w:p>
        </w:tc>
        <w:tc>
          <w:tcPr>
            <w:tcW w:w="1658" w:type="pct"/>
          </w:tcPr>
          <w:p w:rsidR="00C05D44" w:rsidRPr="00D77AD5" w:rsidRDefault="00C05D44" w:rsidP="00C05D44">
            <w:r w:rsidRPr="00D77AD5">
              <w:rPr>
                <w:sz w:val="22"/>
                <w:szCs w:val="22"/>
              </w:rPr>
              <w:t xml:space="preserve">Certified Professional Purchaser (CPP) from Purchasing Management association of Canada. </w:t>
            </w:r>
          </w:p>
        </w:tc>
      </w:tr>
      <w:tr w:rsidR="00C05D44" w:rsidRPr="00D77AD5" w:rsidTr="00953D94">
        <w:trPr>
          <w:jc w:val="center"/>
        </w:trPr>
        <w:tc>
          <w:tcPr>
            <w:tcW w:w="263" w:type="pct"/>
          </w:tcPr>
          <w:p w:rsidR="00C05D44" w:rsidRPr="00D77AD5" w:rsidRDefault="00C05D44" w:rsidP="00C05D44">
            <w:r>
              <w:rPr>
                <w:sz w:val="22"/>
                <w:szCs w:val="22"/>
              </w:rPr>
              <w:t>2</w:t>
            </w:r>
            <w:r w:rsidRPr="00D77AD5">
              <w:rPr>
                <w:sz w:val="22"/>
                <w:szCs w:val="22"/>
              </w:rPr>
              <w:t>.</w:t>
            </w:r>
          </w:p>
        </w:tc>
        <w:tc>
          <w:tcPr>
            <w:tcW w:w="1224" w:type="pct"/>
          </w:tcPr>
          <w:p w:rsidR="00C05D44" w:rsidRPr="00D77AD5" w:rsidRDefault="00C05D44" w:rsidP="00C05D44">
            <w:r w:rsidRPr="00D77AD5">
              <w:rPr>
                <w:sz w:val="22"/>
                <w:szCs w:val="22"/>
              </w:rPr>
              <w:t>Procurement Manager</w:t>
            </w:r>
          </w:p>
        </w:tc>
        <w:tc>
          <w:tcPr>
            <w:tcW w:w="1855" w:type="pct"/>
          </w:tcPr>
          <w:p w:rsidR="00C05D44" w:rsidRPr="00D77AD5" w:rsidRDefault="00C05D44" w:rsidP="00C05D44">
            <w:r w:rsidRPr="00D77AD5">
              <w:rPr>
                <w:sz w:val="22"/>
                <w:szCs w:val="22"/>
              </w:rPr>
              <w:t>Associate degree, Business Administration, Zion University, Liberia. Certificate in Leadership Training.</w:t>
            </w:r>
          </w:p>
        </w:tc>
        <w:tc>
          <w:tcPr>
            <w:tcW w:w="1658" w:type="pct"/>
          </w:tcPr>
          <w:p w:rsidR="00C05D44" w:rsidRPr="00D77AD5" w:rsidRDefault="00C05D44" w:rsidP="00C05D44">
            <w:r w:rsidRPr="00D77AD5">
              <w:rPr>
                <w:sz w:val="22"/>
                <w:szCs w:val="22"/>
              </w:rPr>
              <w:t xml:space="preserve">PPCC procurement workshop. </w:t>
            </w:r>
          </w:p>
          <w:p w:rsidR="00C05D44" w:rsidRPr="00D77AD5" w:rsidRDefault="00C05D44" w:rsidP="00C05D44">
            <w:r w:rsidRPr="00D77AD5">
              <w:rPr>
                <w:sz w:val="22"/>
                <w:szCs w:val="22"/>
              </w:rPr>
              <w:t>PPCC/World Bank procurement Workshop</w:t>
            </w:r>
            <w:r>
              <w:rPr>
                <w:sz w:val="22"/>
                <w:szCs w:val="22"/>
              </w:rPr>
              <w:t xml:space="preserve"> and monthly Clinics</w:t>
            </w:r>
          </w:p>
        </w:tc>
      </w:tr>
      <w:tr w:rsidR="00C05D44" w:rsidRPr="00D77AD5" w:rsidTr="00953D94">
        <w:trPr>
          <w:jc w:val="center"/>
        </w:trPr>
        <w:tc>
          <w:tcPr>
            <w:tcW w:w="263" w:type="pct"/>
          </w:tcPr>
          <w:p w:rsidR="00C05D44" w:rsidRPr="00D77AD5" w:rsidRDefault="00C05D44" w:rsidP="00C05D44">
            <w:r>
              <w:rPr>
                <w:sz w:val="22"/>
                <w:szCs w:val="22"/>
              </w:rPr>
              <w:t>3</w:t>
            </w:r>
            <w:r w:rsidRPr="00D77AD5">
              <w:rPr>
                <w:sz w:val="22"/>
                <w:szCs w:val="22"/>
              </w:rPr>
              <w:t>.</w:t>
            </w:r>
          </w:p>
        </w:tc>
        <w:tc>
          <w:tcPr>
            <w:tcW w:w="1224" w:type="pct"/>
          </w:tcPr>
          <w:p w:rsidR="00C05D44" w:rsidRPr="00D77AD5" w:rsidRDefault="00C05D44" w:rsidP="00C05D44">
            <w:r w:rsidRPr="00D77AD5">
              <w:rPr>
                <w:sz w:val="22"/>
                <w:szCs w:val="22"/>
              </w:rPr>
              <w:t>Assistant Procurement Manager</w:t>
            </w:r>
          </w:p>
        </w:tc>
        <w:tc>
          <w:tcPr>
            <w:tcW w:w="1855" w:type="pct"/>
          </w:tcPr>
          <w:p w:rsidR="00C05D44" w:rsidRPr="00D77AD5" w:rsidRDefault="00C05D44" w:rsidP="00C05D44">
            <w:r w:rsidRPr="00D77AD5">
              <w:rPr>
                <w:sz w:val="22"/>
                <w:szCs w:val="22"/>
              </w:rPr>
              <w:t>Associate Degree in Management &amp; Economics</w:t>
            </w:r>
          </w:p>
        </w:tc>
        <w:tc>
          <w:tcPr>
            <w:tcW w:w="1658" w:type="pct"/>
          </w:tcPr>
          <w:p w:rsidR="00C05D44" w:rsidRPr="00D77AD5" w:rsidRDefault="00C05D44" w:rsidP="00C05D44">
            <w:r w:rsidRPr="00D77AD5">
              <w:rPr>
                <w:sz w:val="22"/>
                <w:szCs w:val="22"/>
              </w:rPr>
              <w:t>None</w:t>
            </w:r>
          </w:p>
        </w:tc>
      </w:tr>
      <w:tr w:rsidR="00C05D44" w:rsidRPr="00D77AD5" w:rsidTr="00953D94">
        <w:trPr>
          <w:jc w:val="center"/>
        </w:trPr>
        <w:tc>
          <w:tcPr>
            <w:tcW w:w="263" w:type="pct"/>
          </w:tcPr>
          <w:p w:rsidR="00C05D44" w:rsidRPr="00D77AD5" w:rsidRDefault="00C05D44" w:rsidP="00C05D44">
            <w:r>
              <w:rPr>
                <w:sz w:val="22"/>
                <w:szCs w:val="22"/>
              </w:rPr>
              <w:t>4</w:t>
            </w:r>
          </w:p>
        </w:tc>
        <w:tc>
          <w:tcPr>
            <w:tcW w:w="1224" w:type="pct"/>
          </w:tcPr>
          <w:p w:rsidR="00C05D44" w:rsidRPr="00D77AD5" w:rsidRDefault="00C05D44" w:rsidP="00C05D44">
            <w:r>
              <w:rPr>
                <w:sz w:val="22"/>
                <w:szCs w:val="22"/>
              </w:rPr>
              <w:t>Procurement Analyst</w:t>
            </w:r>
          </w:p>
        </w:tc>
        <w:tc>
          <w:tcPr>
            <w:tcW w:w="1855" w:type="pct"/>
          </w:tcPr>
          <w:p w:rsidR="00C05D44" w:rsidRPr="00D77AD5" w:rsidRDefault="00C05D44" w:rsidP="00C05D44">
            <w:proofErr w:type="spellStart"/>
            <w:r>
              <w:rPr>
                <w:sz w:val="22"/>
                <w:szCs w:val="22"/>
              </w:rPr>
              <w:t>BSc</w:t>
            </w:r>
            <w:proofErr w:type="spellEnd"/>
            <w:r>
              <w:rPr>
                <w:sz w:val="22"/>
                <w:szCs w:val="22"/>
              </w:rPr>
              <w:t xml:space="preserve"> Economics</w:t>
            </w:r>
          </w:p>
        </w:tc>
        <w:tc>
          <w:tcPr>
            <w:tcW w:w="1658" w:type="pct"/>
          </w:tcPr>
          <w:p w:rsidR="00C05D44" w:rsidRPr="00D77AD5" w:rsidRDefault="00C05D44" w:rsidP="00C05D44">
            <w:r>
              <w:rPr>
                <w:sz w:val="22"/>
                <w:szCs w:val="22"/>
              </w:rPr>
              <w:t>World Bank monthly Procurement Clinics</w:t>
            </w:r>
          </w:p>
        </w:tc>
      </w:tr>
      <w:tr w:rsidR="00C05D44" w:rsidRPr="00D77AD5" w:rsidTr="00953D94">
        <w:trPr>
          <w:jc w:val="center"/>
        </w:trPr>
        <w:tc>
          <w:tcPr>
            <w:tcW w:w="263" w:type="pct"/>
          </w:tcPr>
          <w:p w:rsidR="00C05D44" w:rsidRPr="00D77AD5" w:rsidRDefault="00C05D44" w:rsidP="00C05D44">
            <w:r w:rsidRPr="00D77AD5">
              <w:rPr>
                <w:sz w:val="22"/>
                <w:szCs w:val="22"/>
              </w:rPr>
              <w:t>5.</w:t>
            </w:r>
          </w:p>
        </w:tc>
        <w:tc>
          <w:tcPr>
            <w:tcW w:w="1224" w:type="pct"/>
          </w:tcPr>
          <w:p w:rsidR="00C05D44" w:rsidRPr="00D77AD5" w:rsidRDefault="00C05D44" w:rsidP="00C05D44">
            <w:r w:rsidRPr="00D77AD5">
              <w:rPr>
                <w:sz w:val="22"/>
                <w:szCs w:val="22"/>
              </w:rPr>
              <w:t>Warehouse Officer</w:t>
            </w:r>
          </w:p>
        </w:tc>
        <w:tc>
          <w:tcPr>
            <w:tcW w:w="1855" w:type="pct"/>
          </w:tcPr>
          <w:p w:rsidR="00C05D44" w:rsidRPr="00D77AD5" w:rsidRDefault="00C05D44" w:rsidP="00C05D44">
            <w:r w:rsidRPr="00D77AD5">
              <w:rPr>
                <w:sz w:val="22"/>
                <w:szCs w:val="22"/>
              </w:rPr>
              <w:t>Associate Diploma in Accounting</w:t>
            </w:r>
          </w:p>
        </w:tc>
        <w:tc>
          <w:tcPr>
            <w:tcW w:w="1658" w:type="pct"/>
          </w:tcPr>
          <w:p w:rsidR="00C05D44" w:rsidRPr="00D77AD5" w:rsidRDefault="00C05D44" w:rsidP="00C05D44">
            <w:r w:rsidRPr="00D77AD5">
              <w:rPr>
                <w:sz w:val="22"/>
                <w:szCs w:val="22"/>
              </w:rPr>
              <w:t>None</w:t>
            </w:r>
          </w:p>
        </w:tc>
      </w:tr>
    </w:tbl>
    <w:p w:rsidR="00C05D44" w:rsidRPr="00D77AD5" w:rsidRDefault="00C05D44" w:rsidP="00C05D44"/>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rsidRPr="00D77AD5">
        <w:t xml:space="preserve"> It is </w:t>
      </w:r>
      <w:r>
        <w:t>clear</w:t>
      </w:r>
      <w:r w:rsidRPr="00D77AD5">
        <w:t xml:space="preserve"> from the assessment that LEC is in compliance with the Liberian Public Procurement and Concessions Act.  It has a procurement committee and a procurement unit with officers with good academic backgrounds, and has some training in procurement.  Further, it has adequate internal technical and administrative controls and anti-corruption measures and appeal mechanisms for bidders as required under the PPCA.  </w:t>
      </w:r>
      <w:r>
        <w:t xml:space="preserve">However, there is a clear need for a Procurement Specialist with experience in </w:t>
      </w:r>
      <w:r w:rsidRPr="00D77AD5">
        <w:t>donor funded project</w:t>
      </w:r>
      <w:r>
        <w:t>s</w:t>
      </w:r>
      <w:r w:rsidRPr="00D77AD5">
        <w:t xml:space="preserve">.  </w:t>
      </w:r>
      <w:r>
        <w:t xml:space="preserve">This will ensure that </w:t>
      </w:r>
      <w:r w:rsidRPr="00D77AD5">
        <w:t xml:space="preserve">MHI </w:t>
      </w:r>
      <w:r w:rsidRPr="00D77AD5">
        <w:lastRenderedPageBreak/>
        <w:t>build</w:t>
      </w:r>
      <w:r>
        <w:t>s</w:t>
      </w:r>
      <w:r w:rsidRPr="00D77AD5">
        <w:t xml:space="preserve"> the procurement capacity of the local staff in donor funded procedures</w:t>
      </w:r>
      <w:r>
        <w:t>, through mentoring and coaching,</w:t>
      </w:r>
      <w:r w:rsidRPr="00D77AD5">
        <w:t xml:space="preserve"> to enable them take over when the contract of MHI expire. </w:t>
      </w:r>
    </w:p>
    <w:p w:rsidR="00C05D44" w:rsidRPr="00D77AD5" w:rsidRDefault="00C05D44" w:rsidP="00D940CF">
      <w:pPr>
        <w:pStyle w:val="ListParagraph"/>
        <w:numPr>
          <w:ilvl w:val="0"/>
          <w:numId w:val="16"/>
        </w:numPr>
        <w:autoSpaceDE w:val="0"/>
        <w:autoSpaceDN w:val="0"/>
        <w:adjustRightInd w:val="0"/>
        <w:ind w:left="0" w:firstLine="0"/>
        <w:contextualSpacing w:val="0"/>
        <w:rPr>
          <w:b/>
        </w:rPr>
      </w:pPr>
      <w:r w:rsidRPr="00D77AD5">
        <w:t>The</w:t>
      </w:r>
      <w:r w:rsidRPr="00D77AD5">
        <w:rPr>
          <w:b/>
        </w:rPr>
        <w:t xml:space="preserve"> </w:t>
      </w:r>
      <w:r w:rsidRPr="00D77AD5">
        <w:rPr>
          <w:u w:val="single"/>
        </w:rPr>
        <w:t>key risk areas</w:t>
      </w:r>
      <w:r w:rsidRPr="00D77AD5">
        <w:rPr>
          <w:b/>
        </w:rPr>
        <w:t xml:space="preserve"> </w:t>
      </w:r>
      <w:r w:rsidRPr="00D77AD5">
        <w:t>and proposed mitigation measures and/or actions are identified in the Table below:</w:t>
      </w:r>
    </w:p>
    <w:p w:rsidR="00C05D44" w:rsidRPr="00D77AD5" w:rsidRDefault="00C05D44" w:rsidP="00C05D44">
      <w:pPr>
        <w:pStyle w:val="ListParagraph"/>
        <w:autoSpaceDE w:val="0"/>
        <w:autoSpaceDN w:val="0"/>
        <w:adjustRightInd w:val="0"/>
        <w:ind w:left="0"/>
        <w:contextualSpacing w:val="0"/>
        <w:rPr>
          <w:b/>
        </w:rPr>
      </w:pPr>
    </w:p>
    <w:p w:rsidR="00C05D44" w:rsidRPr="00D77AD5" w:rsidRDefault="00C05D44" w:rsidP="00C05D44">
      <w:pPr>
        <w:pStyle w:val="ListParagraph"/>
        <w:autoSpaceDE w:val="0"/>
        <w:autoSpaceDN w:val="0"/>
        <w:adjustRightInd w:val="0"/>
        <w:ind w:left="0"/>
        <w:contextualSpacing w:val="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950"/>
        <w:gridCol w:w="3870"/>
        <w:gridCol w:w="1440"/>
        <w:gridCol w:w="1710"/>
      </w:tblGrid>
      <w:tr w:rsidR="00C05D44" w:rsidRPr="00E751C7" w:rsidTr="000E7C1D">
        <w:trPr>
          <w:cantSplit/>
          <w:tblHeader/>
        </w:trPr>
        <w:tc>
          <w:tcPr>
            <w:tcW w:w="588" w:type="dxa"/>
            <w:tcBorders>
              <w:bottom w:val="single" w:sz="4" w:space="0" w:color="auto"/>
            </w:tcBorders>
            <w:shd w:val="clear" w:color="auto" w:fill="D9D9D9"/>
          </w:tcPr>
          <w:p w:rsidR="00C05D44" w:rsidRPr="00E751C7" w:rsidRDefault="00C05D44" w:rsidP="00C05D44">
            <w:pPr>
              <w:spacing w:before="60" w:after="60"/>
              <w:rPr>
                <w:b/>
                <w:sz w:val="20"/>
                <w:szCs w:val="20"/>
              </w:rPr>
            </w:pPr>
            <w:r w:rsidRPr="00E751C7">
              <w:rPr>
                <w:b/>
                <w:sz w:val="20"/>
                <w:szCs w:val="20"/>
              </w:rPr>
              <w:t>No</w:t>
            </w:r>
          </w:p>
        </w:tc>
        <w:tc>
          <w:tcPr>
            <w:tcW w:w="1950" w:type="dxa"/>
            <w:tcBorders>
              <w:bottom w:val="single" w:sz="4" w:space="0" w:color="auto"/>
            </w:tcBorders>
            <w:shd w:val="clear" w:color="auto" w:fill="D9D9D9"/>
          </w:tcPr>
          <w:p w:rsidR="00C05D44" w:rsidRPr="00E751C7" w:rsidRDefault="00C05D44" w:rsidP="00C05D44">
            <w:pPr>
              <w:spacing w:before="60" w:after="60"/>
              <w:rPr>
                <w:b/>
                <w:sz w:val="20"/>
                <w:szCs w:val="20"/>
              </w:rPr>
            </w:pPr>
            <w:r w:rsidRPr="00E751C7">
              <w:rPr>
                <w:b/>
                <w:sz w:val="20"/>
                <w:szCs w:val="20"/>
              </w:rPr>
              <w:t>Key risks</w:t>
            </w:r>
          </w:p>
        </w:tc>
        <w:tc>
          <w:tcPr>
            <w:tcW w:w="3870" w:type="dxa"/>
            <w:shd w:val="clear" w:color="auto" w:fill="D9D9D9"/>
          </w:tcPr>
          <w:p w:rsidR="00C05D44" w:rsidRPr="00E751C7" w:rsidRDefault="00C05D44" w:rsidP="00C05D44">
            <w:pPr>
              <w:spacing w:before="60" w:after="60"/>
              <w:rPr>
                <w:b/>
                <w:sz w:val="20"/>
                <w:szCs w:val="20"/>
              </w:rPr>
            </w:pPr>
            <w:r w:rsidRPr="00E751C7">
              <w:rPr>
                <w:b/>
                <w:sz w:val="20"/>
                <w:szCs w:val="20"/>
              </w:rPr>
              <w:t>Mitigation Actions</w:t>
            </w:r>
          </w:p>
        </w:tc>
        <w:tc>
          <w:tcPr>
            <w:tcW w:w="1440" w:type="dxa"/>
            <w:tcBorders>
              <w:bottom w:val="single" w:sz="4" w:space="0" w:color="auto"/>
            </w:tcBorders>
            <w:shd w:val="clear" w:color="auto" w:fill="D9D9D9"/>
          </w:tcPr>
          <w:p w:rsidR="00C05D44" w:rsidRPr="00E751C7" w:rsidRDefault="00C05D44" w:rsidP="00C05D44">
            <w:pPr>
              <w:spacing w:before="60" w:after="60"/>
              <w:rPr>
                <w:b/>
                <w:sz w:val="20"/>
                <w:szCs w:val="20"/>
              </w:rPr>
            </w:pPr>
            <w:r w:rsidRPr="00E751C7">
              <w:rPr>
                <w:b/>
                <w:sz w:val="20"/>
                <w:szCs w:val="20"/>
              </w:rPr>
              <w:t>By Whom</w:t>
            </w:r>
          </w:p>
        </w:tc>
        <w:tc>
          <w:tcPr>
            <w:tcW w:w="1710" w:type="dxa"/>
            <w:tcBorders>
              <w:bottom w:val="single" w:sz="4" w:space="0" w:color="auto"/>
            </w:tcBorders>
            <w:shd w:val="clear" w:color="auto" w:fill="D9D9D9"/>
          </w:tcPr>
          <w:p w:rsidR="00C05D44" w:rsidRPr="00E751C7" w:rsidRDefault="00C05D44" w:rsidP="00C05D44">
            <w:pPr>
              <w:spacing w:before="60" w:after="60"/>
              <w:rPr>
                <w:b/>
                <w:sz w:val="20"/>
                <w:szCs w:val="20"/>
              </w:rPr>
            </w:pPr>
            <w:r w:rsidRPr="00E751C7">
              <w:rPr>
                <w:b/>
                <w:sz w:val="20"/>
                <w:szCs w:val="20"/>
              </w:rPr>
              <w:t>By When</w:t>
            </w:r>
          </w:p>
        </w:tc>
      </w:tr>
      <w:tr w:rsidR="00C05D44" w:rsidRPr="00E751C7" w:rsidTr="000E7C1D">
        <w:tc>
          <w:tcPr>
            <w:tcW w:w="588" w:type="dxa"/>
            <w:tcBorders>
              <w:left w:val="single" w:sz="4" w:space="0" w:color="auto"/>
              <w:bottom w:val="single" w:sz="4" w:space="0" w:color="auto"/>
              <w:right w:val="single" w:sz="4" w:space="0" w:color="auto"/>
            </w:tcBorders>
          </w:tcPr>
          <w:p w:rsidR="00C05D44" w:rsidRPr="00E751C7" w:rsidRDefault="00C05D44" w:rsidP="00C05D44">
            <w:pPr>
              <w:rPr>
                <w:sz w:val="20"/>
                <w:szCs w:val="20"/>
              </w:rPr>
            </w:pPr>
          </w:p>
          <w:p w:rsidR="00C05D44" w:rsidRPr="00E751C7" w:rsidRDefault="00C05D44" w:rsidP="00C05D44">
            <w:pPr>
              <w:rPr>
                <w:sz w:val="20"/>
                <w:szCs w:val="20"/>
              </w:rPr>
            </w:pPr>
            <w:r w:rsidRPr="00E751C7">
              <w:rPr>
                <w:sz w:val="20"/>
                <w:szCs w:val="20"/>
              </w:rPr>
              <w:t>1</w:t>
            </w:r>
          </w:p>
        </w:tc>
        <w:tc>
          <w:tcPr>
            <w:tcW w:w="1950" w:type="dxa"/>
            <w:tcBorders>
              <w:top w:val="nil"/>
              <w:left w:val="single" w:sz="4" w:space="0" w:color="auto"/>
              <w:bottom w:val="single" w:sz="4" w:space="0" w:color="auto"/>
              <w:right w:val="single" w:sz="4" w:space="0" w:color="auto"/>
            </w:tcBorders>
            <w:vAlign w:val="center"/>
          </w:tcPr>
          <w:p w:rsidR="00C05D44" w:rsidRPr="00E751C7" w:rsidRDefault="00C05D44" w:rsidP="00C05D44">
            <w:pPr>
              <w:rPr>
                <w:sz w:val="20"/>
                <w:szCs w:val="20"/>
              </w:rPr>
            </w:pPr>
            <w:r w:rsidRPr="00E751C7">
              <w:rPr>
                <w:sz w:val="20"/>
                <w:szCs w:val="20"/>
              </w:rPr>
              <w:t>Inadequate capacity to handle the high volume of procurement actions</w:t>
            </w:r>
          </w:p>
        </w:tc>
        <w:tc>
          <w:tcPr>
            <w:tcW w:w="3870" w:type="dxa"/>
            <w:tcBorders>
              <w:left w:val="single" w:sz="4" w:space="0" w:color="auto"/>
              <w:right w:val="single" w:sz="4" w:space="0" w:color="auto"/>
            </w:tcBorders>
          </w:tcPr>
          <w:p w:rsidR="00C05D44" w:rsidRPr="00E751C7" w:rsidRDefault="00C05D44" w:rsidP="00C05D44">
            <w:pPr>
              <w:rPr>
                <w:sz w:val="20"/>
                <w:szCs w:val="20"/>
              </w:rPr>
            </w:pPr>
          </w:p>
          <w:p w:rsidR="00C05D44" w:rsidRPr="00E751C7" w:rsidRDefault="00C05D44" w:rsidP="00C007C5">
            <w:pPr>
              <w:rPr>
                <w:sz w:val="20"/>
                <w:szCs w:val="20"/>
              </w:rPr>
            </w:pPr>
            <w:r w:rsidRPr="00E751C7">
              <w:rPr>
                <w:sz w:val="20"/>
                <w:szCs w:val="20"/>
              </w:rPr>
              <w:t xml:space="preserve">Recruit a Procurement Specialist with international experience to replace the expertise that was with the ED who resigned in order to maintain the same level of service from the Management Contractor  </w:t>
            </w:r>
          </w:p>
        </w:tc>
        <w:tc>
          <w:tcPr>
            <w:tcW w:w="1440" w:type="dxa"/>
            <w:tcBorders>
              <w:left w:val="single" w:sz="4" w:space="0" w:color="auto"/>
              <w:bottom w:val="single" w:sz="4" w:space="0" w:color="auto"/>
              <w:right w:val="single" w:sz="4" w:space="0" w:color="auto"/>
            </w:tcBorders>
          </w:tcPr>
          <w:p w:rsidR="00C05D44" w:rsidRPr="00E751C7" w:rsidRDefault="00C05D44" w:rsidP="00C05D44">
            <w:pPr>
              <w:rPr>
                <w:sz w:val="20"/>
                <w:szCs w:val="20"/>
              </w:rPr>
            </w:pPr>
          </w:p>
          <w:p w:rsidR="00C05D44" w:rsidRPr="00E751C7" w:rsidRDefault="00C05D44" w:rsidP="00C05D44">
            <w:pPr>
              <w:rPr>
                <w:sz w:val="20"/>
                <w:szCs w:val="20"/>
              </w:rPr>
            </w:pPr>
            <w:r w:rsidRPr="00E751C7">
              <w:rPr>
                <w:sz w:val="20"/>
                <w:szCs w:val="20"/>
              </w:rPr>
              <w:t>LEC</w:t>
            </w:r>
          </w:p>
          <w:p w:rsidR="00C05D44" w:rsidRPr="00E751C7" w:rsidRDefault="00C05D44" w:rsidP="00C05D44">
            <w:pPr>
              <w:rPr>
                <w:sz w:val="20"/>
                <w:szCs w:val="20"/>
              </w:rPr>
            </w:pPr>
          </w:p>
          <w:p w:rsidR="00C05D44" w:rsidRPr="00E751C7" w:rsidRDefault="00C05D44" w:rsidP="00C05D44">
            <w:pPr>
              <w:rPr>
                <w:sz w:val="20"/>
                <w:szCs w:val="20"/>
              </w:rPr>
            </w:pPr>
          </w:p>
          <w:p w:rsidR="00C05D44" w:rsidRPr="00E751C7" w:rsidRDefault="00C05D44" w:rsidP="00C05D44">
            <w:pPr>
              <w:rPr>
                <w:sz w:val="20"/>
                <w:szCs w:val="20"/>
              </w:rPr>
            </w:pPr>
          </w:p>
        </w:tc>
        <w:tc>
          <w:tcPr>
            <w:tcW w:w="1710" w:type="dxa"/>
            <w:tcBorders>
              <w:left w:val="single" w:sz="4" w:space="0" w:color="auto"/>
              <w:bottom w:val="single" w:sz="4" w:space="0" w:color="auto"/>
              <w:right w:val="single" w:sz="4" w:space="0" w:color="auto"/>
            </w:tcBorders>
          </w:tcPr>
          <w:p w:rsidR="00C05D44" w:rsidRPr="00E751C7" w:rsidRDefault="00C05D44" w:rsidP="00C05D44">
            <w:pPr>
              <w:rPr>
                <w:sz w:val="20"/>
                <w:szCs w:val="20"/>
              </w:rPr>
            </w:pPr>
          </w:p>
          <w:p w:rsidR="00C05D44" w:rsidRPr="00E751C7" w:rsidRDefault="00C05D44" w:rsidP="00C05D44">
            <w:pPr>
              <w:rPr>
                <w:sz w:val="20"/>
                <w:szCs w:val="20"/>
              </w:rPr>
            </w:pPr>
            <w:r w:rsidRPr="00E751C7">
              <w:rPr>
                <w:sz w:val="20"/>
                <w:szCs w:val="20"/>
              </w:rPr>
              <w:t>As soon as possible</w:t>
            </w:r>
            <w:r w:rsidR="00C007C5">
              <w:rPr>
                <w:sz w:val="20"/>
                <w:szCs w:val="20"/>
              </w:rPr>
              <w:t>.</w:t>
            </w:r>
          </w:p>
        </w:tc>
      </w:tr>
      <w:tr w:rsidR="00C05D44" w:rsidRPr="00E751C7" w:rsidTr="000E7C1D">
        <w:tc>
          <w:tcPr>
            <w:tcW w:w="588" w:type="dxa"/>
            <w:tcBorders>
              <w:left w:val="single" w:sz="4" w:space="0" w:color="auto"/>
              <w:bottom w:val="single" w:sz="4" w:space="0" w:color="auto"/>
              <w:right w:val="single" w:sz="4" w:space="0" w:color="auto"/>
            </w:tcBorders>
          </w:tcPr>
          <w:p w:rsidR="00C05D44" w:rsidRPr="00E751C7" w:rsidRDefault="00C05D44" w:rsidP="00C05D44">
            <w:pPr>
              <w:rPr>
                <w:sz w:val="20"/>
                <w:szCs w:val="20"/>
              </w:rPr>
            </w:pPr>
          </w:p>
          <w:p w:rsidR="00C05D44" w:rsidRPr="00E751C7" w:rsidRDefault="00C05D44" w:rsidP="00C05D44">
            <w:pPr>
              <w:rPr>
                <w:sz w:val="20"/>
                <w:szCs w:val="20"/>
              </w:rPr>
            </w:pPr>
            <w:r w:rsidRPr="00E751C7">
              <w:rPr>
                <w:sz w:val="20"/>
                <w:szCs w:val="20"/>
              </w:rPr>
              <w:t>2</w:t>
            </w:r>
          </w:p>
        </w:tc>
        <w:tc>
          <w:tcPr>
            <w:tcW w:w="1950" w:type="dxa"/>
            <w:tcBorders>
              <w:top w:val="nil"/>
              <w:left w:val="single" w:sz="4" w:space="0" w:color="auto"/>
              <w:bottom w:val="single" w:sz="4" w:space="0" w:color="auto"/>
              <w:right w:val="single" w:sz="4" w:space="0" w:color="auto"/>
            </w:tcBorders>
            <w:vAlign w:val="center"/>
          </w:tcPr>
          <w:p w:rsidR="00C05D44" w:rsidRPr="00E751C7" w:rsidRDefault="00C05D44" w:rsidP="00C05D44">
            <w:pPr>
              <w:rPr>
                <w:sz w:val="20"/>
                <w:szCs w:val="20"/>
              </w:rPr>
            </w:pPr>
            <w:r w:rsidRPr="00E751C7">
              <w:rPr>
                <w:sz w:val="20"/>
                <w:szCs w:val="20"/>
              </w:rPr>
              <w:t>Lack of in-house experience and familiarity with World Bank procurement guidelines and procedures</w:t>
            </w:r>
          </w:p>
        </w:tc>
        <w:tc>
          <w:tcPr>
            <w:tcW w:w="3870" w:type="dxa"/>
            <w:tcBorders>
              <w:left w:val="single" w:sz="4" w:space="0" w:color="auto"/>
              <w:right w:val="single" w:sz="4" w:space="0" w:color="auto"/>
            </w:tcBorders>
          </w:tcPr>
          <w:p w:rsidR="00C05D44" w:rsidRPr="00E751C7" w:rsidRDefault="00C05D44" w:rsidP="00C007C5">
            <w:pPr>
              <w:rPr>
                <w:sz w:val="20"/>
                <w:szCs w:val="20"/>
              </w:rPr>
            </w:pPr>
            <w:r w:rsidRPr="00E751C7">
              <w:rPr>
                <w:sz w:val="20"/>
                <w:szCs w:val="20"/>
              </w:rPr>
              <w:t>Focused capacity building for existing staff specific to the areas of weakness, i.e., capacity building program to be developed to respond to specific gaps identified.</w:t>
            </w:r>
          </w:p>
        </w:tc>
        <w:tc>
          <w:tcPr>
            <w:tcW w:w="1440" w:type="dxa"/>
            <w:tcBorders>
              <w:left w:val="single" w:sz="4" w:space="0" w:color="auto"/>
              <w:bottom w:val="single" w:sz="4" w:space="0" w:color="auto"/>
              <w:right w:val="single" w:sz="4" w:space="0" w:color="auto"/>
            </w:tcBorders>
          </w:tcPr>
          <w:p w:rsidR="00C05D44" w:rsidRPr="00E751C7" w:rsidRDefault="00C05D44" w:rsidP="00C05D44">
            <w:pPr>
              <w:rPr>
                <w:sz w:val="20"/>
                <w:szCs w:val="20"/>
              </w:rPr>
            </w:pPr>
            <w:r w:rsidRPr="00E751C7">
              <w:rPr>
                <w:sz w:val="20"/>
                <w:szCs w:val="20"/>
              </w:rPr>
              <w:t>The Head of Customer Service, Distribution and Procurement</w:t>
            </w:r>
          </w:p>
        </w:tc>
        <w:tc>
          <w:tcPr>
            <w:tcW w:w="1710" w:type="dxa"/>
            <w:tcBorders>
              <w:left w:val="single" w:sz="4" w:space="0" w:color="auto"/>
              <w:bottom w:val="single" w:sz="4" w:space="0" w:color="auto"/>
              <w:right w:val="single" w:sz="4" w:space="0" w:color="auto"/>
            </w:tcBorders>
          </w:tcPr>
          <w:p w:rsidR="00C05D44" w:rsidRPr="00E751C7" w:rsidRDefault="00C05D44" w:rsidP="00C05D44">
            <w:pPr>
              <w:rPr>
                <w:sz w:val="20"/>
                <w:szCs w:val="20"/>
              </w:rPr>
            </w:pPr>
            <w:r w:rsidRPr="00E751C7">
              <w:rPr>
                <w:sz w:val="20"/>
                <w:szCs w:val="20"/>
              </w:rPr>
              <w:t>Throughout project life</w:t>
            </w:r>
            <w:r w:rsidR="00C007C5">
              <w:rPr>
                <w:sz w:val="20"/>
                <w:szCs w:val="20"/>
              </w:rPr>
              <w:t>.</w:t>
            </w:r>
          </w:p>
          <w:p w:rsidR="00C05D44" w:rsidRPr="00E751C7" w:rsidRDefault="00C05D44" w:rsidP="00C05D44">
            <w:pPr>
              <w:rPr>
                <w:sz w:val="20"/>
                <w:szCs w:val="20"/>
              </w:rPr>
            </w:pPr>
          </w:p>
          <w:p w:rsidR="00C05D44" w:rsidRPr="00E751C7" w:rsidRDefault="00C05D44" w:rsidP="00C05D44">
            <w:pPr>
              <w:rPr>
                <w:sz w:val="20"/>
                <w:szCs w:val="20"/>
              </w:rPr>
            </w:pPr>
          </w:p>
          <w:p w:rsidR="00C05D44" w:rsidRPr="00E751C7" w:rsidRDefault="00C05D44" w:rsidP="00C05D44">
            <w:pPr>
              <w:rPr>
                <w:sz w:val="20"/>
                <w:szCs w:val="20"/>
              </w:rPr>
            </w:pPr>
          </w:p>
          <w:p w:rsidR="00C05D44" w:rsidRPr="00E751C7" w:rsidRDefault="00C05D44" w:rsidP="00C05D44">
            <w:pPr>
              <w:rPr>
                <w:sz w:val="20"/>
                <w:szCs w:val="20"/>
              </w:rPr>
            </w:pPr>
          </w:p>
        </w:tc>
      </w:tr>
      <w:tr w:rsidR="00C05D44" w:rsidRPr="00E751C7" w:rsidTr="000E7C1D">
        <w:tc>
          <w:tcPr>
            <w:tcW w:w="588" w:type="dxa"/>
            <w:tcBorders>
              <w:top w:val="single" w:sz="4" w:space="0" w:color="auto"/>
            </w:tcBorders>
          </w:tcPr>
          <w:p w:rsidR="00C05D44" w:rsidRPr="00E751C7" w:rsidRDefault="00C05D44" w:rsidP="00C05D44">
            <w:pPr>
              <w:rPr>
                <w:sz w:val="20"/>
                <w:szCs w:val="20"/>
              </w:rPr>
            </w:pPr>
          </w:p>
          <w:p w:rsidR="00C05D44" w:rsidRPr="00E751C7" w:rsidRDefault="00C05D44" w:rsidP="00C05D44">
            <w:pPr>
              <w:rPr>
                <w:sz w:val="20"/>
                <w:szCs w:val="20"/>
              </w:rPr>
            </w:pPr>
            <w:r w:rsidRPr="00E751C7">
              <w:rPr>
                <w:sz w:val="20"/>
                <w:szCs w:val="20"/>
              </w:rPr>
              <w:t>3</w:t>
            </w:r>
          </w:p>
        </w:tc>
        <w:tc>
          <w:tcPr>
            <w:tcW w:w="1950" w:type="dxa"/>
            <w:tcBorders>
              <w:top w:val="single" w:sz="4" w:space="0" w:color="auto"/>
            </w:tcBorders>
          </w:tcPr>
          <w:p w:rsidR="00C05D44" w:rsidRPr="00E751C7" w:rsidRDefault="00C05D44" w:rsidP="00C05D44">
            <w:pPr>
              <w:rPr>
                <w:sz w:val="20"/>
                <w:szCs w:val="20"/>
              </w:rPr>
            </w:pPr>
            <w:r w:rsidRPr="00E751C7">
              <w:rPr>
                <w:sz w:val="20"/>
                <w:szCs w:val="20"/>
              </w:rPr>
              <w:t>Sustainable capacity by LEC staff to handle procurement when MHI contracts expires</w:t>
            </w:r>
          </w:p>
        </w:tc>
        <w:tc>
          <w:tcPr>
            <w:tcW w:w="3870" w:type="dxa"/>
          </w:tcPr>
          <w:p w:rsidR="00C05D44" w:rsidRPr="00E751C7" w:rsidRDefault="00C05D44" w:rsidP="00C05D44">
            <w:pPr>
              <w:rPr>
                <w:sz w:val="20"/>
                <w:szCs w:val="20"/>
              </w:rPr>
            </w:pPr>
            <w:r w:rsidRPr="00E751C7">
              <w:rPr>
                <w:sz w:val="20"/>
                <w:szCs w:val="20"/>
              </w:rPr>
              <w:t xml:space="preserve">Sponsor all the local procurement staff to attend World Bank procurement procedures courses in Goods, Works and Consultancy at GIMPA, Ghana or ESAMI, Tanzania. </w:t>
            </w:r>
          </w:p>
        </w:tc>
        <w:tc>
          <w:tcPr>
            <w:tcW w:w="1440" w:type="dxa"/>
          </w:tcPr>
          <w:p w:rsidR="00C05D44" w:rsidRPr="00E751C7" w:rsidRDefault="00C05D44" w:rsidP="00C05D44">
            <w:pPr>
              <w:rPr>
                <w:sz w:val="20"/>
                <w:szCs w:val="20"/>
              </w:rPr>
            </w:pPr>
            <w:r w:rsidRPr="00E751C7">
              <w:rPr>
                <w:sz w:val="20"/>
                <w:szCs w:val="20"/>
              </w:rPr>
              <w:t>LEC</w:t>
            </w:r>
          </w:p>
        </w:tc>
        <w:tc>
          <w:tcPr>
            <w:tcW w:w="1710" w:type="dxa"/>
          </w:tcPr>
          <w:p w:rsidR="00C05D44" w:rsidRPr="00E751C7" w:rsidRDefault="00C05D44" w:rsidP="00C05D44">
            <w:pPr>
              <w:rPr>
                <w:sz w:val="20"/>
                <w:szCs w:val="20"/>
              </w:rPr>
            </w:pPr>
            <w:r w:rsidRPr="00E751C7">
              <w:rPr>
                <w:sz w:val="20"/>
                <w:szCs w:val="20"/>
              </w:rPr>
              <w:t xml:space="preserve">Whenever the courses are organized.  </w:t>
            </w:r>
          </w:p>
        </w:tc>
      </w:tr>
      <w:tr w:rsidR="00C05D44" w:rsidRPr="00E751C7" w:rsidTr="000E7C1D">
        <w:tc>
          <w:tcPr>
            <w:tcW w:w="588" w:type="dxa"/>
            <w:tcBorders>
              <w:bottom w:val="single" w:sz="4" w:space="0" w:color="auto"/>
            </w:tcBorders>
          </w:tcPr>
          <w:p w:rsidR="00C05D44" w:rsidRPr="00E751C7" w:rsidRDefault="00C05D44" w:rsidP="00C05D44">
            <w:pPr>
              <w:rPr>
                <w:sz w:val="20"/>
                <w:szCs w:val="20"/>
              </w:rPr>
            </w:pPr>
          </w:p>
          <w:p w:rsidR="00C05D44" w:rsidRPr="00E751C7" w:rsidRDefault="00C05D44" w:rsidP="00C05D44">
            <w:pPr>
              <w:rPr>
                <w:sz w:val="20"/>
                <w:szCs w:val="20"/>
              </w:rPr>
            </w:pPr>
            <w:r w:rsidRPr="00E751C7">
              <w:rPr>
                <w:sz w:val="20"/>
                <w:szCs w:val="20"/>
              </w:rPr>
              <w:t>4</w:t>
            </w:r>
          </w:p>
        </w:tc>
        <w:tc>
          <w:tcPr>
            <w:tcW w:w="1950" w:type="dxa"/>
            <w:tcBorders>
              <w:bottom w:val="single" w:sz="4" w:space="0" w:color="auto"/>
            </w:tcBorders>
          </w:tcPr>
          <w:p w:rsidR="00C05D44" w:rsidRPr="00E751C7" w:rsidRDefault="00C05D44" w:rsidP="00C05D44">
            <w:pPr>
              <w:rPr>
                <w:sz w:val="20"/>
                <w:szCs w:val="20"/>
              </w:rPr>
            </w:pPr>
            <w:r w:rsidRPr="00E751C7">
              <w:rPr>
                <w:sz w:val="20"/>
                <w:szCs w:val="20"/>
              </w:rPr>
              <w:t xml:space="preserve">Fraud and Corruption </w:t>
            </w:r>
          </w:p>
        </w:tc>
        <w:tc>
          <w:tcPr>
            <w:tcW w:w="3870" w:type="dxa"/>
          </w:tcPr>
          <w:p w:rsidR="00C05D44" w:rsidRPr="00E751C7" w:rsidRDefault="00C05D44" w:rsidP="00C05D44">
            <w:pPr>
              <w:rPr>
                <w:sz w:val="20"/>
                <w:szCs w:val="20"/>
              </w:rPr>
            </w:pPr>
            <w:r w:rsidRPr="00E751C7">
              <w:rPr>
                <w:sz w:val="20"/>
                <w:szCs w:val="20"/>
              </w:rPr>
              <w:t>The local staff should be offered motivating opportunities such as coaching, mentoring and formal training to improve their procurement skills so as to merit salary increment.</w:t>
            </w:r>
          </w:p>
        </w:tc>
        <w:tc>
          <w:tcPr>
            <w:tcW w:w="1440" w:type="dxa"/>
          </w:tcPr>
          <w:p w:rsidR="00C05D44" w:rsidRPr="00E751C7" w:rsidRDefault="00C05D44" w:rsidP="00C05D44">
            <w:pPr>
              <w:rPr>
                <w:sz w:val="20"/>
                <w:szCs w:val="20"/>
              </w:rPr>
            </w:pPr>
            <w:r w:rsidRPr="00E751C7">
              <w:rPr>
                <w:sz w:val="20"/>
                <w:szCs w:val="20"/>
              </w:rPr>
              <w:t>LEC</w:t>
            </w:r>
          </w:p>
        </w:tc>
        <w:tc>
          <w:tcPr>
            <w:tcW w:w="1710" w:type="dxa"/>
          </w:tcPr>
          <w:p w:rsidR="00C05D44" w:rsidRPr="00E751C7" w:rsidRDefault="00C05D44" w:rsidP="00C05D44">
            <w:pPr>
              <w:rPr>
                <w:sz w:val="20"/>
                <w:szCs w:val="20"/>
              </w:rPr>
            </w:pPr>
            <w:r w:rsidRPr="00E751C7">
              <w:rPr>
                <w:sz w:val="20"/>
                <w:szCs w:val="20"/>
              </w:rPr>
              <w:t>Throughout project life</w:t>
            </w:r>
            <w:r w:rsidR="00C007C5">
              <w:rPr>
                <w:sz w:val="20"/>
                <w:szCs w:val="20"/>
              </w:rPr>
              <w:t>.</w:t>
            </w:r>
          </w:p>
        </w:tc>
      </w:tr>
    </w:tbl>
    <w:p w:rsidR="00C05D44" w:rsidRPr="00D77AD5" w:rsidRDefault="00C05D44" w:rsidP="00C05D44">
      <w:pPr>
        <w:autoSpaceDE w:val="0"/>
        <w:autoSpaceDN w:val="0"/>
        <w:adjustRightInd w:val="0"/>
      </w:pPr>
    </w:p>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rsidRPr="00D77AD5">
        <w:t xml:space="preserve">The overall procurement risk </w:t>
      </w:r>
      <w:r>
        <w:t xml:space="preserve">for LEC </w:t>
      </w:r>
      <w:r w:rsidRPr="00D77AD5">
        <w:t xml:space="preserve">is </w:t>
      </w:r>
      <w:r w:rsidR="00CD025C">
        <w:t>h</w:t>
      </w:r>
      <w:r w:rsidRPr="00CD025C">
        <w:t>igh.</w:t>
      </w:r>
    </w:p>
    <w:p w:rsidR="00C05D44" w:rsidRPr="00D77AD5" w:rsidRDefault="00C05D44" w:rsidP="00C05D44">
      <w:pPr>
        <w:autoSpaceDE w:val="0"/>
        <w:autoSpaceDN w:val="0"/>
        <w:adjustRightInd w:val="0"/>
      </w:pPr>
    </w:p>
    <w:p w:rsidR="00C05D44" w:rsidRPr="00D77AD5" w:rsidRDefault="00C05D44" w:rsidP="00D940CF">
      <w:pPr>
        <w:pStyle w:val="ListParagraph"/>
        <w:numPr>
          <w:ilvl w:val="0"/>
          <w:numId w:val="17"/>
        </w:numPr>
        <w:autoSpaceDE w:val="0"/>
        <w:autoSpaceDN w:val="0"/>
        <w:adjustRightInd w:val="0"/>
        <w:contextualSpacing w:val="0"/>
        <w:rPr>
          <w:b/>
          <w:i/>
          <w:u w:val="single"/>
        </w:rPr>
      </w:pPr>
      <w:r w:rsidRPr="00D77AD5">
        <w:rPr>
          <w:b/>
          <w:i/>
          <w:u w:val="single"/>
        </w:rPr>
        <w:t>Rural and Renewable Energy Agency (RREA)</w:t>
      </w:r>
    </w:p>
    <w:p w:rsidR="00C05D44" w:rsidRPr="00D77AD5" w:rsidRDefault="00C05D44" w:rsidP="00C05D44">
      <w:pPr>
        <w:rPr>
          <w:b/>
        </w:rPr>
      </w:pPr>
    </w:p>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rsidRPr="00D77AD5">
        <w:t xml:space="preserve">The establishment of the Rural and Renewable Energy Agency (RREA) of Liberia was effected through Executive Order No. 23 of January 8, 2010 to support all economically viable, socially acceptable and environmentally friendly energy projects and programs, especially renewable energy, to promote the economic and social development of Liberia’s rural population.  The Agency is overseen by the Ministry of Lands, Mines and Energy of Liberia (MLME) for policy and planning purposes; however, the RREA is to be an autonomous agency with its own Board of Directors.  The full statutes establishing the Agency </w:t>
      </w:r>
      <w:r>
        <w:t>have been</w:t>
      </w:r>
      <w:r w:rsidRPr="00D77AD5">
        <w:t xml:space="preserve"> in final draft stage</w:t>
      </w:r>
      <w:r>
        <w:t xml:space="preserve"> for over a year</w:t>
      </w:r>
      <w:r w:rsidRPr="00D77AD5">
        <w:t xml:space="preserve"> as the Legislature </w:t>
      </w:r>
      <w:r>
        <w:t xml:space="preserve">have not yet ratified the required legislation. It is hoped that the Legislature, which </w:t>
      </w:r>
      <w:r w:rsidRPr="00D77AD5">
        <w:t>is currently on agricultural break until January 20</w:t>
      </w:r>
      <w:r>
        <w:t>12</w:t>
      </w:r>
      <w:r w:rsidRPr="00D77AD5">
        <w:t xml:space="preserve">, </w:t>
      </w:r>
      <w:r>
        <w:t>will soon ratify the legislation</w:t>
      </w:r>
      <w:r w:rsidRPr="00D77AD5">
        <w:t>.</w:t>
      </w:r>
    </w:p>
    <w:p w:rsidR="00C05D44" w:rsidRPr="00D77AD5" w:rsidRDefault="00C05D44" w:rsidP="00C05D44"/>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rsidRPr="00D77AD5">
        <w:lastRenderedPageBreak/>
        <w:t xml:space="preserve">Since the legislation to crystallize the establishment of RREA is </w:t>
      </w:r>
      <w:r>
        <w:t>still</w:t>
      </w:r>
      <w:r w:rsidRPr="00D77AD5">
        <w:t xml:space="preserve"> not completed, the legal status of RREA has not been fully established.  Nonetheless, the RREA has been granted some operational funds from the national budget in recognition of the lead role it is expected to play in the Government’s prioritized energy access agenda.  The delay in the publication of the relevant legislation </w:t>
      </w:r>
      <w:r>
        <w:t>was</w:t>
      </w:r>
      <w:r w:rsidRPr="00D77AD5">
        <w:t xml:space="preserve"> considered a significant limitation; it prevent</w:t>
      </w:r>
      <w:r>
        <w:t>ed</w:t>
      </w:r>
      <w:r w:rsidRPr="00D77AD5">
        <w:t xml:space="preserve"> RREA from accessing additional Government resources to, among others, recruit additional staff, set-up a Procurement Unit and </w:t>
      </w:r>
      <w:r w:rsidR="00C46673" w:rsidRPr="00D77AD5">
        <w:t>appoints</w:t>
      </w:r>
      <w:r w:rsidRPr="00D77AD5">
        <w:t xml:space="preserve"> a Procurement Committee, in order to operate as a full-fledged Government Agency subject to the national laws. </w:t>
      </w:r>
      <w:r>
        <w:t xml:space="preserve">RREA has, however, now started getting some funding from the national budget such that </w:t>
      </w:r>
      <w:r w:rsidR="00C46673">
        <w:t>staff is</w:t>
      </w:r>
      <w:r>
        <w:t xml:space="preserve"> now financed using </w:t>
      </w:r>
      <w:proofErr w:type="spellStart"/>
      <w:r>
        <w:t>GoL</w:t>
      </w:r>
      <w:proofErr w:type="spellEnd"/>
      <w:r>
        <w:t xml:space="preserve"> funds through “Professional Service” contracts. Government salaries are higher than those that were been paid through World Bank funding although the take-home pay is almost the same because of taxes. Using the </w:t>
      </w:r>
      <w:proofErr w:type="spellStart"/>
      <w:r>
        <w:t>GoL</w:t>
      </w:r>
      <w:proofErr w:type="spellEnd"/>
      <w:r>
        <w:t xml:space="preserve"> funding RREA is now in the process of recruiting one Procurement Assistant as an effort towards the establishment of the Procurement Unit. After legislation RREA</w:t>
      </w:r>
      <w:r w:rsidRPr="00D77AD5">
        <w:t xml:space="preserve"> procurement rules will also respond to the Public Procurement and Concessions Act (PPCA) of Liberia, which was enacted in 2005, and provides a good legal framework for the conduct of transparent and comprehensive procurement. </w:t>
      </w:r>
    </w:p>
    <w:p w:rsidR="00C05D44" w:rsidRPr="00D77AD5" w:rsidRDefault="00C05D44" w:rsidP="00C05D44">
      <w:pPr>
        <w:rPr>
          <w:b/>
          <w:i/>
        </w:rPr>
      </w:pPr>
    </w:p>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t xml:space="preserve"> Through LESEP, RREA has now started building a</w:t>
      </w:r>
      <w:r w:rsidRPr="00D77AD5">
        <w:t xml:space="preserve"> procurement management track record, in procurement planning, preparation of bidding documents, management of bidding process from advertisement to bid opening, bid evaluation, contract award, preparation and signing of contract, contract management and the general handling of the procurement cycle.  </w:t>
      </w:r>
      <w:r>
        <w:t xml:space="preserve">However, no </w:t>
      </w:r>
      <w:proofErr w:type="gramStart"/>
      <w:r>
        <w:t>selection of consultants have</w:t>
      </w:r>
      <w:proofErr w:type="gramEnd"/>
      <w:r>
        <w:t xml:space="preserve"> been carried out yet</w:t>
      </w:r>
      <w:r w:rsidRPr="00D77AD5">
        <w:t xml:space="preserve">. </w:t>
      </w:r>
    </w:p>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rsidRPr="00D77AD5">
        <w:t xml:space="preserve">RREA under the Executive Director is, by and large, an agency that is </w:t>
      </w:r>
      <w:r>
        <w:t xml:space="preserve">still </w:t>
      </w:r>
      <w:r w:rsidRPr="00D77AD5">
        <w:t xml:space="preserve">being built-up from scratch.  Its Procurement Unit is manned by a Procurement Officer who graduated with a Bachelor of Art Degree in Management from University of Liberia in September 1996, and is currently pursuing a Master of Science Degree in Regional Planning at the same University.  Prior to joining RREA in April 2010, he had undergone and received, as applicable, the following procurement related training and/or employment engagement in identified positions as follows, i.e. </w:t>
      </w:r>
    </w:p>
    <w:p w:rsidR="00C05D44" w:rsidRPr="00D77AD5" w:rsidRDefault="00C05D44" w:rsidP="00E751C7">
      <w:pPr>
        <w:numPr>
          <w:ilvl w:val="0"/>
          <w:numId w:val="15"/>
        </w:numPr>
        <w:ind w:left="1440" w:hanging="720"/>
      </w:pPr>
      <w:r w:rsidRPr="00D77AD5">
        <w:t>Certificate, UNDP Procurement Certification Examination, under Bureau of Management, UNDP New York in November 2, 2006).</w:t>
      </w:r>
    </w:p>
    <w:p w:rsidR="00C05D44" w:rsidRPr="00D77AD5" w:rsidRDefault="00C05D44" w:rsidP="00E751C7">
      <w:pPr>
        <w:numPr>
          <w:ilvl w:val="0"/>
          <w:numId w:val="15"/>
        </w:numPr>
        <w:ind w:left="1440" w:hanging="720"/>
      </w:pPr>
      <w:r w:rsidRPr="00D77AD5">
        <w:t>Certificate, UNDP/IAPSO Civil Works Procurement Training from September 10 - 12, 2007.</w:t>
      </w:r>
    </w:p>
    <w:p w:rsidR="00C05D44" w:rsidRPr="00D77AD5" w:rsidRDefault="00C05D44" w:rsidP="00E751C7">
      <w:pPr>
        <w:numPr>
          <w:ilvl w:val="0"/>
          <w:numId w:val="15"/>
        </w:numPr>
        <w:ind w:left="1440" w:hanging="720"/>
      </w:pPr>
      <w:r w:rsidRPr="00D77AD5">
        <w:t>Procurement Assistant, UNDP, Monrovia (September 4, 2006 – July 15, 2008).</w:t>
      </w:r>
    </w:p>
    <w:p w:rsidR="00C05D44" w:rsidRPr="00D77AD5" w:rsidRDefault="00C05D44" w:rsidP="00E751C7">
      <w:pPr>
        <w:numPr>
          <w:ilvl w:val="0"/>
          <w:numId w:val="15"/>
        </w:numPr>
        <w:ind w:left="1440" w:hanging="720"/>
      </w:pPr>
      <w:r w:rsidRPr="00D77AD5">
        <w:t>Senior Procurement Officer/Supervisor, Liberia Bank for Development and Investment (LBDI) from October 29, 2002 to August 26, 2006, having been Procurement Officer for LBDI from June 29, 2001to October 29, 2002, and Junior Procurement Officer (LBDI) from August 13, 1998 to June 29, 2001.</w:t>
      </w:r>
    </w:p>
    <w:p w:rsidR="00C05D44" w:rsidRPr="00D77AD5" w:rsidRDefault="00C05D44" w:rsidP="00E751C7">
      <w:pPr>
        <w:numPr>
          <w:ilvl w:val="0"/>
          <w:numId w:val="15"/>
        </w:numPr>
        <w:ind w:left="1440" w:hanging="720"/>
      </w:pPr>
      <w:r w:rsidRPr="00D77AD5">
        <w:t>In addition, he attended the National Public Procurement Seminar held at the Monrovia City Hall in 2004 as a representative of LBDI.</w:t>
      </w:r>
    </w:p>
    <w:p w:rsidR="00C05D44" w:rsidRPr="00D77AD5" w:rsidRDefault="00C05D44" w:rsidP="00C05D44"/>
    <w:p w:rsidR="00C05D44" w:rsidRDefault="00C05D44" w:rsidP="00D940CF">
      <w:pPr>
        <w:pStyle w:val="ListParagraph"/>
        <w:numPr>
          <w:ilvl w:val="0"/>
          <w:numId w:val="16"/>
        </w:numPr>
        <w:autoSpaceDE w:val="0"/>
        <w:autoSpaceDN w:val="0"/>
        <w:adjustRightInd w:val="0"/>
        <w:spacing w:after="240"/>
        <w:ind w:left="0" w:firstLine="0"/>
        <w:contextualSpacing w:val="0"/>
      </w:pPr>
      <w:r w:rsidRPr="00D77AD5">
        <w:t xml:space="preserve">Being under establishment, there is no procurement oversight and auditing; some controls in the areas of technical oversight and administration are provided by the Executive Director.  </w:t>
      </w:r>
      <w:r w:rsidRPr="00D77AD5">
        <w:lastRenderedPageBreak/>
        <w:t xml:space="preserve">There are also, currently, no clearly written standards, procedures and delegations of authority and responsibility. </w:t>
      </w:r>
    </w:p>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rsidRPr="00634A66">
        <w:rPr>
          <w:b/>
          <w:i/>
        </w:rPr>
        <w:t xml:space="preserve"> </w:t>
      </w:r>
      <w:r w:rsidRPr="00634A66">
        <w:t>Record keeping at the time of the assessment was satisfactory. The procuring unit maintains a complete record of the process. However, the system can be improved for easier access to documents</w:t>
      </w:r>
    </w:p>
    <w:p w:rsidR="00C05D44" w:rsidRPr="00D77AD5" w:rsidRDefault="00C05D44" w:rsidP="00D940CF">
      <w:pPr>
        <w:pStyle w:val="ListParagraph"/>
        <w:numPr>
          <w:ilvl w:val="0"/>
          <w:numId w:val="16"/>
        </w:numPr>
        <w:autoSpaceDE w:val="0"/>
        <w:autoSpaceDN w:val="0"/>
        <w:adjustRightInd w:val="0"/>
        <w:spacing w:after="240"/>
        <w:ind w:left="0" w:firstLine="0"/>
        <w:contextualSpacing w:val="0"/>
      </w:pPr>
      <w:r w:rsidRPr="00D77AD5">
        <w:t>It is concluded from the procurement assessment that though an Executive Order has been publicized to establish RREA, the</w:t>
      </w:r>
      <w:r w:rsidRPr="00D77AD5">
        <w:rPr>
          <w:b/>
        </w:rPr>
        <w:t xml:space="preserve"> </w:t>
      </w:r>
      <w:r w:rsidRPr="00D77AD5">
        <w:t xml:space="preserve">lack of </w:t>
      </w:r>
      <w:r>
        <w:t xml:space="preserve">ratification of </w:t>
      </w:r>
      <w:r w:rsidRPr="00D77AD5">
        <w:t xml:space="preserve">legislation is a major limiting factor.  The key risks to procurement and the proposed action plan to address the deficiencies in the assessment are detailed below:  </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601"/>
        <w:gridCol w:w="2979"/>
        <w:gridCol w:w="1530"/>
        <w:gridCol w:w="1359"/>
      </w:tblGrid>
      <w:tr w:rsidR="00C05D44" w:rsidRPr="00D77AD5" w:rsidTr="00C05D44">
        <w:trPr>
          <w:jc w:val="center"/>
        </w:trPr>
        <w:tc>
          <w:tcPr>
            <w:tcW w:w="549" w:type="dxa"/>
          </w:tcPr>
          <w:p w:rsidR="00C05D44" w:rsidRPr="00C007C5" w:rsidRDefault="00C05D44" w:rsidP="00C05D44">
            <w:pPr>
              <w:pStyle w:val="Header"/>
              <w:tabs>
                <w:tab w:val="clear" w:pos="4320"/>
                <w:tab w:val="clear" w:pos="8640"/>
              </w:tabs>
              <w:spacing w:before="120" w:after="120"/>
              <w:jc w:val="center"/>
              <w:rPr>
                <w:b/>
                <w:sz w:val="20"/>
                <w:szCs w:val="20"/>
              </w:rPr>
            </w:pPr>
            <w:r w:rsidRPr="00C007C5">
              <w:rPr>
                <w:b/>
                <w:sz w:val="20"/>
                <w:szCs w:val="20"/>
              </w:rPr>
              <w:t>No</w:t>
            </w:r>
          </w:p>
        </w:tc>
        <w:tc>
          <w:tcPr>
            <w:tcW w:w="2601" w:type="dxa"/>
          </w:tcPr>
          <w:p w:rsidR="00C05D44" w:rsidRPr="00C007C5" w:rsidRDefault="00C05D44" w:rsidP="00C05D44">
            <w:pPr>
              <w:pStyle w:val="Header"/>
              <w:tabs>
                <w:tab w:val="clear" w:pos="4320"/>
                <w:tab w:val="clear" w:pos="8640"/>
              </w:tabs>
              <w:spacing w:before="120" w:after="120"/>
              <w:jc w:val="center"/>
              <w:rPr>
                <w:b/>
                <w:sz w:val="20"/>
                <w:szCs w:val="20"/>
              </w:rPr>
            </w:pPr>
            <w:r w:rsidRPr="00C007C5">
              <w:rPr>
                <w:b/>
                <w:sz w:val="20"/>
                <w:szCs w:val="20"/>
              </w:rPr>
              <w:t>Key Risk</w:t>
            </w:r>
          </w:p>
        </w:tc>
        <w:tc>
          <w:tcPr>
            <w:tcW w:w="2979" w:type="dxa"/>
          </w:tcPr>
          <w:p w:rsidR="00C05D44" w:rsidRPr="00C007C5" w:rsidRDefault="00C05D44" w:rsidP="00C05D44">
            <w:pPr>
              <w:pStyle w:val="Header"/>
              <w:tabs>
                <w:tab w:val="clear" w:pos="4320"/>
                <w:tab w:val="clear" w:pos="8640"/>
              </w:tabs>
              <w:spacing w:before="120" w:after="120"/>
              <w:jc w:val="center"/>
              <w:rPr>
                <w:b/>
                <w:sz w:val="20"/>
                <w:szCs w:val="20"/>
              </w:rPr>
            </w:pPr>
            <w:r w:rsidRPr="00C007C5">
              <w:rPr>
                <w:b/>
                <w:sz w:val="20"/>
                <w:szCs w:val="20"/>
              </w:rPr>
              <w:t>Risk Mitigation Actions</w:t>
            </w:r>
          </w:p>
        </w:tc>
        <w:tc>
          <w:tcPr>
            <w:tcW w:w="1530" w:type="dxa"/>
          </w:tcPr>
          <w:p w:rsidR="00C05D44" w:rsidRPr="00C007C5" w:rsidRDefault="00C05D44" w:rsidP="00C05D44">
            <w:pPr>
              <w:pStyle w:val="Header"/>
              <w:tabs>
                <w:tab w:val="clear" w:pos="4320"/>
                <w:tab w:val="clear" w:pos="8640"/>
              </w:tabs>
              <w:spacing w:before="120" w:after="120"/>
              <w:jc w:val="center"/>
              <w:rPr>
                <w:b/>
                <w:sz w:val="20"/>
                <w:szCs w:val="20"/>
              </w:rPr>
            </w:pPr>
            <w:r w:rsidRPr="00C007C5">
              <w:rPr>
                <w:b/>
                <w:sz w:val="20"/>
                <w:szCs w:val="20"/>
              </w:rPr>
              <w:t>By Whom</w:t>
            </w:r>
          </w:p>
        </w:tc>
        <w:tc>
          <w:tcPr>
            <w:tcW w:w="1359" w:type="dxa"/>
          </w:tcPr>
          <w:p w:rsidR="00C05D44" w:rsidRPr="00C007C5" w:rsidRDefault="00C05D44" w:rsidP="00C05D44">
            <w:pPr>
              <w:pStyle w:val="Header"/>
              <w:tabs>
                <w:tab w:val="clear" w:pos="4320"/>
                <w:tab w:val="clear" w:pos="8640"/>
              </w:tabs>
              <w:spacing w:before="120" w:after="120"/>
              <w:jc w:val="center"/>
              <w:rPr>
                <w:b/>
                <w:sz w:val="20"/>
                <w:szCs w:val="20"/>
              </w:rPr>
            </w:pPr>
            <w:r w:rsidRPr="00C007C5">
              <w:rPr>
                <w:b/>
                <w:sz w:val="20"/>
                <w:szCs w:val="20"/>
              </w:rPr>
              <w:t>By When</w:t>
            </w:r>
          </w:p>
        </w:tc>
      </w:tr>
      <w:tr w:rsidR="00C05D44" w:rsidRPr="00D77AD5" w:rsidTr="00C05D44">
        <w:trPr>
          <w:jc w:val="center"/>
        </w:trPr>
        <w:tc>
          <w:tcPr>
            <w:tcW w:w="549"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1</w:t>
            </w:r>
          </w:p>
        </w:tc>
        <w:tc>
          <w:tcPr>
            <w:tcW w:w="2601"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Lack of ratification of the relevant legislation to permanently legitimize the existence of RREA and make it operational as a Government Agency.</w:t>
            </w:r>
          </w:p>
        </w:tc>
        <w:tc>
          <w:tcPr>
            <w:tcW w:w="2979"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Need for greater efforts at lobbying the relevant Government circles and the legislature to expedite actions required to be taken towards publication of the relevant legislation.</w:t>
            </w:r>
          </w:p>
        </w:tc>
        <w:tc>
          <w:tcPr>
            <w:tcW w:w="1530"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 xml:space="preserve">The supervising Ministry and the currently recruited staff of RREA </w:t>
            </w:r>
          </w:p>
        </w:tc>
        <w:tc>
          <w:tcPr>
            <w:tcW w:w="1359"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January 2012</w:t>
            </w:r>
          </w:p>
        </w:tc>
      </w:tr>
      <w:tr w:rsidR="00C05D44" w:rsidRPr="00D77AD5" w:rsidTr="00C05D44">
        <w:trPr>
          <w:jc w:val="center"/>
        </w:trPr>
        <w:tc>
          <w:tcPr>
            <w:tcW w:w="549"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2</w:t>
            </w:r>
          </w:p>
        </w:tc>
        <w:tc>
          <w:tcPr>
            <w:tcW w:w="2601"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 xml:space="preserve">The lack of evidence that the Procurement Specialist has worked with some donor guidelines, e.g. those of the World Bank and therefore has relevant experience for the management of donor funded project’s cycle. </w:t>
            </w:r>
          </w:p>
        </w:tc>
        <w:tc>
          <w:tcPr>
            <w:tcW w:w="2979"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Need for the Procurement Specialist to continue gaining relevant experience, in the interim, by networking with colleague PSs on IDA projects and providing some procurement support to the Ministry of Mines, Land &amp; Energy, for its on-going IDA projects.</w:t>
            </w:r>
          </w:p>
        </w:tc>
        <w:tc>
          <w:tcPr>
            <w:tcW w:w="1530"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By and through the initiative of the Director of RREA</w:t>
            </w:r>
          </w:p>
        </w:tc>
        <w:tc>
          <w:tcPr>
            <w:tcW w:w="1359"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As soon as possible</w:t>
            </w:r>
          </w:p>
        </w:tc>
      </w:tr>
      <w:tr w:rsidR="00C05D44" w:rsidRPr="00D77AD5" w:rsidTr="00C05D44">
        <w:trPr>
          <w:jc w:val="center"/>
        </w:trPr>
        <w:tc>
          <w:tcPr>
            <w:tcW w:w="549"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3</w:t>
            </w:r>
          </w:p>
        </w:tc>
        <w:tc>
          <w:tcPr>
            <w:tcW w:w="2601"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The currently low number of key staff of the Agency, which limits flexibility in staff use for backup support purposes, e.g. for procurement</w:t>
            </w:r>
          </w:p>
        </w:tc>
        <w:tc>
          <w:tcPr>
            <w:tcW w:w="2979"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There is need to avoid recruitment delays in the process that has already started.</w:t>
            </w:r>
          </w:p>
        </w:tc>
        <w:tc>
          <w:tcPr>
            <w:tcW w:w="1530"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Director of RREA and the Procurement Specialist</w:t>
            </w:r>
          </w:p>
        </w:tc>
        <w:tc>
          <w:tcPr>
            <w:tcW w:w="1359" w:type="dxa"/>
          </w:tcPr>
          <w:p w:rsidR="00C05D44" w:rsidRPr="00C007C5" w:rsidRDefault="00C05D44" w:rsidP="00C05D44">
            <w:pPr>
              <w:pStyle w:val="Header"/>
              <w:tabs>
                <w:tab w:val="clear" w:pos="4320"/>
                <w:tab w:val="clear" w:pos="8640"/>
              </w:tabs>
              <w:spacing w:before="120" w:after="120"/>
              <w:rPr>
                <w:sz w:val="20"/>
                <w:szCs w:val="20"/>
              </w:rPr>
            </w:pPr>
            <w:r w:rsidRPr="00C007C5">
              <w:rPr>
                <w:sz w:val="20"/>
                <w:szCs w:val="20"/>
              </w:rPr>
              <w:t xml:space="preserve">As soon as possible </w:t>
            </w:r>
          </w:p>
        </w:tc>
      </w:tr>
    </w:tbl>
    <w:p w:rsidR="00C05D44" w:rsidRPr="00D77AD5" w:rsidRDefault="00C05D44" w:rsidP="00C05D44"/>
    <w:p w:rsidR="00C05D44" w:rsidRDefault="00C05D44" w:rsidP="00C05D44">
      <w:r w:rsidRPr="00D77AD5">
        <w:t>The overall project risk for procurement</w:t>
      </w:r>
      <w:r>
        <w:t xml:space="preserve"> at RREA</w:t>
      </w:r>
      <w:r w:rsidRPr="00D77AD5">
        <w:t xml:space="preserve"> is </w:t>
      </w:r>
      <w:r w:rsidR="00EC52D2">
        <w:t>m</w:t>
      </w:r>
      <w:r>
        <w:t xml:space="preserve">oderate. </w:t>
      </w:r>
    </w:p>
    <w:p w:rsidR="005B2CBC" w:rsidRDefault="005B2CBC" w:rsidP="00623450">
      <w:pPr>
        <w:rPr>
          <w:b/>
        </w:rPr>
      </w:pPr>
      <w:r>
        <w:rPr>
          <w:b/>
        </w:rPr>
        <w:t xml:space="preserve"> </w:t>
      </w:r>
    </w:p>
    <w:p w:rsidR="00623450" w:rsidRPr="00623450" w:rsidRDefault="00623450" w:rsidP="00623450"/>
    <w:p w:rsidR="00623450" w:rsidRPr="00623450" w:rsidRDefault="00623450" w:rsidP="00623450"/>
    <w:p w:rsidR="00623450" w:rsidRPr="00623450" w:rsidRDefault="00623450" w:rsidP="00623450">
      <w:r w:rsidRPr="00623450">
        <w:t xml:space="preserve"> </w:t>
      </w:r>
    </w:p>
    <w:p w:rsidR="00623450" w:rsidRPr="00623450" w:rsidRDefault="00623450" w:rsidP="00623450"/>
    <w:p w:rsidR="00623450" w:rsidRPr="00623450" w:rsidRDefault="00623450" w:rsidP="00F62979"/>
    <w:p w:rsidR="00623450" w:rsidRPr="00623450" w:rsidRDefault="00623450" w:rsidP="00F62979"/>
    <w:p w:rsidR="00623450" w:rsidRPr="00623450" w:rsidRDefault="00623450" w:rsidP="00F62979"/>
    <w:p w:rsidR="00D17668" w:rsidRDefault="00D17668" w:rsidP="009E37F6"/>
    <w:p w:rsidR="00623450" w:rsidRPr="00D17668" w:rsidRDefault="00D526C8" w:rsidP="009E37F6">
      <w:pPr>
        <w:rPr>
          <w:sz w:val="16"/>
        </w:rPr>
      </w:pPr>
      <w:fldSimple w:instr=" USERNAME  \* MERGEFORMAT ">
        <w:r w:rsidR="003D5E4F" w:rsidRPr="003D5E4F">
          <w:rPr>
            <w:noProof/>
            <w:sz w:val="16"/>
          </w:rPr>
          <w:t>wb10286</w:t>
        </w:r>
      </w:fldSimple>
      <w:r w:rsidR="00217E5F">
        <w:rPr>
          <w:sz w:val="16"/>
        </w:rPr>
        <w:t xml:space="preserve"> / </w:t>
      </w:r>
      <w:fldSimple w:instr=" FILENAME \p \* MERGEFORMAT ">
        <w:r w:rsidR="003D5E4F" w:rsidRPr="003D5E4F">
          <w:rPr>
            <w:noProof/>
            <w:sz w:val="16"/>
          </w:rPr>
          <w:t>P:\LIBERIA\WUE\LESEP\PAD</w:t>
        </w:r>
        <w:r w:rsidR="003D5E4F">
          <w:rPr>
            <w:noProof/>
          </w:rPr>
          <w:t>\Project-Paper-LW-Nov-10-2011.doc</w:t>
        </w:r>
      </w:fldSimple>
      <w:r w:rsidR="00217E5F">
        <w:rPr>
          <w:sz w:val="16"/>
        </w:rPr>
        <w:t xml:space="preserve"> / </w:t>
      </w:r>
      <w:fldSimple w:instr=" INFO SaveDate \* MERGEFORMAT ">
        <w:r w:rsidR="003D5E4F" w:rsidRPr="003D5E4F">
          <w:rPr>
            <w:sz w:val="16"/>
          </w:rPr>
          <w:t>11/10/2011 6:24:00 PM</w:t>
        </w:r>
      </w:fldSimple>
    </w:p>
    <w:sectPr w:rsidR="00623450" w:rsidRPr="00D17668" w:rsidSect="007A2A8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769" w:rsidRDefault="00865769" w:rsidP="003F52A8">
      <w:r>
        <w:separator/>
      </w:r>
    </w:p>
  </w:endnote>
  <w:endnote w:type="continuationSeparator" w:id="0">
    <w:p w:rsidR="00865769" w:rsidRDefault="00865769" w:rsidP="003F5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8" w:rsidRDefault="008B7268">
    <w:pPr>
      <w:pStyle w:val="Footer"/>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8" w:rsidRDefault="00D526C8">
    <w:pPr>
      <w:pStyle w:val="Footer"/>
      <w:jc w:val="center"/>
    </w:pPr>
    <w:fldSimple w:instr=" PAGE   \* MERGEFORMAT ">
      <w:r w:rsidR="008B7268">
        <w:rPr>
          <w:noProof/>
        </w:rPr>
        <w:t>6</w:t>
      </w:r>
    </w:fldSimple>
  </w:p>
  <w:p w:rsidR="008B7268" w:rsidRDefault="008B7268">
    <w:pPr>
      <w:pStyle w:val="Footer"/>
      <w:jc w:val="cen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8" w:rsidRDefault="00D526C8">
    <w:pPr>
      <w:pStyle w:val="Footer"/>
      <w:jc w:val="center"/>
    </w:pPr>
    <w:fldSimple w:instr=" PAGE   \* MERGEFORMAT ">
      <w:r w:rsidR="00F67F4A">
        <w:rPr>
          <w:noProof/>
        </w:rPr>
        <w:t>16</w:t>
      </w:r>
    </w:fldSimple>
  </w:p>
  <w:p w:rsidR="008B7268" w:rsidRDefault="008B7268">
    <w:pPr>
      <w:pStyle w:val="Footer"/>
      <w:jc w:val="cen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8" w:rsidRDefault="00D526C8">
    <w:pPr>
      <w:pStyle w:val="Footer"/>
      <w:jc w:val="center"/>
    </w:pPr>
    <w:fldSimple w:instr=" PAGE   \* MERGEFORMAT ">
      <w:r w:rsidR="00F67F4A">
        <w:rPr>
          <w:noProof/>
        </w:rPr>
        <w:t>1</w:t>
      </w:r>
    </w:fldSimple>
  </w:p>
  <w:p w:rsidR="008B7268" w:rsidRDefault="008B7268">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769" w:rsidRDefault="00865769" w:rsidP="003F52A8">
      <w:r>
        <w:separator/>
      </w:r>
    </w:p>
  </w:footnote>
  <w:footnote w:type="continuationSeparator" w:id="0">
    <w:p w:rsidR="00865769" w:rsidRDefault="00865769" w:rsidP="003F52A8">
      <w:r>
        <w:continuationSeparator/>
      </w:r>
    </w:p>
  </w:footnote>
  <w:footnote w:id="1">
    <w:p w:rsidR="008B7268" w:rsidRDefault="008B7268">
      <w:pPr>
        <w:pStyle w:val="FootnoteText"/>
      </w:pPr>
      <w:r>
        <w:rPr>
          <w:rStyle w:val="FootnoteReference"/>
        </w:rPr>
        <w:footnoteRef/>
      </w:r>
      <w:r>
        <w:t xml:space="preserve"> </w:t>
      </w:r>
      <w:proofErr w:type="gramStart"/>
      <w:r>
        <w:t>Power demand occurring between peak and off-peak periods.</w:t>
      </w:r>
      <w:proofErr w:type="gramEnd"/>
    </w:p>
  </w:footnote>
  <w:footnote w:id="2">
    <w:p w:rsidR="008B7268" w:rsidRDefault="008B7268">
      <w:pPr>
        <w:pStyle w:val="FootnoteText"/>
      </w:pPr>
      <w:r>
        <w:rPr>
          <w:rStyle w:val="FootnoteReference"/>
        </w:rPr>
        <w:footnoteRef/>
      </w:r>
      <w:r>
        <w:t xml:space="preserve"> </w:t>
      </w:r>
      <w:r w:rsidRPr="00C61741">
        <w:t>The ESW concluded that grid-connected demand in Monrovia could reach 36</w:t>
      </w:r>
      <w:r>
        <w:t xml:space="preserve"> </w:t>
      </w:r>
      <w:r w:rsidRPr="00C61741">
        <w:t xml:space="preserve">MW considering a low growth scenario and 59 MW in the high growth scenario in 2015. </w:t>
      </w:r>
      <w:r>
        <w:t xml:space="preserve"> </w:t>
      </w:r>
      <w:r w:rsidRPr="00C61741">
        <w:t>Similarly, the management contractor estimated that the connection of new 33,000 costumers will represent a demand of 48</w:t>
      </w:r>
      <w:r>
        <w:t xml:space="preserve"> </w:t>
      </w:r>
      <w:r w:rsidRPr="00C61741">
        <w:t>MW in the five-year contract in order meet the existing and new demand.</w:t>
      </w:r>
    </w:p>
  </w:footnote>
  <w:footnote w:id="3">
    <w:p w:rsidR="008B7268" w:rsidRPr="004F03FD" w:rsidRDefault="008B7268" w:rsidP="00BA2C13">
      <w:pPr>
        <w:spacing w:before="40"/>
        <w:rPr>
          <w:b/>
          <w:sz w:val="20"/>
          <w:szCs w:val="20"/>
        </w:rPr>
      </w:pPr>
      <w:r w:rsidRPr="004F03FD">
        <w:rPr>
          <w:rStyle w:val="FootnoteReference"/>
          <w:sz w:val="20"/>
          <w:szCs w:val="20"/>
        </w:rPr>
        <w:footnoteRef/>
      </w:r>
      <w:r w:rsidRPr="004F03FD">
        <w:rPr>
          <w:b/>
          <w:sz w:val="20"/>
          <w:szCs w:val="20"/>
        </w:rPr>
        <w:t xml:space="preserve"> </w:t>
      </w:r>
      <w:r w:rsidRPr="004F03FD">
        <w:rPr>
          <w:b/>
          <w:sz w:val="20"/>
          <w:szCs w:val="20"/>
          <w:lang w:val="en-GB"/>
        </w:rPr>
        <w:t>Please indicate whether the indicator is a Core Sector Indicator (</w:t>
      </w:r>
      <w:r>
        <w:rPr>
          <w:b/>
          <w:sz w:val="20"/>
          <w:szCs w:val="20"/>
          <w:lang w:val="en-GB"/>
        </w:rPr>
        <w:t xml:space="preserve">for additional guidance – please see </w:t>
      </w:r>
      <w:hyperlink r:id="rId1" w:history="1">
        <w:r w:rsidRPr="004F03FD">
          <w:rPr>
            <w:rStyle w:val="Hyperlink"/>
            <w:sz w:val="20"/>
            <w:szCs w:val="20"/>
            <w:lang w:val="en-GB"/>
          </w:rPr>
          <w:t>http://coreindicators</w:t>
        </w:r>
      </w:hyperlink>
      <w:r w:rsidRPr="004F03FD">
        <w:rPr>
          <w:b/>
          <w:sz w:val="20"/>
          <w:szCs w:val="20"/>
          <w:lang w:val="en-GB"/>
        </w:rPr>
        <w:t>)</w:t>
      </w:r>
      <w:r>
        <w:rPr>
          <w:b/>
          <w:sz w:val="20"/>
          <w:szCs w:val="20"/>
          <w:lang w:val="en-GB"/>
        </w:rPr>
        <w:t>.</w:t>
      </w:r>
    </w:p>
  </w:footnote>
  <w:footnote w:id="4">
    <w:p w:rsidR="008B7268" w:rsidRPr="004F03FD" w:rsidRDefault="008B7268" w:rsidP="00BA2C13">
      <w:pPr>
        <w:pStyle w:val="FootnoteText"/>
        <w:rPr>
          <w:b/>
        </w:rPr>
      </w:pPr>
      <w:r w:rsidRPr="004F03FD">
        <w:rPr>
          <w:rStyle w:val="FootnoteReference"/>
        </w:rPr>
        <w:footnoteRef/>
      </w:r>
      <w:r w:rsidRPr="004F03FD">
        <w:rPr>
          <w:b/>
        </w:rPr>
        <w:t xml:space="preserve"> UOM = Unit of Measurement</w:t>
      </w:r>
      <w:r>
        <w:rPr>
          <w:b/>
        </w:rPr>
        <w:t>.</w:t>
      </w:r>
    </w:p>
  </w:footnote>
  <w:footnote w:id="5">
    <w:p w:rsidR="008B7268" w:rsidRPr="004F03FD" w:rsidRDefault="008B7268" w:rsidP="00BA2C13">
      <w:pPr>
        <w:pStyle w:val="FootnoteText"/>
        <w:rPr>
          <w:b/>
        </w:rPr>
      </w:pPr>
      <w:r w:rsidRPr="004F03FD">
        <w:rPr>
          <w:rStyle w:val="FootnoteReference"/>
        </w:rPr>
        <w:footnoteRef/>
      </w:r>
      <w:r w:rsidRPr="004F03FD">
        <w:rPr>
          <w:b/>
        </w:rPr>
        <w:t xml:space="preserve"> </w:t>
      </w:r>
      <w:r w:rsidRPr="004F03FD">
        <w:rPr>
          <w:b/>
          <w:lang w:val="en-GB"/>
        </w:rPr>
        <w:t>For new indicators introduced as part of the additional financing, the progress to date column is used to reflect the baseline value</w:t>
      </w:r>
      <w:r>
        <w:rPr>
          <w:b/>
          <w:lang w:val="en-GB"/>
        </w:rPr>
        <w:t>.</w:t>
      </w:r>
    </w:p>
  </w:footnote>
  <w:footnote w:id="6">
    <w:p w:rsidR="008B7268" w:rsidRPr="004F03FD" w:rsidRDefault="008B7268" w:rsidP="00BA2C13">
      <w:pPr>
        <w:pStyle w:val="FootnoteText"/>
        <w:rPr>
          <w:b/>
        </w:rPr>
      </w:pPr>
      <w:r w:rsidRPr="004F03FD">
        <w:rPr>
          <w:rStyle w:val="FootnoteReference"/>
        </w:rPr>
        <w:footnoteRef/>
      </w:r>
      <w:r w:rsidRPr="004F03FD">
        <w:rPr>
          <w:b/>
        </w:rPr>
        <w:t xml:space="preserve"> </w:t>
      </w:r>
      <w:r w:rsidRPr="004F03FD">
        <w:rPr>
          <w:b/>
          <w:lang w:val="en-GB"/>
        </w:rPr>
        <w:t xml:space="preserve">Target values should be entered for the years data will be available, not necessarily annually. Target values should normally be cumulative.  If targets refer to annual values, please indicate this in the indicator name </w:t>
      </w:r>
      <w:r>
        <w:rPr>
          <w:b/>
          <w:lang w:val="en-GB"/>
        </w:rPr>
        <w:t xml:space="preserve">and </w:t>
      </w:r>
      <w:r w:rsidRPr="004F03FD">
        <w:rPr>
          <w:b/>
          <w:lang w:val="en-GB"/>
        </w:rPr>
        <w:t>in the “Comments” column.</w:t>
      </w:r>
    </w:p>
  </w:footnote>
  <w:footnote w:id="7">
    <w:p w:rsidR="008B7268" w:rsidRPr="004F03FD" w:rsidRDefault="008B7268" w:rsidP="00BA2C13">
      <w:pPr>
        <w:pStyle w:val="FootnoteText"/>
        <w:rPr>
          <w:b/>
        </w:rPr>
      </w:pPr>
      <w:r w:rsidRPr="004F03FD">
        <w:rPr>
          <w:rStyle w:val="FootnoteReference"/>
        </w:rPr>
        <w:footnoteRef/>
      </w:r>
      <w:r w:rsidRPr="004F03FD">
        <w:rPr>
          <w:b/>
        </w:rPr>
        <w:t xml:space="preserve"> All projects are encouraged to identify and measure the number of project beneficiaries. The adoption and reporting on this indicator is required for investment projects which have an approval</w:t>
      </w:r>
      <w:r>
        <w:rPr>
          <w:b/>
        </w:rPr>
        <w:t xml:space="preserve"> date of July 1, 2009 or later (</w:t>
      </w:r>
      <w:r w:rsidRPr="004F03FD">
        <w:rPr>
          <w:b/>
          <w:lang w:val="en-GB"/>
        </w:rPr>
        <w:t xml:space="preserve">for additional guidance – please see </w:t>
      </w:r>
      <w:hyperlink r:id="rId2" w:history="1">
        <w:r w:rsidRPr="004F03FD">
          <w:rPr>
            <w:rStyle w:val="Hyperlink"/>
            <w:lang w:val="en-GB"/>
          </w:rPr>
          <w:t>http://coreindicators</w:t>
        </w:r>
      </w:hyperlink>
      <w:r w:rsidRPr="004F03FD">
        <w:rPr>
          <w:b/>
          <w:lang w:val="en-GB"/>
        </w:rPr>
        <w:t>)</w:t>
      </w:r>
      <w:r>
        <w:rPr>
          <w:b/>
          <w:lang w:val="en-GB"/>
        </w:rPr>
        <w:t>.</w:t>
      </w:r>
    </w:p>
  </w:footnote>
  <w:footnote w:id="8">
    <w:p w:rsidR="008B7268" w:rsidRDefault="008B7268" w:rsidP="00567EFC">
      <w:pPr>
        <w:pStyle w:val="FootnoteText"/>
      </w:pPr>
      <w:r>
        <w:rPr>
          <w:rStyle w:val="FootnoteReference"/>
          <w:rFonts w:eastAsia="Calibri"/>
        </w:rPr>
        <w:footnoteRef/>
      </w:r>
      <w:r>
        <w:t xml:space="preserve">  </w:t>
      </w:r>
      <w:proofErr w:type="gramStart"/>
      <w:r w:rsidRPr="006D7C57">
        <w:t>Options for the Development of Liberia’s Energy Sector</w:t>
      </w:r>
      <w:r>
        <w:t>, World Bank, 2010.</w:t>
      </w:r>
      <w:proofErr w:type="gramEnd"/>
    </w:p>
  </w:footnote>
  <w:footnote w:id="9">
    <w:p w:rsidR="008B7268" w:rsidRDefault="008B7268" w:rsidP="00FB413A">
      <w:pPr>
        <w:pStyle w:val="FootnoteText"/>
      </w:pPr>
      <w:r>
        <w:rPr>
          <w:rStyle w:val="FootnoteReference"/>
        </w:rPr>
        <w:footnoteRef/>
      </w:r>
      <w:r>
        <w:t xml:space="preserve"> </w:t>
      </w:r>
      <w:r w:rsidRPr="004C2CB1">
        <w:t xml:space="preserve">See </w:t>
      </w:r>
      <w:hyperlink r:id="rId3" w:history="1">
        <w:r w:rsidRPr="004C2CB1">
          <w:rPr>
            <w:rStyle w:val="Hyperlink"/>
          </w:rPr>
          <w:t>http://www.lightingafrica.org/specs.html?layout=item</w:t>
        </w:r>
      </w:hyperlink>
      <w:r w:rsidRPr="004C2CB1">
        <w:t xml:space="preserve"> for list of products that currently pass the Lighting Africa Quality </w:t>
      </w:r>
      <w:r>
        <w:t xml:space="preserve">Assurance </w:t>
      </w:r>
      <w:r w:rsidRPr="004C2CB1">
        <w:t>requirements and Performance Targets. Additional lights that are presently undergoing testing may be added to the approved products list.</w:t>
      </w:r>
    </w:p>
  </w:footnote>
  <w:footnote w:id="10">
    <w:p w:rsidR="008B7268" w:rsidRDefault="008B7268">
      <w:pPr>
        <w:pStyle w:val="FootnoteText"/>
      </w:pPr>
      <w:r>
        <w:rPr>
          <w:rStyle w:val="FootnoteReference"/>
        </w:rPr>
        <w:footnoteRef/>
      </w:r>
      <w:r>
        <w:t xml:space="preserve"> </w:t>
      </w:r>
      <w:r w:rsidRPr="00D70456">
        <w:t>In order to provide a common base, energy consumption was converted to equivalent kWh.  In the case of lighting, because the quality of light provided per lamp-hour varies widely among different types of lighting appliances, this also entailed a conversion of lamp-hours to lumen-hours.  Lumen-hours of light were converted to equivalent kWh using the sample’s average ratio of kWh to lumen-hours.  This means that the kWh of consumption by non-electric lighting appliances refers to the kWh of electricity that would be required to produce an equivalent amount of lighting – not to the kWh equivalents of the fuel consumed</w:t>
      </w:r>
      <w:r>
        <w:t>.</w:t>
      </w:r>
    </w:p>
  </w:footnote>
  <w:footnote w:id="11">
    <w:p w:rsidR="008B7268" w:rsidRPr="001A511E" w:rsidRDefault="008B7268" w:rsidP="00FB413A">
      <w:pPr>
        <w:pStyle w:val="FootnoteText"/>
      </w:pPr>
      <w:r>
        <w:rPr>
          <w:rStyle w:val="FootnoteReference"/>
        </w:rPr>
        <w:footnoteRef/>
      </w:r>
      <w:r>
        <w:t xml:space="preserve"> Road shows</w:t>
      </w:r>
      <w:r w:rsidRPr="001A511E">
        <w:t xml:space="preserve"> will be the main </w:t>
      </w:r>
      <w:r>
        <w:t xml:space="preserve">marketing </w:t>
      </w:r>
      <w:r w:rsidRPr="001A511E">
        <w:t xml:space="preserve">vehicle </w:t>
      </w:r>
      <w:r>
        <w:t>to ensure dissemination of</w:t>
      </w:r>
      <w:r w:rsidRPr="001A511E">
        <w:t xml:space="preserve"> solar lights.  Leading up to road shows, radio advertisements will alert Liberians of the schedule and areas to be visited, and how to take advantage of the program.  The road shows will be very festive events, and will include the retail partners that have market representation in the area to be visited.  Road shows will only be conducted in the areas that retailers have a presence, to ensure the effort results in ongoing sales.  In areas with more than one retailer represented, all applicable retailers will be included in the road show.  </w:t>
      </w:r>
    </w:p>
    <w:p w:rsidR="008B7268" w:rsidRPr="001A511E" w:rsidRDefault="008B7268" w:rsidP="00FB413A">
      <w:pPr>
        <w:pStyle w:val="FootnoteText"/>
      </w:pPr>
    </w:p>
    <w:p w:rsidR="008B7268" w:rsidRDefault="008B7268" w:rsidP="00FB413A">
      <w:pPr>
        <w:pStyle w:val="FootnoteText"/>
      </w:pPr>
      <w:r w:rsidRPr="001A511E">
        <w:t xml:space="preserve">Road shows will be scheduled to occur on market days in targeted towns.  In Liberia, market days rotate in contiguous towns and villages to allow local traders to make sales every day of the week.  Similarly, road shows will target a contiguous area to, over several </w:t>
      </w:r>
      <w:proofErr w:type="gramStart"/>
      <w:r w:rsidRPr="001A511E">
        <w:t>days,</w:t>
      </w:r>
      <w:proofErr w:type="gramEnd"/>
      <w:r w:rsidRPr="001A511E">
        <w:t xml:space="preserve"> take advantage of the large number of consumers present in a defined geographic area. Each retailer will set up a temporary sales stall, and promoters will host a fun and informative session with music and dancing, followed by an introduction on Lighting Africa, the lantern exchange program, and solar products.  Retailers will be on hand to make sales and demonstrate products, and will collect the exchanged inferior products at the time and place of sal</w:t>
      </w:r>
      <w:r>
        <w:t xml:space="preserve">e.  These will be </w:t>
      </w:r>
      <w:r w:rsidRPr="001A511E">
        <w:t xml:space="preserve">disposed of. </w:t>
      </w:r>
    </w:p>
  </w:footnote>
  <w:footnote w:id="12">
    <w:p w:rsidR="008B7268" w:rsidRDefault="008B7268">
      <w:pPr>
        <w:pStyle w:val="FootnoteText"/>
      </w:pPr>
      <w:r>
        <w:rPr>
          <w:rStyle w:val="FootnoteReference"/>
        </w:rPr>
        <w:footnoteRef/>
      </w:r>
      <w:r>
        <w:t xml:space="preserve"> </w:t>
      </w:r>
      <w:r w:rsidRPr="00023C02">
        <w:t>Procurement will be carried out using the direct contracting method, which is warranted in cases where “the required equipment is proprietary and obtainable only from one source” (per the World Bank’s Guidelines on Procurement of Goods, Works, and Non-Consulting Services (January 2011)). Since products are limited on the first level to those that have passed the Lighting Africa quality assurance program, and on the second level to those that fall within the budget and mid-range categories, there are only a few products that currently qualify.  Furthermore, the procurement process must allow for selection of more than one product in order to allow for competition among the retailers, making procurement of the products non-competitive beyond pre-qualification.  Finally, ensuring the use of more than one product in the trial phase helps to hedge against limited availability of products in future stages should one or more retail partners decide not to pursue the relatively undeveloped Liberian market.  Therefore, several firms will be invited on an equal basis through direct contracting to provide the approved lights for the program.</w:t>
      </w:r>
    </w:p>
  </w:footnote>
  <w:footnote w:id="13">
    <w:p w:rsidR="00613261" w:rsidRDefault="00613261">
      <w:pPr>
        <w:pStyle w:val="FootnoteText"/>
      </w:pPr>
      <w:r>
        <w:rPr>
          <w:rStyle w:val="FootnoteReference"/>
        </w:rPr>
        <w:footnoteRef/>
      </w:r>
      <w:r>
        <w:t xml:space="preserve"> The RREA </w:t>
      </w:r>
      <w:r w:rsidR="00855865">
        <w:t>must</w:t>
      </w:r>
      <w:r>
        <w:t xml:space="preserve"> obtain the requisite duty and GST waivers from the Ministry of Finance prior to placing the first order.</w:t>
      </w:r>
    </w:p>
  </w:footnote>
  <w:footnote w:id="14">
    <w:p w:rsidR="008B7268" w:rsidRDefault="008B7268" w:rsidP="00FB413A">
      <w:pPr>
        <w:pStyle w:val="FootnoteText"/>
      </w:pPr>
      <w:r>
        <w:rPr>
          <w:rStyle w:val="FootnoteReference"/>
        </w:rPr>
        <w:footnoteRef/>
      </w:r>
      <w:r>
        <w:t xml:space="preserve"> </w:t>
      </w:r>
      <w:r w:rsidRPr="00AA68E1">
        <w:t>The cost of the solar lantern from the manufacturer to the RREA is not counted in the balance sheet as shown in the figure, rather, the RREA balance refers to the project-specific revolving capital fund. In this way, both the RREA and the retail partner end up with a positive balance sheet, which forms the basis for both to facilitate and carry out (respectively) future sales.</w:t>
      </w:r>
    </w:p>
  </w:footnote>
  <w:footnote w:id="15">
    <w:p w:rsidR="008B7268" w:rsidRDefault="008B7268" w:rsidP="00FE36B3">
      <w:pPr>
        <w:pStyle w:val="FootnoteText"/>
      </w:pPr>
      <w:r>
        <w:rPr>
          <w:rStyle w:val="FootnoteReference"/>
        </w:rPr>
        <w:footnoteRef/>
      </w:r>
      <w:r>
        <w:t xml:space="preserve"> </w:t>
      </w:r>
      <w:proofErr w:type="spellStart"/>
      <w:proofErr w:type="gramStart"/>
      <w:r>
        <w:t>Uniross</w:t>
      </w:r>
      <w:proofErr w:type="spellEnd"/>
      <w:r>
        <w:t>.</w:t>
      </w:r>
      <w:proofErr w:type="gramEnd"/>
      <w:r>
        <w:t xml:space="preserve"> 2007. Study on the Environmental Impact of Batteries. </w:t>
      </w:r>
      <w:hyperlink r:id="rId4" w:tgtFrame="_parent" w:history="1">
        <w:r>
          <w:rPr>
            <w:rStyle w:val="Hyperlink"/>
          </w:rPr>
          <w:t>http://www.smarterproducts.co.uk/acatalog/pdf_UNIROSS-Study-Environmental-impact-of-batteries.pdf</w:t>
        </w:r>
      </w:hyperlink>
      <w:r>
        <w:t xml:space="preserve">.  See also </w:t>
      </w:r>
      <w:proofErr w:type="spellStart"/>
      <w:r>
        <w:t>Climatop</w:t>
      </w:r>
      <w:proofErr w:type="spellEnd"/>
      <w:r>
        <w:t xml:space="preserve">. 2010. CO2 balance: batteries. </w:t>
      </w:r>
      <w:hyperlink r:id="rId5" w:history="1">
        <w:r w:rsidRPr="00C0713E">
          <w:rPr>
            <w:rStyle w:val="Hyperlink"/>
          </w:rPr>
          <w:t>http://www.climatop.ch/downloads/E-Fact_Sheet_Migros_Batteries_v5.pdf</w:t>
        </w:r>
      </w:hyperlink>
      <w:r>
        <w:t xml:space="preserve">. </w:t>
      </w:r>
    </w:p>
  </w:footnote>
  <w:footnote w:id="16">
    <w:p w:rsidR="008B7268" w:rsidRDefault="008B7268" w:rsidP="00FE36B3">
      <w:pPr>
        <w:pStyle w:val="FootnoteText"/>
      </w:pPr>
      <w:r>
        <w:rPr>
          <w:rStyle w:val="FootnoteReference"/>
        </w:rPr>
        <w:footnoteRef/>
      </w:r>
      <w:r>
        <w:t xml:space="preserve"> See </w:t>
      </w:r>
      <w:proofErr w:type="spellStart"/>
      <w:r>
        <w:t>Climatop</w:t>
      </w:r>
      <w:proofErr w:type="spellEnd"/>
      <w:r>
        <w:t>, 2010.</w:t>
      </w:r>
    </w:p>
  </w:footnote>
  <w:footnote w:id="17">
    <w:p w:rsidR="008B7268" w:rsidRDefault="008B7268" w:rsidP="00784D15">
      <w:pPr>
        <w:pStyle w:val="FootnoteText"/>
      </w:pPr>
      <w:r>
        <w:rPr>
          <w:rStyle w:val="FootnoteReference"/>
        </w:rPr>
        <w:footnoteRef/>
      </w:r>
      <w:r>
        <w:t xml:space="preserve">  We are using the weighted average cost of capital (WACC) as the discount rate. As the project would be 100% financed by IDA debt, the WACC is less than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8" w:rsidRDefault="008B7268">
    <w:pPr>
      <w:pStyle w:val="Header"/>
      <w:jc w:val="center"/>
    </w:pPr>
  </w:p>
  <w:p w:rsidR="008B7268" w:rsidRDefault="008B7268" w:rsidP="003F52A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8" w:rsidRDefault="008B7268">
    <w:pPr>
      <w:pStyle w:val="Header"/>
      <w:jc w:val="center"/>
    </w:pPr>
  </w:p>
  <w:p w:rsidR="008B7268" w:rsidRPr="003F52A8" w:rsidRDefault="008B7268" w:rsidP="003F52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8" w:rsidRDefault="008B7268">
    <w:pPr>
      <w:pStyle w:val="Header"/>
      <w:jc w:val="center"/>
    </w:pPr>
  </w:p>
  <w:p w:rsidR="008B7268" w:rsidRDefault="008B7268" w:rsidP="003F52A8">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8" w:rsidRDefault="008B7268">
    <w:pPr>
      <w:pStyle w:val="Header"/>
      <w:jc w:val="center"/>
    </w:pPr>
  </w:p>
  <w:p w:rsidR="008B7268" w:rsidRPr="003F52A8" w:rsidRDefault="008B7268" w:rsidP="003F52A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8" w:rsidRDefault="008B7268">
    <w:pPr>
      <w:pStyle w:val="Header"/>
      <w:jc w:val="center"/>
    </w:pPr>
  </w:p>
  <w:p w:rsidR="008B7268" w:rsidRPr="003F52A8" w:rsidRDefault="008B7268" w:rsidP="003F52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DB422D2"/>
    <w:lvl w:ilvl="0">
      <w:start w:val="1"/>
      <w:numFmt w:val="decimal"/>
      <w:lvlText w:val="%1."/>
      <w:lvlJc w:val="left"/>
      <w:pPr>
        <w:tabs>
          <w:tab w:val="num" w:pos="-360"/>
        </w:tabs>
        <w:ind w:left="-360" w:firstLine="360"/>
      </w:pPr>
      <w:rPr>
        <w:rFonts w:hint="default"/>
        <w:b w:val="0"/>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49C099D"/>
    <w:multiLevelType w:val="hybridMultilevel"/>
    <w:tmpl w:val="EBDE3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9295F"/>
    <w:multiLevelType w:val="hybridMultilevel"/>
    <w:tmpl w:val="935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ms Rm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ms Rm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ms Rmn"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402D6"/>
    <w:multiLevelType w:val="multilevel"/>
    <w:tmpl w:val="C3C049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BF7EDF"/>
    <w:multiLevelType w:val="multilevel"/>
    <w:tmpl w:val="1AA6C6CC"/>
    <w:lvl w:ilvl="0">
      <w:start w:val="1"/>
      <w:numFmt w:val="bullet"/>
      <w:lvlText w:val=""/>
      <w:lvlJc w:val="left"/>
      <w:pPr>
        <w:tabs>
          <w:tab w:val="num" w:pos="360"/>
        </w:tabs>
        <w:ind w:left="360" w:firstLine="360"/>
      </w:pPr>
      <w:rPr>
        <w:rFonts w:ascii="Symbol" w:hAnsi="Symbol" w:hint="default"/>
        <w:b w:val="0"/>
        <w:color w:val="000000"/>
        <w:position w:val="0"/>
        <w:sz w:val="22"/>
      </w:rPr>
    </w:lvl>
    <w:lvl w:ilvl="1">
      <w:start w:val="1"/>
      <w:numFmt w:val="lowerLetter"/>
      <w:lvlText w:val="%2."/>
      <w:lvlJc w:val="left"/>
      <w:pPr>
        <w:tabs>
          <w:tab w:val="num" w:pos="1080"/>
        </w:tabs>
        <w:ind w:left="1080" w:firstLine="1080"/>
      </w:pPr>
      <w:rPr>
        <w:rFonts w:hint="default"/>
        <w:color w:val="000000"/>
        <w:position w:val="0"/>
        <w:sz w:val="22"/>
      </w:rPr>
    </w:lvl>
    <w:lvl w:ilvl="2">
      <w:start w:val="1"/>
      <w:numFmt w:val="lowerRoman"/>
      <w:lvlText w:val="%3."/>
      <w:lvlJc w:val="left"/>
      <w:pPr>
        <w:tabs>
          <w:tab w:val="num" w:pos="1080"/>
        </w:tabs>
        <w:ind w:left="1080" w:firstLine="1800"/>
      </w:pPr>
      <w:rPr>
        <w:rFonts w:hint="default"/>
        <w:color w:val="000000"/>
        <w:position w:val="0"/>
        <w:sz w:val="22"/>
      </w:rPr>
    </w:lvl>
    <w:lvl w:ilvl="3">
      <w:start w:val="1"/>
      <w:numFmt w:val="decimal"/>
      <w:isLgl/>
      <w:lvlText w:val="%4."/>
      <w:lvlJc w:val="left"/>
      <w:pPr>
        <w:tabs>
          <w:tab w:val="num" w:pos="1080"/>
        </w:tabs>
        <w:ind w:left="1080" w:firstLine="2520"/>
      </w:pPr>
      <w:rPr>
        <w:rFonts w:hint="default"/>
        <w:color w:val="000000"/>
        <w:position w:val="0"/>
        <w:sz w:val="22"/>
      </w:rPr>
    </w:lvl>
    <w:lvl w:ilvl="4">
      <w:start w:val="1"/>
      <w:numFmt w:val="lowerLetter"/>
      <w:lvlText w:val="%5."/>
      <w:lvlJc w:val="left"/>
      <w:pPr>
        <w:tabs>
          <w:tab w:val="num" w:pos="1080"/>
        </w:tabs>
        <w:ind w:left="1080" w:firstLine="3240"/>
      </w:pPr>
      <w:rPr>
        <w:rFonts w:hint="default"/>
        <w:color w:val="000000"/>
        <w:position w:val="0"/>
        <w:sz w:val="22"/>
      </w:rPr>
    </w:lvl>
    <w:lvl w:ilvl="5">
      <w:start w:val="1"/>
      <w:numFmt w:val="lowerRoman"/>
      <w:lvlText w:val="%6."/>
      <w:lvlJc w:val="left"/>
      <w:pPr>
        <w:tabs>
          <w:tab w:val="num" w:pos="1080"/>
        </w:tabs>
        <w:ind w:left="1080" w:firstLine="3960"/>
      </w:pPr>
      <w:rPr>
        <w:rFonts w:hint="default"/>
        <w:color w:val="000000"/>
        <w:position w:val="0"/>
        <w:sz w:val="22"/>
      </w:rPr>
    </w:lvl>
    <w:lvl w:ilvl="6">
      <w:start w:val="1"/>
      <w:numFmt w:val="decimal"/>
      <w:isLgl/>
      <w:lvlText w:val="%7."/>
      <w:lvlJc w:val="left"/>
      <w:pPr>
        <w:tabs>
          <w:tab w:val="num" w:pos="1080"/>
        </w:tabs>
        <w:ind w:left="1080" w:firstLine="4680"/>
      </w:pPr>
      <w:rPr>
        <w:rFonts w:hint="default"/>
        <w:color w:val="000000"/>
        <w:position w:val="0"/>
        <w:sz w:val="22"/>
      </w:rPr>
    </w:lvl>
    <w:lvl w:ilvl="7">
      <w:start w:val="1"/>
      <w:numFmt w:val="lowerLetter"/>
      <w:lvlText w:val="%8."/>
      <w:lvlJc w:val="left"/>
      <w:pPr>
        <w:tabs>
          <w:tab w:val="num" w:pos="1080"/>
        </w:tabs>
        <w:ind w:left="1080" w:firstLine="5400"/>
      </w:pPr>
      <w:rPr>
        <w:rFonts w:hint="default"/>
        <w:color w:val="000000"/>
        <w:position w:val="0"/>
        <w:sz w:val="22"/>
      </w:rPr>
    </w:lvl>
    <w:lvl w:ilvl="8">
      <w:start w:val="1"/>
      <w:numFmt w:val="lowerRoman"/>
      <w:lvlText w:val="%9."/>
      <w:lvlJc w:val="left"/>
      <w:pPr>
        <w:tabs>
          <w:tab w:val="num" w:pos="1080"/>
        </w:tabs>
        <w:ind w:left="1080" w:firstLine="6120"/>
      </w:pPr>
      <w:rPr>
        <w:rFonts w:hint="default"/>
        <w:color w:val="000000"/>
        <w:position w:val="0"/>
        <w:sz w:val="22"/>
      </w:rPr>
    </w:lvl>
  </w:abstractNum>
  <w:abstractNum w:abstractNumId="5">
    <w:nsid w:val="193F2964"/>
    <w:multiLevelType w:val="hybridMultilevel"/>
    <w:tmpl w:val="EEBAEB6A"/>
    <w:lvl w:ilvl="0" w:tplc="047206D4">
      <w:start w:val="1"/>
      <w:numFmt w:val="decimal"/>
      <w:lvlText w:val="%1."/>
      <w:lvlJc w:val="left"/>
      <w:pPr>
        <w:tabs>
          <w:tab w:val="num" w:pos="72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CD1D21"/>
    <w:multiLevelType w:val="hybridMultilevel"/>
    <w:tmpl w:val="7FBE3D5C"/>
    <w:lvl w:ilvl="0" w:tplc="CD247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D0372"/>
    <w:multiLevelType w:val="hybridMultilevel"/>
    <w:tmpl w:val="9EB28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9C6AD3"/>
    <w:multiLevelType w:val="hybridMultilevel"/>
    <w:tmpl w:val="002E2E32"/>
    <w:lvl w:ilvl="0" w:tplc="04090005">
      <w:start w:val="1"/>
      <w:numFmt w:val="bullet"/>
      <w:lvlText w:val=""/>
      <w:lvlJc w:val="left"/>
      <w:pPr>
        <w:tabs>
          <w:tab w:val="num" w:pos="2160"/>
        </w:tabs>
        <w:ind w:left="2160" w:hanging="360"/>
      </w:pPr>
      <w:rPr>
        <w:rFonts w:ascii="Wingdings" w:hAnsi="Wingdings" w:hint="default"/>
      </w:rPr>
    </w:lvl>
    <w:lvl w:ilvl="1" w:tplc="D72689B4">
      <w:start w:val="1"/>
      <w:numFmt w:val="bullet"/>
      <w:lvlText w:val=""/>
      <w:lvlJc w:val="left"/>
      <w:pPr>
        <w:tabs>
          <w:tab w:val="num" w:pos="2880"/>
        </w:tabs>
        <w:ind w:left="2880" w:hanging="360"/>
      </w:pPr>
      <w:rPr>
        <w:rFonts w:ascii="Symbol" w:hAnsi="Symbol" w:hint="default"/>
      </w:rPr>
    </w:lvl>
    <w:lvl w:ilvl="2" w:tplc="80000700">
      <w:start w:val="3"/>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2C32F3A"/>
    <w:multiLevelType w:val="hybridMultilevel"/>
    <w:tmpl w:val="74E02BEC"/>
    <w:lvl w:ilvl="0" w:tplc="9A9E2190">
      <w:start w:val="1"/>
      <w:numFmt w:val="decimal"/>
      <w:lvlText w:val="%1."/>
      <w:lvlJc w:val="left"/>
      <w:pPr>
        <w:ind w:left="90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9249E"/>
    <w:multiLevelType w:val="hybridMultilevel"/>
    <w:tmpl w:val="C91CD9B8"/>
    <w:lvl w:ilvl="0" w:tplc="52E82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5578E"/>
    <w:multiLevelType w:val="hybridMultilevel"/>
    <w:tmpl w:val="3EB892BE"/>
    <w:lvl w:ilvl="0" w:tplc="0C1E4C54">
      <w:start w:val="1"/>
      <w:numFmt w:val="decimal"/>
      <w:lvlText w:val="%1."/>
      <w:lvlJc w:val="left"/>
      <w:pPr>
        <w:ind w:left="450" w:hanging="360"/>
      </w:pPr>
      <w:rPr>
        <w:rFonts w:cs="Times New Roman" w:hint="default"/>
        <w:b w:val="0"/>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1E401CE"/>
    <w:multiLevelType w:val="hybridMultilevel"/>
    <w:tmpl w:val="CF44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2B2046"/>
    <w:multiLevelType w:val="multilevel"/>
    <w:tmpl w:val="F73411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3210B8B"/>
    <w:multiLevelType w:val="hybridMultilevel"/>
    <w:tmpl w:val="F3C68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3B2427"/>
    <w:multiLevelType w:val="hybridMultilevel"/>
    <w:tmpl w:val="4BFA4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5B3959"/>
    <w:multiLevelType w:val="hybridMultilevel"/>
    <w:tmpl w:val="523C51E0"/>
    <w:lvl w:ilvl="0" w:tplc="73C4CA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8053C"/>
    <w:multiLevelType w:val="hybridMultilevel"/>
    <w:tmpl w:val="2148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3469D1"/>
    <w:multiLevelType w:val="hybridMultilevel"/>
    <w:tmpl w:val="4BE4B840"/>
    <w:lvl w:ilvl="0" w:tplc="04090017">
      <w:start w:val="1"/>
      <w:numFmt w:val="lowerLetter"/>
      <w:lvlText w:val="%1)"/>
      <w:lvlJc w:val="left"/>
      <w:pPr>
        <w:ind w:left="769" w:hanging="360"/>
      </w:pPr>
      <w:rPr>
        <w:rFonts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9">
    <w:nsid w:val="5114438D"/>
    <w:multiLevelType w:val="hybridMultilevel"/>
    <w:tmpl w:val="6F660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83F2B"/>
    <w:multiLevelType w:val="hybridMultilevel"/>
    <w:tmpl w:val="3D5E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E7455"/>
    <w:multiLevelType w:val="hybridMultilevel"/>
    <w:tmpl w:val="6F2C5124"/>
    <w:lvl w:ilvl="0" w:tplc="04090001">
      <w:start w:val="1"/>
      <w:numFmt w:val="bullet"/>
      <w:lvlText w:val=""/>
      <w:lvlJc w:val="left"/>
      <w:pPr>
        <w:tabs>
          <w:tab w:val="num" w:pos="720"/>
        </w:tabs>
        <w:ind w:left="0" w:firstLine="0"/>
      </w:pPr>
      <w:rPr>
        <w:rFonts w:ascii="Symbol" w:hAnsi="Symbol"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D80898"/>
    <w:multiLevelType w:val="hybridMultilevel"/>
    <w:tmpl w:val="BEE8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D106F"/>
    <w:multiLevelType w:val="multilevel"/>
    <w:tmpl w:val="00B44C1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3976069"/>
    <w:multiLevelType w:val="hybridMultilevel"/>
    <w:tmpl w:val="C5AE1622"/>
    <w:lvl w:ilvl="0" w:tplc="230CCA8A">
      <w:start w:val="1"/>
      <w:numFmt w:val="decimal"/>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A76C7C"/>
    <w:multiLevelType w:val="hybridMultilevel"/>
    <w:tmpl w:val="94C00706"/>
    <w:lvl w:ilvl="0" w:tplc="62DCF1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1074A0"/>
    <w:multiLevelType w:val="hybridMultilevel"/>
    <w:tmpl w:val="BE2E7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F414F41"/>
    <w:multiLevelType w:val="hybridMultilevel"/>
    <w:tmpl w:val="74E02BEC"/>
    <w:lvl w:ilvl="0" w:tplc="9A9E2190">
      <w:start w:val="1"/>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63512"/>
    <w:multiLevelType w:val="hybridMultilevel"/>
    <w:tmpl w:val="A18C04E6"/>
    <w:lvl w:ilvl="0" w:tplc="603672F8">
      <w:start w:val="1"/>
      <w:numFmt w:val="decimal"/>
      <w:lvlText w:val="%1."/>
      <w:lvlJc w:val="left"/>
      <w:pPr>
        <w:ind w:left="540" w:hanging="360"/>
      </w:pPr>
    </w:lvl>
    <w:lvl w:ilvl="1" w:tplc="23B64686">
      <w:start w:val="1"/>
      <w:numFmt w:val="lowerLetter"/>
      <w:lvlText w:val="%2."/>
      <w:lvlJc w:val="left"/>
      <w:pPr>
        <w:ind w:left="1440" w:hanging="360"/>
      </w:pPr>
    </w:lvl>
    <w:lvl w:ilvl="2" w:tplc="F0569A2C">
      <w:start w:val="1"/>
      <w:numFmt w:val="lowerRoman"/>
      <w:lvlText w:val="%3."/>
      <w:lvlJc w:val="right"/>
      <w:pPr>
        <w:ind w:left="2160" w:hanging="180"/>
      </w:pPr>
    </w:lvl>
    <w:lvl w:ilvl="3" w:tplc="0C2E80AC">
      <w:start w:val="1"/>
      <w:numFmt w:val="decimal"/>
      <w:lvlText w:val="%4."/>
      <w:lvlJc w:val="left"/>
      <w:pPr>
        <w:ind w:left="2880" w:hanging="360"/>
      </w:pPr>
    </w:lvl>
    <w:lvl w:ilvl="4" w:tplc="B2062C48" w:tentative="1">
      <w:start w:val="1"/>
      <w:numFmt w:val="lowerLetter"/>
      <w:lvlText w:val="%5."/>
      <w:lvlJc w:val="left"/>
      <w:pPr>
        <w:ind w:left="3600" w:hanging="360"/>
      </w:pPr>
    </w:lvl>
    <w:lvl w:ilvl="5" w:tplc="36967B26" w:tentative="1">
      <w:start w:val="1"/>
      <w:numFmt w:val="lowerRoman"/>
      <w:lvlText w:val="%6."/>
      <w:lvlJc w:val="right"/>
      <w:pPr>
        <w:ind w:left="4320" w:hanging="180"/>
      </w:pPr>
    </w:lvl>
    <w:lvl w:ilvl="6" w:tplc="FCE46716" w:tentative="1">
      <w:start w:val="1"/>
      <w:numFmt w:val="decimal"/>
      <w:lvlText w:val="%7."/>
      <w:lvlJc w:val="left"/>
      <w:pPr>
        <w:ind w:left="5040" w:hanging="360"/>
      </w:pPr>
    </w:lvl>
    <w:lvl w:ilvl="7" w:tplc="114E3A9A" w:tentative="1">
      <w:start w:val="1"/>
      <w:numFmt w:val="lowerLetter"/>
      <w:lvlText w:val="%8."/>
      <w:lvlJc w:val="left"/>
      <w:pPr>
        <w:ind w:left="5760" w:hanging="360"/>
      </w:pPr>
    </w:lvl>
    <w:lvl w:ilvl="8" w:tplc="6EBA50F4" w:tentative="1">
      <w:start w:val="1"/>
      <w:numFmt w:val="lowerRoman"/>
      <w:lvlText w:val="%9."/>
      <w:lvlJc w:val="right"/>
      <w:pPr>
        <w:ind w:left="6480" w:hanging="180"/>
      </w:pPr>
    </w:lvl>
  </w:abstractNum>
  <w:abstractNum w:abstractNumId="29">
    <w:nsid w:val="74D44D46"/>
    <w:multiLevelType w:val="hybridMultilevel"/>
    <w:tmpl w:val="48C2A3B4"/>
    <w:lvl w:ilvl="0" w:tplc="3F5AA8CC">
      <w:start w:val="1"/>
      <w:numFmt w:val="decimal"/>
      <w:lvlText w:val="%1."/>
      <w:lvlJc w:val="left"/>
      <w:pPr>
        <w:ind w:left="1800" w:firstLine="360"/>
      </w:pPr>
      <w:rPr>
        <w:rFonts w:hint="default"/>
      </w:rPr>
    </w:lvl>
    <w:lvl w:ilvl="1" w:tplc="4C34DC80">
      <w:start w:val="1"/>
      <w:numFmt w:val="lowerLetter"/>
      <w:lvlText w:val="%2."/>
      <w:lvlJc w:val="left"/>
      <w:pPr>
        <w:ind w:left="6120" w:hanging="360"/>
      </w:pPr>
    </w:lvl>
    <w:lvl w:ilvl="2" w:tplc="D02251C2" w:tentative="1">
      <w:start w:val="1"/>
      <w:numFmt w:val="lowerRoman"/>
      <w:lvlText w:val="%3."/>
      <w:lvlJc w:val="right"/>
      <w:pPr>
        <w:ind w:left="6840" w:hanging="180"/>
      </w:pPr>
    </w:lvl>
    <w:lvl w:ilvl="3" w:tplc="D2186608" w:tentative="1">
      <w:start w:val="1"/>
      <w:numFmt w:val="decimal"/>
      <w:lvlText w:val="%4."/>
      <w:lvlJc w:val="left"/>
      <w:pPr>
        <w:ind w:left="7560" w:hanging="360"/>
      </w:pPr>
    </w:lvl>
    <w:lvl w:ilvl="4" w:tplc="A66AC928" w:tentative="1">
      <w:start w:val="1"/>
      <w:numFmt w:val="lowerLetter"/>
      <w:lvlText w:val="%5."/>
      <w:lvlJc w:val="left"/>
      <w:pPr>
        <w:ind w:left="8280" w:hanging="360"/>
      </w:pPr>
    </w:lvl>
    <w:lvl w:ilvl="5" w:tplc="A770F1BA" w:tentative="1">
      <w:start w:val="1"/>
      <w:numFmt w:val="lowerRoman"/>
      <w:lvlText w:val="%6."/>
      <w:lvlJc w:val="right"/>
      <w:pPr>
        <w:ind w:left="9000" w:hanging="180"/>
      </w:pPr>
    </w:lvl>
    <w:lvl w:ilvl="6" w:tplc="02FA9F0A" w:tentative="1">
      <w:start w:val="1"/>
      <w:numFmt w:val="decimal"/>
      <w:lvlText w:val="%7."/>
      <w:lvlJc w:val="left"/>
      <w:pPr>
        <w:ind w:left="9720" w:hanging="360"/>
      </w:pPr>
    </w:lvl>
    <w:lvl w:ilvl="7" w:tplc="BC5479E2" w:tentative="1">
      <w:start w:val="1"/>
      <w:numFmt w:val="lowerLetter"/>
      <w:lvlText w:val="%8."/>
      <w:lvlJc w:val="left"/>
      <w:pPr>
        <w:ind w:left="10440" w:hanging="360"/>
      </w:pPr>
    </w:lvl>
    <w:lvl w:ilvl="8" w:tplc="45462406" w:tentative="1">
      <w:start w:val="1"/>
      <w:numFmt w:val="lowerRoman"/>
      <w:lvlText w:val="%9."/>
      <w:lvlJc w:val="right"/>
      <w:pPr>
        <w:ind w:left="11160" w:hanging="180"/>
      </w:pPr>
    </w:lvl>
  </w:abstractNum>
  <w:abstractNum w:abstractNumId="30">
    <w:nsid w:val="7E265315"/>
    <w:multiLevelType w:val="hybridMultilevel"/>
    <w:tmpl w:val="1ED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505"/>
    <w:multiLevelType w:val="hybridMultilevel"/>
    <w:tmpl w:val="69EE6116"/>
    <w:lvl w:ilvl="0" w:tplc="359E70D8">
      <w:start w:val="1"/>
      <w:numFmt w:val="bullet"/>
      <w:pStyle w:val="Bullet"/>
      <w:lvlText w:val=""/>
      <w:lvlJc w:val="left"/>
      <w:pPr>
        <w:tabs>
          <w:tab w:val="num" w:pos="1440"/>
        </w:tabs>
        <w:ind w:left="1440" w:hanging="720"/>
      </w:pPr>
      <w:rPr>
        <w:rFonts w:ascii="Symbol" w:hAnsi="Symbol" w:hint="default"/>
      </w:rPr>
    </w:lvl>
    <w:lvl w:ilvl="1" w:tplc="04090019">
      <w:start w:val="1"/>
      <w:numFmt w:val="bullet"/>
      <w:pStyle w:val="Bullet2"/>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8"/>
  </w:num>
  <w:num w:numId="3">
    <w:abstractNumId w:val="29"/>
  </w:num>
  <w:num w:numId="4">
    <w:abstractNumId w:val="3"/>
  </w:num>
  <w:num w:numId="5">
    <w:abstractNumId w:val="13"/>
  </w:num>
  <w:num w:numId="6">
    <w:abstractNumId w:val="23"/>
  </w:num>
  <w:num w:numId="7">
    <w:abstractNumId w:val="0"/>
  </w:num>
  <w:num w:numId="8">
    <w:abstractNumId w:val="10"/>
  </w:num>
  <w:num w:numId="9">
    <w:abstractNumId w:val="1"/>
  </w:num>
  <w:num w:numId="10">
    <w:abstractNumId w:val="5"/>
  </w:num>
  <w:num w:numId="11">
    <w:abstractNumId w:val="21"/>
  </w:num>
  <w:num w:numId="12">
    <w:abstractNumId w:val="26"/>
  </w:num>
  <w:num w:numId="13">
    <w:abstractNumId w:val="6"/>
  </w:num>
  <w:num w:numId="14">
    <w:abstractNumId w:val="28"/>
  </w:num>
  <w:num w:numId="15">
    <w:abstractNumId w:val="16"/>
  </w:num>
  <w:num w:numId="16">
    <w:abstractNumId w:val="11"/>
  </w:num>
  <w:num w:numId="17">
    <w:abstractNumId w:val="25"/>
  </w:num>
  <w:num w:numId="18">
    <w:abstractNumId w:val="27"/>
  </w:num>
  <w:num w:numId="19">
    <w:abstractNumId w:val="24"/>
  </w:num>
  <w:num w:numId="20">
    <w:abstractNumId w:val="4"/>
  </w:num>
  <w:num w:numId="21">
    <w:abstractNumId w:val="18"/>
  </w:num>
  <w:num w:numId="22">
    <w:abstractNumId w:val="19"/>
  </w:num>
  <w:num w:numId="23">
    <w:abstractNumId w:val="14"/>
  </w:num>
  <w:num w:numId="24">
    <w:abstractNumId w:val="15"/>
  </w:num>
  <w:num w:numId="25">
    <w:abstractNumId w:val="17"/>
  </w:num>
  <w:num w:numId="26">
    <w:abstractNumId w:val="12"/>
  </w:num>
  <w:num w:numId="27">
    <w:abstractNumId w:val="30"/>
  </w:num>
  <w:num w:numId="28">
    <w:abstractNumId w:val="22"/>
  </w:num>
  <w:num w:numId="29">
    <w:abstractNumId w:val="20"/>
  </w:num>
  <w:num w:numId="30">
    <w:abstractNumId w:val="9"/>
  </w:num>
  <w:num w:numId="31">
    <w:abstractNumId w:val="2"/>
  </w:num>
  <w:num w:numId="32">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2A8"/>
    <w:rsid w:val="0000479C"/>
    <w:rsid w:val="000142E0"/>
    <w:rsid w:val="000154F1"/>
    <w:rsid w:val="00015716"/>
    <w:rsid w:val="00020E18"/>
    <w:rsid w:val="00023C02"/>
    <w:rsid w:val="00023EFD"/>
    <w:rsid w:val="00027FEF"/>
    <w:rsid w:val="000313BC"/>
    <w:rsid w:val="00033FBF"/>
    <w:rsid w:val="00041D56"/>
    <w:rsid w:val="000543B8"/>
    <w:rsid w:val="00054F75"/>
    <w:rsid w:val="00065912"/>
    <w:rsid w:val="000670E3"/>
    <w:rsid w:val="00076382"/>
    <w:rsid w:val="0007700F"/>
    <w:rsid w:val="0008000D"/>
    <w:rsid w:val="00080ABA"/>
    <w:rsid w:val="00084C04"/>
    <w:rsid w:val="00090303"/>
    <w:rsid w:val="00091AAE"/>
    <w:rsid w:val="00093992"/>
    <w:rsid w:val="000A4A11"/>
    <w:rsid w:val="000A5483"/>
    <w:rsid w:val="000D054E"/>
    <w:rsid w:val="000D1F1B"/>
    <w:rsid w:val="000D24D8"/>
    <w:rsid w:val="000D6D90"/>
    <w:rsid w:val="000E35A3"/>
    <w:rsid w:val="000E7C1D"/>
    <w:rsid w:val="000F1BA2"/>
    <w:rsid w:val="000F3972"/>
    <w:rsid w:val="00117CF0"/>
    <w:rsid w:val="00130ECC"/>
    <w:rsid w:val="00134DD8"/>
    <w:rsid w:val="00135FD5"/>
    <w:rsid w:val="00146109"/>
    <w:rsid w:val="0015271D"/>
    <w:rsid w:val="00153FA0"/>
    <w:rsid w:val="00162973"/>
    <w:rsid w:val="00171425"/>
    <w:rsid w:val="0018124B"/>
    <w:rsid w:val="001874D9"/>
    <w:rsid w:val="0019276A"/>
    <w:rsid w:val="0019763D"/>
    <w:rsid w:val="001A3224"/>
    <w:rsid w:val="001A3BA8"/>
    <w:rsid w:val="001B27D8"/>
    <w:rsid w:val="001C12B4"/>
    <w:rsid w:val="001C2F8D"/>
    <w:rsid w:val="001C7DC3"/>
    <w:rsid w:val="001D0C6E"/>
    <w:rsid w:val="001D601B"/>
    <w:rsid w:val="001D60C4"/>
    <w:rsid w:val="001F10B2"/>
    <w:rsid w:val="001F1F2C"/>
    <w:rsid w:val="001F201D"/>
    <w:rsid w:val="001F270A"/>
    <w:rsid w:val="001F6AFB"/>
    <w:rsid w:val="00217A1A"/>
    <w:rsid w:val="00217E5F"/>
    <w:rsid w:val="00220165"/>
    <w:rsid w:val="002209F6"/>
    <w:rsid w:val="00221C98"/>
    <w:rsid w:val="00226F3E"/>
    <w:rsid w:val="002272AC"/>
    <w:rsid w:val="002330C3"/>
    <w:rsid w:val="00261391"/>
    <w:rsid w:val="00271031"/>
    <w:rsid w:val="002811CA"/>
    <w:rsid w:val="00281358"/>
    <w:rsid w:val="00286DB4"/>
    <w:rsid w:val="002873A4"/>
    <w:rsid w:val="0028786B"/>
    <w:rsid w:val="00292BE0"/>
    <w:rsid w:val="002948E9"/>
    <w:rsid w:val="002A1508"/>
    <w:rsid w:val="002B3F19"/>
    <w:rsid w:val="002B5AE1"/>
    <w:rsid w:val="002D335B"/>
    <w:rsid w:val="002D4487"/>
    <w:rsid w:val="002E1A98"/>
    <w:rsid w:val="002E204D"/>
    <w:rsid w:val="002E50D8"/>
    <w:rsid w:val="002E68D4"/>
    <w:rsid w:val="002F08E8"/>
    <w:rsid w:val="002F18F5"/>
    <w:rsid w:val="00301651"/>
    <w:rsid w:val="00307C75"/>
    <w:rsid w:val="003102D0"/>
    <w:rsid w:val="0031044A"/>
    <w:rsid w:val="003123CE"/>
    <w:rsid w:val="0031254A"/>
    <w:rsid w:val="0031417B"/>
    <w:rsid w:val="00333716"/>
    <w:rsid w:val="00342C68"/>
    <w:rsid w:val="00343B97"/>
    <w:rsid w:val="00343C46"/>
    <w:rsid w:val="00345019"/>
    <w:rsid w:val="00347B6A"/>
    <w:rsid w:val="00352327"/>
    <w:rsid w:val="0035474B"/>
    <w:rsid w:val="00356E1D"/>
    <w:rsid w:val="00370E3F"/>
    <w:rsid w:val="0037709C"/>
    <w:rsid w:val="00380BEC"/>
    <w:rsid w:val="0038169E"/>
    <w:rsid w:val="00390F69"/>
    <w:rsid w:val="003A33B6"/>
    <w:rsid w:val="003A37D5"/>
    <w:rsid w:val="003B20C0"/>
    <w:rsid w:val="003B4797"/>
    <w:rsid w:val="003D2522"/>
    <w:rsid w:val="003D3081"/>
    <w:rsid w:val="003D5E4F"/>
    <w:rsid w:val="003E1E1E"/>
    <w:rsid w:val="003E2499"/>
    <w:rsid w:val="003F14A7"/>
    <w:rsid w:val="003F36B3"/>
    <w:rsid w:val="003F4E6D"/>
    <w:rsid w:val="003F52A8"/>
    <w:rsid w:val="003F7461"/>
    <w:rsid w:val="00403918"/>
    <w:rsid w:val="00411295"/>
    <w:rsid w:val="004115D0"/>
    <w:rsid w:val="0041233B"/>
    <w:rsid w:val="004133D7"/>
    <w:rsid w:val="00416A06"/>
    <w:rsid w:val="004224B9"/>
    <w:rsid w:val="004242B7"/>
    <w:rsid w:val="0044090F"/>
    <w:rsid w:val="0045360A"/>
    <w:rsid w:val="00460A8A"/>
    <w:rsid w:val="00462010"/>
    <w:rsid w:val="00464ADC"/>
    <w:rsid w:val="00464F1C"/>
    <w:rsid w:val="00466A4E"/>
    <w:rsid w:val="0047735D"/>
    <w:rsid w:val="00484195"/>
    <w:rsid w:val="00486391"/>
    <w:rsid w:val="004920B5"/>
    <w:rsid w:val="004951AD"/>
    <w:rsid w:val="004A1FA9"/>
    <w:rsid w:val="004B2A57"/>
    <w:rsid w:val="004B712D"/>
    <w:rsid w:val="004C1318"/>
    <w:rsid w:val="004C3DE5"/>
    <w:rsid w:val="004C48FA"/>
    <w:rsid w:val="004C51AC"/>
    <w:rsid w:val="004C712D"/>
    <w:rsid w:val="004C79AD"/>
    <w:rsid w:val="004D2709"/>
    <w:rsid w:val="004D66C4"/>
    <w:rsid w:val="004E7E62"/>
    <w:rsid w:val="004F13AF"/>
    <w:rsid w:val="00500A28"/>
    <w:rsid w:val="00501BC4"/>
    <w:rsid w:val="00501C90"/>
    <w:rsid w:val="0050347B"/>
    <w:rsid w:val="005038A8"/>
    <w:rsid w:val="00506489"/>
    <w:rsid w:val="005071E7"/>
    <w:rsid w:val="00510BF5"/>
    <w:rsid w:val="0051515F"/>
    <w:rsid w:val="00516094"/>
    <w:rsid w:val="00524D58"/>
    <w:rsid w:val="00525B3C"/>
    <w:rsid w:val="005344AF"/>
    <w:rsid w:val="00537CEE"/>
    <w:rsid w:val="005405C5"/>
    <w:rsid w:val="0054181B"/>
    <w:rsid w:val="00546C17"/>
    <w:rsid w:val="005522A2"/>
    <w:rsid w:val="00567EFC"/>
    <w:rsid w:val="00570437"/>
    <w:rsid w:val="005707B8"/>
    <w:rsid w:val="00574180"/>
    <w:rsid w:val="00580758"/>
    <w:rsid w:val="005826A2"/>
    <w:rsid w:val="00590B09"/>
    <w:rsid w:val="00593816"/>
    <w:rsid w:val="005939A3"/>
    <w:rsid w:val="005949C5"/>
    <w:rsid w:val="005953B6"/>
    <w:rsid w:val="005A16CA"/>
    <w:rsid w:val="005A54D2"/>
    <w:rsid w:val="005B2CBC"/>
    <w:rsid w:val="005B4359"/>
    <w:rsid w:val="005B6F3F"/>
    <w:rsid w:val="005C5A9F"/>
    <w:rsid w:val="005C72B4"/>
    <w:rsid w:val="005D2488"/>
    <w:rsid w:val="005D4DCC"/>
    <w:rsid w:val="005E0EE6"/>
    <w:rsid w:val="005E13A8"/>
    <w:rsid w:val="005E4A6D"/>
    <w:rsid w:val="005E7E5B"/>
    <w:rsid w:val="00600A2A"/>
    <w:rsid w:val="00604321"/>
    <w:rsid w:val="00604D99"/>
    <w:rsid w:val="006064A9"/>
    <w:rsid w:val="00610240"/>
    <w:rsid w:val="0061280F"/>
    <w:rsid w:val="00613261"/>
    <w:rsid w:val="006145E2"/>
    <w:rsid w:val="0062123B"/>
    <w:rsid w:val="00623450"/>
    <w:rsid w:val="00624843"/>
    <w:rsid w:val="00626762"/>
    <w:rsid w:val="00631600"/>
    <w:rsid w:val="006331E2"/>
    <w:rsid w:val="0064052B"/>
    <w:rsid w:val="00643E02"/>
    <w:rsid w:val="00646522"/>
    <w:rsid w:val="00657A66"/>
    <w:rsid w:val="006709FE"/>
    <w:rsid w:val="006731CC"/>
    <w:rsid w:val="006742CA"/>
    <w:rsid w:val="00680D43"/>
    <w:rsid w:val="00686DB2"/>
    <w:rsid w:val="006A2352"/>
    <w:rsid w:val="006A33B3"/>
    <w:rsid w:val="006B1657"/>
    <w:rsid w:val="006B5DBC"/>
    <w:rsid w:val="006B75FB"/>
    <w:rsid w:val="006C117B"/>
    <w:rsid w:val="006C3511"/>
    <w:rsid w:val="006C3BFE"/>
    <w:rsid w:val="006C6131"/>
    <w:rsid w:val="006D1A68"/>
    <w:rsid w:val="006D2C5B"/>
    <w:rsid w:val="006D3161"/>
    <w:rsid w:val="006D6311"/>
    <w:rsid w:val="006D6B9C"/>
    <w:rsid w:val="006E1F74"/>
    <w:rsid w:val="006E2A6B"/>
    <w:rsid w:val="006E6F39"/>
    <w:rsid w:val="006F0A42"/>
    <w:rsid w:val="006F2013"/>
    <w:rsid w:val="00706C6F"/>
    <w:rsid w:val="00720637"/>
    <w:rsid w:val="00723FA7"/>
    <w:rsid w:val="007258CB"/>
    <w:rsid w:val="00726174"/>
    <w:rsid w:val="00730E62"/>
    <w:rsid w:val="0073111A"/>
    <w:rsid w:val="00734E0F"/>
    <w:rsid w:val="00743A8D"/>
    <w:rsid w:val="00745275"/>
    <w:rsid w:val="00756E5E"/>
    <w:rsid w:val="007622D6"/>
    <w:rsid w:val="00762306"/>
    <w:rsid w:val="00776820"/>
    <w:rsid w:val="00777C93"/>
    <w:rsid w:val="00784D15"/>
    <w:rsid w:val="007866B5"/>
    <w:rsid w:val="007A135A"/>
    <w:rsid w:val="007A2598"/>
    <w:rsid w:val="007A2A83"/>
    <w:rsid w:val="007A35E5"/>
    <w:rsid w:val="007A4726"/>
    <w:rsid w:val="007A5367"/>
    <w:rsid w:val="007B2B4C"/>
    <w:rsid w:val="007B6F4E"/>
    <w:rsid w:val="007C7078"/>
    <w:rsid w:val="007D3B47"/>
    <w:rsid w:val="007D4E4E"/>
    <w:rsid w:val="007E0513"/>
    <w:rsid w:val="007E79D5"/>
    <w:rsid w:val="007F38AB"/>
    <w:rsid w:val="007F4820"/>
    <w:rsid w:val="007F7BBF"/>
    <w:rsid w:val="00800214"/>
    <w:rsid w:val="00802C68"/>
    <w:rsid w:val="00803271"/>
    <w:rsid w:val="00803DC2"/>
    <w:rsid w:val="00807EE6"/>
    <w:rsid w:val="008333FC"/>
    <w:rsid w:val="00835CD4"/>
    <w:rsid w:val="00836564"/>
    <w:rsid w:val="00841FF4"/>
    <w:rsid w:val="0084285E"/>
    <w:rsid w:val="008458B0"/>
    <w:rsid w:val="00846CDF"/>
    <w:rsid w:val="008518B6"/>
    <w:rsid w:val="00855379"/>
    <w:rsid w:val="00855865"/>
    <w:rsid w:val="00860F01"/>
    <w:rsid w:val="00862D60"/>
    <w:rsid w:val="00865769"/>
    <w:rsid w:val="0088032D"/>
    <w:rsid w:val="00881D40"/>
    <w:rsid w:val="00882F01"/>
    <w:rsid w:val="008859F3"/>
    <w:rsid w:val="0089225B"/>
    <w:rsid w:val="00894074"/>
    <w:rsid w:val="008A4DCD"/>
    <w:rsid w:val="008A6C9F"/>
    <w:rsid w:val="008A797A"/>
    <w:rsid w:val="008B0C66"/>
    <w:rsid w:val="008B60DC"/>
    <w:rsid w:val="008B7268"/>
    <w:rsid w:val="008B7E0C"/>
    <w:rsid w:val="008C0894"/>
    <w:rsid w:val="008C2C41"/>
    <w:rsid w:val="008C4763"/>
    <w:rsid w:val="008C6F72"/>
    <w:rsid w:val="008D4BEF"/>
    <w:rsid w:val="008D6482"/>
    <w:rsid w:val="008D7302"/>
    <w:rsid w:val="008E6DF0"/>
    <w:rsid w:val="008F1E94"/>
    <w:rsid w:val="008F22C5"/>
    <w:rsid w:val="008F32D1"/>
    <w:rsid w:val="008F440B"/>
    <w:rsid w:val="008F4D69"/>
    <w:rsid w:val="008F680F"/>
    <w:rsid w:val="00906C59"/>
    <w:rsid w:val="00911833"/>
    <w:rsid w:val="00911BFD"/>
    <w:rsid w:val="00915509"/>
    <w:rsid w:val="00932278"/>
    <w:rsid w:val="009340DB"/>
    <w:rsid w:val="009433E6"/>
    <w:rsid w:val="00944BE6"/>
    <w:rsid w:val="00953095"/>
    <w:rsid w:val="009535E6"/>
    <w:rsid w:val="00953D94"/>
    <w:rsid w:val="00957D6F"/>
    <w:rsid w:val="0096270F"/>
    <w:rsid w:val="009701AF"/>
    <w:rsid w:val="0097313F"/>
    <w:rsid w:val="00973575"/>
    <w:rsid w:val="0097553A"/>
    <w:rsid w:val="009815CF"/>
    <w:rsid w:val="00986F13"/>
    <w:rsid w:val="00987062"/>
    <w:rsid w:val="00990CC5"/>
    <w:rsid w:val="00993247"/>
    <w:rsid w:val="009A0AD4"/>
    <w:rsid w:val="009A5F50"/>
    <w:rsid w:val="009B4D85"/>
    <w:rsid w:val="009B5AED"/>
    <w:rsid w:val="009B7A31"/>
    <w:rsid w:val="009D0E88"/>
    <w:rsid w:val="009D3593"/>
    <w:rsid w:val="009D5466"/>
    <w:rsid w:val="009E3548"/>
    <w:rsid w:val="009E37F6"/>
    <w:rsid w:val="009E3B9F"/>
    <w:rsid w:val="009E6F1F"/>
    <w:rsid w:val="009F0A05"/>
    <w:rsid w:val="009F11EE"/>
    <w:rsid w:val="009F15B5"/>
    <w:rsid w:val="009F4D31"/>
    <w:rsid w:val="009F5CAC"/>
    <w:rsid w:val="00A015C6"/>
    <w:rsid w:val="00A1275B"/>
    <w:rsid w:val="00A12AD3"/>
    <w:rsid w:val="00A12B4B"/>
    <w:rsid w:val="00A15324"/>
    <w:rsid w:val="00A159C0"/>
    <w:rsid w:val="00A2178E"/>
    <w:rsid w:val="00A24F9D"/>
    <w:rsid w:val="00A418CE"/>
    <w:rsid w:val="00A42697"/>
    <w:rsid w:val="00A47437"/>
    <w:rsid w:val="00A543F7"/>
    <w:rsid w:val="00A5506B"/>
    <w:rsid w:val="00A55570"/>
    <w:rsid w:val="00A61B35"/>
    <w:rsid w:val="00A62B19"/>
    <w:rsid w:val="00A630EA"/>
    <w:rsid w:val="00A63311"/>
    <w:rsid w:val="00A67D03"/>
    <w:rsid w:val="00A72047"/>
    <w:rsid w:val="00A72CF3"/>
    <w:rsid w:val="00A73467"/>
    <w:rsid w:val="00A82820"/>
    <w:rsid w:val="00A84A00"/>
    <w:rsid w:val="00A84D3F"/>
    <w:rsid w:val="00AA6B37"/>
    <w:rsid w:val="00AB26E9"/>
    <w:rsid w:val="00AB33F9"/>
    <w:rsid w:val="00AB4BA1"/>
    <w:rsid w:val="00AC5342"/>
    <w:rsid w:val="00AC6B68"/>
    <w:rsid w:val="00AC71EF"/>
    <w:rsid w:val="00AD35F4"/>
    <w:rsid w:val="00AE00F3"/>
    <w:rsid w:val="00AE17C9"/>
    <w:rsid w:val="00AE1804"/>
    <w:rsid w:val="00AE1B10"/>
    <w:rsid w:val="00AE3F95"/>
    <w:rsid w:val="00B007CD"/>
    <w:rsid w:val="00B00D12"/>
    <w:rsid w:val="00B05AC5"/>
    <w:rsid w:val="00B1716B"/>
    <w:rsid w:val="00B20E1B"/>
    <w:rsid w:val="00B25D5A"/>
    <w:rsid w:val="00B31079"/>
    <w:rsid w:val="00B330FB"/>
    <w:rsid w:val="00B36A3F"/>
    <w:rsid w:val="00B422A2"/>
    <w:rsid w:val="00B426E9"/>
    <w:rsid w:val="00B450AC"/>
    <w:rsid w:val="00B4577C"/>
    <w:rsid w:val="00B53232"/>
    <w:rsid w:val="00B6486E"/>
    <w:rsid w:val="00B751DA"/>
    <w:rsid w:val="00B85BD8"/>
    <w:rsid w:val="00B93A71"/>
    <w:rsid w:val="00B968FA"/>
    <w:rsid w:val="00B9796D"/>
    <w:rsid w:val="00B97DA3"/>
    <w:rsid w:val="00BA2C13"/>
    <w:rsid w:val="00BA7F5C"/>
    <w:rsid w:val="00BB451B"/>
    <w:rsid w:val="00BB6F24"/>
    <w:rsid w:val="00BC0848"/>
    <w:rsid w:val="00BC09E6"/>
    <w:rsid w:val="00BC466A"/>
    <w:rsid w:val="00BD1F98"/>
    <w:rsid w:val="00BE2758"/>
    <w:rsid w:val="00C0009F"/>
    <w:rsid w:val="00C005C4"/>
    <w:rsid w:val="00C007C5"/>
    <w:rsid w:val="00C0414A"/>
    <w:rsid w:val="00C05D44"/>
    <w:rsid w:val="00C1003A"/>
    <w:rsid w:val="00C203E1"/>
    <w:rsid w:val="00C212AF"/>
    <w:rsid w:val="00C23B3E"/>
    <w:rsid w:val="00C35520"/>
    <w:rsid w:val="00C46673"/>
    <w:rsid w:val="00C565F0"/>
    <w:rsid w:val="00C5742B"/>
    <w:rsid w:val="00C60697"/>
    <w:rsid w:val="00C61741"/>
    <w:rsid w:val="00C63074"/>
    <w:rsid w:val="00C65A94"/>
    <w:rsid w:val="00C65CA1"/>
    <w:rsid w:val="00C727D2"/>
    <w:rsid w:val="00C75A68"/>
    <w:rsid w:val="00C80A46"/>
    <w:rsid w:val="00C86584"/>
    <w:rsid w:val="00C91B1A"/>
    <w:rsid w:val="00C93300"/>
    <w:rsid w:val="00CB2F83"/>
    <w:rsid w:val="00CC5786"/>
    <w:rsid w:val="00CD025C"/>
    <w:rsid w:val="00CD15E4"/>
    <w:rsid w:val="00CD33F9"/>
    <w:rsid w:val="00CD3ADD"/>
    <w:rsid w:val="00CF4D3C"/>
    <w:rsid w:val="00CF74F8"/>
    <w:rsid w:val="00D01BB5"/>
    <w:rsid w:val="00D040E6"/>
    <w:rsid w:val="00D0689E"/>
    <w:rsid w:val="00D159DC"/>
    <w:rsid w:val="00D17668"/>
    <w:rsid w:val="00D32138"/>
    <w:rsid w:val="00D4447C"/>
    <w:rsid w:val="00D526C8"/>
    <w:rsid w:val="00D54121"/>
    <w:rsid w:val="00D55B47"/>
    <w:rsid w:val="00D57350"/>
    <w:rsid w:val="00D6007F"/>
    <w:rsid w:val="00D70456"/>
    <w:rsid w:val="00D71F1E"/>
    <w:rsid w:val="00D726D1"/>
    <w:rsid w:val="00D73814"/>
    <w:rsid w:val="00D73BEA"/>
    <w:rsid w:val="00D752D8"/>
    <w:rsid w:val="00D80E56"/>
    <w:rsid w:val="00D85E35"/>
    <w:rsid w:val="00D90175"/>
    <w:rsid w:val="00D93C79"/>
    <w:rsid w:val="00D940CF"/>
    <w:rsid w:val="00D96890"/>
    <w:rsid w:val="00D9724E"/>
    <w:rsid w:val="00DA03C4"/>
    <w:rsid w:val="00DA3A1D"/>
    <w:rsid w:val="00DA57C5"/>
    <w:rsid w:val="00DA6477"/>
    <w:rsid w:val="00DB49F1"/>
    <w:rsid w:val="00DB4E7A"/>
    <w:rsid w:val="00DB65F3"/>
    <w:rsid w:val="00DC1A49"/>
    <w:rsid w:val="00DC299A"/>
    <w:rsid w:val="00DD682C"/>
    <w:rsid w:val="00DE03BF"/>
    <w:rsid w:val="00DE2CF5"/>
    <w:rsid w:val="00DE34DF"/>
    <w:rsid w:val="00DE3C1D"/>
    <w:rsid w:val="00DE6421"/>
    <w:rsid w:val="00DF4CB6"/>
    <w:rsid w:val="00E00B22"/>
    <w:rsid w:val="00E0491C"/>
    <w:rsid w:val="00E05F91"/>
    <w:rsid w:val="00E07943"/>
    <w:rsid w:val="00E124A3"/>
    <w:rsid w:val="00E12DE7"/>
    <w:rsid w:val="00E13AE4"/>
    <w:rsid w:val="00E26D69"/>
    <w:rsid w:val="00E27A8E"/>
    <w:rsid w:val="00E32352"/>
    <w:rsid w:val="00E36B50"/>
    <w:rsid w:val="00E46220"/>
    <w:rsid w:val="00E46D30"/>
    <w:rsid w:val="00E60423"/>
    <w:rsid w:val="00E6336E"/>
    <w:rsid w:val="00E66B01"/>
    <w:rsid w:val="00E708E8"/>
    <w:rsid w:val="00E74B2F"/>
    <w:rsid w:val="00E751C7"/>
    <w:rsid w:val="00E8424F"/>
    <w:rsid w:val="00E870B1"/>
    <w:rsid w:val="00E87859"/>
    <w:rsid w:val="00E934F6"/>
    <w:rsid w:val="00E954BF"/>
    <w:rsid w:val="00E955EF"/>
    <w:rsid w:val="00EB47F5"/>
    <w:rsid w:val="00EC408D"/>
    <w:rsid w:val="00EC52D2"/>
    <w:rsid w:val="00EC56DE"/>
    <w:rsid w:val="00ED25B6"/>
    <w:rsid w:val="00ED37E6"/>
    <w:rsid w:val="00ED3EE1"/>
    <w:rsid w:val="00EE618E"/>
    <w:rsid w:val="00EF08DD"/>
    <w:rsid w:val="00EF61E9"/>
    <w:rsid w:val="00F01188"/>
    <w:rsid w:val="00F01B0A"/>
    <w:rsid w:val="00F0699A"/>
    <w:rsid w:val="00F17216"/>
    <w:rsid w:val="00F32656"/>
    <w:rsid w:val="00F33A85"/>
    <w:rsid w:val="00F37C24"/>
    <w:rsid w:val="00F5069D"/>
    <w:rsid w:val="00F62979"/>
    <w:rsid w:val="00F6348A"/>
    <w:rsid w:val="00F65A3E"/>
    <w:rsid w:val="00F67F4A"/>
    <w:rsid w:val="00F67F87"/>
    <w:rsid w:val="00F7149D"/>
    <w:rsid w:val="00F71554"/>
    <w:rsid w:val="00F7382A"/>
    <w:rsid w:val="00F75445"/>
    <w:rsid w:val="00F976CA"/>
    <w:rsid w:val="00FB1F1D"/>
    <w:rsid w:val="00FB413A"/>
    <w:rsid w:val="00FC0414"/>
    <w:rsid w:val="00FC2946"/>
    <w:rsid w:val="00FC5D78"/>
    <w:rsid w:val="00FD034B"/>
    <w:rsid w:val="00FD4BF9"/>
    <w:rsid w:val="00FE36B3"/>
    <w:rsid w:val="00FE3B3C"/>
    <w:rsid w:val="00FE6DF0"/>
    <w:rsid w:val="00FE742E"/>
    <w:rsid w:val="00FF6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3" type="connector" idref="#_s1036">
          <o:proxy start="" idref="#_s1044" connectloc="0"/>
          <o:proxy end="" idref="#_s1041" connectloc="2"/>
        </o:r>
        <o:r id="V:Rule14" type="connector" idref="#_s1035">
          <o:proxy start="" idref="#_s1045" connectloc="0"/>
          <o:proxy end="" idref="#_s1041" connectloc="2"/>
        </o:r>
        <o:r id="V:Rule15" type="connector" idref="#_s1029">
          <o:proxy start="" idref="#_s1051" connectloc="1"/>
          <o:proxy end="" idref="#_s1047" connectloc="2"/>
        </o:r>
        <o:r id="V:Rule16" type="connector" idref="#_s1030">
          <o:proxy start="" idref="#_s1050" connectloc="1"/>
          <o:proxy end="" idref="#_s1044" connectloc="2"/>
        </o:r>
        <o:r id="V:Rule17" type="connector" idref="#_s1028">
          <o:proxy start="" idref="#_s1052" connectloc="1"/>
          <o:proxy end="" idref="#_s1044" connectloc="2"/>
        </o:r>
        <o:r id="V:Rule18" type="connector" idref="#_s1039">
          <o:proxy start="" idref="#_s1041" connectloc="0"/>
          <o:proxy end="" idref="#_s1040" connectloc="2"/>
        </o:r>
        <o:r id="V:Rule19" type="connector" idref="#_s1032">
          <o:proxy start="" idref="#_s1048" connectloc="3"/>
          <o:proxy end="" idref="#_s1043" connectloc="2"/>
        </o:r>
        <o:r id="V:Rule20" type="connector" idref="#_s1034">
          <o:proxy start="" idref="#_s1046" connectloc="3"/>
          <o:proxy end="" idref="#_s1042" connectloc="2"/>
        </o:r>
        <o:r id="V:Rule21" type="connector" idref="#_s1033">
          <o:proxy start="" idref="#_s1047" connectloc="0"/>
          <o:proxy end="" idref="#_s1041" connectloc="2"/>
        </o:r>
        <o:r id="V:Rule22" type="connector" idref="#_s1037">
          <o:proxy start="" idref="#_s1043" connectloc="0"/>
          <o:proxy end="" idref="#_s1041" connectloc="2"/>
        </o:r>
        <o:r id="V:Rule23" type="connector" idref="#_s1031">
          <o:proxy start="" idref="#_s1049" connectloc="3"/>
          <o:proxy end="" idref="#_s1043" connectloc="2"/>
        </o:r>
        <o:r id="V:Rule24" type="connector" idref="#_s1038">
          <o:proxy start="" idref="#_s1042" connectloc="0"/>
          <o:proxy end="" idref="#_s104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A8"/>
    <w:rPr>
      <w:rFonts w:ascii="Times New Roman" w:eastAsia="Times New Roman" w:hAnsi="Times New Roman"/>
      <w:sz w:val="24"/>
      <w:szCs w:val="24"/>
    </w:rPr>
  </w:style>
  <w:style w:type="paragraph" w:styleId="Heading1">
    <w:name w:val="heading 1"/>
    <w:basedOn w:val="Normal"/>
    <w:next w:val="Normal"/>
    <w:link w:val="Heading1Char"/>
    <w:qFormat/>
    <w:rsid w:val="003D2522"/>
    <w:pPr>
      <w:keepNext/>
      <w:outlineLvl w:val="0"/>
    </w:pPr>
    <w:rPr>
      <w:rFonts w:ascii="Times New Roman Bold" w:hAnsi="Times New Roman Bold" w:cs="Arial"/>
      <w:b/>
      <w:bCs/>
      <w:kern w:val="32"/>
      <w:szCs w:val="32"/>
    </w:rPr>
  </w:style>
  <w:style w:type="paragraph" w:styleId="Heading2">
    <w:name w:val="heading 2"/>
    <w:basedOn w:val="Normal"/>
    <w:next w:val="Normal"/>
    <w:link w:val="Heading2Char"/>
    <w:qFormat/>
    <w:rsid w:val="003F52A8"/>
    <w:pPr>
      <w:keepNext/>
      <w:keepLines/>
      <w:spacing w:before="120" w:after="240"/>
      <w:jc w:val="center"/>
      <w:outlineLvl w:val="1"/>
    </w:pPr>
    <w:rPr>
      <w:rFonts w:cs="Arial"/>
      <w:b/>
      <w:bCs/>
      <w:iCs/>
      <w:smallCaps/>
      <w:szCs w:val="28"/>
    </w:rPr>
  </w:style>
  <w:style w:type="paragraph" w:styleId="Heading3">
    <w:name w:val="heading 3"/>
    <w:basedOn w:val="Normal"/>
    <w:next w:val="Normal"/>
    <w:link w:val="Heading3Char"/>
    <w:qFormat/>
    <w:rsid w:val="003F52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F52A8"/>
    <w:pPr>
      <w:spacing w:before="240" w:after="60"/>
      <w:outlineLvl w:val="4"/>
    </w:pPr>
    <w:rPr>
      <w:b/>
      <w:bCs/>
      <w:i/>
      <w:iCs/>
      <w:sz w:val="26"/>
      <w:szCs w:val="26"/>
    </w:rPr>
  </w:style>
  <w:style w:type="paragraph" w:styleId="Heading7">
    <w:name w:val="heading 7"/>
    <w:basedOn w:val="Normal"/>
    <w:next w:val="Normal"/>
    <w:link w:val="Heading7Char"/>
    <w:qFormat/>
    <w:rsid w:val="003F52A8"/>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22"/>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3F52A8"/>
    <w:rPr>
      <w:rFonts w:ascii="Times New Roman" w:eastAsia="Times New Roman" w:hAnsi="Times New Roman" w:cs="Arial"/>
      <w:b/>
      <w:bCs/>
      <w:iCs/>
      <w:smallCaps/>
      <w:sz w:val="24"/>
      <w:szCs w:val="28"/>
    </w:rPr>
  </w:style>
  <w:style w:type="character" w:customStyle="1" w:styleId="Heading3Char">
    <w:name w:val="Heading 3 Char"/>
    <w:basedOn w:val="DefaultParagraphFont"/>
    <w:link w:val="Heading3"/>
    <w:rsid w:val="003F52A8"/>
    <w:rPr>
      <w:rFonts w:ascii="Arial" w:eastAsia="Times New Roman" w:hAnsi="Arial" w:cs="Arial"/>
      <w:b/>
      <w:bCs/>
      <w:sz w:val="26"/>
      <w:szCs w:val="26"/>
    </w:rPr>
  </w:style>
  <w:style w:type="character" w:customStyle="1" w:styleId="Heading5Char">
    <w:name w:val="Heading 5 Char"/>
    <w:basedOn w:val="DefaultParagraphFont"/>
    <w:link w:val="Heading5"/>
    <w:rsid w:val="003F52A8"/>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3F52A8"/>
    <w:rPr>
      <w:rFonts w:ascii="Times New Roman" w:eastAsia="Times New Roman" w:hAnsi="Times New Roman" w:cs="Times New Roman"/>
      <w:b/>
      <w:bCs/>
      <w:sz w:val="20"/>
      <w:szCs w:val="24"/>
    </w:rPr>
  </w:style>
  <w:style w:type="paragraph" w:styleId="Footer">
    <w:name w:val="footer"/>
    <w:basedOn w:val="Normal"/>
    <w:link w:val="FooterChar"/>
    <w:rsid w:val="003F52A8"/>
    <w:pPr>
      <w:tabs>
        <w:tab w:val="center" w:pos="4320"/>
        <w:tab w:val="right" w:pos="8640"/>
      </w:tabs>
    </w:pPr>
  </w:style>
  <w:style w:type="character" w:customStyle="1" w:styleId="FooterChar">
    <w:name w:val="Footer Char"/>
    <w:basedOn w:val="DefaultParagraphFont"/>
    <w:link w:val="Footer"/>
    <w:rsid w:val="003F52A8"/>
    <w:rPr>
      <w:rFonts w:ascii="Times New Roman" w:eastAsia="Times New Roman" w:hAnsi="Times New Roman" w:cs="Times New Roman"/>
      <w:sz w:val="24"/>
      <w:szCs w:val="24"/>
    </w:rPr>
  </w:style>
  <w:style w:type="paragraph" w:styleId="BodyTextIndent">
    <w:name w:val="Body Text Indent"/>
    <w:basedOn w:val="Normal"/>
    <w:link w:val="BodyTextIndentChar"/>
    <w:rsid w:val="003F52A8"/>
    <w:pPr>
      <w:ind w:left="720"/>
    </w:pPr>
  </w:style>
  <w:style w:type="character" w:customStyle="1" w:styleId="BodyTextIndentChar">
    <w:name w:val="Body Text Indent Char"/>
    <w:basedOn w:val="DefaultParagraphFont"/>
    <w:link w:val="BodyTextIndent"/>
    <w:rsid w:val="003F52A8"/>
    <w:rPr>
      <w:rFonts w:ascii="Times New Roman" w:eastAsia="Times New Roman" w:hAnsi="Times New Roman" w:cs="Times New Roman"/>
      <w:sz w:val="24"/>
      <w:szCs w:val="24"/>
    </w:rPr>
  </w:style>
  <w:style w:type="character" w:styleId="PageNumber">
    <w:name w:val="page number"/>
    <w:basedOn w:val="DefaultParagraphFont"/>
    <w:rsid w:val="003F52A8"/>
  </w:style>
  <w:style w:type="paragraph" w:styleId="Header">
    <w:name w:val="header"/>
    <w:basedOn w:val="Normal"/>
    <w:link w:val="HeaderChar"/>
    <w:uiPriority w:val="99"/>
    <w:rsid w:val="003F52A8"/>
    <w:pPr>
      <w:tabs>
        <w:tab w:val="center" w:pos="4320"/>
        <w:tab w:val="right" w:pos="8640"/>
      </w:tabs>
    </w:pPr>
  </w:style>
  <w:style w:type="character" w:customStyle="1" w:styleId="HeaderChar">
    <w:name w:val="Header Char"/>
    <w:basedOn w:val="DefaultParagraphFont"/>
    <w:link w:val="Header"/>
    <w:uiPriority w:val="99"/>
    <w:rsid w:val="003F52A8"/>
    <w:rPr>
      <w:rFonts w:ascii="Times New Roman" w:eastAsia="Times New Roman" w:hAnsi="Times New Roman" w:cs="Times New Roman"/>
      <w:sz w:val="24"/>
      <w:szCs w:val="24"/>
    </w:rPr>
  </w:style>
  <w:style w:type="paragraph" w:styleId="BodyTextIndent3">
    <w:name w:val="Body Text Indent 3"/>
    <w:basedOn w:val="Normal"/>
    <w:link w:val="BodyTextIndent3Char"/>
    <w:rsid w:val="003F52A8"/>
    <w:pPr>
      <w:autoSpaceDE w:val="0"/>
      <w:autoSpaceDN w:val="0"/>
      <w:adjustRightInd w:val="0"/>
      <w:spacing w:line="240" w:lineRule="atLeast"/>
      <w:ind w:left="720"/>
    </w:pPr>
    <w:rPr>
      <w:rFonts w:ascii="Arial" w:hAnsi="Arial" w:cs="Arial"/>
      <w:i/>
      <w:iCs/>
      <w:color w:val="000000"/>
      <w:sz w:val="20"/>
    </w:rPr>
  </w:style>
  <w:style w:type="character" w:customStyle="1" w:styleId="BodyTextIndent3Char">
    <w:name w:val="Body Text Indent 3 Char"/>
    <w:basedOn w:val="DefaultParagraphFont"/>
    <w:link w:val="BodyTextIndent3"/>
    <w:rsid w:val="003F52A8"/>
    <w:rPr>
      <w:rFonts w:ascii="Arial" w:eastAsia="Times New Roman" w:hAnsi="Arial" w:cs="Arial"/>
      <w:i/>
      <w:iCs/>
      <w:color w:val="000000"/>
      <w:sz w:val="20"/>
      <w:szCs w:val="24"/>
    </w:rPr>
  </w:style>
  <w:style w:type="paragraph" w:customStyle="1" w:styleId="BankNormal">
    <w:name w:val="BankNormal"/>
    <w:basedOn w:val="Normal"/>
    <w:rsid w:val="003F52A8"/>
    <w:pPr>
      <w:spacing w:after="240"/>
    </w:pPr>
    <w:rPr>
      <w:szCs w:val="20"/>
    </w:rPr>
  </w:style>
  <w:style w:type="paragraph" w:customStyle="1" w:styleId="Style2">
    <w:name w:val="Style 2"/>
    <w:basedOn w:val="Normal"/>
    <w:rsid w:val="003F52A8"/>
    <w:pPr>
      <w:widowControl w:val="0"/>
      <w:autoSpaceDE w:val="0"/>
      <w:autoSpaceDN w:val="0"/>
      <w:spacing w:before="216" w:line="276" w:lineRule="exact"/>
      <w:jc w:val="both"/>
    </w:pPr>
  </w:style>
  <w:style w:type="paragraph" w:customStyle="1" w:styleId="Style1">
    <w:name w:val="Style 1"/>
    <w:basedOn w:val="Normal"/>
    <w:rsid w:val="003F52A8"/>
    <w:pPr>
      <w:widowControl w:val="0"/>
      <w:autoSpaceDE w:val="0"/>
      <w:autoSpaceDN w:val="0"/>
      <w:spacing w:line="264" w:lineRule="exact"/>
      <w:ind w:hanging="396"/>
    </w:pPr>
  </w:style>
  <w:style w:type="paragraph" w:customStyle="1" w:styleId="Bullet">
    <w:name w:val="Bullet"/>
    <w:basedOn w:val="Normal"/>
    <w:rsid w:val="003F52A8"/>
    <w:pPr>
      <w:numPr>
        <w:numId w:val="1"/>
      </w:numPr>
      <w:tabs>
        <w:tab w:val="clear" w:pos="1440"/>
      </w:tabs>
      <w:spacing w:after="240"/>
      <w:ind w:left="1080" w:hanging="360"/>
      <w:jc w:val="both"/>
    </w:pPr>
  </w:style>
  <w:style w:type="paragraph" w:customStyle="1" w:styleId="Heading2notoc">
    <w:name w:val="Heading 2 no toc"/>
    <w:basedOn w:val="Heading2"/>
    <w:rsid w:val="003F52A8"/>
  </w:style>
  <w:style w:type="paragraph" w:customStyle="1" w:styleId="Bullet2">
    <w:name w:val="Bullet 2"/>
    <w:basedOn w:val="Bullet"/>
    <w:rsid w:val="003F52A8"/>
    <w:pPr>
      <w:numPr>
        <w:ilvl w:val="1"/>
      </w:numPr>
    </w:pPr>
    <w:rPr>
      <w:color w:val="000000"/>
    </w:rPr>
  </w:style>
  <w:style w:type="paragraph" w:customStyle="1" w:styleId="Tabletitle">
    <w:name w:val="Table title"/>
    <w:basedOn w:val="Normal"/>
    <w:rsid w:val="003F52A8"/>
    <w:pPr>
      <w:jc w:val="center"/>
    </w:pPr>
    <w:rPr>
      <w:b/>
      <w:bCs/>
      <w:sz w:val="20"/>
    </w:rPr>
  </w:style>
  <w:style w:type="paragraph" w:customStyle="1" w:styleId="Heading3ctrnotoc">
    <w:name w:val="Heading 3 ctr no toc"/>
    <w:basedOn w:val="Heading3"/>
    <w:rsid w:val="003F52A8"/>
    <w:pPr>
      <w:keepLines/>
      <w:spacing w:before="120" w:after="240"/>
      <w:jc w:val="center"/>
    </w:pPr>
    <w:rPr>
      <w:rFonts w:ascii="Times New Roman" w:hAnsi="Times New Roman"/>
      <w:sz w:val="24"/>
    </w:rPr>
  </w:style>
  <w:style w:type="paragraph" w:customStyle="1" w:styleId="Bullet3l-justified">
    <w:name w:val="Bullet 3 l-justified"/>
    <w:basedOn w:val="Bullet"/>
    <w:rsid w:val="003F52A8"/>
    <w:pPr>
      <w:jc w:val="left"/>
    </w:pPr>
  </w:style>
  <w:style w:type="character" w:styleId="Hyperlink">
    <w:name w:val="Hyperlink"/>
    <w:basedOn w:val="DefaultParagraphFont"/>
    <w:uiPriority w:val="99"/>
    <w:rsid w:val="003F52A8"/>
    <w:rPr>
      <w:color w:val="0000FF"/>
      <w:u w:val="single"/>
    </w:rPr>
  </w:style>
  <w:style w:type="character" w:styleId="FollowedHyperlink">
    <w:name w:val="FollowedHyperlink"/>
    <w:basedOn w:val="DefaultParagraphFont"/>
    <w:rsid w:val="003F52A8"/>
    <w:rPr>
      <w:color w:val="606420"/>
      <w:u w:val="single"/>
    </w:rPr>
  </w:style>
  <w:style w:type="paragraph" w:styleId="FootnoteText">
    <w:name w:val="footnote text"/>
    <w:aliases w:val="single space,footnote text,fn,FOOTNOTES,ft,Char,f,Footnote Text Char1,Footnote Text Char2 Char,Footnote Text Char1 Char Char,Footnote Text Char2 Char Char Char,Footnote Text Char1 Char Char Char Char,Footnote Text Char1 Char,ALTS FOOTNOTE"/>
    <w:basedOn w:val="Normal"/>
    <w:link w:val="FootnoteTextChar"/>
    <w:uiPriority w:val="99"/>
    <w:rsid w:val="003F52A8"/>
    <w:rPr>
      <w:sz w:val="20"/>
      <w:szCs w:val="20"/>
    </w:rPr>
  </w:style>
  <w:style w:type="character" w:customStyle="1" w:styleId="FootnoteTextChar">
    <w:name w:val="Footnote Text Char"/>
    <w:aliases w:val="single space Char,footnote text Char,fn Char,FOOTNOTES Char,ft Char,Char Char,f Char,Footnote Text Char1 Char1,Footnote Text Char2 Char Char,Footnote Text Char1 Char Char Char,Footnote Text Char2 Char Char Char Char,ALTS FOOTNOTE Char"/>
    <w:basedOn w:val="DefaultParagraphFont"/>
    <w:link w:val="FootnoteText"/>
    <w:uiPriority w:val="99"/>
    <w:rsid w:val="003F52A8"/>
    <w:rPr>
      <w:rFonts w:ascii="Times New Roman" w:eastAsia="Times New Roman" w:hAnsi="Times New Roman" w:cs="Times New Roman"/>
      <w:sz w:val="20"/>
      <w:szCs w:val="20"/>
    </w:rPr>
  </w:style>
  <w:style w:type="character" w:styleId="FootnoteReference">
    <w:name w:val="footnote reference"/>
    <w:aliases w:val="ftref,16 Point,Superscript 6 Point, BVI fnr,BVI fnr"/>
    <w:basedOn w:val="DefaultParagraphFont"/>
    <w:uiPriority w:val="99"/>
    <w:rsid w:val="003F52A8"/>
    <w:rPr>
      <w:vertAlign w:val="superscript"/>
    </w:rPr>
  </w:style>
  <w:style w:type="paragraph" w:styleId="BalloonText">
    <w:name w:val="Balloon Text"/>
    <w:basedOn w:val="Normal"/>
    <w:link w:val="BalloonTextChar"/>
    <w:semiHidden/>
    <w:rsid w:val="003F52A8"/>
    <w:rPr>
      <w:rFonts w:ascii="Tahoma" w:hAnsi="Tahoma"/>
      <w:sz w:val="16"/>
      <w:szCs w:val="16"/>
    </w:rPr>
  </w:style>
  <w:style w:type="character" w:customStyle="1" w:styleId="BalloonTextChar">
    <w:name w:val="Balloon Text Char"/>
    <w:basedOn w:val="DefaultParagraphFont"/>
    <w:link w:val="BalloonText"/>
    <w:semiHidden/>
    <w:rsid w:val="003F52A8"/>
    <w:rPr>
      <w:rFonts w:ascii="Tahoma" w:eastAsia="Times New Roman" w:hAnsi="Tahoma" w:cs="Times New Roman"/>
      <w:sz w:val="16"/>
      <w:szCs w:val="16"/>
    </w:rPr>
  </w:style>
  <w:style w:type="paragraph" w:styleId="Date">
    <w:name w:val="Date"/>
    <w:basedOn w:val="Normal"/>
    <w:next w:val="Normal"/>
    <w:link w:val="DateChar"/>
    <w:rsid w:val="003F52A8"/>
  </w:style>
  <w:style w:type="character" w:customStyle="1" w:styleId="DateChar">
    <w:name w:val="Date Char"/>
    <w:basedOn w:val="DefaultParagraphFont"/>
    <w:link w:val="Date"/>
    <w:rsid w:val="003F52A8"/>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3F52A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3F52A8"/>
    <w:rPr>
      <w:sz w:val="20"/>
      <w:szCs w:val="20"/>
    </w:rPr>
  </w:style>
  <w:style w:type="character" w:customStyle="1" w:styleId="CommentSubjectChar">
    <w:name w:val="Comment Subject Char"/>
    <w:basedOn w:val="CommentTextChar"/>
    <w:link w:val="CommentSubject"/>
    <w:semiHidden/>
    <w:rsid w:val="003F52A8"/>
    <w:rPr>
      <w:b/>
      <w:bCs/>
    </w:rPr>
  </w:style>
  <w:style w:type="paragraph" w:styleId="CommentSubject">
    <w:name w:val="annotation subject"/>
    <w:basedOn w:val="CommentText"/>
    <w:next w:val="CommentText"/>
    <w:link w:val="CommentSubjectChar"/>
    <w:semiHidden/>
    <w:rsid w:val="003F52A8"/>
    <w:rPr>
      <w:b/>
      <w:bCs/>
    </w:rPr>
  </w:style>
  <w:style w:type="paragraph" w:customStyle="1" w:styleId="PDSAnnexHeading">
    <w:name w:val="PDS Annex Heading"/>
    <w:next w:val="Normal"/>
    <w:rsid w:val="003F52A8"/>
    <w:pPr>
      <w:keepNext/>
      <w:spacing w:after="120"/>
      <w:jc w:val="center"/>
    </w:pPr>
    <w:rPr>
      <w:rFonts w:ascii="Times New Roman" w:eastAsia="Times New Roman" w:hAnsi="Times New Roman"/>
      <w:b/>
      <w:sz w:val="24"/>
    </w:rPr>
  </w:style>
  <w:style w:type="table" w:styleId="TableGrid">
    <w:name w:val="Table Grid"/>
    <w:basedOn w:val="TableNormal"/>
    <w:uiPriority w:val="59"/>
    <w:rsid w:val="003F52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3F52A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3F52A8"/>
    <w:rPr>
      <w:rFonts w:ascii="Cambria" w:eastAsia="Calibri" w:hAnsi="Cambria" w:cs="Times New Roman"/>
      <w:lang w:bidi="en-US"/>
    </w:rPr>
  </w:style>
  <w:style w:type="paragraph" w:styleId="ListParagraph">
    <w:name w:val="List Paragraph"/>
    <w:basedOn w:val="Normal"/>
    <w:link w:val="ListParagraphChar"/>
    <w:uiPriority w:val="34"/>
    <w:qFormat/>
    <w:rsid w:val="003F52A8"/>
    <w:pPr>
      <w:ind w:left="720"/>
      <w:contextualSpacing/>
    </w:pPr>
  </w:style>
  <w:style w:type="paragraph" w:customStyle="1" w:styleId="Default">
    <w:name w:val="Default"/>
    <w:rsid w:val="003F52A8"/>
    <w:pPr>
      <w:autoSpaceDE w:val="0"/>
      <w:autoSpaceDN w:val="0"/>
      <w:adjustRightInd w:val="0"/>
    </w:pPr>
    <w:rPr>
      <w:rFonts w:ascii="Times New Roman" w:hAnsi="Times New Roman"/>
      <w:color w:val="000000"/>
      <w:sz w:val="24"/>
      <w:szCs w:val="24"/>
    </w:rPr>
  </w:style>
  <w:style w:type="paragraph" w:customStyle="1" w:styleId="Heading1a">
    <w:name w:val="Heading 1a"/>
    <w:basedOn w:val="Normal"/>
    <w:next w:val="Normal"/>
    <w:uiPriority w:val="99"/>
    <w:rsid w:val="003F52A8"/>
    <w:pPr>
      <w:keepNext/>
      <w:keepLines/>
      <w:spacing w:before="1440" w:after="240"/>
      <w:jc w:val="center"/>
      <w:outlineLvl w:val="0"/>
    </w:pPr>
    <w:rPr>
      <w:b/>
      <w:caps/>
      <w:sz w:val="32"/>
    </w:rPr>
  </w:style>
  <w:style w:type="paragraph" w:customStyle="1" w:styleId="MainParanoChapter">
    <w:name w:val="Main Para no Chapter #"/>
    <w:basedOn w:val="Normal"/>
    <w:uiPriority w:val="99"/>
    <w:rsid w:val="003F52A8"/>
    <w:pPr>
      <w:tabs>
        <w:tab w:val="num" w:pos="720"/>
      </w:tabs>
      <w:spacing w:after="240"/>
      <w:ind w:left="720" w:hanging="720"/>
      <w:outlineLvl w:val="1"/>
    </w:pPr>
  </w:style>
  <w:style w:type="paragraph" w:styleId="DocumentMap">
    <w:name w:val="Document Map"/>
    <w:basedOn w:val="Normal"/>
    <w:link w:val="DocumentMapChar"/>
    <w:rsid w:val="003F52A8"/>
    <w:rPr>
      <w:rFonts w:ascii="Tahoma" w:hAnsi="Tahoma" w:cs="Tahoma"/>
      <w:sz w:val="16"/>
      <w:szCs w:val="16"/>
    </w:rPr>
  </w:style>
  <w:style w:type="character" w:customStyle="1" w:styleId="DocumentMapChar">
    <w:name w:val="Document Map Char"/>
    <w:basedOn w:val="DefaultParagraphFont"/>
    <w:link w:val="DocumentMap"/>
    <w:rsid w:val="003F52A8"/>
    <w:rPr>
      <w:rFonts w:ascii="Tahoma" w:eastAsia="Times New Roman" w:hAnsi="Tahoma" w:cs="Tahoma"/>
      <w:sz w:val="16"/>
      <w:szCs w:val="16"/>
    </w:rPr>
  </w:style>
  <w:style w:type="character" w:styleId="PlaceholderText">
    <w:name w:val="Placeholder Text"/>
    <w:basedOn w:val="DefaultParagraphFont"/>
    <w:uiPriority w:val="99"/>
    <w:semiHidden/>
    <w:rsid w:val="003F52A8"/>
    <w:rPr>
      <w:color w:val="808080"/>
    </w:rPr>
  </w:style>
  <w:style w:type="paragraph" w:styleId="NormalWeb">
    <w:name w:val="Normal (Web)"/>
    <w:basedOn w:val="Normal"/>
    <w:uiPriority w:val="99"/>
    <w:unhideWhenUsed/>
    <w:rsid w:val="003F52A8"/>
    <w:pPr>
      <w:spacing w:before="100" w:beforeAutospacing="1" w:after="100" w:afterAutospacing="1"/>
    </w:pPr>
  </w:style>
  <w:style w:type="paragraph" w:styleId="TOC2">
    <w:name w:val="toc 2"/>
    <w:basedOn w:val="Normal"/>
    <w:next w:val="Normal"/>
    <w:autoRedefine/>
    <w:rsid w:val="003F52A8"/>
    <w:pPr>
      <w:spacing w:before="120"/>
      <w:ind w:left="240"/>
    </w:pPr>
    <w:rPr>
      <w:iCs/>
    </w:rPr>
  </w:style>
  <w:style w:type="paragraph" w:styleId="TOC4">
    <w:name w:val="toc 4"/>
    <w:basedOn w:val="Normal"/>
    <w:next w:val="Normal"/>
    <w:autoRedefine/>
    <w:semiHidden/>
    <w:rsid w:val="006B5DBC"/>
    <w:pPr>
      <w:ind w:left="720"/>
    </w:pPr>
  </w:style>
  <w:style w:type="paragraph" w:customStyle="1" w:styleId="MainParawithChapter">
    <w:name w:val="Main Para with Chapter#"/>
    <w:basedOn w:val="Normal"/>
    <w:uiPriority w:val="99"/>
    <w:rsid w:val="00F75445"/>
    <w:pPr>
      <w:tabs>
        <w:tab w:val="num" w:pos="720"/>
      </w:tabs>
      <w:spacing w:after="240"/>
      <w:ind w:left="720" w:hanging="720"/>
      <w:outlineLvl w:val="1"/>
    </w:pPr>
  </w:style>
  <w:style w:type="paragraph" w:customStyle="1" w:styleId="Sub-Para1underXY">
    <w:name w:val="Sub-Para 1 under X.Y"/>
    <w:basedOn w:val="Normal"/>
    <w:rsid w:val="00F75445"/>
    <w:pPr>
      <w:spacing w:after="240"/>
      <w:ind w:left="1440" w:hanging="720"/>
      <w:outlineLvl w:val="2"/>
    </w:pPr>
  </w:style>
  <w:style w:type="paragraph" w:customStyle="1" w:styleId="Sub-Para2underXY">
    <w:name w:val="Sub-Para 2 under X.Y"/>
    <w:basedOn w:val="Normal"/>
    <w:rsid w:val="00F75445"/>
    <w:pPr>
      <w:spacing w:after="240"/>
      <w:ind w:left="2160" w:hanging="720"/>
      <w:outlineLvl w:val="3"/>
    </w:pPr>
  </w:style>
  <w:style w:type="paragraph" w:customStyle="1" w:styleId="Sub-Para3underXY">
    <w:name w:val="Sub-Para 3 under X.Y"/>
    <w:basedOn w:val="Normal"/>
    <w:rsid w:val="00F75445"/>
    <w:pPr>
      <w:spacing w:after="240"/>
      <w:ind w:left="2880" w:hanging="720"/>
      <w:outlineLvl w:val="4"/>
    </w:pPr>
  </w:style>
  <w:style w:type="paragraph" w:customStyle="1" w:styleId="Sub-Para4underXY">
    <w:name w:val="Sub-Para 4 under X.Y"/>
    <w:basedOn w:val="Normal"/>
    <w:rsid w:val="00F75445"/>
    <w:pPr>
      <w:spacing w:after="240"/>
      <w:ind w:left="3600" w:hanging="720"/>
      <w:outlineLvl w:val="5"/>
    </w:pPr>
  </w:style>
  <w:style w:type="paragraph" w:styleId="BodyText2">
    <w:name w:val="Body Text 2"/>
    <w:basedOn w:val="Normal"/>
    <w:link w:val="BodyText2Char"/>
    <w:uiPriority w:val="99"/>
    <w:semiHidden/>
    <w:unhideWhenUsed/>
    <w:rsid w:val="00BE2758"/>
    <w:pPr>
      <w:spacing w:after="120" w:line="480" w:lineRule="auto"/>
    </w:pPr>
  </w:style>
  <w:style w:type="character" w:customStyle="1" w:styleId="BodyText2Char">
    <w:name w:val="Body Text 2 Char"/>
    <w:basedOn w:val="DefaultParagraphFont"/>
    <w:link w:val="BodyText2"/>
    <w:uiPriority w:val="99"/>
    <w:semiHidden/>
    <w:rsid w:val="00BE275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2D60"/>
    <w:rPr>
      <w:sz w:val="16"/>
      <w:szCs w:val="16"/>
    </w:rPr>
  </w:style>
  <w:style w:type="paragraph" w:customStyle="1" w:styleId="FreeForm">
    <w:name w:val="Free Form"/>
    <w:rsid w:val="00B00D12"/>
    <w:pPr>
      <w:spacing w:after="200" w:line="276" w:lineRule="auto"/>
    </w:pPr>
    <w:rPr>
      <w:rFonts w:eastAsia="ヒラギノ角ゴ Pro W3"/>
      <w:color w:val="000000"/>
      <w:sz w:val="22"/>
    </w:rPr>
  </w:style>
  <w:style w:type="numbering" w:customStyle="1" w:styleId="List31">
    <w:name w:val="List 31"/>
    <w:rsid w:val="00B00D12"/>
  </w:style>
  <w:style w:type="character" w:customStyle="1" w:styleId="ListParagraphChar">
    <w:name w:val="List Paragraph Char"/>
    <w:basedOn w:val="DefaultParagraphFont"/>
    <w:link w:val="ListParagraph"/>
    <w:uiPriority w:val="34"/>
    <w:rsid w:val="00C05D44"/>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D2522"/>
    <w:pPr>
      <w:spacing w:after="100"/>
    </w:pPr>
  </w:style>
  <w:style w:type="character" w:styleId="Strong">
    <w:name w:val="Strong"/>
    <w:basedOn w:val="DefaultParagraphFont"/>
    <w:uiPriority w:val="22"/>
    <w:qFormat/>
    <w:rsid w:val="00BA2C13"/>
    <w:rPr>
      <w:b/>
      <w:bCs/>
    </w:rPr>
  </w:style>
</w:styles>
</file>

<file path=word/webSettings.xml><?xml version="1.0" encoding="utf-8"?>
<w:webSettings xmlns:r="http://schemas.openxmlformats.org/officeDocument/2006/relationships" xmlns:w="http://schemas.openxmlformats.org/wordprocessingml/2006/main">
  <w:divs>
    <w:div w:id="578365132">
      <w:bodyDiv w:val="1"/>
      <w:marLeft w:val="0"/>
      <w:marRight w:val="0"/>
      <w:marTop w:val="0"/>
      <w:marBottom w:val="0"/>
      <w:divBdr>
        <w:top w:val="none" w:sz="0" w:space="0" w:color="auto"/>
        <w:left w:val="none" w:sz="0" w:space="0" w:color="auto"/>
        <w:bottom w:val="none" w:sz="0" w:space="0" w:color="auto"/>
        <w:right w:val="none" w:sz="0" w:space="0" w:color="auto"/>
      </w:divBdr>
    </w:div>
    <w:div w:id="15266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sgoanue@yahoo.co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molme.gov.lr"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5.emf"/><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theme" Target="theme/theme1.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www.lightingafrica.org/specs.html?layout=item" TargetMode="External"/><Relationship Id="rId2" Type="http://schemas.openxmlformats.org/officeDocument/2006/relationships/hyperlink" Target="http://coreindicators" TargetMode="External"/><Relationship Id="rId1" Type="http://schemas.openxmlformats.org/officeDocument/2006/relationships/hyperlink" Target="http://coreindicators" TargetMode="External"/><Relationship Id="rId5" Type="http://schemas.openxmlformats.org/officeDocument/2006/relationships/hyperlink" Target="http://www.climatop.ch/downloads/E-Fact_Sheet_Migros_Batteries_v5.pdf" TargetMode="External"/><Relationship Id="rId4" Type="http://schemas.openxmlformats.org/officeDocument/2006/relationships/hyperlink" Target="http://www.smarterproducts.co.uk/acatalog/pdf_UNIROSS-Study-Environmental-impact-of-batte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D92F7-45F1-429F-A217-8B550FD2C62A}">
  <ds:schemaRefs>
    <ds:schemaRef ds:uri="http://schemas.openxmlformats.org/officeDocument/2006/bibliography"/>
  </ds:schemaRefs>
</ds:datastoreItem>
</file>

<file path=customXml/itemProps2.xml><?xml version="1.0" encoding="utf-8"?>
<ds:datastoreItem xmlns:ds="http://schemas.openxmlformats.org/officeDocument/2006/customXml" ds:itemID="{064F1BA0-5405-4A1E-8C70-11DAA67D34CF}">
  <ds:schemaRefs>
    <ds:schemaRef ds:uri="http://schemas.openxmlformats.org/officeDocument/2006/bibliography"/>
  </ds:schemaRefs>
</ds:datastoreItem>
</file>

<file path=customXml/itemProps3.xml><?xml version="1.0" encoding="utf-8"?>
<ds:datastoreItem xmlns:ds="http://schemas.openxmlformats.org/officeDocument/2006/customXml" ds:itemID="{E10DD9B4-4684-4C49-8113-00F004B446AA}"/>
</file>

<file path=customXml/itemProps4.xml><?xml version="1.0" encoding="utf-8"?>
<ds:datastoreItem xmlns:ds="http://schemas.openxmlformats.org/officeDocument/2006/customXml" ds:itemID="{69A01C25-8112-4CF0-AD38-5DDC925376C4}"/>
</file>

<file path=customXml/itemProps5.xml><?xml version="1.0" encoding="utf-8"?>
<ds:datastoreItem xmlns:ds="http://schemas.openxmlformats.org/officeDocument/2006/customXml" ds:itemID="{65924A98-D446-40C4-98A2-5803CD8F4751}"/>
</file>

<file path=docProps/app.xml><?xml version="1.0" encoding="utf-8"?>
<Properties xmlns="http://schemas.openxmlformats.org/officeDocument/2006/extended-properties" xmlns:vt="http://schemas.openxmlformats.org/officeDocument/2006/docPropsVTypes">
  <Template>Normal.dotm</Template>
  <TotalTime>5</TotalTime>
  <Pages>74</Pages>
  <Words>25571</Words>
  <Characters>145756</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170986</CharactersWithSpaces>
  <SharedDoc>false</SharedDoc>
  <HLinks>
    <vt:vector size="114" baseType="variant">
      <vt:variant>
        <vt:i4>6422595</vt:i4>
      </vt:variant>
      <vt:variant>
        <vt:i4>89</vt:i4>
      </vt:variant>
      <vt:variant>
        <vt:i4>0</vt:i4>
      </vt:variant>
      <vt:variant>
        <vt:i4>5</vt:i4>
      </vt:variant>
      <vt:variant>
        <vt:lpwstr>mailto:gusgoanue@yahoo.com</vt:lpwstr>
      </vt:variant>
      <vt:variant>
        <vt:lpwstr/>
      </vt:variant>
      <vt:variant>
        <vt:i4>1900623</vt:i4>
      </vt:variant>
      <vt:variant>
        <vt:i4>86</vt:i4>
      </vt:variant>
      <vt:variant>
        <vt:i4>0</vt:i4>
      </vt:variant>
      <vt:variant>
        <vt:i4>5</vt:i4>
      </vt:variant>
      <vt:variant>
        <vt:lpwstr>http://www.molme.gov.lr/</vt:lpwstr>
      </vt:variant>
      <vt:variant>
        <vt:lpwstr/>
      </vt:variant>
      <vt:variant>
        <vt:i4>1376317</vt:i4>
      </vt:variant>
      <vt:variant>
        <vt:i4>79</vt:i4>
      </vt:variant>
      <vt:variant>
        <vt:i4>0</vt:i4>
      </vt:variant>
      <vt:variant>
        <vt:i4>5</vt:i4>
      </vt:variant>
      <vt:variant>
        <vt:lpwstr/>
      </vt:variant>
      <vt:variant>
        <vt:lpwstr>_Toc308712774</vt:lpwstr>
      </vt:variant>
      <vt:variant>
        <vt:i4>1376317</vt:i4>
      </vt:variant>
      <vt:variant>
        <vt:i4>73</vt:i4>
      </vt:variant>
      <vt:variant>
        <vt:i4>0</vt:i4>
      </vt:variant>
      <vt:variant>
        <vt:i4>5</vt:i4>
      </vt:variant>
      <vt:variant>
        <vt:lpwstr/>
      </vt:variant>
      <vt:variant>
        <vt:lpwstr>_Toc308712773</vt:lpwstr>
      </vt:variant>
      <vt:variant>
        <vt:i4>1376317</vt:i4>
      </vt:variant>
      <vt:variant>
        <vt:i4>67</vt:i4>
      </vt:variant>
      <vt:variant>
        <vt:i4>0</vt:i4>
      </vt:variant>
      <vt:variant>
        <vt:i4>5</vt:i4>
      </vt:variant>
      <vt:variant>
        <vt:lpwstr/>
      </vt:variant>
      <vt:variant>
        <vt:lpwstr>_Toc308712772</vt:lpwstr>
      </vt:variant>
      <vt:variant>
        <vt:i4>1376317</vt:i4>
      </vt:variant>
      <vt:variant>
        <vt:i4>61</vt:i4>
      </vt:variant>
      <vt:variant>
        <vt:i4>0</vt:i4>
      </vt:variant>
      <vt:variant>
        <vt:i4>5</vt:i4>
      </vt:variant>
      <vt:variant>
        <vt:lpwstr/>
      </vt:variant>
      <vt:variant>
        <vt:lpwstr>_Toc308712771</vt:lpwstr>
      </vt:variant>
      <vt:variant>
        <vt:i4>1376317</vt:i4>
      </vt:variant>
      <vt:variant>
        <vt:i4>55</vt:i4>
      </vt:variant>
      <vt:variant>
        <vt:i4>0</vt:i4>
      </vt:variant>
      <vt:variant>
        <vt:i4>5</vt:i4>
      </vt:variant>
      <vt:variant>
        <vt:lpwstr/>
      </vt:variant>
      <vt:variant>
        <vt:lpwstr>_Toc308712770</vt:lpwstr>
      </vt:variant>
      <vt:variant>
        <vt:i4>1310781</vt:i4>
      </vt:variant>
      <vt:variant>
        <vt:i4>49</vt:i4>
      </vt:variant>
      <vt:variant>
        <vt:i4>0</vt:i4>
      </vt:variant>
      <vt:variant>
        <vt:i4>5</vt:i4>
      </vt:variant>
      <vt:variant>
        <vt:lpwstr/>
      </vt:variant>
      <vt:variant>
        <vt:lpwstr>_Toc308712769</vt:lpwstr>
      </vt:variant>
      <vt:variant>
        <vt:i4>1310781</vt:i4>
      </vt:variant>
      <vt:variant>
        <vt:i4>43</vt:i4>
      </vt:variant>
      <vt:variant>
        <vt:i4>0</vt:i4>
      </vt:variant>
      <vt:variant>
        <vt:i4>5</vt:i4>
      </vt:variant>
      <vt:variant>
        <vt:lpwstr/>
      </vt:variant>
      <vt:variant>
        <vt:lpwstr>_Toc308712768</vt:lpwstr>
      </vt:variant>
      <vt:variant>
        <vt:i4>1310781</vt:i4>
      </vt:variant>
      <vt:variant>
        <vt:i4>37</vt:i4>
      </vt:variant>
      <vt:variant>
        <vt:i4>0</vt:i4>
      </vt:variant>
      <vt:variant>
        <vt:i4>5</vt:i4>
      </vt:variant>
      <vt:variant>
        <vt:lpwstr/>
      </vt:variant>
      <vt:variant>
        <vt:lpwstr>_Toc308712767</vt:lpwstr>
      </vt:variant>
      <vt:variant>
        <vt:i4>1310781</vt:i4>
      </vt:variant>
      <vt:variant>
        <vt:i4>31</vt:i4>
      </vt:variant>
      <vt:variant>
        <vt:i4>0</vt:i4>
      </vt:variant>
      <vt:variant>
        <vt:i4>5</vt:i4>
      </vt:variant>
      <vt:variant>
        <vt:lpwstr/>
      </vt:variant>
      <vt:variant>
        <vt:lpwstr>_Toc308712766</vt:lpwstr>
      </vt:variant>
      <vt:variant>
        <vt:i4>1310781</vt:i4>
      </vt:variant>
      <vt:variant>
        <vt:i4>25</vt:i4>
      </vt:variant>
      <vt:variant>
        <vt:i4>0</vt:i4>
      </vt:variant>
      <vt:variant>
        <vt:i4>5</vt:i4>
      </vt:variant>
      <vt:variant>
        <vt:lpwstr/>
      </vt:variant>
      <vt:variant>
        <vt:lpwstr>_Toc308712765</vt:lpwstr>
      </vt:variant>
      <vt:variant>
        <vt:i4>1310781</vt:i4>
      </vt:variant>
      <vt:variant>
        <vt:i4>19</vt:i4>
      </vt:variant>
      <vt:variant>
        <vt:i4>0</vt:i4>
      </vt:variant>
      <vt:variant>
        <vt:i4>5</vt:i4>
      </vt:variant>
      <vt:variant>
        <vt:lpwstr/>
      </vt:variant>
      <vt:variant>
        <vt:lpwstr>_Toc308712764</vt:lpwstr>
      </vt:variant>
      <vt:variant>
        <vt:i4>1310781</vt:i4>
      </vt:variant>
      <vt:variant>
        <vt:i4>13</vt:i4>
      </vt:variant>
      <vt:variant>
        <vt:i4>0</vt:i4>
      </vt:variant>
      <vt:variant>
        <vt:i4>5</vt:i4>
      </vt:variant>
      <vt:variant>
        <vt:lpwstr/>
      </vt:variant>
      <vt:variant>
        <vt:lpwstr>_Toc308712763</vt:lpwstr>
      </vt:variant>
      <vt:variant>
        <vt:i4>5505092</vt:i4>
      </vt:variant>
      <vt:variant>
        <vt:i4>12</vt:i4>
      </vt:variant>
      <vt:variant>
        <vt:i4>0</vt:i4>
      </vt:variant>
      <vt:variant>
        <vt:i4>5</vt:i4>
      </vt:variant>
      <vt:variant>
        <vt:lpwstr>http://www.climatop.ch/downloads/E-Fact_Sheet_Migros_Batteries_v5.pdf</vt:lpwstr>
      </vt:variant>
      <vt:variant>
        <vt:lpwstr/>
      </vt:variant>
      <vt:variant>
        <vt:i4>3080192</vt:i4>
      </vt:variant>
      <vt:variant>
        <vt:i4>9</vt:i4>
      </vt:variant>
      <vt:variant>
        <vt:i4>0</vt:i4>
      </vt:variant>
      <vt:variant>
        <vt:i4>5</vt:i4>
      </vt:variant>
      <vt:variant>
        <vt:lpwstr>http://www.smarterproducts.co.uk/acatalog/pdf_UNIROSS-Study-Environmental-impact-of-batteries.pdf</vt:lpwstr>
      </vt:variant>
      <vt:variant>
        <vt:lpwstr/>
      </vt:variant>
      <vt:variant>
        <vt:i4>5767184</vt:i4>
      </vt:variant>
      <vt:variant>
        <vt:i4>6</vt:i4>
      </vt:variant>
      <vt:variant>
        <vt:i4>0</vt:i4>
      </vt:variant>
      <vt:variant>
        <vt:i4>5</vt:i4>
      </vt:variant>
      <vt:variant>
        <vt:lpwstr>http://www.lightingafrica.org/specs.html?layout=item</vt:lpwstr>
      </vt:variant>
      <vt:variant>
        <vt:lpwstr/>
      </vt:variant>
      <vt:variant>
        <vt:i4>8192121</vt:i4>
      </vt:variant>
      <vt:variant>
        <vt:i4>3</vt:i4>
      </vt:variant>
      <vt:variant>
        <vt:i4>0</vt:i4>
      </vt:variant>
      <vt:variant>
        <vt:i4>5</vt:i4>
      </vt:variant>
      <vt:variant>
        <vt:lpwstr>http://coreindicators/</vt:lpwstr>
      </vt:variant>
      <vt:variant>
        <vt:lpwstr/>
      </vt:variant>
      <vt:variant>
        <vt:i4>8192121</vt:i4>
      </vt:variant>
      <vt:variant>
        <vt:i4>0</vt:i4>
      </vt:variant>
      <vt:variant>
        <vt:i4>0</vt:i4>
      </vt:variant>
      <vt:variant>
        <vt:i4>5</vt:i4>
      </vt:variant>
      <vt:variant>
        <vt:lpwstr>http://coreindicators/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wb17984</dc:creator>
  <cp:lastModifiedBy>wb247465</cp:lastModifiedBy>
  <cp:revision>7</cp:revision>
  <cp:lastPrinted>2011-11-10T22:34:00Z</cp:lastPrinted>
  <dcterms:created xsi:type="dcterms:W3CDTF">2011-12-08T17:25:00Z</dcterms:created>
  <dcterms:modified xsi:type="dcterms:W3CDTF">2011-12-08T17:31:00Z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