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74" w:rsidRPr="006B6241" w:rsidRDefault="009822C9" w:rsidP="008228CC">
      <w:pPr>
        <w:framePr w:w="6841" w:h="898" w:hSpace="180" w:wrap="around" w:vAnchor="text" w:hAnchor="page" w:x="3601" w:y="-356"/>
        <w:autoSpaceDE w:val="0"/>
        <w:autoSpaceDN w:val="0"/>
        <w:adjustRightInd w:val="0"/>
        <w:ind w:right="-900"/>
        <w:rPr>
          <w:b/>
          <w:bCs/>
          <w:caps/>
          <w:color w:val="000000"/>
          <w:sz w:val="30"/>
          <w:szCs w:val="30"/>
        </w:rPr>
      </w:pPr>
      <w:r w:rsidRPr="006B6241">
        <w:rPr>
          <w:b/>
          <w:bCs/>
          <w:caps/>
          <w:color w:val="000000"/>
          <w:sz w:val="30"/>
          <w:szCs w:val="30"/>
        </w:rPr>
        <w:t>Project Identification Form</w:t>
      </w:r>
      <w:r w:rsidR="009D3C35" w:rsidRPr="006B6241">
        <w:rPr>
          <w:b/>
          <w:bCs/>
          <w:caps/>
          <w:color w:val="000000"/>
          <w:sz w:val="30"/>
          <w:szCs w:val="30"/>
        </w:rPr>
        <w:t xml:space="preserve"> (PIF)</w:t>
      </w:r>
      <w:r w:rsidR="005B5C1D" w:rsidRPr="006B6241">
        <w:rPr>
          <w:rStyle w:val="FootnoteReference"/>
          <w:b/>
          <w:bCs/>
          <w:caps/>
          <w:color w:val="000000"/>
          <w:sz w:val="30"/>
          <w:szCs w:val="30"/>
        </w:rPr>
        <w:t xml:space="preserve"> </w:t>
      </w:r>
    </w:p>
    <w:p w:rsidR="009822C9" w:rsidRPr="006B6241" w:rsidRDefault="00FF3B3C" w:rsidP="008228CC">
      <w:pPr>
        <w:framePr w:w="6841" w:h="898" w:hSpace="180" w:wrap="around" w:vAnchor="text" w:hAnchor="page" w:x="3601" w:y="-356"/>
        <w:autoSpaceDE w:val="0"/>
        <w:autoSpaceDN w:val="0"/>
        <w:adjustRightInd w:val="0"/>
        <w:rPr>
          <w:bCs/>
          <w:color w:val="000000"/>
          <w:sz w:val="20"/>
          <w:szCs w:val="20"/>
        </w:rPr>
      </w:pPr>
      <w:bookmarkStart w:id="0" w:name="Dropdown7"/>
      <w:r w:rsidRPr="006B6241">
        <w:rPr>
          <w:b/>
          <w:bCs/>
          <w:smallCaps/>
          <w:color w:val="000000"/>
          <w:sz w:val="20"/>
          <w:szCs w:val="20"/>
        </w:rPr>
        <w:t xml:space="preserve">Project Type: </w:t>
      </w:r>
      <w:bookmarkStart w:id="1" w:name="projectType"/>
      <w:bookmarkEnd w:id="0"/>
      <w:r w:rsidR="005569A6" w:rsidRPr="006B6241">
        <w:rPr>
          <w:b/>
          <w:bCs/>
          <w:smallCaps/>
          <w:color w:val="000000"/>
          <w:sz w:val="20"/>
          <w:szCs w:val="20"/>
        </w:rPr>
        <w:t>Full-Size Project</w:t>
      </w:r>
      <w:bookmarkEnd w:id="1"/>
    </w:p>
    <w:p w:rsidR="00FD42D8" w:rsidRPr="006B6241" w:rsidRDefault="00FD42D8" w:rsidP="008228CC">
      <w:pPr>
        <w:framePr w:w="6841" w:h="898" w:hSpace="180" w:wrap="around" w:vAnchor="text" w:hAnchor="page" w:x="3601" w:y="-356"/>
        <w:autoSpaceDE w:val="0"/>
        <w:autoSpaceDN w:val="0"/>
        <w:adjustRightInd w:val="0"/>
        <w:rPr>
          <w:b/>
          <w:bCs/>
          <w:sz w:val="20"/>
          <w:szCs w:val="20"/>
        </w:rPr>
      </w:pPr>
      <w:r w:rsidRPr="006B6241">
        <w:rPr>
          <w:b/>
          <w:bCs/>
          <w:smallCaps/>
          <w:sz w:val="20"/>
          <w:szCs w:val="20"/>
        </w:rPr>
        <w:t>Type of Trust Fund:</w:t>
      </w:r>
      <w:bookmarkStart w:id="2" w:name="TFType"/>
      <w:r w:rsidR="005569A6" w:rsidRPr="006B6241">
        <w:rPr>
          <w:b/>
          <w:bCs/>
          <w:smallCaps/>
          <w:sz w:val="20"/>
          <w:szCs w:val="20"/>
        </w:rPr>
        <w:t xml:space="preserve"> GEF Trust Fund</w:t>
      </w:r>
      <w:bookmarkEnd w:id="2"/>
    </w:p>
    <w:p w:rsidR="007D2C99" w:rsidRPr="006B6241" w:rsidRDefault="009D40EF" w:rsidP="008228CC">
      <w:pPr>
        <w:pStyle w:val="Footer"/>
        <w:tabs>
          <w:tab w:val="clear" w:pos="4320"/>
          <w:tab w:val="clear" w:pos="8640"/>
        </w:tabs>
        <w:rPr>
          <w:b/>
          <w:caps/>
          <w:sz w:val="22"/>
          <w:szCs w:val="22"/>
          <w:u w:val="single"/>
        </w:rPr>
      </w:pPr>
      <w:r w:rsidRPr="006B6241">
        <w:rPr>
          <w:sz w:val="20"/>
          <w:szCs w:val="20"/>
        </w:rPr>
        <w:t xml:space="preserve">           For more information about GEF, visit </w:t>
      </w:r>
      <w:hyperlink r:id="rId8" w:history="1">
        <w:r w:rsidRPr="006B6241">
          <w:rPr>
            <w:rStyle w:val="Hyperlink"/>
            <w:sz w:val="20"/>
            <w:szCs w:val="20"/>
          </w:rPr>
          <w:t>TheGEF.org</w:t>
        </w:r>
      </w:hyperlink>
      <w:r w:rsidR="00FA07E9">
        <w:rPr>
          <w:noProof/>
          <w:sz w:val="20"/>
          <w:szCs w:val="20"/>
        </w:rPr>
        <w:drawing>
          <wp:anchor distT="0" distB="0" distL="114300" distR="114300" simplePos="0" relativeHeight="251657216" behindDoc="0" locked="0" layoutInCell="1" allowOverlap="1">
            <wp:simplePos x="0" y="0"/>
            <wp:positionH relativeFrom="column">
              <wp:posOffset>266700</wp:posOffset>
            </wp:positionH>
            <wp:positionV relativeFrom="paragraph">
              <wp:posOffset>-333375</wp:posOffset>
            </wp:positionV>
            <wp:extent cx="723900" cy="741680"/>
            <wp:effectExtent l="19050" t="0" r="0" b="0"/>
            <wp:wrapSquare wrapText="bothSides"/>
            <wp:docPr id="19" name="Picture 1"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mmunications_GEFEXT\Logos\GEF-newlogo-short.jpg"/>
                    <pic:cNvPicPr>
                      <a:picLocks noChangeAspect="1" noChangeArrowheads="1"/>
                    </pic:cNvPicPr>
                  </pic:nvPicPr>
                  <pic:blipFill>
                    <a:blip r:embed="rId9" cstate="print"/>
                    <a:srcRect/>
                    <a:stretch>
                      <a:fillRect/>
                    </a:stretch>
                  </pic:blipFill>
                  <pic:spPr bwMode="auto">
                    <a:xfrm>
                      <a:off x="0" y="0"/>
                      <a:ext cx="723900" cy="741680"/>
                    </a:xfrm>
                    <a:prstGeom prst="rect">
                      <a:avLst/>
                    </a:prstGeom>
                    <a:noFill/>
                    <a:ln w="9525">
                      <a:noFill/>
                      <a:miter lim="800000"/>
                      <a:headEnd/>
                      <a:tailEnd/>
                    </a:ln>
                  </pic:spPr>
                </pic:pic>
              </a:graphicData>
            </a:graphic>
          </wp:anchor>
        </w:drawing>
      </w:r>
    </w:p>
    <w:p w:rsidR="006F289E" w:rsidRPr="006B6241" w:rsidRDefault="006F289E" w:rsidP="008228CC">
      <w:pPr>
        <w:pStyle w:val="Footer"/>
        <w:tabs>
          <w:tab w:val="clear" w:pos="4320"/>
          <w:tab w:val="clear" w:pos="8640"/>
        </w:tabs>
        <w:ind w:left="-540"/>
        <w:rPr>
          <w:b/>
          <w:caps/>
          <w:color w:val="00B0F0"/>
          <w:sz w:val="22"/>
          <w:szCs w:val="22"/>
          <w:u w:val="single"/>
        </w:rPr>
      </w:pPr>
    </w:p>
    <w:p w:rsidR="000B13C8" w:rsidRPr="006B6241" w:rsidRDefault="000B13C8" w:rsidP="008228CC">
      <w:pPr>
        <w:pStyle w:val="Footer"/>
        <w:tabs>
          <w:tab w:val="clear" w:pos="4320"/>
          <w:tab w:val="clear" w:pos="8640"/>
        </w:tabs>
        <w:ind w:left="-540"/>
        <w:rPr>
          <w:b/>
          <w:caps/>
          <w:color w:val="00B0F0"/>
          <w:sz w:val="22"/>
          <w:szCs w:val="22"/>
          <w:u w:val="single"/>
        </w:rPr>
      </w:pPr>
      <w:r w:rsidRPr="006B6241">
        <w:rPr>
          <w:b/>
          <w:caps/>
          <w:color w:val="00B0F0"/>
          <w:sz w:val="22"/>
          <w:szCs w:val="22"/>
          <w:u w:val="single"/>
        </w:rPr>
        <w:t>PART I: Project I</w:t>
      </w:r>
      <w:r w:rsidR="00616D13" w:rsidRPr="006B6241">
        <w:rPr>
          <w:b/>
          <w:caps/>
          <w:color w:val="00B0F0"/>
          <w:sz w:val="22"/>
          <w:szCs w:val="22"/>
          <w:u w:val="single"/>
        </w:rPr>
        <w:t>nformation</w:t>
      </w:r>
    </w:p>
    <w:p w:rsidR="006F289E" w:rsidRPr="006B6241" w:rsidRDefault="006F289E" w:rsidP="008228CC">
      <w:pPr>
        <w:pStyle w:val="Footer"/>
        <w:tabs>
          <w:tab w:val="clear" w:pos="4320"/>
          <w:tab w:val="clear" w:pos="8640"/>
        </w:tabs>
        <w:ind w:left="-540"/>
        <w:rPr>
          <w:b/>
          <w:caps/>
          <w:color w:val="00B0F0"/>
          <w:sz w:val="22"/>
          <w:szCs w:val="22"/>
          <w:u w:val="single"/>
        </w:rPr>
      </w:pPr>
    </w:p>
    <w:tbl>
      <w:tblPr>
        <w:tblW w:w="5465" w:type="pct"/>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7"/>
        <w:gridCol w:w="3151"/>
        <w:gridCol w:w="2430"/>
        <w:gridCol w:w="2349"/>
      </w:tblGrid>
      <w:tr w:rsidR="00097611" w:rsidRPr="006B6241" w:rsidTr="00454655">
        <w:tc>
          <w:tcPr>
            <w:tcW w:w="1212" w:type="pct"/>
          </w:tcPr>
          <w:p w:rsidR="00097611" w:rsidRPr="006B6241" w:rsidRDefault="00097611" w:rsidP="008228CC">
            <w:pPr>
              <w:rPr>
                <w:sz w:val="20"/>
                <w:szCs w:val="20"/>
              </w:rPr>
            </w:pPr>
            <w:r w:rsidRPr="006B6241">
              <w:rPr>
                <w:sz w:val="20"/>
                <w:szCs w:val="20"/>
              </w:rPr>
              <w:t>Project Title:</w:t>
            </w:r>
          </w:p>
        </w:tc>
        <w:tc>
          <w:tcPr>
            <w:tcW w:w="3788" w:type="pct"/>
            <w:gridSpan w:val="3"/>
          </w:tcPr>
          <w:p w:rsidR="00097611" w:rsidRPr="006B6241" w:rsidRDefault="00FA2181" w:rsidP="00FA2181">
            <w:pPr>
              <w:rPr>
                <w:sz w:val="20"/>
                <w:szCs w:val="20"/>
              </w:rPr>
            </w:pPr>
            <w:r w:rsidRPr="006B6241">
              <w:rPr>
                <w:sz w:val="20"/>
                <w:szCs w:val="20"/>
              </w:rPr>
              <w:t>Greening the Logistics Industry in Zhejiang Province</w:t>
            </w:r>
          </w:p>
        </w:tc>
      </w:tr>
      <w:tr w:rsidR="0064621B" w:rsidRPr="006B6241" w:rsidTr="00454655">
        <w:tc>
          <w:tcPr>
            <w:tcW w:w="1212" w:type="pct"/>
          </w:tcPr>
          <w:p w:rsidR="0064621B" w:rsidRPr="006B6241" w:rsidRDefault="0064621B" w:rsidP="008228CC">
            <w:pPr>
              <w:rPr>
                <w:sz w:val="20"/>
                <w:szCs w:val="20"/>
              </w:rPr>
            </w:pPr>
            <w:r w:rsidRPr="006B6241">
              <w:rPr>
                <w:sz w:val="20"/>
                <w:szCs w:val="20"/>
              </w:rPr>
              <w:t>Country(</w:t>
            </w:r>
            <w:proofErr w:type="spellStart"/>
            <w:r w:rsidRPr="006B6241">
              <w:rPr>
                <w:sz w:val="20"/>
                <w:szCs w:val="20"/>
              </w:rPr>
              <w:t>ies</w:t>
            </w:r>
            <w:proofErr w:type="spellEnd"/>
            <w:r w:rsidRPr="006B6241">
              <w:rPr>
                <w:sz w:val="20"/>
                <w:szCs w:val="20"/>
              </w:rPr>
              <w:t>):</w:t>
            </w:r>
          </w:p>
        </w:tc>
        <w:tc>
          <w:tcPr>
            <w:tcW w:w="1505" w:type="pct"/>
          </w:tcPr>
          <w:p w:rsidR="0064621B" w:rsidRPr="006B6241" w:rsidRDefault="001C2826" w:rsidP="008228CC">
            <w:pPr>
              <w:rPr>
                <w:sz w:val="20"/>
                <w:szCs w:val="20"/>
              </w:rPr>
            </w:pPr>
            <w:r w:rsidRPr="006B6241">
              <w:rPr>
                <w:sz w:val="20"/>
                <w:szCs w:val="20"/>
              </w:rPr>
              <w:t>People’s Republic of China</w:t>
            </w:r>
          </w:p>
        </w:tc>
        <w:tc>
          <w:tcPr>
            <w:tcW w:w="1161" w:type="pct"/>
          </w:tcPr>
          <w:p w:rsidR="0064621B" w:rsidRPr="006B6241" w:rsidRDefault="0064621B" w:rsidP="008228CC">
            <w:pPr>
              <w:rPr>
                <w:sz w:val="20"/>
                <w:szCs w:val="20"/>
              </w:rPr>
            </w:pPr>
            <w:r w:rsidRPr="006B6241">
              <w:rPr>
                <w:sz w:val="20"/>
                <w:szCs w:val="20"/>
              </w:rPr>
              <w:t>GEF Project ID:</w:t>
            </w:r>
            <w:r w:rsidR="00FF5774" w:rsidRPr="006B6241">
              <w:rPr>
                <w:rStyle w:val="FootnoteReference"/>
                <w:sz w:val="20"/>
                <w:szCs w:val="20"/>
              </w:rPr>
              <w:footnoteReference w:id="1"/>
            </w:r>
          </w:p>
        </w:tc>
        <w:tc>
          <w:tcPr>
            <w:tcW w:w="1121" w:type="pct"/>
          </w:tcPr>
          <w:p w:rsidR="0064621B" w:rsidRPr="006B6241" w:rsidRDefault="00E376B9" w:rsidP="008228CC">
            <w:pPr>
              <w:rPr>
                <w:sz w:val="20"/>
                <w:szCs w:val="20"/>
              </w:rPr>
            </w:pPr>
            <w:r>
              <w:rPr>
                <w:sz w:val="20"/>
                <w:szCs w:val="20"/>
              </w:rPr>
              <w:t>5373</w:t>
            </w:r>
          </w:p>
        </w:tc>
      </w:tr>
      <w:tr w:rsidR="0064621B" w:rsidRPr="006B6241" w:rsidTr="00454655">
        <w:tc>
          <w:tcPr>
            <w:tcW w:w="1212" w:type="pct"/>
          </w:tcPr>
          <w:p w:rsidR="0064621B" w:rsidRPr="006B6241" w:rsidRDefault="0064621B" w:rsidP="008228CC">
            <w:pPr>
              <w:rPr>
                <w:sz w:val="20"/>
                <w:szCs w:val="20"/>
              </w:rPr>
            </w:pPr>
            <w:r w:rsidRPr="006B6241">
              <w:rPr>
                <w:sz w:val="20"/>
                <w:szCs w:val="20"/>
              </w:rPr>
              <w:t>GEF Agency(</w:t>
            </w:r>
            <w:proofErr w:type="spellStart"/>
            <w:r w:rsidRPr="006B6241">
              <w:rPr>
                <w:sz w:val="20"/>
                <w:szCs w:val="20"/>
              </w:rPr>
              <w:t>ies</w:t>
            </w:r>
            <w:proofErr w:type="spellEnd"/>
            <w:r w:rsidRPr="006B6241">
              <w:rPr>
                <w:sz w:val="20"/>
                <w:szCs w:val="20"/>
              </w:rPr>
              <w:t>):</w:t>
            </w:r>
          </w:p>
        </w:tc>
        <w:tc>
          <w:tcPr>
            <w:tcW w:w="1505" w:type="pct"/>
          </w:tcPr>
          <w:p w:rsidR="0064621B" w:rsidRPr="006B6241" w:rsidRDefault="001C2826" w:rsidP="008228CC">
            <w:pPr>
              <w:rPr>
                <w:sz w:val="20"/>
                <w:szCs w:val="20"/>
              </w:rPr>
            </w:pPr>
            <w:r w:rsidRPr="006B6241">
              <w:rPr>
                <w:sz w:val="20"/>
                <w:szCs w:val="20"/>
              </w:rPr>
              <w:t>UNDP</w:t>
            </w:r>
          </w:p>
        </w:tc>
        <w:tc>
          <w:tcPr>
            <w:tcW w:w="1161" w:type="pct"/>
          </w:tcPr>
          <w:p w:rsidR="0064621B" w:rsidRPr="006B6241" w:rsidRDefault="0064621B" w:rsidP="008228CC">
            <w:pPr>
              <w:rPr>
                <w:sz w:val="20"/>
                <w:szCs w:val="20"/>
              </w:rPr>
            </w:pPr>
            <w:r w:rsidRPr="006B6241">
              <w:rPr>
                <w:sz w:val="20"/>
                <w:szCs w:val="20"/>
              </w:rPr>
              <w:t>GEF Agency Project ID:</w:t>
            </w:r>
          </w:p>
        </w:tc>
        <w:tc>
          <w:tcPr>
            <w:tcW w:w="1121" w:type="pct"/>
          </w:tcPr>
          <w:p w:rsidR="0064621B" w:rsidRPr="006B6241" w:rsidRDefault="00C70402" w:rsidP="008228CC">
            <w:pPr>
              <w:rPr>
                <w:sz w:val="20"/>
                <w:szCs w:val="20"/>
              </w:rPr>
            </w:pPr>
            <w:r w:rsidRPr="006B6241">
              <w:rPr>
                <w:sz w:val="20"/>
                <w:szCs w:val="20"/>
              </w:rPr>
              <w:t>PIMS 5</w:t>
            </w:r>
            <w:r w:rsidR="004A7549" w:rsidRPr="006B6241">
              <w:rPr>
                <w:sz w:val="20"/>
                <w:szCs w:val="20"/>
              </w:rPr>
              <w:t>238</w:t>
            </w:r>
          </w:p>
        </w:tc>
      </w:tr>
      <w:tr w:rsidR="0064621B" w:rsidRPr="006B6241" w:rsidTr="00454655">
        <w:tc>
          <w:tcPr>
            <w:tcW w:w="1212" w:type="pct"/>
          </w:tcPr>
          <w:p w:rsidR="0064621B" w:rsidRPr="006B6241" w:rsidRDefault="0064621B" w:rsidP="008228CC">
            <w:pPr>
              <w:rPr>
                <w:sz w:val="20"/>
                <w:szCs w:val="20"/>
              </w:rPr>
            </w:pPr>
            <w:r w:rsidRPr="006B6241">
              <w:rPr>
                <w:sz w:val="20"/>
                <w:szCs w:val="20"/>
              </w:rPr>
              <w:t>Other Executing Partner(s):</w:t>
            </w:r>
          </w:p>
        </w:tc>
        <w:tc>
          <w:tcPr>
            <w:tcW w:w="1505" w:type="pct"/>
          </w:tcPr>
          <w:p w:rsidR="0064621B" w:rsidRPr="006B6241" w:rsidRDefault="001C2826" w:rsidP="00D0012A">
            <w:pPr>
              <w:rPr>
                <w:sz w:val="20"/>
                <w:szCs w:val="20"/>
              </w:rPr>
            </w:pPr>
            <w:r w:rsidRPr="006B6241">
              <w:rPr>
                <w:sz w:val="20"/>
                <w:szCs w:val="20"/>
              </w:rPr>
              <w:t xml:space="preserve">In China: </w:t>
            </w:r>
            <w:r w:rsidR="00D0012A" w:rsidRPr="006B6241">
              <w:rPr>
                <w:sz w:val="20"/>
                <w:szCs w:val="20"/>
              </w:rPr>
              <w:t xml:space="preserve">Zhejiang Provincial </w:t>
            </w:r>
            <w:r w:rsidR="00FA2181" w:rsidRPr="006B6241">
              <w:rPr>
                <w:sz w:val="20"/>
                <w:szCs w:val="20"/>
              </w:rPr>
              <w:t xml:space="preserve">Development and Reform Commission, </w:t>
            </w:r>
            <w:proofErr w:type="spellStart"/>
            <w:r w:rsidR="00FA2181" w:rsidRPr="006B6241">
              <w:rPr>
                <w:sz w:val="20"/>
                <w:szCs w:val="20"/>
              </w:rPr>
              <w:t>Fuyang</w:t>
            </w:r>
            <w:proofErr w:type="spellEnd"/>
            <w:r w:rsidR="00FA2181" w:rsidRPr="006B6241">
              <w:rPr>
                <w:sz w:val="20"/>
                <w:szCs w:val="20"/>
              </w:rPr>
              <w:t xml:space="preserve"> Municipal People's Government </w:t>
            </w:r>
          </w:p>
        </w:tc>
        <w:tc>
          <w:tcPr>
            <w:tcW w:w="1161" w:type="pct"/>
          </w:tcPr>
          <w:p w:rsidR="0064621B" w:rsidRDefault="0064621B" w:rsidP="008228CC">
            <w:pPr>
              <w:rPr>
                <w:sz w:val="20"/>
                <w:szCs w:val="20"/>
              </w:rPr>
            </w:pPr>
            <w:r w:rsidRPr="006B6241">
              <w:rPr>
                <w:sz w:val="20"/>
                <w:szCs w:val="20"/>
              </w:rPr>
              <w:t>Submission Date:</w:t>
            </w:r>
          </w:p>
          <w:p w:rsidR="00B6659B" w:rsidRPr="006B6241" w:rsidRDefault="00B6659B" w:rsidP="008228CC">
            <w:pPr>
              <w:rPr>
                <w:sz w:val="20"/>
                <w:szCs w:val="20"/>
              </w:rPr>
            </w:pPr>
            <w:r w:rsidRPr="00B6659B">
              <w:rPr>
                <w:sz w:val="20"/>
                <w:szCs w:val="20"/>
                <w:highlight w:val="green"/>
              </w:rPr>
              <w:t>Resubmission Date:</w:t>
            </w:r>
          </w:p>
        </w:tc>
        <w:tc>
          <w:tcPr>
            <w:tcW w:w="1121" w:type="pct"/>
          </w:tcPr>
          <w:p w:rsidR="0064621B" w:rsidRDefault="0093672A" w:rsidP="0093672A">
            <w:pPr>
              <w:rPr>
                <w:sz w:val="20"/>
                <w:szCs w:val="20"/>
              </w:rPr>
            </w:pPr>
            <w:r w:rsidRPr="006B6241">
              <w:rPr>
                <w:sz w:val="20"/>
                <w:szCs w:val="20"/>
              </w:rPr>
              <w:t>19</w:t>
            </w:r>
            <w:r w:rsidR="00C70402" w:rsidRPr="006B6241">
              <w:rPr>
                <w:sz w:val="20"/>
                <w:szCs w:val="20"/>
              </w:rPr>
              <w:t xml:space="preserve"> </w:t>
            </w:r>
            <w:r w:rsidR="006A2A46" w:rsidRPr="006B6241">
              <w:rPr>
                <w:sz w:val="20"/>
                <w:szCs w:val="20"/>
              </w:rPr>
              <w:t>April</w:t>
            </w:r>
            <w:r w:rsidR="00C70402" w:rsidRPr="006B6241">
              <w:rPr>
                <w:sz w:val="20"/>
                <w:szCs w:val="20"/>
              </w:rPr>
              <w:t xml:space="preserve"> 2013</w:t>
            </w:r>
          </w:p>
          <w:p w:rsidR="00B6659B" w:rsidRPr="006B6241" w:rsidRDefault="00B6659B" w:rsidP="0093672A">
            <w:pPr>
              <w:rPr>
                <w:sz w:val="20"/>
                <w:szCs w:val="20"/>
              </w:rPr>
            </w:pPr>
            <w:r w:rsidRPr="00B6659B">
              <w:rPr>
                <w:sz w:val="20"/>
                <w:szCs w:val="20"/>
                <w:highlight w:val="green"/>
              </w:rPr>
              <w:t>28 August 2013</w:t>
            </w:r>
          </w:p>
        </w:tc>
      </w:tr>
      <w:tr w:rsidR="0064621B" w:rsidRPr="006B6241" w:rsidTr="00454655">
        <w:tc>
          <w:tcPr>
            <w:tcW w:w="1212" w:type="pct"/>
          </w:tcPr>
          <w:p w:rsidR="0064621B" w:rsidRPr="006B6241" w:rsidRDefault="0064621B" w:rsidP="008228CC">
            <w:pPr>
              <w:rPr>
                <w:sz w:val="20"/>
                <w:szCs w:val="20"/>
              </w:rPr>
            </w:pPr>
            <w:r w:rsidRPr="006B6241">
              <w:rPr>
                <w:sz w:val="20"/>
                <w:szCs w:val="20"/>
              </w:rPr>
              <w:t>GEF Focal Area (s):</w:t>
            </w:r>
          </w:p>
        </w:tc>
        <w:tc>
          <w:tcPr>
            <w:tcW w:w="1505" w:type="pct"/>
          </w:tcPr>
          <w:p w:rsidR="0064621B" w:rsidRPr="006B6241" w:rsidRDefault="001C2826" w:rsidP="008228CC">
            <w:pPr>
              <w:rPr>
                <w:sz w:val="20"/>
                <w:szCs w:val="20"/>
              </w:rPr>
            </w:pPr>
            <w:r w:rsidRPr="006B6241">
              <w:rPr>
                <w:sz w:val="20"/>
                <w:szCs w:val="20"/>
              </w:rPr>
              <w:t>Climate Change</w:t>
            </w:r>
          </w:p>
        </w:tc>
        <w:tc>
          <w:tcPr>
            <w:tcW w:w="1161" w:type="pct"/>
          </w:tcPr>
          <w:p w:rsidR="0064621B" w:rsidRPr="006B6241" w:rsidRDefault="0064621B" w:rsidP="008228CC">
            <w:pPr>
              <w:rPr>
                <w:sz w:val="20"/>
                <w:szCs w:val="20"/>
              </w:rPr>
            </w:pPr>
            <w:r w:rsidRPr="006B6241">
              <w:rPr>
                <w:sz w:val="20"/>
                <w:szCs w:val="20"/>
              </w:rPr>
              <w:t>Project Duration</w:t>
            </w:r>
            <w:r w:rsidR="00454655" w:rsidRPr="006B6241">
              <w:rPr>
                <w:sz w:val="20"/>
                <w:szCs w:val="20"/>
              </w:rPr>
              <w:t xml:space="preserve"> </w:t>
            </w:r>
            <w:r w:rsidR="0029797B" w:rsidRPr="006B6241">
              <w:rPr>
                <w:sz w:val="20"/>
                <w:szCs w:val="20"/>
              </w:rPr>
              <w:t>(Months)</w:t>
            </w:r>
          </w:p>
        </w:tc>
        <w:tc>
          <w:tcPr>
            <w:tcW w:w="1121" w:type="pct"/>
          </w:tcPr>
          <w:p w:rsidR="0064621B" w:rsidRPr="006B6241" w:rsidRDefault="00C70402" w:rsidP="008228CC">
            <w:pPr>
              <w:rPr>
                <w:sz w:val="20"/>
                <w:szCs w:val="20"/>
              </w:rPr>
            </w:pPr>
            <w:r w:rsidRPr="006B6241">
              <w:rPr>
                <w:sz w:val="20"/>
                <w:szCs w:val="20"/>
              </w:rPr>
              <w:t>48</w:t>
            </w:r>
          </w:p>
        </w:tc>
      </w:tr>
      <w:tr w:rsidR="0064621B" w:rsidRPr="006B6241" w:rsidTr="00454655">
        <w:tc>
          <w:tcPr>
            <w:tcW w:w="1212" w:type="pct"/>
          </w:tcPr>
          <w:p w:rsidR="0064621B" w:rsidRPr="006B6241" w:rsidRDefault="0064621B" w:rsidP="008228CC">
            <w:pPr>
              <w:rPr>
                <w:sz w:val="20"/>
                <w:szCs w:val="20"/>
              </w:rPr>
            </w:pPr>
            <w:r w:rsidRPr="006B6241">
              <w:rPr>
                <w:sz w:val="20"/>
                <w:szCs w:val="20"/>
              </w:rPr>
              <w:t>Name of parent program (if applicable):</w:t>
            </w:r>
          </w:p>
          <w:p w:rsidR="00AA1908" w:rsidRPr="006B6241" w:rsidRDefault="00AA1908" w:rsidP="008228CC">
            <w:pPr>
              <w:numPr>
                <w:ilvl w:val="0"/>
                <w:numId w:val="17"/>
              </w:numPr>
              <w:ind w:left="270" w:hanging="270"/>
              <w:rPr>
                <w:sz w:val="20"/>
                <w:szCs w:val="20"/>
              </w:rPr>
            </w:pPr>
            <w:r w:rsidRPr="006B6241">
              <w:rPr>
                <w:sz w:val="20"/>
                <w:szCs w:val="20"/>
              </w:rPr>
              <w:t>For SFM</w:t>
            </w:r>
            <w:r w:rsidR="007E3AFB" w:rsidRPr="006B6241">
              <w:rPr>
                <w:sz w:val="20"/>
                <w:szCs w:val="20"/>
              </w:rPr>
              <w:t>/REDD+</w:t>
            </w:r>
            <w:r w:rsidRPr="006B6241">
              <w:rPr>
                <w:sz w:val="20"/>
                <w:szCs w:val="20"/>
              </w:rPr>
              <w:t xml:space="preserve"> </w:t>
            </w:r>
            <w:bookmarkStart w:id="3" w:name="CheckSFM"/>
            <w:r w:rsidR="001267E5" w:rsidRPr="006B6241">
              <w:rPr>
                <w:sz w:val="20"/>
                <w:szCs w:val="20"/>
              </w:rPr>
              <w:fldChar w:fldCharType="begin">
                <w:ffData>
                  <w:name w:val="CheckSFM"/>
                  <w:enabled/>
                  <w:calcOnExit w:val="0"/>
                  <w:checkBox>
                    <w:sizeAuto/>
                    <w:default w:val="0"/>
                  </w:checkBox>
                </w:ffData>
              </w:fldChar>
            </w:r>
            <w:r w:rsidR="00573D25" w:rsidRPr="006B6241">
              <w:rPr>
                <w:sz w:val="20"/>
                <w:szCs w:val="20"/>
              </w:rPr>
              <w:instrText xml:space="preserve"> FORMCHECKBOX </w:instrText>
            </w:r>
            <w:r w:rsidR="001267E5">
              <w:rPr>
                <w:sz w:val="20"/>
                <w:szCs w:val="20"/>
              </w:rPr>
            </w:r>
            <w:r w:rsidR="001267E5">
              <w:rPr>
                <w:sz w:val="20"/>
                <w:szCs w:val="20"/>
              </w:rPr>
              <w:fldChar w:fldCharType="separate"/>
            </w:r>
            <w:r w:rsidR="001267E5" w:rsidRPr="006B6241">
              <w:rPr>
                <w:sz w:val="20"/>
                <w:szCs w:val="20"/>
              </w:rPr>
              <w:fldChar w:fldCharType="end"/>
            </w:r>
            <w:bookmarkEnd w:id="3"/>
          </w:p>
          <w:p w:rsidR="00C55EB2" w:rsidRPr="006B6241" w:rsidRDefault="00C55EB2" w:rsidP="008228CC">
            <w:pPr>
              <w:numPr>
                <w:ilvl w:val="0"/>
                <w:numId w:val="17"/>
              </w:numPr>
              <w:ind w:left="270" w:hanging="270"/>
              <w:rPr>
                <w:sz w:val="20"/>
                <w:szCs w:val="20"/>
              </w:rPr>
            </w:pPr>
            <w:r w:rsidRPr="006B6241">
              <w:rPr>
                <w:sz w:val="20"/>
                <w:szCs w:val="20"/>
              </w:rPr>
              <w:t xml:space="preserve">For SGP                </w:t>
            </w:r>
            <w:r w:rsidR="001267E5" w:rsidRPr="006B6241">
              <w:rPr>
                <w:sz w:val="20"/>
                <w:szCs w:val="20"/>
              </w:rPr>
              <w:fldChar w:fldCharType="begin">
                <w:ffData>
                  <w:name w:val="CheckSFM"/>
                  <w:enabled/>
                  <w:calcOnExit w:val="0"/>
                  <w:checkBox>
                    <w:sizeAuto/>
                    <w:default w:val="0"/>
                  </w:checkBox>
                </w:ffData>
              </w:fldChar>
            </w:r>
            <w:r w:rsidRPr="006B6241">
              <w:rPr>
                <w:sz w:val="20"/>
                <w:szCs w:val="20"/>
              </w:rPr>
              <w:instrText xml:space="preserve"> FORMCHECKBOX </w:instrText>
            </w:r>
            <w:r w:rsidR="001267E5">
              <w:rPr>
                <w:sz w:val="20"/>
                <w:szCs w:val="20"/>
              </w:rPr>
            </w:r>
            <w:r w:rsidR="001267E5">
              <w:rPr>
                <w:sz w:val="20"/>
                <w:szCs w:val="20"/>
              </w:rPr>
              <w:fldChar w:fldCharType="separate"/>
            </w:r>
            <w:r w:rsidR="001267E5" w:rsidRPr="006B6241">
              <w:rPr>
                <w:sz w:val="20"/>
                <w:szCs w:val="20"/>
              </w:rPr>
              <w:fldChar w:fldCharType="end"/>
            </w:r>
          </w:p>
        </w:tc>
        <w:tc>
          <w:tcPr>
            <w:tcW w:w="1505" w:type="pct"/>
          </w:tcPr>
          <w:p w:rsidR="0064621B" w:rsidRPr="006B6241" w:rsidRDefault="001C2826" w:rsidP="008228CC">
            <w:pPr>
              <w:rPr>
                <w:sz w:val="20"/>
                <w:szCs w:val="20"/>
              </w:rPr>
            </w:pPr>
            <w:r w:rsidRPr="006B6241">
              <w:rPr>
                <w:sz w:val="20"/>
                <w:szCs w:val="20"/>
              </w:rPr>
              <w:t>N.A.</w:t>
            </w:r>
          </w:p>
        </w:tc>
        <w:tc>
          <w:tcPr>
            <w:tcW w:w="1161" w:type="pct"/>
          </w:tcPr>
          <w:p w:rsidR="0064621B" w:rsidRPr="006B6241" w:rsidRDefault="0064621B" w:rsidP="008228CC">
            <w:pPr>
              <w:rPr>
                <w:sz w:val="20"/>
                <w:szCs w:val="20"/>
              </w:rPr>
            </w:pPr>
            <w:r w:rsidRPr="006B6241">
              <w:rPr>
                <w:sz w:val="20"/>
                <w:szCs w:val="20"/>
              </w:rPr>
              <w:t>Agency Fee</w:t>
            </w:r>
            <w:r w:rsidR="00C50BB2" w:rsidRPr="006B6241">
              <w:rPr>
                <w:sz w:val="20"/>
                <w:szCs w:val="20"/>
              </w:rPr>
              <w:t xml:space="preserve"> ($)</w:t>
            </w:r>
            <w:r w:rsidRPr="006B6241">
              <w:rPr>
                <w:sz w:val="20"/>
                <w:szCs w:val="20"/>
              </w:rPr>
              <w:t>:</w:t>
            </w:r>
          </w:p>
        </w:tc>
        <w:tc>
          <w:tcPr>
            <w:tcW w:w="1121" w:type="pct"/>
          </w:tcPr>
          <w:p w:rsidR="0064621B" w:rsidRPr="006B6241" w:rsidRDefault="007B3328" w:rsidP="00995E0C">
            <w:pPr>
              <w:rPr>
                <w:sz w:val="20"/>
                <w:szCs w:val="20"/>
              </w:rPr>
            </w:pPr>
            <w:r w:rsidRPr="006B6241">
              <w:rPr>
                <w:sz w:val="20"/>
                <w:szCs w:val="20"/>
                <w:highlight w:val="green"/>
              </w:rPr>
              <w:t>27</w:t>
            </w:r>
            <w:r w:rsidR="00995E0C" w:rsidRPr="006B6241">
              <w:rPr>
                <w:sz w:val="20"/>
                <w:szCs w:val="20"/>
                <w:highlight w:val="green"/>
              </w:rPr>
              <w:t>6</w:t>
            </w:r>
            <w:r w:rsidRPr="006B6241">
              <w:rPr>
                <w:sz w:val="20"/>
                <w:szCs w:val="20"/>
                <w:highlight w:val="green"/>
              </w:rPr>
              <w:t>,</w:t>
            </w:r>
            <w:r w:rsidR="00995E0C" w:rsidRPr="006B6241">
              <w:rPr>
                <w:sz w:val="20"/>
                <w:szCs w:val="20"/>
                <w:highlight w:val="green"/>
              </w:rPr>
              <w:t>800</w:t>
            </w:r>
          </w:p>
        </w:tc>
      </w:tr>
    </w:tbl>
    <w:p w:rsidR="006F289E" w:rsidRPr="006B6241" w:rsidRDefault="006F289E" w:rsidP="008228CC">
      <w:pPr>
        <w:pStyle w:val="Footer"/>
        <w:tabs>
          <w:tab w:val="clear" w:pos="4320"/>
          <w:tab w:val="clear" w:pos="8640"/>
        </w:tabs>
        <w:ind w:left="-540"/>
        <w:rPr>
          <w:b/>
          <w:smallCaps/>
          <w:sz w:val="22"/>
          <w:szCs w:val="22"/>
        </w:rPr>
      </w:pPr>
    </w:p>
    <w:p w:rsidR="00276471" w:rsidRPr="006B6241" w:rsidRDefault="006F289E" w:rsidP="008228CC">
      <w:pPr>
        <w:pStyle w:val="Footer"/>
        <w:numPr>
          <w:ilvl w:val="0"/>
          <w:numId w:val="27"/>
        </w:numPr>
        <w:tabs>
          <w:tab w:val="clear" w:pos="4320"/>
          <w:tab w:val="clear" w:pos="8640"/>
        </w:tabs>
        <w:rPr>
          <w:b/>
          <w:smallCaps/>
        </w:rPr>
      </w:pPr>
      <w:r w:rsidRPr="006B6241">
        <w:rPr>
          <w:b/>
          <w:smallCaps/>
          <w:sz w:val="22"/>
          <w:szCs w:val="22"/>
        </w:rPr>
        <w:t>I</w:t>
      </w:r>
      <w:r w:rsidR="00BC472A" w:rsidRPr="006B6241">
        <w:rPr>
          <w:b/>
          <w:smallCaps/>
          <w:sz w:val="22"/>
          <w:szCs w:val="22"/>
        </w:rPr>
        <w:t xml:space="preserve">ndicative </w:t>
      </w:r>
      <w:hyperlink r:id="rId10" w:history="1">
        <w:r w:rsidR="00D337D1" w:rsidRPr="006B6241">
          <w:rPr>
            <w:rStyle w:val="Hyperlink"/>
            <w:b/>
            <w:smallCaps/>
            <w:color w:val="auto"/>
            <w:sz w:val="22"/>
            <w:szCs w:val="22"/>
            <w:u w:val="none"/>
          </w:rPr>
          <w:t xml:space="preserve">Focal </w:t>
        </w:r>
        <w:r w:rsidR="00501697" w:rsidRPr="006B6241">
          <w:rPr>
            <w:rStyle w:val="Hyperlink"/>
            <w:b/>
            <w:smallCaps/>
            <w:color w:val="auto"/>
            <w:sz w:val="22"/>
            <w:szCs w:val="22"/>
            <w:u w:val="none"/>
          </w:rPr>
          <w:t>AREA STRATEGY</w:t>
        </w:r>
        <w:r w:rsidR="002A2250" w:rsidRPr="006B6241">
          <w:rPr>
            <w:rStyle w:val="Hyperlink"/>
            <w:b/>
            <w:smallCaps/>
            <w:color w:val="auto"/>
            <w:sz w:val="22"/>
            <w:szCs w:val="22"/>
            <w:u w:val="none"/>
          </w:rPr>
          <w:t xml:space="preserve"> </w:t>
        </w:r>
        <w:r w:rsidR="00107376" w:rsidRPr="006B6241">
          <w:rPr>
            <w:rStyle w:val="Hyperlink"/>
            <w:b/>
            <w:smallCaps/>
            <w:color w:val="auto"/>
            <w:sz w:val="22"/>
            <w:szCs w:val="22"/>
            <w:u w:val="none"/>
          </w:rPr>
          <w:t>Framework</w:t>
        </w:r>
      </w:hyperlink>
      <w:r w:rsidR="00FF5774" w:rsidRPr="006B6241">
        <w:rPr>
          <w:rStyle w:val="FootnoteReference"/>
          <w:b/>
          <w:smallCaps/>
          <w:sz w:val="22"/>
          <w:szCs w:val="22"/>
        </w:rPr>
        <w:footnoteReference w:id="2"/>
      </w:r>
      <w:r w:rsidR="00107376" w:rsidRPr="006B6241">
        <w:rPr>
          <w:b/>
          <w:smallCaps/>
        </w:rPr>
        <w:t>:</w:t>
      </w:r>
    </w:p>
    <w:p w:rsidR="006F289E" w:rsidRPr="006B6241" w:rsidRDefault="006F289E" w:rsidP="008228CC">
      <w:pPr>
        <w:pStyle w:val="Footer"/>
        <w:tabs>
          <w:tab w:val="clear" w:pos="4320"/>
          <w:tab w:val="clear" w:pos="8640"/>
        </w:tabs>
        <w:ind w:left="-180"/>
        <w:rPr>
          <w:b/>
          <w:smallCaps/>
        </w:rPr>
      </w:pPr>
    </w:p>
    <w:tbl>
      <w:tblPr>
        <w:tblW w:w="5345" w:type="pct"/>
        <w:jc w:val="center"/>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763"/>
        <w:gridCol w:w="1374"/>
        <w:gridCol w:w="1634"/>
        <w:gridCol w:w="1466"/>
      </w:tblGrid>
      <w:tr w:rsidR="0017027C" w:rsidRPr="006B6241" w:rsidTr="0017027C">
        <w:trPr>
          <w:trHeight w:val="260"/>
          <w:jc w:val="center"/>
        </w:trPr>
        <w:tc>
          <w:tcPr>
            <w:tcW w:w="2815" w:type="pct"/>
            <w:shd w:val="clear" w:color="auto" w:fill="FFFFFF"/>
            <w:vAlign w:val="center"/>
          </w:tcPr>
          <w:p w:rsidR="0017027C" w:rsidRPr="006B6241" w:rsidRDefault="0017027C" w:rsidP="008228CC">
            <w:pPr>
              <w:pStyle w:val="Heading3"/>
              <w:ind w:left="72"/>
              <w:jc w:val="center"/>
              <w:rPr>
                <w:bCs w:val="0"/>
                <w:iCs/>
                <w:color w:val="000000"/>
                <w:sz w:val="20"/>
                <w:szCs w:val="20"/>
              </w:rPr>
            </w:pPr>
            <w:r w:rsidRPr="006B6241">
              <w:rPr>
                <w:bCs w:val="0"/>
                <w:iCs/>
                <w:color w:val="000000"/>
                <w:sz w:val="20"/>
                <w:szCs w:val="20"/>
              </w:rPr>
              <w:t>Focal Area Objectives</w:t>
            </w:r>
          </w:p>
        </w:tc>
        <w:tc>
          <w:tcPr>
            <w:tcW w:w="671" w:type="pct"/>
            <w:shd w:val="clear" w:color="auto" w:fill="FFFFFF"/>
          </w:tcPr>
          <w:p w:rsidR="0017027C" w:rsidRPr="006B6241" w:rsidRDefault="0017027C" w:rsidP="008228CC">
            <w:pPr>
              <w:pStyle w:val="Heading3"/>
              <w:jc w:val="center"/>
              <w:rPr>
                <w:bCs w:val="0"/>
                <w:iCs/>
                <w:color w:val="000000"/>
                <w:sz w:val="20"/>
                <w:szCs w:val="20"/>
              </w:rPr>
            </w:pPr>
            <w:r w:rsidRPr="006B6241">
              <w:rPr>
                <w:bCs w:val="0"/>
                <w:iCs/>
                <w:color w:val="000000"/>
                <w:sz w:val="20"/>
                <w:szCs w:val="20"/>
              </w:rPr>
              <w:t>Trust Fund</w:t>
            </w:r>
          </w:p>
        </w:tc>
        <w:tc>
          <w:tcPr>
            <w:tcW w:w="798" w:type="pct"/>
            <w:shd w:val="clear" w:color="auto" w:fill="FFFFFF"/>
            <w:vAlign w:val="center"/>
          </w:tcPr>
          <w:p w:rsidR="0017027C" w:rsidRPr="006B6241" w:rsidRDefault="0017027C" w:rsidP="008228CC">
            <w:pPr>
              <w:pStyle w:val="Heading3"/>
              <w:jc w:val="center"/>
              <w:rPr>
                <w:bCs w:val="0"/>
                <w:iCs/>
                <w:color w:val="000000"/>
                <w:sz w:val="20"/>
                <w:szCs w:val="20"/>
              </w:rPr>
            </w:pPr>
            <w:r w:rsidRPr="006B6241">
              <w:rPr>
                <w:bCs w:val="0"/>
                <w:iCs/>
                <w:color w:val="000000"/>
                <w:sz w:val="20"/>
                <w:szCs w:val="20"/>
              </w:rPr>
              <w:t xml:space="preserve">Indicative  </w:t>
            </w:r>
          </w:p>
          <w:p w:rsidR="0017027C" w:rsidRPr="006B6241" w:rsidRDefault="0017027C" w:rsidP="008228CC">
            <w:pPr>
              <w:pStyle w:val="Heading3"/>
              <w:jc w:val="center"/>
              <w:rPr>
                <w:bCs w:val="0"/>
                <w:iCs/>
                <w:color w:val="000000"/>
                <w:sz w:val="20"/>
                <w:szCs w:val="20"/>
              </w:rPr>
            </w:pPr>
            <w:r w:rsidRPr="006B6241">
              <w:rPr>
                <w:bCs w:val="0"/>
                <w:iCs/>
                <w:color w:val="000000"/>
                <w:sz w:val="20"/>
                <w:szCs w:val="20"/>
              </w:rPr>
              <w:t>Grant Amount</w:t>
            </w:r>
          </w:p>
          <w:p w:rsidR="0017027C" w:rsidRPr="006B6241" w:rsidRDefault="0017027C" w:rsidP="008228CC">
            <w:pPr>
              <w:pStyle w:val="Heading3"/>
              <w:jc w:val="center"/>
              <w:rPr>
                <w:bCs w:val="0"/>
                <w:iCs/>
                <w:color w:val="000000"/>
                <w:sz w:val="20"/>
                <w:szCs w:val="20"/>
              </w:rPr>
            </w:pPr>
            <w:r w:rsidRPr="006B6241">
              <w:rPr>
                <w:bCs w:val="0"/>
                <w:iCs/>
                <w:color w:val="000000"/>
                <w:sz w:val="20"/>
                <w:szCs w:val="20"/>
              </w:rPr>
              <w:t xml:space="preserve">($) </w:t>
            </w:r>
          </w:p>
        </w:tc>
        <w:tc>
          <w:tcPr>
            <w:tcW w:w="704" w:type="pct"/>
            <w:shd w:val="clear" w:color="auto" w:fill="FFFFFF"/>
            <w:vAlign w:val="center"/>
          </w:tcPr>
          <w:p w:rsidR="0017027C" w:rsidRPr="006B6241" w:rsidRDefault="0017027C" w:rsidP="008228CC">
            <w:pPr>
              <w:pStyle w:val="Heading3"/>
              <w:jc w:val="center"/>
              <w:rPr>
                <w:bCs w:val="0"/>
                <w:iCs/>
                <w:color w:val="000000"/>
                <w:sz w:val="20"/>
                <w:szCs w:val="20"/>
              </w:rPr>
            </w:pPr>
            <w:r w:rsidRPr="006B6241">
              <w:rPr>
                <w:bCs w:val="0"/>
                <w:iCs/>
                <w:color w:val="000000"/>
                <w:sz w:val="20"/>
                <w:szCs w:val="20"/>
              </w:rPr>
              <w:t>Indicative Co-financing</w:t>
            </w:r>
          </w:p>
          <w:p w:rsidR="0017027C" w:rsidRPr="006B6241" w:rsidRDefault="0017027C" w:rsidP="008228CC">
            <w:pPr>
              <w:pStyle w:val="Heading3"/>
              <w:jc w:val="center"/>
              <w:rPr>
                <w:bCs w:val="0"/>
                <w:iCs/>
                <w:color w:val="000000"/>
                <w:sz w:val="20"/>
                <w:szCs w:val="20"/>
              </w:rPr>
            </w:pPr>
            <w:r w:rsidRPr="006B6241">
              <w:rPr>
                <w:bCs w:val="0"/>
                <w:iCs/>
                <w:color w:val="000000"/>
                <w:sz w:val="20"/>
                <w:szCs w:val="20"/>
              </w:rPr>
              <w:t xml:space="preserve">($) </w:t>
            </w:r>
          </w:p>
        </w:tc>
      </w:tr>
      <w:tr w:rsidR="00BC717F" w:rsidRPr="006B6241" w:rsidTr="0017027C">
        <w:trPr>
          <w:jc w:val="center"/>
        </w:trPr>
        <w:tc>
          <w:tcPr>
            <w:tcW w:w="2815" w:type="pct"/>
            <w:shd w:val="clear" w:color="auto" w:fill="FFFFFF"/>
          </w:tcPr>
          <w:p w:rsidR="00BC717F" w:rsidRPr="006B6241" w:rsidRDefault="00BC717F" w:rsidP="00DA5A95">
            <w:pPr>
              <w:rPr>
                <w:sz w:val="20"/>
                <w:szCs w:val="20"/>
              </w:rPr>
            </w:pPr>
            <w:r w:rsidRPr="006B6241">
              <w:rPr>
                <w:sz w:val="20"/>
                <w:szCs w:val="20"/>
              </w:rPr>
              <w:t>CCM-2: Market transformation for energy efficiency in industry and the building sector</w:t>
            </w:r>
          </w:p>
        </w:tc>
        <w:tc>
          <w:tcPr>
            <w:tcW w:w="671" w:type="pct"/>
            <w:shd w:val="clear" w:color="auto" w:fill="FFFFFF"/>
          </w:tcPr>
          <w:p w:rsidR="00BC717F" w:rsidRPr="006B6241" w:rsidRDefault="00BC717F" w:rsidP="000B4123">
            <w:pPr>
              <w:rPr>
                <w:sz w:val="20"/>
                <w:szCs w:val="20"/>
              </w:rPr>
            </w:pPr>
            <w:r w:rsidRPr="006B6241">
              <w:rPr>
                <w:sz w:val="20"/>
                <w:szCs w:val="20"/>
              </w:rPr>
              <w:t>GEFTF</w:t>
            </w:r>
          </w:p>
        </w:tc>
        <w:tc>
          <w:tcPr>
            <w:tcW w:w="798" w:type="pct"/>
            <w:shd w:val="clear" w:color="auto" w:fill="FFFFFF"/>
          </w:tcPr>
          <w:p w:rsidR="00BC717F" w:rsidRPr="006B6241" w:rsidRDefault="00081258" w:rsidP="00537018">
            <w:pPr>
              <w:jc w:val="right"/>
              <w:rPr>
                <w:sz w:val="20"/>
                <w:szCs w:val="20"/>
                <w:lang w:eastAsia="zh-CN"/>
              </w:rPr>
            </w:pPr>
            <w:r w:rsidRPr="006B6241">
              <w:rPr>
                <w:sz w:val="20"/>
                <w:szCs w:val="20"/>
                <w:lang w:eastAsia="zh-CN"/>
              </w:rPr>
              <w:t>1</w:t>
            </w:r>
            <w:r w:rsidR="00BC717F" w:rsidRPr="006B6241">
              <w:rPr>
                <w:rFonts w:hint="eastAsia"/>
                <w:sz w:val="20"/>
                <w:szCs w:val="20"/>
                <w:lang w:eastAsia="zh-CN"/>
              </w:rPr>
              <w:t>,</w:t>
            </w:r>
            <w:r w:rsidRPr="006B6241">
              <w:rPr>
                <w:sz w:val="20"/>
                <w:szCs w:val="20"/>
                <w:lang w:eastAsia="zh-CN"/>
              </w:rPr>
              <w:t>86</w:t>
            </w:r>
            <w:r w:rsidR="00537018" w:rsidRPr="006B6241">
              <w:rPr>
                <w:sz w:val="20"/>
                <w:szCs w:val="20"/>
                <w:lang w:eastAsia="zh-CN"/>
              </w:rPr>
              <w:t>3</w:t>
            </w:r>
            <w:r w:rsidR="00BC717F" w:rsidRPr="006B6241">
              <w:rPr>
                <w:rFonts w:hint="eastAsia"/>
                <w:sz w:val="20"/>
                <w:szCs w:val="20"/>
                <w:lang w:eastAsia="zh-CN"/>
              </w:rPr>
              <w:t>,</w:t>
            </w:r>
            <w:r w:rsidR="00537018" w:rsidRPr="006B6241">
              <w:rPr>
                <w:sz w:val="20"/>
                <w:szCs w:val="20"/>
                <w:lang w:eastAsia="zh-CN"/>
              </w:rPr>
              <w:t>7</w:t>
            </w:r>
            <w:r w:rsidR="00BC717F" w:rsidRPr="006B6241">
              <w:rPr>
                <w:rFonts w:hint="eastAsia"/>
                <w:sz w:val="20"/>
                <w:szCs w:val="20"/>
                <w:lang w:eastAsia="zh-CN"/>
              </w:rPr>
              <w:t>00</w:t>
            </w:r>
          </w:p>
        </w:tc>
        <w:tc>
          <w:tcPr>
            <w:tcW w:w="704" w:type="pct"/>
            <w:shd w:val="clear" w:color="auto" w:fill="FFFFFF"/>
          </w:tcPr>
          <w:p w:rsidR="00BC717F" w:rsidRPr="006B6241" w:rsidRDefault="007B3328" w:rsidP="005D62B8">
            <w:pPr>
              <w:jc w:val="right"/>
              <w:rPr>
                <w:sz w:val="20"/>
                <w:szCs w:val="20"/>
                <w:lang w:eastAsia="zh-CN"/>
              </w:rPr>
            </w:pPr>
            <w:r w:rsidRPr="006B6241">
              <w:rPr>
                <w:sz w:val="20"/>
                <w:szCs w:val="20"/>
                <w:lang w:eastAsia="zh-CN"/>
              </w:rPr>
              <w:t>8,400,000</w:t>
            </w:r>
          </w:p>
        </w:tc>
      </w:tr>
      <w:tr w:rsidR="00BC717F" w:rsidRPr="006B6241" w:rsidTr="0017027C">
        <w:trPr>
          <w:jc w:val="center"/>
        </w:trPr>
        <w:tc>
          <w:tcPr>
            <w:tcW w:w="2815" w:type="pct"/>
            <w:shd w:val="clear" w:color="auto" w:fill="FFFFFF"/>
          </w:tcPr>
          <w:p w:rsidR="00BC717F" w:rsidRPr="006B6241" w:rsidRDefault="00BC717F" w:rsidP="00DA5A95">
            <w:pPr>
              <w:rPr>
                <w:sz w:val="20"/>
                <w:szCs w:val="20"/>
              </w:rPr>
            </w:pPr>
            <w:r w:rsidRPr="006B6241">
              <w:rPr>
                <w:sz w:val="20"/>
                <w:szCs w:val="20"/>
              </w:rPr>
              <w:t>CCM-4: Energy efficient, low-carbon transport and urban systems</w:t>
            </w:r>
          </w:p>
        </w:tc>
        <w:tc>
          <w:tcPr>
            <w:tcW w:w="671" w:type="pct"/>
            <w:shd w:val="clear" w:color="auto" w:fill="FFFFFF"/>
          </w:tcPr>
          <w:p w:rsidR="00BC717F" w:rsidRPr="006B6241" w:rsidRDefault="00BC717F" w:rsidP="000B4123">
            <w:pPr>
              <w:rPr>
                <w:sz w:val="20"/>
              </w:rPr>
            </w:pPr>
            <w:r w:rsidRPr="006B6241">
              <w:rPr>
                <w:sz w:val="20"/>
              </w:rPr>
              <w:t>GEFTF</w:t>
            </w:r>
          </w:p>
        </w:tc>
        <w:tc>
          <w:tcPr>
            <w:tcW w:w="798" w:type="pct"/>
            <w:shd w:val="clear" w:color="auto" w:fill="FFFFFF"/>
          </w:tcPr>
          <w:p w:rsidR="00BC717F" w:rsidRPr="006B6241" w:rsidRDefault="00BC717F" w:rsidP="00995E0C">
            <w:pPr>
              <w:jc w:val="right"/>
              <w:rPr>
                <w:sz w:val="20"/>
                <w:szCs w:val="20"/>
              </w:rPr>
            </w:pPr>
            <w:r w:rsidRPr="006B6241">
              <w:rPr>
                <w:sz w:val="20"/>
                <w:szCs w:val="20"/>
              </w:rPr>
              <w:t>1,0</w:t>
            </w:r>
            <w:r w:rsidR="00995E0C" w:rsidRPr="006B6241">
              <w:rPr>
                <w:sz w:val="20"/>
                <w:szCs w:val="20"/>
              </w:rPr>
              <w:t>5</w:t>
            </w:r>
            <w:r w:rsidRPr="006B6241">
              <w:rPr>
                <w:sz w:val="20"/>
                <w:szCs w:val="20"/>
              </w:rPr>
              <w:t>0,000</w:t>
            </w:r>
          </w:p>
        </w:tc>
        <w:tc>
          <w:tcPr>
            <w:tcW w:w="704" w:type="pct"/>
            <w:shd w:val="clear" w:color="auto" w:fill="FFFFFF"/>
          </w:tcPr>
          <w:p w:rsidR="00BC717F" w:rsidRPr="006B6241" w:rsidRDefault="00081258" w:rsidP="00081258">
            <w:pPr>
              <w:jc w:val="right"/>
              <w:rPr>
                <w:sz w:val="20"/>
                <w:szCs w:val="20"/>
              </w:rPr>
            </w:pPr>
            <w:r w:rsidRPr="006B6241">
              <w:rPr>
                <w:sz w:val="20"/>
                <w:szCs w:val="20"/>
              </w:rPr>
              <w:t>3</w:t>
            </w:r>
            <w:r w:rsidR="00BC717F" w:rsidRPr="006B6241">
              <w:rPr>
                <w:sz w:val="20"/>
                <w:szCs w:val="20"/>
              </w:rPr>
              <w:t>,</w:t>
            </w:r>
            <w:r w:rsidRPr="006B6241">
              <w:rPr>
                <w:sz w:val="20"/>
                <w:szCs w:val="20"/>
              </w:rPr>
              <w:t>73</w:t>
            </w:r>
            <w:r w:rsidR="00BC717F" w:rsidRPr="006B6241">
              <w:rPr>
                <w:sz w:val="20"/>
                <w:szCs w:val="20"/>
              </w:rPr>
              <w:t>0,000</w:t>
            </w:r>
          </w:p>
        </w:tc>
      </w:tr>
      <w:tr w:rsidR="00BC717F" w:rsidRPr="006B6241" w:rsidTr="00D67967">
        <w:trPr>
          <w:jc w:val="center"/>
        </w:trPr>
        <w:tc>
          <w:tcPr>
            <w:tcW w:w="2815" w:type="pct"/>
            <w:tcBorders>
              <w:top w:val="double" w:sz="4" w:space="0" w:color="auto"/>
              <w:bottom w:val="double" w:sz="4" w:space="0" w:color="auto"/>
            </w:tcBorders>
            <w:shd w:val="clear" w:color="auto" w:fill="FFFFFF"/>
          </w:tcPr>
          <w:p w:rsidR="00BC717F" w:rsidRPr="006B6241" w:rsidRDefault="00BC717F" w:rsidP="008228CC">
            <w:pPr>
              <w:jc w:val="right"/>
              <w:rPr>
                <w:sz w:val="20"/>
                <w:szCs w:val="20"/>
              </w:rPr>
            </w:pPr>
            <w:r w:rsidRPr="006B6241">
              <w:rPr>
                <w:sz w:val="20"/>
                <w:szCs w:val="20"/>
              </w:rPr>
              <w:t>Total Project Cost</w:t>
            </w:r>
          </w:p>
        </w:tc>
        <w:tc>
          <w:tcPr>
            <w:tcW w:w="671" w:type="pct"/>
            <w:tcBorders>
              <w:top w:val="double" w:sz="4" w:space="0" w:color="auto"/>
              <w:bottom w:val="double" w:sz="4" w:space="0" w:color="auto"/>
            </w:tcBorders>
            <w:shd w:val="clear" w:color="auto" w:fill="FFFFFF"/>
          </w:tcPr>
          <w:p w:rsidR="00BC717F" w:rsidRPr="006B6241" w:rsidRDefault="00BC717F" w:rsidP="008228CC">
            <w:pPr>
              <w:jc w:val="right"/>
              <w:rPr>
                <w:sz w:val="20"/>
                <w:szCs w:val="20"/>
              </w:rPr>
            </w:pPr>
          </w:p>
        </w:tc>
        <w:tc>
          <w:tcPr>
            <w:tcW w:w="798" w:type="pct"/>
            <w:tcBorders>
              <w:top w:val="double" w:sz="4" w:space="0" w:color="auto"/>
              <w:bottom w:val="double" w:sz="4" w:space="0" w:color="auto"/>
            </w:tcBorders>
            <w:shd w:val="clear" w:color="auto" w:fill="FFFFFF"/>
          </w:tcPr>
          <w:p w:rsidR="00BC717F" w:rsidRPr="006B6241" w:rsidRDefault="00537018" w:rsidP="00995E0C">
            <w:pPr>
              <w:jc w:val="right"/>
              <w:rPr>
                <w:sz w:val="20"/>
                <w:szCs w:val="20"/>
                <w:lang w:eastAsia="zh-CN"/>
              </w:rPr>
            </w:pPr>
            <w:r w:rsidRPr="006B6241">
              <w:rPr>
                <w:sz w:val="20"/>
                <w:szCs w:val="20"/>
                <w:lang w:eastAsia="zh-CN"/>
              </w:rPr>
              <w:t>2</w:t>
            </w:r>
            <w:r w:rsidR="00BC717F" w:rsidRPr="006B6241">
              <w:rPr>
                <w:rFonts w:hint="eastAsia"/>
                <w:sz w:val="20"/>
                <w:szCs w:val="20"/>
                <w:lang w:eastAsia="zh-CN"/>
              </w:rPr>
              <w:t>,</w:t>
            </w:r>
            <w:r w:rsidR="00995E0C" w:rsidRPr="006B6241">
              <w:rPr>
                <w:sz w:val="20"/>
                <w:szCs w:val="20"/>
                <w:lang w:eastAsia="zh-CN"/>
              </w:rPr>
              <w:t>91</w:t>
            </w:r>
            <w:r w:rsidRPr="006B6241">
              <w:rPr>
                <w:sz w:val="20"/>
                <w:szCs w:val="20"/>
                <w:lang w:eastAsia="zh-CN"/>
              </w:rPr>
              <w:t>3</w:t>
            </w:r>
            <w:r w:rsidR="00BC717F" w:rsidRPr="006B6241">
              <w:rPr>
                <w:rFonts w:hint="eastAsia"/>
                <w:sz w:val="20"/>
                <w:szCs w:val="20"/>
                <w:lang w:eastAsia="zh-CN"/>
              </w:rPr>
              <w:t>,</w:t>
            </w:r>
            <w:r w:rsidRPr="006B6241">
              <w:rPr>
                <w:sz w:val="20"/>
                <w:szCs w:val="20"/>
                <w:lang w:eastAsia="zh-CN"/>
              </w:rPr>
              <w:t>7</w:t>
            </w:r>
            <w:r w:rsidR="00BC717F" w:rsidRPr="006B6241">
              <w:rPr>
                <w:rFonts w:hint="eastAsia"/>
                <w:sz w:val="20"/>
                <w:szCs w:val="20"/>
                <w:lang w:eastAsia="zh-CN"/>
              </w:rPr>
              <w:t>00</w:t>
            </w:r>
          </w:p>
        </w:tc>
        <w:tc>
          <w:tcPr>
            <w:tcW w:w="716" w:type="pct"/>
            <w:tcBorders>
              <w:top w:val="double" w:sz="4" w:space="0" w:color="auto"/>
              <w:bottom w:val="double" w:sz="4" w:space="0" w:color="auto"/>
            </w:tcBorders>
            <w:shd w:val="clear" w:color="auto" w:fill="FFFFFF"/>
          </w:tcPr>
          <w:p w:rsidR="00BC717F" w:rsidRPr="006B6241" w:rsidRDefault="007B3328" w:rsidP="00081258">
            <w:pPr>
              <w:jc w:val="right"/>
              <w:rPr>
                <w:sz w:val="20"/>
                <w:szCs w:val="20"/>
                <w:lang w:eastAsia="zh-CN"/>
              </w:rPr>
            </w:pPr>
            <w:r w:rsidRPr="006B6241">
              <w:rPr>
                <w:sz w:val="20"/>
                <w:szCs w:val="20"/>
                <w:lang w:eastAsia="zh-CN"/>
              </w:rPr>
              <w:t>12,130,000</w:t>
            </w:r>
          </w:p>
        </w:tc>
      </w:tr>
    </w:tbl>
    <w:p w:rsidR="006F289E" w:rsidRPr="006B6241" w:rsidRDefault="006F289E" w:rsidP="008228CC">
      <w:pPr>
        <w:pStyle w:val="Footer"/>
        <w:tabs>
          <w:tab w:val="clear" w:pos="4320"/>
          <w:tab w:val="clear" w:pos="8640"/>
        </w:tabs>
        <w:ind w:left="-180"/>
        <w:rPr>
          <w:b/>
          <w:smallCaps/>
          <w:sz w:val="22"/>
          <w:szCs w:val="22"/>
        </w:rPr>
      </w:pPr>
    </w:p>
    <w:p w:rsidR="00276471" w:rsidRPr="006B6241" w:rsidRDefault="006F289E" w:rsidP="008228CC">
      <w:pPr>
        <w:pStyle w:val="Footer"/>
        <w:numPr>
          <w:ilvl w:val="0"/>
          <w:numId w:val="27"/>
        </w:numPr>
        <w:tabs>
          <w:tab w:val="clear" w:pos="4320"/>
          <w:tab w:val="clear" w:pos="8640"/>
        </w:tabs>
        <w:rPr>
          <w:b/>
          <w:smallCaps/>
          <w:sz w:val="22"/>
          <w:szCs w:val="22"/>
        </w:rPr>
      </w:pPr>
      <w:r w:rsidRPr="006B6241">
        <w:rPr>
          <w:b/>
          <w:smallCaps/>
          <w:sz w:val="22"/>
          <w:szCs w:val="22"/>
        </w:rPr>
        <w:t>I</w:t>
      </w:r>
      <w:r w:rsidR="00BC472A" w:rsidRPr="006B6241">
        <w:rPr>
          <w:b/>
          <w:smallCaps/>
          <w:sz w:val="22"/>
          <w:szCs w:val="22"/>
        </w:rPr>
        <w:t xml:space="preserve">ndicative </w:t>
      </w:r>
      <w:r w:rsidR="00F52D8A" w:rsidRPr="006B6241">
        <w:rPr>
          <w:b/>
          <w:smallCaps/>
          <w:sz w:val="22"/>
          <w:szCs w:val="22"/>
        </w:rPr>
        <w:t>Project Framework</w:t>
      </w:r>
    </w:p>
    <w:p w:rsidR="006F289E" w:rsidRPr="006B6241" w:rsidRDefault="006F289E" w:rsidP="008228CC">
      <w:pPr>
        <w:pStyle w:val="Footer"/>
        <w:tabs>
          <w:tab w:val="clear" w:pos="4320"/>
          <w:tab w:val="clear" w:pos="8640"/>
        </w:tabs>
        <w:ind w:left="720"/>
        <w:rPr>
          <w:b/>
          <w:smallCaps/>
          <w:sz w:val="22"/>
          <w:szCs w:val="22"/>
        </w:rPr>
      </w:pPr>
    </w:p>
    <w:tbl>
      <w:tblPr>
        <w:tblW w:w="54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471"/>
        <w:gridCol w:w="718"/>
        <w:gridCol w:w="1623"/>
        <w:gridCol w:w="3150"/>
        <w:gridCol w:w="901"/>
        <w:gridCol w:w="1260"/>
        <w:gridCol w:w="1378"/>
      </w:tblGrid>
      <w:tr w:rsidR="0027046B" w:rsidRPr="006B6241" w:rsidTr="00ED49F1">
        <w:trPr>
          <w:trHeight w:val="260"/>
          <w:jc w:val="center"/>
        </w:trPr>
        <w:tc>
          <w:tcPr>
            <w:tcW w:w="5000" w:type="pct"/>
            <w:gridSpan w:val="7"/>
            <w:shd w:val="clear" w:color="auto" w:fill="FFFFFF"/>
            <w:vAlign w:val="center"/>
          </w:tcPr>
          <w:p w:rsidR="0027046B" w:rsidRPr="006B6241" w:rsidRDefault="00161EF2" w:rsidP="00FA2181">
            <w:pPr>
              <w:pStyle w:val="Heading3"/>
              <w:rPr>
                <w:b w:val="0"/>
                <w:bCs w:val="0"/>
                <w:iCs/>
                <w:color w:val="000000"/>
                <w:sz w:val="20"/>
                <w:szCs w:val="20"/>
              </w:rPr>
            </w:pPr>
            <w:r w:rsidRPr="006B6241">
              <w:rPr>
                <w:bCs w:val="0"/>
                <w:iCs/>
                <w:color w:val="000000"/>
                <w:sz w:val="20"/>
                <w:szCs w:val="20"/>
              </w:rPr>
              <w:t>Project Objective</w:t>
            </w:r>
            <w:r w:rsidR="0027046B" w:rsidRPr="006B6241">
              <w:rPr>
                <w:bCs w:val="0"/>
                <w:iCs/>
                <w:color w:val="000000"/>
                <w:sz w:val="20"/>
                <w:szCs w:val="20"/>
              </w:rPr>
              <w:t xml:space="preserve">: </w:t>
            </w:r>
            <w:r w:rsidR="00FA2181" w:rsidRPr="006B6241">
              <w:rPr>
                <w:b w:val="0"/>
                <w:bCs w:val="0"/>
                <w:iCs/>
                <w:color w:val="000000"/>
                <w:sz w:val="20"/>
                <w:szCs w:val="20"/>
              </w:rPr>
              <w:t>Widespread application of energy efficient green logistics</w:t>
            </w:r>
            <w:r w:rsidR="00FA2181" w:rsidRPr="006B6241">
              <w:rPr>
                <w:rStyle w:val="FootnoteReference"/>
                <w:b w:val="0"/>
                <w:bCs w:val="0"/>
                <w:iCs/>
                <w:color w:val="000000"/>
                <w:sz w:val="20"/>
                <w:szCs w:val="20"/>
              </w:rPr>
              <w:footnoteReference w:id="3"/>
            </w:r>
            <w:r w:rsidR="00FA2181" w:rsidRPr="006B6241">
              <w:rPr>
                <w:b w:val="0"/>
                <w:bCs w:val="0"/>
                <w:iCs/>
                <w:color w:val="000000"/>
                <w:sz w:val="20"/>
                <w:szCs w:val="20"/>
              </w:rPr>
              <w:t xml:space="preserve"> techniques and practices in the logistics industry in Zhejiang Province</w:t>
            </w:r>
          </w:p>
        </w:tc>
      </w:tr>
      <w:tr w:rsidR="002334D6" w:rsidRPr="006B6241" w:rsidTr="00ED49F1">
        <w:trPr>
          <w:trHeight w:val="260"/>
          <w:jc w:val="center"/>
        </w:trPr>
        <w:tc>
          <w:tcPr>
            <w:tcW w:w="700" w:type="pct"/>
            <w:shd w:val="clear" w:color="auto" w:fill="FFFFFF"/>
            <w:vAlign w:val="center"/>
          </w:tcPr>
          <w:p w:rsidR="0027046B" w:rsidRPr="006B6241" w:rsidRDefault="0027046B" w:rsidP="008228CC">
            <w:pPr>
              <w:pStyle w:val="Heading3"/>
              <w:ind w:left="72"/>
              <w:jc w:val="center"/>
              <w:rPr>
                <w:bCs w:val="0"/>
                <w:iCs/>
                <w:color w:val="000000"/>
                <w:sz w:val="20"/>
                <w:szCs w:val="20"/>
              </w:rPr>
            </w:pPr>
            <w:r w:rsidRPr="006B6241">
              <w:rPr>
                <w:bCs w:val="0"/>
                <w:iCs/>
                <w:color w:val="000000"/>
                <w:sz w:val="20"/>
                <w:szCs w:val="20"/>
              </w:rPr>
              <w:t>Project Component</w:t>
            </w:r>
          </w:p>
        </w:tc>
        <w:tc>
          <w:tcPr>
            <w:tcW w:w="342" w:type="pct"/>
            <w:shd w:val="clear" w:color="auto" w:fill="FFFFFF"/>
            <w:vAlign w:val="center"/>
          </w:tcPr>
          <w:p w:rsidR="0027046B" w:rsidRPr="006B6241" w:rsidRDefault="0027046B" w:rsidP="008228CC">
            <w:pPr>
              <w:pStyle w:val="Heading3"/>
              <w:ind w:left="-109" w:right="-107"/>
              <w:jc w:val="center"/>
              <w:rPr>
                <w:bCs w:val="0"/>
                <w:iCs/>
                <w:color w:val="000000"/>
                <w:sz w:val="20"/>
                <w:szCs w:val="20"/>
              </w:rPr>
            </w:pPr>
            <w:r w:rsidRPr="006B6241">
              <w:rPr>
                <w:bCs w:val="0"/>
                <w:iCs/>
                <w:color w:val="000000"/>
                <w:sz w:val="20"/>
                <w:szCs w:val="20"/>
              </w:rPr>
              <w:t>Grant Type</w:t>
            </w:r>
            <w:r w:rsidR="00FF5774" w:rsidRPr="006B6241">
              <w:rPr>
                <w:rStyle w:val="FootnoteReference"/>
                <w:bCs w:val="0"/>
                <w:iCs/>
                <w:color w:val="000000"/>
                <w:sz w:val="20"/>
                <w:szCs w:val="20"/>
              </w:rPr>
              <w:footnoteReference w:id="4"/>
            </w:r>
          </w:p>
          <w:p w:rsidR="0027046B" w:rsidRPr="006B6241" w:rsidRDefault="0027046B" w:rsidP="008228CC">
            <w:pPr>
              <w:pStyle w:val="Heading3"/>
              <w:ind w:left="72"/>
              <w:jc w:val="center"/>
              <w:rPr>
                <w:bCs w:val="0"/>
                <w:iCs/>
                <w:color w:val="000000"/>
                <w:sz w:val="20"/>
                <w:szCs w:val="20"/>
              </w:rPr>
            </w:pPr>
          </w:p>
        </w:tc>
        <w:tc>
          <w:tcPr>
            <w:tcW w:w="773" w:type="pct"/>
            <w:shd w:val="clear" w:color="auto" w:fill="FFFFFF"/>
            <w:vAlign w:val="center"/>
          </w:tcPr>
          <w:p w:rsidR="0027046B" w:rsidRPr="006B6241" w:rsidRDefault="0027046B" w:rsidP="008228CC">
            <w:pPr>
              <w:pStyle w:val="Heading3"/>
              <w:ind w:left="72"/>
              <w:jc w:val="center"/>
              <w:rPr>
                <w:bCs w:val="0"/>
                <w:iCs/>
                <w:color w:val="000000"/>
                <w:sz w:val="20"/>
                <w:szCs w:val="20"/>
              </w:rPr>
            </w:pPr>
            <w:r w:rsidRPr="006B6241">
              <w:rPr>
                <w:bCs w:val="0"/>
                <w:iCs/>
                <w:color w:val="000000"/>
                <w:sz w:val="20"/>
                <w:szCs w:val="20"/>
              </w:rPr>
              <w:t>Expected Outcomes</w:t>
            </w:r>
          </w:p>
        </w:tc>
        <w:tc>
          <w:tcPr>
            <w:tcW w:w="1500" w:type="pct"/>
            <w:shd w:val="clear" w:color="auto" w:fill="FFFFFF"/>
          </w:tcPr>
          <w:p w:rsidR="00693747" w:rsidRPr="006B6241" w:rsidRDefault="00693747" w:rsidP="008228CC">
            <w:pPr>
              <w:pStyle w:val="Heading3"/>
              <w:jc w:val="center"/>
              <w:rPr>
                <w:bCs w:val="0"/>
                <w:iCs/>
                <w:color w:val="000000"/>
                <w:sz w:val="20"/>
                <w:szCs w:val="20"/>
              </w:rPr>
            </w:pPr>
          </w:p>
          <w:p w:rsidR="0027046B" w:rsidRPr="006B6241" w:rsidRDefault="0027046B" w:rsidP="008228CC">
            <w:pPr>
              <w:pStyle w:val="Heading3"/>
              <w:jc w:val="center"/>
              <w:rPr>
                <w:bCs w:val="0"/>
                <w:iCs/>
                <w:color w:val="000000"/>
                <w:sz w:val="20"/>
                <w:szCs w:val="20"/>
              </w:rPr>
            </w:pPr>
            <w:r w:rsidRPr="006B6241">
              <w:rPr>
                <w:bCs w:val="0"/>
                <w:iCs/>
                <w:color w:val="000000"/>
                <w:sz w:val="20"/>
                <w:szCs w:val="20"/>
              </w:rPr>
              <w:t>Expected Outputs</w:t>
            </w:r>
          </w:p>
        </w:tc>
        <w:tc>
          <w:tcPr>
            <w:tcW w:w="429" w:type="pct"/>
            <w:shd w:val="clear" w:color="auto" w:fill="FFFFFF"/>
          </w:tcPr>
          <w:p w:rsidR="0027046B" w:rsidRPr="006B6241" w:rsidRDefault="0027046B" w:rsidP="008228CC">
            <w:pPr>
              <w:pStyle w:val="Heading3"/>
              <w:jc w:val="center"/>
              <w:rPr>
                <w:bCs w:val="0"/>
                <w:iCs/>
                <w:color w:val="000000"/>
                <w:sz w:val="20"/>
                <w:szCs w:val="20"/>
              </w:rPr>
            </w:pPr>
            <w:r w:rsidRPr="006B6241">
              <w:rPr>
                <w:bCs w:val="0"/>
                <w:iCs/>
                <w:color w:val="000000"/>
                <w:sz w:val="20"/>
                <w:szCs w:val="20"/>
              </w:rPr>
              <w:t>Trust Fund</w:t>
            </w:r>
          </w:p>
        </w:tc>
        <w:tc>
          <w:tcPr>
            <w:tcW w:w="600" w:type="pct"/>
            <w:shd w:val="clear" w:color="auto" w:fill="FFFFFF"/>
          </w:tcPr>
          <w:p w:rsidR="0027046B" w:rsidRPr="006B6241" w:rsidRDefault="0027046B" w:rsidP="008228CC">
            <w:pPr>
              <w:pStyle w:val="Heading3"/>
              <w:jc w:val="center"/>
              <w:rPr>
                <w:bCs w:val="0"/>
                <w:iCs/>
                <w:color w:val="000000"/>
                <w:sz w:val="20"/>
                <w:szCs w:val="20"/>
              </w:rPr>
            </w:pPr>
            <w:r w:rsidRPr="006B6241">
              <w:rPr>
                <w:bCs w:val="0"/>
                <w:iCs/>
                <w:color w:val="000000"/>
                <w:sz w:val="20"/>
                <w:szCs w:val="20"/>
              </w:rPr>
              <w:t xml:space="preserve">Indicative </w:t>
            </w:r>
          </w:p>
          <w:p w:rsidR="0027046B" w:rsidRPr="006B6241" w:rsidRDefault="0027046B" w:rsidP="008228CC">
            <w:pPr>
              <w:pStyle w:val="Heading3"/>
              <w:jc w:val="center"/>
              <w:rPr>
                <w:b w:val="0"/>
                <w:bCs w:val="0"/>
                <w:iCs/>
                <w:color w:val="000000"/>
                <w:sz w:val="20"/>
                <w:szCs w:val="20"/>
              </w:rPr>
            </w:pPr>
            <w:r w:rsidRPr="006B6241">
              <w:rPr>
                <w:bCs w:val="0"/>
                <w:iCs/>
                <w:color w:val="000000"/>
                <w:sz w:val="20"/>
                <w:szCs w:val="20"/>
              </w:rPr>
              <w:t xml:space="preserve">Grant Amount ($) </w:t>
            </w:r>
          </w:p>
        </w:tc>
        <w:tc>
          <w:tcPr>
            <w:tcW w:w="656" w:type="pct"/>
            <w:shd w:val="clear" w:color="auto" w:fill="FFFFFF"/>
          </w:tcPr>
          <w:p w:rsidR="0027046B" w:rsidRPr="006B6241" w:rsidRDefault="0027046B" w:rsidP="008228CC">
            <w:pPr>
              <w:pStyle w:val="Heading3"/>
              <w:jc w:val="center"/>
              <w:rPr>
                <w:bCs w:val="0"/>
                <w:iCs/>
                <w:color w:val="000000"/>
                <w:sz w:val="20"/>
                <w:szCs w:val="20"/>
              </w:rPr>
            </w:pPr>
            <w:r w:rsidRPr="006B6241">
              <w:rPr>
                <w:bCs w:val="0"/>
                <w:iCs/>
                <w:color w:val="000000"/>
                <w:sz w:val="20"/>
                <w:szCs w:val="20"/>
              </w:rPr>
              <w:t>Indicative Co</w:t>
            </w:r>
            <w:r w:rsidR="00CE00A7" w:rsidRPr="006B6241">
              <w:rPr>
                <w:bCs w:val="0"/>
                <w:iCs/>
                <w:color w:val="000000"/>
                <w:sz w:val="20"/>
                <w:szCs w:val="20"/>
              </w:rPr>
              <w:t>-</w:t>
            </w:r>
            <w:r w:rsidRPr="006B6241">
              <w:rPr>
                <w:bCs w:val="0"/>
                <w:iCs/>
                <w:color w:val="000000"/>
                <w:sz w:val="20"/>
                <w:szCs w:val="20"/>
              </w:rPr>
              <w:t>financing</w:t>
            </w:r>
          </w:p>
          <w:p w:rsidR="0027046B" w:rsidRPr="006B6241" w:rsidRDefault="0027046B" w:rsidP="008228CC">
            <w:pPr>
              <w:pStyle w:val="Heading3"/>
              <w:jc w:val="center"/>
              <w:rPr>
                <w:b w:val="0"/>
                <w:bCs w:val="0"/>
                <w:iCs/>
                <w:color w:val="000000"/>
                <w:sz w:val="20"/>
                <w:szCs w:val="20"/>
              </w:rPr>
            </w:pPr>
            <w:r w:rsidRPr="006B6241">
              <w:rPr>
                <w:bCs w:val="0"/>
                <w:iCs/>
                <w:color w:val="000000"/>
                <w:sz w:val="20"/>
                <w:szCs w:val="20"/>
              </w:rPr>
              <w:t xml:space="preserve">($) </w:t>
            </w:r>
          </w:p>
        </w:tc>
      </w:tr>
      <w:tr w:rsidR="00BC717F" w:rsidRPr="006B6241" w:rsidTr="00ED49F1">
        <w:trPr>
          <w:jc w:val="center"/>
        </w:trPr>
        <w:tc>
          <w:tcPr>
            <w:tcW w:w="700" w:type="pct"/>
            <w:shd w:val="clear" w:color="auto" w:fill="FFFFFF"/>
          </w:tcPr>
          <w:p w:rsidR="00BC717F" w:rsidRPr="006B6241" w:rsidRDefault="00BC717F" w:rsidP="000B4123">
            <w:pPr>
              <w:rPr>
                <w:sz w:val="20"/>
                <w:szCs w:val="20"/>
              </w:rPr>
            </w:pPr>
            <w:r w:rsidRPr="006B6241">
              <w:rPr>
                <w:sz w:val="20"/>
                <w:szCs w:val="20"/>
              </w:rPr>
              <w:t>1. Policy and Regulatory Support for Green Logistics</w:t>
            </w:r>
          </w:p>
        </w:tc>
        <w:tc>
          <w:tcPr>
            <w:tcW w:w="342" w:type="pct"/>
            <w:shd w:val="clear" w:color="auto" w:fill="FFFFFF"/>
          </w:tcPr>
          <w:p w:rsidR="00BC717F" w:rsidRPr="006B6241" w:rsidRDefault="00BC717F" w:rsidP="000B4123">
            <w:pPr>
              <w:rPr>
                <w:sz w:val="20"/>
                <w:szCs w:val="20"/>
              </w:rPr>
            </w:pPr>
            <w:r w:rsidRPr="006B6241">
              <w:rPr>
                <w:sz w:val="20"/>
                <w:szCs w:val="20"/>
              </w:rPr>
              <w:t>TA</w:t>
            </w:r>
          </w:p>
        </w:tc>
        <w:tc>
          <w:tcPr>
            <w:tcW w:w="773" w:type="pct"/>
            <w:shd w:val="clear" w:color="auto" w:fill="FFFFFF"/>
          </w:tcPr>
          <w:p w:rsidR="00BC717F" w:rsidRPr="006B6241" w:rsidRDefault="00BC717F" w:rsidP="000B4123">
            <w:pPr>
              <w:rPr>
                <w:sz w:val="20"/>
                <w:szCs w:val="20"/>
              </w:rPr>
            </w:pPr>
            <w:r w:rsidRPr="006B6241">
              <w:rPr>
                <w:sz w:val="20"/>
                <w:szCs w:val="20"/>
              </w:rPr>
              <w:t>Established and enforced policy and regulations on the application and operation of green logistics systems in the logistics industry in Zhejiang Province</w:t>
            </w:r>
          </w:p>
        </w:tc>
        <w:tc>
          <w:tcPr>
            <w:tcW w:w="1500" w:type="pct"/>
            <w:shd w:val="clear" w:color="auto" w:fill="FFFFFF"/>
          </w:tcPr>
          <w:p w:rsidR="00BC717F" w:rsidRPr="006B6241" w:rsidRDefault="00BC717F" w:rsidP="00FA2181">
            <w:pPr>
              <w:numPr>
                <w:ilvl w:val="0"/>
                <w:numId w:val="35"/>
              </w:numPr>
              <w:ind w:left="162" w:hanging="180"/>
              <w:rPr>
                <w:sz w:val="20"/>
                <w:szCs w:val="20"/>
              </w:rPr>
            </w:pPr>
            <w:r w:rsidRPr="006B6241">
              <w:rPr>
                <w:sz w:val="20"/>
                <w:szCs w:val="20"/>
              </w:rPr>
              <w:t>Completed research reports on: (1) the energy use trends and GHG emissions from the operation of the logistics industry (materials management, and physical distribution) in Zhejiang Province; and, (2) green logistics systems developed and implemented in other countries and their energy utilization performances</w:t>
            </w:r>
          </w:p>
          <w:p w:rsidR="00BC717F" w:rsidRPr="006B6241" w:rsidRDefault="00BC717F" w:rsidP="00FA2181">
            <w:pPr>
              <w:numPr>
                <w:ilvl w:val="0"/>
                <w:numId w:val="35"/>
              </w:numPr>
              <w:ind w:left="162" w:hanging="180"/>
              <w:rPr>
                <w:sz w:val="20"/>
                <w:szCs w:val="20"/>
              </w:rPr>
            </w:pPr>
            <w:r w:rsidRPr="006B6241">
              <w:rPr>
                <w:sz w:val="20"/>
                <w:szCs w:val="20"/>
              </w:rPr>
              <w:lastRenderedPageBreak/>
              <w:t>Formulated and recommended  standards, policies and implementing rules and regulations on the promotion and practice of green logistics in Zhejiang Province</w:t>
            </w:r>
          </w:p>
          <w:p w:rsidR="00BC717F" w:rsidRPr="006B6241" w:rsidRDefault="00BC717F" w:rsidP="00FA2181">
            <w:pPr>
              <w:numPr>
                <w:ilvl w:val="0"/>
                <w:numId w:val="35"/>
              </w:numPr>
              <w:ind w:left="162" w:hanging="180"/>
              <w:rPr>
                <w:sz w:val="20"/>
                <w:szCs w:val="20"/>
              </w:rPr>
            </w:pPr>
            <w:r w:rsidRPr="006B6241">
              <w:rPr>
                <w:sz w:val="20"/>
                <w:szCs w:val="20"/>
              </w:rPr>
              <w:t>Published and disseminated guides and reference documents for the application of energy conserving and energy efficient practices in the logistics industry</w:t>
            </w:r>
          </w:p>
          <w:p w:rsidR="00C91944" w:rsidRPr="006B6241" w:rsidRDefault="00C91944" w:rsidP="00FA2181">
            <w:pPr>
              <w:numPr>
                <w:ilvl w:val="0"/>
                <w:numId w:val="35"/>
              </w:numPr>
              <w:ind w:left="162" w:hanging="180"/>
              <w:rPr>
                <w:sz w:val="20"/>
                <w:szCs w:val="20"/>
              </w:rPr>
            </w:pPr>
            <w:r w:rsidRPr="006B6241">
              <w:rPr>
                <w:sz w:val="20"/>
                <w:szCs w:val="20"/>
              </w:rPr>
              <w:t>Approved follow-up plan for the replication of the application of the piloted green logistics policies in Zhejiang Province in other provinces and cities.</w:t>
            </w:r>
          </w:p>
        </w:tc>
        <w:tc>
          <w:tcPr>
            <w:tcW w:w="429" w:type="pct"/>
            <w:shd w:val="clear" w:color="auto" w:fill="FFFFFF"/>
          </w:tcPr>
          <w:p w:rsidR="00BC717F" w:rsidRPr="006B6241" w:rsidRDefault="00BC717F" w:rsidP="008228CC">
            <w:r w:rsidRPr="006B6241">
              <w:rPr>
                <w:sz w:val="20"/>
              </w:rPr>
              <w:lastRenderedPageBreak/>
              <w:t>GEFTF</w:t>
            </w:r>
          </w:p>
        </w:tc>
        <w:tc>
          <w:tcPr>
            <w:tcW w:w="600" w:type="pct"/>
            <w:shd w:val="clear" w:color="auto" w:fill="FFFFFF"/>
          </w:tcPr>
          <w:p w:rsidR="00BC717F" w:rsidRPr="006B6241" w:rsidRDefault="00BC717F" w:rsidP="005D62B8">
            <w:pPr>
              <w:jc w:val="right"/>
              <w:rPr>
                <w:sz w:val="20"/>
                <w:szCs w:val="20"/>
                <w:lang w:eastAsia="zh-CN"/>
              </w:rPr>
            </w:pPr>
            <w:r w:rsidRPr="006B6241">
              <w:rPr>
                <w:sz w:val="20"/>
                <w:szCs w:val="20"/>
                <w:lang w:eastAsia="zh-CN"/>
              </w:rPr>
              <w:t>500,000</w:t>
            </w:r>
          </w:p>
        </w:tc>
        <w:tc>
          <w:tcPr>
            <w:tcW w:w="656" w:type="pct"/>
            <w:shd w:val="clear" w:color="auto" w:fill="FFFFFF"/>
          </w:tcPr>
          <w:p w:rsidR="00BC717F" w:rsidRPr="006B6241" w:rsidRDefault="00BC717F" w:rsidP="005D62B8">
            <w:pPr>
              <w:jc w:val="right"/>
              <w:rPr>
                <w:sz w:val="20"/>
                <w:szCs w:val="20"/>
                <w:lang w:eastAsia="zh-CN"/>
              </w:rPr>
            </w:pPr>
            <w:r w:rsidRPr="006B6241">
              <w:rPr>
                <w:sz w:val="20"/>
                <w:szCs w:val="20"/>
                <w:lang w:eastAsia="zh-CN"/>
              </w:rPr>
              <w:t>2,000,000</w:t>
            </w:r>
          </w:p>
        </w:tc>
      </w:tr>
      <w:tr w:rsidR="00090ABB" w:rsidRPr="006B6241" w:rsidTr="00ED49F1">
        <w:trPr>
          <w:jc w:val="center"/>
        </w:trPr>
        <w:tc>
          <w:tcPr>
            <w:tcW w:w="700" w:type="pct"/>
            <w:vMerge w:val="restart"/>
            <w:shd w:val="clear" w:color="auto" w:fill="FFFFFF"/>
          </w:tcPr>
          <w:p w:rsidR="00090ABB" w:rsidRPr="006B6241" w:rsidRDefault="00090ABB" w:rsidP="000B4123">
            <w:pPr>
              <w:rPr>
                <w:sz w:val="20"/>
                <w:szCs w:val="20"/>
              </w:rPr>
            </w:pPr>
            <w:r w:rsidRPr="006B6241">
              <w:rPr>
                <w:sz w:val="20"/>
                <w:szCs w:val="20"/>
              </w:rPr>
              <w:lastRenderedPageBreak/>
              <w:t>2. Green Logistics Systems Demonstration</w:t>
            </w:r>
          </w:p>
        </w:tc>
        <w:tc>
          <w:tcPr>
            <w:tcW w:w="342" w:type="pct"/>
            <w:shd w:val="clear" w:color="auto" w:fill="FFFFFF"/>
          </w:tcPr>
          <w:p w:rsidR="00090ABB" w:rsidRPr="006B6241" w:rsidRDefault="00090ABB" w:rsidP="000B4123">
            <w:pPr>
              <w:rPr>
                <w:sz w:val="20"/>
                <w:szCs w:val="20"/>
              </w:rPr>
            </w:pPr>
            <w:r w:rsidRPr="006B6241">
              <w:rPr>
                <w:sz w:val="20"/>
                <w:szCs w:val="20"/>
              </w:rPr>
              <w:t>TA</w:t>
            </w:r>
          </w:p>
        </w:tc>
        <w:tc>
          <w:tcPr>
            <w:tcW w:w="773" w:type="pct"/>
            <w:vMerge w:val="restart"/>
            <w:shd w:val="clear" w:color="auto" w:fill="FFFFFF"/>
          </w:tcPr>
          <w:p w:rsidR="00090ABB" w:rsidRPr="006B6241" w:rsidRDefault="00090ABB" w:rsidP="000B4123">
            <w:pPr>
              <w:rPr>
                <w:sz w:val="20"/>
                <w:szCs w:val="20"/>
              </w:rPr>
            </w:pPr>
            <w:r w:rsidRPr="006B6241">
              <w:rPr>
                <w:sz w:val="20"/>
                <w:szCs w:val="20"/>
              </w:rPr>
              <w:t>Improved energy  efficiency in the materials management and physical distribution activities in the logistics industry in Zhejiang Province</w:t>
            </w:r>
          </w:p>
        </w:tc>
        <w:tc>
          <w:tcPr>
            <w:tcW w:w="1500" w:type="pct"/>
            <w:shd w:val="clear" w:color="auto" w:fill="FFFFFF"/>
          </w:tcPr>
          <w:p w:rsidR="00090ABB" w:rsidRPr="006B6241" w:rsidRDefault="00090ABB" w:rsidP="00FA2181">
            <w:pPr>
              <w:numPr>
                <w:ilvl w:val="0"/>
                <w:numId w:val="35"/>
              </w:numPr>
              <w:ind w:left="162" w:hanging="180"/>
              <w:rPr>
                <w:sz w:val="20"/>
                <w:szCs w:val="20"/>
              </w:rPr>
            </w:pPr>
            <w:r w:rsidRPr="006B6241">
              <w:rPr>
                <w:sz w:val="20"/>
                <w:szCs w:val="20"/>
              </w:rPr>
              <w:t>Completed designs and plans of demonstrations of green logistics techniques in materials management in the logistics industry in Zhejiang Province including: (1) Modified design for the facilities and materials management system (including the associated facilities and infrastructures) in the Zhejiang Province logistics system projects; (2) Feasibility analyses on the application and operation of green logistics system; and, (3) Implementation plans (including financing arrangements) for each EE materials management demonstration.</w:t>
            </w:r>
          </w:p>
          <w:p w:rsidR="00090ABB" w:rsidRPr="006B6241" w:rsidRDefault="00090ABB" w:rsidP="00C44429">
            <w:pPr>
              <w:numPr>
                <w:ilvl w:val="0"/>
                <w:numId w:val="35"/>
              </w:numPr>
              <w:ind w:left="162" w:hanging="180"/>
              <w:rPr>
                <w:sz w:val="20"/>
                <w:szCs w:val="20"/>
              </w:rPr>
            </w:pPr>
            <w:r w:rsidRPr="006B6241">
              <w:rPr>
                <w:sz w:val="20"/>
                <w:szCs w:val="20"/>
              </w:rPr>
              <w:t>Completed designs and plans of demonstrations of green logistics techniques in physical distribution in the logistics industry in Zhejiang Province including: (1) Feasibility analyses on the application and operation of alternative green logistics physical distribution system; (2) Developed energy efficient water and water/road freight planning and management schemes; and, (3) Implementation plans (including financing arrangements) for the green logistics physical distribution demonstration (e.g., consolidated road freight transport system operated and managed using advanced logistics tracking and monitoring technologies)</w:t>
            </w:r>
          </w:p>
          <w:p w:rsidR="00090ABB" w:rsidRPr="006B6241" w:rsidRDefault="00090ABB" w:rsidP="00C44429">
            <w:pPr>
              <w:numPr>
                <w:ilvl w:val="0"/>
                <w:numId w:val="35"/>
              </w:numPr>
              <w:ind w:left="162" w:hanging="180"/>
              <w:rPr>
                <w:sz w:val="20"/>
                <w:szCs w:val="20"/>
              </w:rPr>
            </w:pPr>
            <w:r w:rsidRPr="006B6241">
              <w:rPr>
                <w:sz w:val="20"/>
                <w:szCs w:val="20"/>
              </w:rPr>
              <w:lastRenderedPageBreak/>
              <w:t>Documented annual evaluation reports on the energy performance and environmental impacts of each demo project, and documented and disseminated demo project results</w:t>
            </w:r>
            <w:r w:rsidR="003B223B" w:rsidRPr="006B6241">
              <w:rPr>
                <w:sz w:val="20"/>
                <w:szCs w:val="20"/>
              </w:rPr>
              <w:t xml:space="preserve"> that highlights the reduction of empty load rates down to at least 10%, and the realization of an estimated GHG emission reduction of at least 0.19 million tons CO2/year</w:t>
            </w:r>
            <w:r w:rsidR="00EF3744" w:rsidRPr="006B6241">
              <w:rPr>
                <w:sz w:val="20"/>
                <w:szCs w:val="20"/>
              </w:rPr>
              <w:t xml:space="preserve"> </w:t>
            </w:r>
          </w:p>
          <w:p w:rsidR="00090ABB" w:rsidRPr="006B6241" w:rsidRDefault="00090ABB" w:rsidP="00C44429">
            <w:pPr>
              <w:numPr>
                <w:ilvl w:val="0"/>
                <w:numId w:val="35"/>
              </w:numPr>
              <w:ind w:left="162" w:hanging="180"/>
              <w:rPr>
                <w:sz w:val="20"/>
                <w:szCs w:val="20"/>
              </w:rPr>
            </w:pPr>
            <w:r w:rsidRPr="006B6241">
              <w:rPr>
                <w:sz w:val="20"/>
                <w:szCs w:val="20"/>
              </w:rPr>
              <w:t>Developed action plan for sustainability of the green logistics system demo program</w:t>
            </w:r>
          </w:p>
        </w:tc>
        <w:tc>
          <w:tcPr>
            <w:tcW w:w="429" w:type="pct"/>
            <w:shd w:val="clear" w:color="auto" w:fill="FFFFFF"/>
          </w:tcPr>
          <w:p w:rsidR="00090ABB" w:rsidRPr="006B6241" w:rsidRDefault="00090ABB" w:rsidP="00DF1384">
            <w:pPr>
              <w:rPr>
                <w:sz w:val="20"/>
              </w:rPr>
            </w:pPr>
            <w:r w:rsidRPr="006B6241">
              <w:rPr>
                <w:sz w:val="20"/>
              </w:rPr>
              <w:lastRenderedPageBreak/>
              <w:t>GEFTF</w:t>
            </w:r>
          </w:p>
        </w:tc>
        <w:tc>
          <w:tcPr>
            <w:tcW w:w="600" w:type="pct"/>
            <w:shd w:val="clear" w:color="auto" w:fill="FFFFFF"/>
          </w:tcPr>
          <w:p w:rsidR="00090ABB" w:rsidRPr="006B6241" w:rsidRDefault="00090ABB" w:rsidP="007C5647">
            <w:pPr>
              <w:jc w:val="right"/>
              <w:rPr>
                <w:sz w:val="20"/>
                <w:szCs w:val="20"/>
                <w:lang w:eastAsia="zh-CN"/>
              </w:rPr>
            </w:pPr>
            <w:r w:rsidRPr="006B6241">
              <w:rPr>
                <w:sz w:val="20"/>
                <w:szCs w:val="20"/>
                <w:lang w:eastAsia="zh-CN"/>
              </w:rPr>
              <w:t>1,000,000</w:t>
            </w:r>
          </w:p>
        </w:tc>
        <w:tc>
          <w:tcPr>
            <w:tcW w:w="656" w:type="pct"/>
            <w:shd w:val="clear" w:color="auto" w:fill="FFFFFF"/>
          </w:tcPr>
          <w:p w:rsidR="00090ABB" w:rsidRPr="006B6241" w:rsidRDefault="00090ABB" w:rsidP="005D62B8">
            <w:pPr>
              <w:jc w:val="right"/>
              <w:rPr>
                <w:sz w:val="20"/>
                <w:szCs w:val="20"/>
                <w:lang w:eastAsia="zh-CN"/>
              </w:rPr>
            </w:pPr>
            <w:r w:rsidRPr="006B6241">
              <w:rPr>
                <w:sz w:val="20"/>
                <w:szCs w:val="20"/>
                <w:lang w:eastAsia="zh-CN"/>
              </w:rPr>
              <w:t>1,800,000</w:t>
            </w:r>
          </w:p>
        </w:tc>
      </w:tr>
      <w:tr w:rsidR="00090ABB" w:rsidRPr="006B6241" w:rsidTr="00ED49F1">
        <w:trPr>
          <w:jc w:val="center"/>
        </w:trPr>
        <w:tc>
          <w:tcPr>
            <w:tcW w:w="700" w:type="pct"/>
            <w:vMerge/>
            <w:shd w:val="clear" w:color="auto" w:fill="FFFFFF"/>
          </w:tcPr>
          <w:p w:rsidR="00090ABB" w:rsidRPr="006B6241" w:rsidRDefault="00090ABB" w:rsidP="000B4123">
            <w:pPr>
              <w:rPr>
                <w:sz w:val="20"/>
                <w:szCs w:val="20"/>
              </w:rPr>
            </w:pPr>
          </w:p>
        </w:tc>
        <w:tc>
          <w:tcPr>
            <w:tcW w:w="342" w:type="pct"/>
            <w:shd w:val="clear" w:color="auto" w:fill="FFFFFF"/>
          </w:tcPr>
          <w:p w:rsidR="00090ABB" w:rsidRPr="006B6241" w:rsidRDefault="00090ABB" w:rsidP="000B4123">
            <w:pPr>
              <w:rPr>
                <w:sz w:val="20"/>
                <w:szCs w:val="20"/>
              </w:rPr>
            </w:pPr>
            <w:r w:rsidRPr="006B6241">
              <w:rPr>
                <w:sz w:val="20"/>
                <w:szCs w:val="20"/>
              </w:rPr>
              <w:t>Inv</w:t>
            </w:r>
          </w:p>
        </w:tc>
        <w:tc>
          <w:tcPr>
            <w:tcW w:w="773" w:type="pct"/>
            <w:vMerge/>
            <w:shd w:val="clear" w:color="auto" w:fill="FFFFFF"/>
          </w:tcPr>
          <w:p w:rsidR="00090ABB" w:rsidRPr="006B6241" w:rsidRDefault="00090ABB" w:rsidP="00C44429">
            <w:pPr>
              <w:rPr>
                <w:sz w:val="20"/>
                <w:szCs w:val="20"/>
              </w:rPr>
            </w:pPr>
          </w:p>
        </w:tc>
        <w:tc>
          <w:tcPr>
            <w:tcW w:w="1500" w:type="pct"/>
            <w:shd w:val="clear" w:color="auto" w:fill="FFFFFF"/>
          </w:tcPr>
          <w:p w:rsidR="00090ABB" w:rsidRPr="006B6241" w:rsidRDefault="00090ABB" w:rsidP="00FA2181">
            <w:pPr>
              <w:numPr>
                <w:ilvl w:val="0"/>
                <w:numId w:val="35"/>
              </w:numPr>
              <w:ind w:left="162" w:hanging="180"/>
              <w:rPr>
                <w:sz w:val="20"/>
                <w:szCs w:val="20"/>
              </w:rPr>
            </w:pPr>
            <w:r w:rsidRPr="006B6241">
              <w:rPr>
                <w:sz w:val="20"/>
                <w:szCs w:val="20"/>
              </w:rPr>
              <w:t xml:space="preserve">Installed and operational green logistics-based centralized logistic facility in </w:t>
            </w:r>
            <w:proofErr w:type="spellStart"/>
            <w:r w:rsidRPr="006B6241">
              <w:rPr>
                <w:sz w:val="20"/>
                <w:szCs w:val="20"/>
              </w:rPr>
              <w:t>Fuyang</w:t>
            </w:r>
            <w:proofErr w:type="spellEnd"/>
            <w:r w:rsidRPr="006B6241">
              <w:rPr>
                <w:sz w:val="20"/>
                <w:szCs w:val="20"/>
              </w:rPr>
              <w:t xml:space="preserve"> City, Zhejiang Province</w:t>
            </w:r>
          </w:p>
          <w:p w:rsidR="00032601" w:rsidRPr="006B6241" w:rsidRDefault="00090ABB" w:rsidP="003B223B">
            <w:pPr>
              <w:numPr>
                <w:ilvl w:val="0"/>
                <w:numId w:val="35"/>
              </w:numPr>
              <w:ind w:left="162" w:hanging="180"/>
              <w:rPr>
                <w:sz w:val="20"/>
                <w:szCs w:val="20"/>
              </w:rPr>
            </w:pPr>
            <w:r w:rsidRPr="006B6241">
              <w:rPr>
                <w:sz w:val="20"/>
                <w:szCs w:val="20"/>
              </w:rPr>
              <w:t>Operational green logistics-based physical distribution system demonstration project in Zhejiang Province.</w:t>
            </w:r>
          </w:p>
        </w:tc>
        <w:tc>
          <w:tcPr>
            <w:tcW w:w="429" w:type="pct"/>
            <w:shd w:val="clear" w:color="auto" w:fill="FFFFFF"/>
          </w:tcPr>
          <w:p w:rsidR="00090ABB" w:rsidRPr="006B6241" w:rsidRDefault="00090ABB" w:rsidP="008228CC">
            <w:r w:rsidRPr="006B6241">
              <w:rPr>
                <w:sz w:val="20"/>
              </w:rPr>
              <w:t>GEFTF</w:t>
            </w:r>
          </w:p>
        </w:tc>
        <w:tc>
          <w:tcPr>
            <w:tcW w:w="600" w:type="pct"/>
            <w:shd w:val="clear" w:color="auto" w:fill="FFFFFF"/>
          </w:tcPr>
          <w:p w:rsidR="00090ABB" w:rsidRPr="006B6241" w:rsidRDefault="00090ABB" w:rsidP="007C5647">
            <w:pPr>
              <w:jc w:val="right"/>
              <w:rPr>
                <w:sz w:val="20"/>
                <w:szCs w:val="20"/>
                <w:lang w:eastAsia="zh-CN"/>
              </w:rPr>
            </w:pPr>
            <w:r w:rsidRPr="006B6241">
              <w:rPr>
                <w:rFonts w:hint="eastAsia"/>
                <w:sz w:val="20"/>
                <w:szCs w:val="20"/>
                <w:lang w:eastAsia="zh-CN"/>
              </w:rPr>
              <w:t>1,</w:t>
            </w:r>
            <w:r w:rsidRPr="006B6241">
              <w:rPr>
                <w:sz w:val="20"/>
                <w:szCs w:val="20"/>
                <w:lang w:eastAsia="zh-CN"/>
              </w:rPr>
              <w:t>000</w:t>
            </w:r>
            <w:r w:rsidRPr="006B6241">
              <w:rPr>
                <w:rFonts w:hint="eastAsia"/>
                <w:sz w:val="20"/>
                <w:szCs w:val="20"/>
                <w:lang w:eastAsia="zh-CN"/>
              </w:rPr>
              <w:t>,000</w:t>
            </w:r>
          </w:p>
        </w:tc>
        <w:tc>
          <w:tcPr>
            <w:tcW w:w="656" w:type="pct"/>
            <w:shd w:val="clear" w:color="auto" w:fill="FFFFFF"/>
          </w:tcPr>
          <w:p w:rsidR="00090ABB" w:rsidRPr="006B6241" w:rsidRDefault="00090ABB" w:rsidP="005D62B8">
            <w:pPr>
              <w:jc w:val="right"/>
              <w:rPr>
                <w:sz w:val="20"/>
                <w:szCs w:val="20"/>
                <w:lang w:eastAsia="zh-CN"/>
              </w:rPr>
            </w:pPr>
            <w:r w:rsidRPr="006B6241">
              <w:rPr>
                <w:rFonts w:hint="eastAsia"/>
                <w:sz w:val="20"/>
                <w:szCs w:val="20"/>
                <w:lang w:eastAsia="zh-CN"/>
              </w:rPr>
              <w:t>6,030,000</w:t>
            </w:r>
          </w:p>
        </w:tc>
      </w:tr>
      <w:tr w:rsidR="00BC717F" w:rsidRPr="006B6241" w:rsidTr="00ED49F1">
        <w:trPr>
          <w:trHeight w:val="980"/>
          <w:jc w:val="center"/>
        </w:trPr>
        <w:tc>
          <w:tcPr>
            <w:tcW w:w="700" w:type="pct"/>
            <w:shd w:val="clear" w:color="auto" w:fill="FFFFFF"/>
          </w:tcPr>
          <w:p w:rsidR="00BC717F" w:rsidRPr="006B6241" w:rsidRDefault="00BC717F" w:rsidP="000B4123">
            <w:pPr>
              <w:rPr>
                <w:sz w:val="20"/>
                <w:szCs w:val="20"/>
              </w:rPr>
            </w:pPr>
            <w:r w:rsidRPr="006B6241">
              <w:rPr>
                <w:sz w:val="20"/>
                <w:szCs w:val="20"/>
              </w:rPr>
              <w:t>3. Capacity Building and Promotion of Green Logistics Systems</w:t>
            </w:r>
          </w:p>
        </w:tc>
        <w:tc>
          <w:tcPr>
            <w:tcW w:w="342" w:type="pct"/>
            <w:shd w:val="clear" w:color="auto" w:fill="FFFFFF"/>
          </w:tcPr>
          <w:p w:rsidR="00BC717F" w:rsidRPr="006B6241" w:rsidRDefault="00BC717F" w:rsidP="000B4123">
            <w:pPr>
              <w:rPr>
                <w:sz w:val="20"/>
                <w:szCs w:val="20"/>
              </w:rPr>
            </w:pPr>
            <w:r w:rsidRPr="006B6241">
              <w:rPr>
                <w:sz w:val="20"/>
                <w:szCs w:val="20"/>
              </w:rPr>
              <w:t>TA</w:t>
            </w:r>
          </w:p>
        </w:tc>
        <w:tc>
          <w:tcPr>
            <w:tcW w:w="773" w:type="pct"/>
            <w:shd w:val="clear" w:color="auto" w:fill="FFFFFF"/>
          </w:tcPr>
          <w:p w:rsidR="00BC717F" w:rsidRPr="006B6241" w:rsidRDefault="00BC717F" w:rsidP="000B4123">
            <w:pPr>
              <w:rPr>
                <w:sz w:val="20"/>
                <w:szCs w:val="20"/>
              </w:rPr>
            </w:pPr>
            <w:r w:rsidRPr="006B6241">
              <w:rPr>
                <w:sz w:val="20"/>
                <w:szCs w:val="20"/>
              </w:rPr>
              <w:t>Increased application and utilization of energy efficient materials management and physical distribution techniques, technologies and practices in the logistics and manufacturing industries in Zhejiang Province</w:t>
            </w:r>
          </w:p>
        </w:tc>
        <w:tc>
          <w:tcPr>
            <w:tcW w:w="1500" w:type="pct"/>
            <w:shd w:val="clear" w:color="auto" w:fill="FFFFFF"/>
          </w:tcPr>
          <w:p w:rsidR="00BC717F" w:rsidRPr="006B6241" w:rsidRDefault="00BC717F" w:rsidP="00FA2181">
            <w:pPr>
              <w:numPr>
                <w:ilvl w:val="0"/>
                <w:numId w:val="35"/>
              </w:numPr>
              <w:ind w:left="162" w:hanging="180"/>
              <w:rPr>
                <w:sz w:val="20"/>
                <w:szCs w:val="20"/>
              </w:rPr>
            </w:pPr>
            <w:r w:rsidRPr="006B6241">
              <w:rPr>
                <w:sz w:val="20"/>
                <w:szCs w:val="20"/>
              </w:rPr>
              <w:t>Completed assessment report on the capacity development needs in the area of green logistics and developed green logistics capacity building program</w:t>
            </w:r>
            <w:r w:rsidRPr="006B6241">
              <w:rPr>
                <w:rStyle w:val="FootnoteReference"/>
                <w:sz w:val="20"/>
                <w:szCs w:val="20"/>
              </w:rPr>
              <w:footnoteReference w:id="5"/>
            </w:r>
          </w:p>
          <w:p w:rsidR="00BC717F" w:rsidRPr="006B6241" w:rsidRDefault="00BC717F" w:rsidP="00FA2181">
            <w:pPr>
              <w:numPr>
                <w:ilvl w:val="0"/>
                <w:numId w:val="35"/>
              </w:numPr>
              <w:ind w:left="162" w:hanging="180"/>
              <w:rPr>
                <w:sz w:val="20"/>
                <w:szCs w:val="20"/>
              </w:rPr>
            </w:pPr>
            <w:r w:rsidRPr="006B6241">
              <w:rPr>
                <w:sz w:val="20"/>
                <w:szCs w:val="20"/>
              </w:rPr>
              <w:t>Completed green logistics training courses for government authorities and relevant stakeholders in the logistics and manufacturing industries in Zhejiang Province (e.g., concepts, practices, methodologies)</w:t>
            </w:r>
          </w:p>
          <w:p w:rsidR="00BC717F" w:rsidRPr="006B6241" w:rsidRDefault="00BC717F" w:rsidP="00FA2181">
            <w:pPr>
              <w:numPr>
                <w:ilvl w:val="0"/>
                <w:numId w:val="35"/>
              </w:numPr>
              <w:ind w:left="162" w:hanging="180"/>
              <w:rPr>
                <w:sz w:val="20"/>
                <w:szCs w:val="20"/>
              </w:rPr>
            </w:pPr>
            <w:r w:rsidRPr="006B6241">
              <w:rPr>
                <w:sz w:val="20"/>
                <w:szCs w:val="20"/>
              </w:rPr>
              <w:t xml:space="preserve">Completed </w:t>
            </w:r>
            <w:r w:rsidR="00DA3EAF" w:rsidRPr="006B6241">
              <w:rPr>
                <w:sz w:val="20"/>
                <w:szCs w:val="20"/>
              </w:rPr>
              <w:t xml:space="preserve">and disseminated technical </w:t>
            </w:r>
            <w:r w:rsidRPr="006B6241">
              <w:rPr>
                <w:sz w:val="20"/>
                <w:szCs w:val="20"/>
              </w:rPr>
              <w:t xml:space="preserve">guidance documents </w:t>
            </w:r>
            <w:r w:rsidR="00A66BCA" w:rsidRPr="006B6241">
              <w:rPr>
                <w:sz w:val="20"/>
                <w:szCs w:val="20"/>
              </w:rPr>
              <w:t xml:space="preserve">including web-based tools </w:t>
            </w:r>
            <w:r w:rsidRPr="006B6241">
              <w:rPr>
                <w:sz w:val="20"/>
                <w:szCs w:val="20"/>
              </w:rPr>
              <w:t>on green logistics systems</w:t>
            </w:r>
          </w:p>
          <w:p w:rsidR="00BC717F" w:rsidRPr="006B6241" w:rsidRDefault="00BC717F" w:rsidP="00FA2181">
            <w:pPr>
              <w:numPr>
                <w:ilvl w:val="0"/>
                <w:numId w:val="35"/>
              </w:numPr>
              <w:ind w:left="162" w:hanging="180"/>
              <w:rPr>
                <w:sz w:val="20"/>
                <w:szCs w:val="20"/>
              </w:rPr>
            </w:pPr>
            <w:r w:rsidRPr="006B6241">
              <w:rPr>
                <w:sz w:val="20"/>
                <w:szCs w:val="20"/>
              </w:rPr>
              <w:t>Conducted promotional workshops and/or activities to disseminate demo program results and documents, and to enhance awareness and knowledge in green logistics systems.</w:t>
            </w:r>
          </w:p>
          <w:p w:rsidR="00BC717F" w:rsidRPr="006B6241" w:rsidRDefault="00BC717F" w:rsidP="00FA2181">
            <w:pPr>
              <w:numPr>
                <w:ilvl w:val="0"/>
                <w:numId w:val="35"/>
              </w:numPr>
              <w:ind w:left="162" w:hanging="180"/>
              <w:rPr>
                <w:sz w:val="20"/>
                <w:szCs w:val="20"/>
              </w:rPr>
            </w:pPr>
            <w:r w:rsidRPr="006B6241">
              <w:rPr>
                <w:sz w:val="20"/>
                <w:szCs w:val="20"/>
              </w:rPr>
              <w:t>Completed and fully evaluated program for the promotion and capacity building of green logistics systems</w:t>
            </w:r>
          </w:p>
          <w:p w:rsidR="00FE0C96" w:rsidRPr="006B6241" w:rsidRDefault="004323EA" w:rsidP="00B82244">
            <w:pPr>
              <w:numPr>
                <w:ilvl w:val="0"/>
                <w:numId w:val="35"/>
              </w:numPr>
              <w:ind w:left="162" w:hanging="180"/>
              <w:rPr>
                <w:sz w:val="20"/>
                <w:szCs w:val="20"/>
              </w:rPr>
            </w:pPr>
            <w:r w:rsidRPr="006B6241">
              <w:rPr>
                <w:sz w:val="20"/>
                <w:szCs w:val="20"/>
              </w:rPr>
              <w:t xml:space="preserve">Designed, endorsed and implemented energy </w:t>
            </w:r>
            <w:r w:rsidR="00B82244" w:rsidRPr="006B6241">
              <w:rPr>
                <w:sz w:val="20"/>
                <w:szCs w:val="20"/>
              </w:rPr>
              <w:t xml:space="preserve">performance </w:t>
            </w:r>
            <w:r w:rsidRPr="006B6241">
              <w:rPr>
                <w:sz w:val="20"/>
                <w:szCs w:val="20"/>
              </w:rPr>
              <w:t xml:space="preserve">rating program for LSPs in Zhejiang Province </w:t>
            </w:r>
          </w:p>
        </w:tc>
        <w:tc>
          <w:tcPr>
            <w:tcW w:w="429" w:type="pct"/>
            <w:shd w:val="clear" w:color="auto" w:fill="FFFFFF"/>
          </w:tcPr>
          <w:p w:rsidR="00BC717F" w:rsidRPr="006B6241" w:rsidRDefault="00BC717F" w:rsidP="008228CC">
            <w:r w:rsidRPr="006B6241">
              <w:rPr>
                <w:sz w:val="20"/>
              </w:rPr>
              <w:t>GEFTF</w:t>
            </w:r>
          </w:p>
        </w:tc>
        <w:tc>
          <w:tcPr>
            <w:tcW w:w="600" w:type="pct"/>
            <w:shd w:val="clear" w:color="auto" w:fill="FFFFFF"/>
          </w:tcPr>
          <w:p w:rsidR="00BC717F" w:rsidRPr="006B6241" w:rsidRDefault="007C5647" w:rsidP="00016155">
            <w:pPr>
              <w:jc w:val="right"/>
              <w:rPr>
                <w:sz w:val="20"/>
                <w:szCs w:val="20"/>
                <w:lang w:eastAsia="zh-CN"/>
              </w:rPr>
            </w:pPr>
            <w:r w:rsidRPr="006B6241">
              <w:rPr>
                <w:sz w:val="20"/>
                <w:szCs w:val="20"/>
                <w:lang w:eastAsia="zh-CN"/>
              </w:rPr>
              <w:t>2</w:t>
            </w:r>
            <w:r w:rsidR="00995E0C" w:rsidRPr="006B6241">
              <w:rPr>
                <w:sz w:val="20"/>
                <w:szCs w:val="20"/>
                <w:lang w:eastAsia="zh-CN"/>
              </w:rPr>
              <w:t>7</w:t>
            </w:r>
            <w:r w:rsidR="00016155" w:rsidRPr="006B6241">
              <w:rPr>
                <w:sz w:val="20"/>
                <w:szCs w:val="20"/>
                <w:lang w:eastAsia="zh-CN"/>
              </w:rPr>
              <w:t>4</w:t>
            </w:r>
            <w:r w:rsidR="00BC717F" w:rsidRPr="006B6241">
              <w:rPr>
                <w:rFonts w:hint="eastAsia"/>
                <w:sz w:val="20"/>
                <w:szCs w:val="20"/>
                <w:lang w:eastAsia="zh-CN"/>
              </w:rPr>
              <w:t>,</w:t>
            </w:r>
            <w:r w:rsidR="00016155" w:rsidRPr="006B6241">
              <w:rPr>
                <w:sz w:val="20"/>
                <w:szCs w:val="20"/>
                <w:lang w:eastAsia="zh-CN"/>
              </w:rPr>
              <w:t>95</w:t>
            </w:r>
            <w:r w:rsidR="00BC717F" w:rsidRPr="006B6241">
              <w:rPr>
                <w:rFonts w:hint="eastAsia"/>
                <w:sz w:val="20"/>
                <w:szCs w:val="20"/>
                <w:lang w:eastAsia="zh-CN"/>
              </w:rPr>
              <w:t>0</w:t>
            </w:r>
          </w:p>
        </w:tc>
        <w:tc>
          <w:tcPr>
            <w:tcW w:w="656" w:type="pct"/>
            <w:shd w:val="clear" w:color="auto" w:fill="FFFFFF"/>
          </w:tcPr>
          <w:p w:rsidR="00BC717F" w:rsidRPr="006B6241" w:rsidRDefault="00BC717F" w:rsidP="005D62B8">
            <w:pPr>
              <w:jc w:val="right"/>
              <w:rPr>
                <w:sz w:val="20"/>
                <w:szCs w:val="20"/>
                <w:lang w:eastAsia="zh-CN"/>
              </w:rPr>
            </w:pPr>
            <w:r w:rsidRPr="006B6241">
              <w:rPr>
                <w:rFonts w:hint="eastAsia"/>
                <w:sz w:val="20"/>
                <w:szCs w:val="20"/>
                <w:lang w:eastAsia="zh-CN"/>
              </w:rPr>
              <w:t>1,500,000</w:t>
            </w:r>
          </w:p>
        </w:tc>
      </w:tr>
      <w:tr w:rsidR="00BC717F" w:rsidRPr="006B6241" w:rsidTr="00ED49F1">
        <w:trPr>
          <w:jc w:val="center"/>
        </w:trPr>
        <w:tc>
          <w:tcPr>
            <w:tcW w:w="1815" w:type="pct"/>
            <w:gridSpan w:val="3"/>
            <w:shd w:val="clear" w:color="auto" w:fill="FFFFFF"/>
          </w:tcPr>
          <w:p w:rsidR="00BC717F" w:rsidRPr="006B6241" w:rsidRDefault="00BC717F" w:rsidP="008228CC">
            <w:pPr>
              <w:jc w:val="right"/>
              <w:rPr>
                <w:sz w:val="20"/>
                <w:szCs w:val="20"/>
              </w:rPr>
            </w:pPr>
            <w:r w:rsidRPr="006B6241">
              <w:rPr>
                <w:sz w:val="20"/>
                <w:szCs w:val="20"/>
              </w:rPr>
              <w:lastRenderedPageBreak/>
              <w:t>Subtotal</w:t>
            </w:r>
          </w:p>
        </w:tc>
        <w:tc>
          <w:tcPr>
            <w:tcW w:w="1500" w:type="pct"/>
            <w:shd w:val="clear" w:color="auto" w:fill="FFFFFF"/>
          </w:tcPr>
          <w:p w:rsidR="00BC717F" w:rsidRPr="006B6241" w:rsidRDefault="00BC717F" w:rsidP="008228CC">
            <w:pPr>
              <w:jc w:val="right"/>
              <w:rPr>
                <w:sz w:val="20"/>
                <w:szCs w:val="20"/>
              </w:rPr>
            </w:pPr>
          </w:p>
        </w:tc>
        <w:tc>
          <w:tcPr>
            <w:tcW w:w="429" w:type="pct"/>
            <w:shd w:val="clear" w:color="auto" w:fill="FFFFFF"/>
          </w:tcPr>
          <w:p w:rsidR="00BC717F" w:rsidRPr="006B6241" w:rsidRDefault="00BC717F" w:rsidP="008228CC">
            <w:pPr>
              <w:jc w:val="right"/>
              <w:rPr>
                <w:sz w:val="20"/>
                <w:szCs w:val="20"/>
              </w:rPr>
            </w:pPr>
          </w:p>
        </w:tc>
        <w:tc>
          <w:tcPr>
            <w:tcW w:w="600" w:type="pct"/>
            <w:shd w:val="clear" w:color="auto" w:fill="FFFFFF"/>
          </w:tcPr>
          <w:p w:rsidR="00BC717F" w:rsidRPr="006B6241" w:rsidRDefault="00BC717F" w:rsidP="00016155">
            <w:pPr>
              <w:jc w:val="right"/>
              <w:rPr>
                <w:sz w:val="20"/>
                <w:szCs w:val="20"/>
                <w:lang w:eastAsia="zh-CN"/>
              </w:rPr>
            </w:pPr>
            <w:r w:rsidRPr="006B6241">
              <w:rPr>
                <w:sz w:val="20"/>
                <w:szCs w:val="20"/>
                <w:lang w:eastAsia="zh-CN"/>
              </w:rPr>
              <w:t>2</w:t>
            </w:r>
            <w:r w:rsidRPr="006B6241">
              <w:rPr>
                <w:rFonts w:hint="eastAsia"/>
                <w:sz w:val="20"/>
                <w:szCs w:val="20"/>
                <w:lang w:eastAsia="zh-CN"/>
              </w:rPr>
              <w:t>,</w:t>
            </w:r>
            <w:r w:rsidR="00B711BF" w:rsidRPr="006B6241">
              <w:rPr>
                <w:sz w:val="20"/>
                <w:szCs w:val="20"/>
                <w:lang w:eastAsia="zh-CN"/>
              </w:rPr>
              <w:t>7</w:t>
            </w:r>
            <w:r w:rsidR="00016155" w:rsidRPr="006B6241">
              <w:rPr>
                <w:sz w:val="20"/>
                <w:szCs w:val="20"/>
                <w:lang w:eastAsia="zh-CN"/>
              </w:rPr>
              <w:t>74</w:t>
            </w:r>
            <w:r w:rsidR="00B711BF" w:rsidRPr="006B6241">
              <w:rPr>
                <w:sz w:val="20"/>
                <w:szCs w:val="20"/>
                <w:lang w:eastAsia="zh-CN"/>
              </w:rPr>
              <w:t>,</w:t>
            </w:r>
            <w:r w:rsidR="00016155" w:rsidRPr="006B6241">
              <w:rPr>
                <w:sz w:val="20"/>
                <w:szCs w:val="20"/>
                <w:lang w:eastAsia="zh-CN"/>
              </w:rPr>
              <w:t>950</w:t>
            </w:r>
          </w:p>
        </w:tc>
        <w:tc>
          <w:tcPr>
            <w:tcW w:w="656" w:type="pct"/>
            <w:shd w:val="clear" w:color="auto" w:fill="FFFFFF"/>
          </w:tcPr>
          <w:p w:rsidR="00BC717F" w:rsidRPr="006B6241" w:rsidRDefault="00081258" w:rsidP="00081258">
            <w:pPr>
              <w:jc w:val="right"/>
              <w:rPr>
                <w:sz w:val="20"/>
                <w:szCs w:val="20"/>
                <w:lang w:eastAsia="zh-CN"/>
              </w:rPr>
            </w:pPr>
            <w:r w:rsidRPr="006B6241">
              <w:rPr>
                <w:sz w:val="20"/>
                <w:szCs w:val="20"/>
                <w:lang w:eastAsia="zh-CN"/>
              </w:rPr>
              <w:t>11</w:t>
            </w:r>
            <w:r w:rsidR="00BC717F" w:rsidRPr="006B6241">
              <w:rPr>
                <w:rFonts w:hint="eastAsia"/>
                <w:sz w:val="20"/>
                <w:szCs w:val="20"/>
                <w:lang w:eastAsia="zh-CN"/>
              </w:rPr>
              <w:t>,</w:t>
            </w:r>
            <w:r w:rsidRPr="006B6241">
              <w:rPr>
                <w:sz w:val="20"/>
                <w:szCs w:val="20"/>
                <w:lang w:eastAsia="zh-CN"/>
              </w:rPr>
              <w:t>3</w:t>
            </w:r>
            <w:r w:rsidR="00BC717F" w:rsidRPr="006B6241">
              <w:rPr>
                <w:rFonts w:hint="eastAsia"/>
                <w:sz w:val="20"/>
                <w:szCs w:val="20"/>
                <w:lang w:eastAsia="zh-CN"/>
              </w:rPr>
              <w:t>30,000</w:t>
            </w:r>
          </w:p>
        </w:tc>
      </w:tr>
      <w:tr w:rsidR="00BC717F" w:rsidRPr="006B6241" w:rsidTr="00ED49F1">
        <w:trPr>
          <w:jc w:val="center"/>
        </w:trPr>
        <w:tc>
          <w:tcPr>
            <w:tcW w:w="1815" w:type="pct"/>
            <w:gridSpan w:val="3"/>
            <w:shd w:val="clear" w:color="auto" w:fill="FFFFFF"/>
          </w:tcPr>
          <w:p w:rsidR="00BC717F" w:rsidRPr="006B6241" w:rsidRDefault="00BC717F" w:rsidP="00A74CB7">
            <w:pPr>
              <w:jc w:val="right"/>
              <w:rPr>
                <w:sz w:val="20"/>
                <w:szCs w:val="20"/>
              </w:rPr>
            </w:pPr>
            <w:r w:rsidRPr="006B6241">
              <w:rPr>
                <w:sz w:val="20"/>
                <w:szCs w:val="20"/>
              </w:rPr>
              <w:t>Project Management Cost (PMC)</w:t>
            </w:r>
            <w:r w:rsidRPr="006B6241">
              <w:rPr>
                <w:rStyle w:val="FootnoteReference"/>
                <w:sz w:val="20"/>
                <w:szCs w:val="20"/>
              </w:rPr>
              <w:footnoteReference w:id="6"/>
            </w:r>
          </w:p>
        </w:tc>
        <w:tc>
          <w:tcPr>
            <w:tcW w:w="1500" w:type="pct"/>
            <w:shd w:val="clear" w:color="auto" w:fill="FFFFFF"/>
          </w:tcPr>
          <w:p w:rsidR="00BC717F" w:rsidRPr="006B6241" w:rsidRDefault="00BC717F" w:rsidP="008228CC">
            <w:pPr>
              <w:rPr>
                <w:sz w:val="20"/>
                <w:szCs w:val="20"/>
              </w:rPr>
            </w:pPr>
          </w:p>
        </w:tc>
        <w:tc>
          <w:tcPr>
            <w:tcW w:w="429" w:type="pct"/>
            <w:shd w:val="clear" w:color="auto" w:fill="FFFFFF"/>
          </w:tcPr>
          <w:p w:rsidR="00BC717F" w:rsidRPr="006B6241" w:rsidRDefault="00BC717F" w:rsidP="008228CC">
            <w:pPr>
              <w:rPr>
                <w:sz w:val="20"/>
                <w:szCs w:val="20"/>
              </w:rPr>
            </w:pPr>
            <w:r w:rsidRPr="006B6241">
              <w:rPr>
                <w:sz w:val="20"/>
                <w:szCs w:val="20"/>
              </w:rPr>
              <w:t>GEFTF</w:t>
            </w:r>
          </w:p>
        </w:tc>
        <w:tc>
          <w:tcPr>
            <w:tcW w:w="600" w:type="pct"/>
            <w:shd w:val="clear" w:color="auto" w:fill="FFFFFF"/>
          </w:tcPr>
          <w:p w:rsidR="00BC717F" w:rsidRPr="006B6241" w:rsidRDefault="00BC717F" w:rsidP="00016155">
            <w:pPr>
              <w:jc w:val="right"/>
              <w:rPr>
                <w:sz w:val="20"/>
                <w:szCs w:val="20"/>
                <w:lang w:eastAsia="zh-CN"/>
              </w:rPr>
            </w:pPr>
            <w:r w:rsidRPr="006B6241">
              <w:rPr>
                <w:rFonts w:hint="eastAsia"/>
                <w:sz w:val="20"/>
                <w:szCs w:val="20"/>
                <w:lang w:eastAsia="zh-CN"/>
              </w:rPr>
              <w:t>1</w:t>
            </w:r>
            <w:r w:rsidRPr="006B6241">
              <w:rPr>
                <w:sz w:val="20"/>
                <w:szCs w:val="20"/>
                <w:lang w:eastAsia="zh-CN"/>
              </w:rPr>
              <w:t>3</w:t>
            </w:r>
            <w:r w:rsidR="00016155" w:rsidRPr="006B6241">
              <w:rPr>
                <w:sz w:val="20"/>
                <w:szCs w:val="20"/>
                <w:lang w:eastAsia="zh-CN"/>
              </w:rPr>
              <w:t>8</w:t>
            </w:r>
            <w:r w:rsidRPr="006B6241">
              <w:rPr>
                <w:rFonts w:hint="eastAsia"/>
                <w:sz w:val="20"/>
                <w:szCs w:val="20"/>
                <w:lang w:eastAsia="zh-CN"/>
              </w:rPr>
              <w:t>,</w:t>
            </w:r>
            <w:r w:rsidR="00016155" w:rsidRPr="006B6241">
              <w:rPr>
                <w:sz w:val="20"/>
                <w:szCs w:val="20"/>
                <w:lang w:eastAsia="zh-CN"/>
              </w:rPr>
              <w:t>750</w:t>
            </w:r>
          </w:p>
        </w:tc>
        <w:tc>
          <w:tcPr>
            <w:tcW w:w="656" w:type="pct"/>
            <w:shd w:val="clear" w:color="auto" w:fill="FFFFFF"/>
          </w:tcPr>
          <w:p w:rsidR="00BC717F" w:rsidRPr="006B6241" w:rsidRDefault="00BC717F" w:rsidP="005D62B8">
            <w:pPr>
              <w:jc w:val="right"/>
              <w:rPr>
                <w:sz w:val="20"/>
                <w:szCs w:val="20"/>
                <w:lang w:eastAsia="zh-CN"/>
              </w:rPr>
            </w:pPr>
            <w:r w:rsidRPr="006B6241">
              <w:rPr>
                <w:rFonts w:hint="eastAsia"/>
                <w:sz w:val="20"/>
                <w:szCs w:val="20"/>
                <w:lang w:eastAsia="zh-CN"/>
              </w:rPr>
              <w:t>800,000</w:t>
            </w:r>
          </w:p>
        </w:tc>
      </w:tr>
      <w:tr w:rsidR="00BC717F" w:rsidRPr="006B6241" w:rsidTr="00ED49F1">
        <w:trPr>
          <w:jc w:val="center"/>
        </w:trPr>
        <w:tc>
          <w:tcPr>
            <w:tcW w:w="1815" w:type="pct"/>
            <w:gridSpan w:val="3"/>
            <w:shd w:val="clear" w:color="auto" w:fill="FFFFFF"/>
          </w:tcPr>
          <w:p w:rsidR="00BC717F" w:rsidRPr="006B6241" w:rsidRDefault="00BC717F" w:rsidP="008228CC">
            <w:pPr>
              <w:jc w:val="right"/>
              <w:rPr>
                <w:sz w:val="20"/>
                <w:szCs w:val="20"/>
              </w:rPr>
            </w:pPr>
            <w:r w:rsidRPr="006B6241">
              <w:rPr>
                <w:sz w:val="20"/>
                <w:szCs w:val="20"/>
              </w:rPr>
              <w:t>Total Project Cost</w:t>
            </w:r>
          </w:p>
        </w:tc>
        <w:tc>
          <w:tcPr>
            <w:tcW w:w="1500" w:type="pct"/>
            <w:shd w:val="clear" w:color="auto" w:fill="FFFFFF"/>
          </w:tcPr>
          <w:p w:rsidR="00BC717F" w:rsidRPr="006B6241" w:rsidRDefault="00BC717F" w:rsidP="008228CC">
            <w:pPr>
              <w:jc w:val="right"/>
              <w:rPr>
                <w:sz w:val="20"/>
                <w:szCs w:val="20"/>
              </w:rPr>
            </w:pPr>
          </w:p>
        </w:tc>
        <w:tc>
          <w:tcPr>
            <w:tcW w:w="429" w:type="pct"/>
            <w:shd w:val="clear" w:color="auto" w:fill="FFFFFF"/>
          </w:tcPr>
          <w:p w:rsidR="00BC717F" w:rsidRPr="006B6241" w:rsidRDefault="00BC717F" w:rsidP="008228CC">
            <w:pPr>
              <w:jc w:val="right"/>
              <w:rPr>
                <w:sz w:val="20"/>
                <w:szCs w:val="20"/>
              </w:rPr>
            </w:pPr>
          </w:p>
        </w:tc>
        <w:tc>
          <w:tcPr>
            <w:tcW w:w="600" w:type="pct"/>
            <w:shd w:val="clear" w:color="auto" w:fill="FFFFFF"/>
          </w:tcPr>
          <w:p w:rsidR="00BC717F" w:rsidRPr="006B6241" w:rsidRDefault="00995E0C" w:rsidP="005D62B8">
            <w:pPr>
              <w:jc w:val="right"/>
              <w:rPr>
                <w:sz w:val="20"/>
                <w:szCs w:val="20"/>
                <w:lang w:eastAsia="zh-CN"/>
              </w:rPr>
            </w:pPr>
            <w:r w:rsidRPr="006B6241">
              <w:rPr>
                <w:sz w:val="20"/>
                <w:szCs w:val="20"/>
                <w:lang w:eastAsia="zh-CN"/>
              </w:rPr>
              <w:t>2,91</w:t>
            </w:r>
            <w:r w:rsidR="00B711BF" w:rsidRPr="006B6241">
              <w:rPr>
                <w:sz w:val="20"/>
                <w:szCs w:val="20"/>
                <w:lang w:eastAsia="zh-CN"/>
              </w:rPr>
              <w:t>3,700</w:t>
            </w:r>
          </w:p>
        </w:tc>
        <w:tc>
          <w:tcPr>
            <w:tcW w:w="656" w:type="pct"/>
            <w:shd w:val="clear" w:color="auto" w:fill="FFFFFF"/>
          </w:tcPr>
          <w:p w:rsidR="00BC717F" w:rsidRPr="006B6241" w:rsidRDefault="00BC717F" w:rsidP="005D62B8">
            <w:pPr>
              <w:jc w:val="right"/>
              <w:rPr>
                <w:sz w:val="20"/>
                <w:szCs w:val="20"/>
                <w:lang w:eastAsia="zh-CN"/>
              </w:rPr>
            </w:pPr>
            <w:r w:rsidRPr="006B6241">
              <w:rPr>
                <w:rFonts w:hint="eastAsia"/>
                <w:sz w:val="20"/>
                <w:szCs w:val="20"/>
                <w:lang w:eastAsia="zh-CN"/>
              </w:rPr>
              <w:t>12,130,000</w:t>
            </w:r>
          </w:p>
        </w:tc>
      </w:tr>
    </w:tbl>
    <w:p w:rsidR="005569A6" w:rsidRPr="006B6241" w:rsidRDefault="005569A6" w:rsidP="008228CC">
      <w:pPr>
        <w:ind w:right="-547"/>
        <w:rPr>
          <w:b/>
          <w:sz w:val="20"/>
          <w:szCs w:val="20"/>
        </w:rPr>
      </w:pPr>
    </w:p>
    <w:p w:rsidR="00276471" w:rsidRPr="006B6241" w:rsidRDefault="00407952" w:rsidP="008228CC">
      <w:pPr>
        <w:pStyle w:val="Footer"/>
        <w:numPr>
          <w:ilvl w:val="0"/>
          <w:numId w:val="27"/>
        </w:numPr>
        <w:tabs>
          <w:tab w:val="clear" w:pos="4320"/>
          <w:tab w:val="clear" w:pos="8640"/>
        </w:tabs>
        <w:rPr>
          <w:b/>
          <w:smallCaps/>
        </w:rPr>
      </w:pPr>
      <w:r w:rsidRPr="006B6241">
        <w:rPr>
          <w:b/>
          <w:smallCaps/>
        </w:rPr>
        <w:t xml:space="preserve">Indicative </w:t>
      </w:r>
      <w:hyperlink r:id="rId11" w:history="1">
        <w:r w:rsidRPr="006B6241">
          <w:rPr>
            <w:b/>
            <w:smallCaps/>
          </w:rPr>
          <w:t>Co-financing</w:t>
        </w:r>
      </w:hyperlink>
      <w:r w:rsidRPr="006B6241">
        <w:rPr>
          <w:b/>
          <w:smallCaps/>
        </w:rPr>
        <w:t xml:space="preserve"> for the project by source and by name if available, ($)</w:t>
      </w:r>
    </w:p>
    <w:p w:rsidR="006F289E" w:rsidRPr="006B6241" w:rsidRDefault="006F289E" w:rsidP="008228CC">
      <w:pPr>
        <w:pStyle w:val="Footer"/>
        <w:tabs>
          <w:tab w:val="clear" w:pos="4320"/>
          <w:tab w:val="clear" w:pos="8640"/>
        </w:tabs>
        <w:ind w:left="720"/>
        <w:rPr>
          <w:b/>
          <w:smallCaps/>
        </w:rPr>
      </w:pPr>
    </w:p>
    <w:tbl>
      <w:tblPr>
        <w:tblW w:w="5482" w:type="pct"/>
        <w:jc w:val="center"/>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4"/>
        <w:gridCol w:w="5128"/>
        <w:gridCol w:w="1558"/>
        <w:gridCol w:w="1529"/>
      </w:tblGrid>
      <w:tr w:rsidR="00407952" w:rsidRPr="006B6241" w:rsidTr="00081258">
        <w:trPr>
          <w:cantSplit/>
          <w:jc w:val="center"/>
        </w:trPr>
        <w:tc>
          <w:tcPr>
            <w:tcW w:w="1088" w:type="pct"/>
            <w:vAlign w:val="center"/>
          </w:tcPr>
          <w:p w:rsidR="00407952" w:rsidRPr="006B6241" w:rsidRDefault="005B6ABF" w:rsidP="008228CC">
            <w:pPr>
              <w:jc w:val="center"/>
              <w:rPr>
                <w:b/>
                <w:sz w:val="22"/>
                <w:szCs w:val="22"/>
              </w:rPr>
            </w:pPr>
            <w:r w:rsidRPr="006B6241">
              <w:rPr>
                <w:b/>
                <w:sz w:val="22"/>
                <w:szCs w:val="22"/>
              </w:rPr>
              <w:t>Sources of Co</w:t>
            </w:r>
            <w:r w:rsidR="00CE00A7" w:rsidRPr="006B6241">
              <w:rPr>
                <w:b/>
                <w:sz w:val="22"/>
                <w:szCs w:val="22"/>
              </w:rPr>
              <w:t>-</w:t>
            </w:r>
            <w:r w:rsidR="00407952" w:rsidRPr="006B6241">
              <w:rPr>
                <w:b/>
                <w:sz w:val="22"/>
                <w:szCs w:val="22"/>
              </w:rPr>
              <w:t>financing</w:t>
            </w:r>
            <w:r w:rsidR="00AE49B5" w:rsidRPr="006B6241">
              <w:rPr>
                <w:b/>
                <w:sz w:val="22"/>
                <w:szCs w:val="22"/>
              </w:rPr>
              <w:t xml:space="preserve"> </w:t>
            </w:r>
          </w:p>
        </w:tc>
        <w:tc>
          <w:tcPr>
            <w:tcW w:w="2442" w:type="pct"/>
            <w:vAlign w:val="center"/>
          </w:tcPr>
          <w:p w:rsidR="00407952" w:rsidRPr="006B6241" w:rsidRDefault="00407952" w:rsidP="008228CC">
            <w:pPr>
              <w:jc w:val="center"/>
              <w:rPr>
                <w:b/>
                <w:sz w:val="22"/>
                <w:szCs w:val="22"/>
              </w:rPr>
            </w:pPr>
            <w:r w:rsidRPr="006B6241">
              <w:rPr>
                <w:b/>
                <w:sz w:val="22"/>
                <w:szCs w:val="22"/>
              </w:rPr>
              <w:t>Na</w:t>
            </w:r>
            <w:r w:rsidR="005B6ABF" w:rsidRPr="006B6241">
              <w:rPr>
                <w:b/>
                <w:sz w:val="22"/>
                <w:szCs w:val="22"/>
              </w:rPr>
              <w:t>me of Co</w:t>
            </w:r>
            <w:r w:rsidR="00CE00A7" w:rsidRPr="006B6241">
              <w:rPr>
                <w:b/>
                <w:sz w:val="22"/>
                <w:szCs w:val="22"/>
              </w:rPr>
              <w:t>-</w:t>
            </w:r>
            <w:r w:rsidRPr="006B6241">
              <w:rPr>
                <w:b/>
                <w:sz w:val="22"/>
                <w:szCs w:val="22"/>
              </w:rPr>
              <w:t>financier</w:t>
            </w:r>
          </w:p>
        </w:tc>
        <w:tc>
          <w:tcPr>
            <w:tcW w:w="742" w:type="pct"/>
            <w:shd w:val="clear" w:color="auto" w:fill="auto"/>
            <w:vAlign w:val="center"/>
          </w:tcPr>
          <w:p w:rsidR="00407952" w:rsidRPr="006B6241" w:rsidRDefault="005B6ABF" w:rsidP="008228CC">
            <w:pPr>
              <w:ind w:left="5"/>
              <w:jc w:val="center"/>
              <w:rPr>
                <w:b/>
                <w:sz w:val="22"/>
                <w:szCs w:val="22"/>
              </w:rPr>
            </w:pPr>
            <w:r w:rsidRPr="006B6241">
              <w:rPr>
                <w:b/>
                <w:sz w:val="22"/>
                <w:szCs w:val="22"/>
              </w:rPr>
              <w:t>Type of Co</w:t>
            </w:r>
            <w:r w:rsidR="00CE00A7" w:rsidRPr="006B6241">
              <w:rPr>
                <w:b/>
                <w:sz w:val="22"/>
                <w:szCs w:val="22"/>
              </w:rPr>
              <w:t>-</w:t>
            </w:r>
            <w:r w:rsidR="00407952" w:rsidRPr="006B6241">
              <w:rPr>
                <w:b/>
                <w:sz w:val="22"/>
                <w:szCs w:val="22"/>
              </w:rPr>
              <w:t>financing</w:t>
            </w:r>
          </w:p>
        </w:tc>
        <w:tc>
          <w:tcPr>
            <w:tcW w:w="728" w:type="pct"/>
            <w:vAlign w:val="center"/>
          </w:tcPr>
          <w:p w:rsidR="00407952" w:rsidRPr="006B6241" w:rsidRDefault="00AE49B5" w:rsidP="008228CC">
            <w:pPr>
              <w:ind w:left="-6"/>
              <w:jc w:val="center"/>
              <w:rPr>
                <w:b/>
                <w:sz w:val="22"/>
                <w:szCs w:val="22"/>
              </w:rPr>
            </w:pPr>
            <w:r w:rsidRPr="006B6241">
              <w:rPr>
                <w:b/>
                <w:sz w:val="22"/>
                <w:szCs w:val="22"/>
              </w:rPr>
              <w:t>Amount ($</w:t>
            </w:r>
            <w:r w:rsidR="0044454E" w:rsidRPr="006B6241">
              <w:rPr>
                <w:b/>
                <w:sz w:val="22"/>
                <w:szCs w:val="22"/>
              </w:rPr>
              <w:t>)</w:t>
            </w:r>
          </w:p>
        </w:tc>
      </w:tr>
      <w:tr w:rsidR="009921B0" w:rsidRPr="006B6241" w:rsidTr="00081258">
        <w:trPr>
          <w:cantSplit/>
          <w:jc w:val="center"/>
        </w:trPr>
        <w:tc>
          <w:tcPr>
            <w:tcW w:w="1088" w:type="pct"/>
          </w:tcPr>
          <w:p w:rsidR="009921B0" w:rsidRPr="006B6241" w:rsidRDefault="001B3E2C" w:rsidP="008228CC">
            <w:pPr>
              <w:rPr>
                <w:sz w:val="20"/>
                <w:szCs w:val="20"/>
              </w:rPr>
            </w:pPr>
            <w:r w:rsidRPr="006B6241">
              <w:rPr>
                <w:sz w:val="20"/>
                <w:szCs w:val="20"/>
              </w:rPr>
              <w:t>Local Government</w:t>
            </w:r>
          </w:p>
        </w:tc>
        <w:tc>
          <w:tcPr>
            <w:tcW w:w="2442" w:type="pct"/>
            <w:vAlign w:val="center"/>
          </w:tcPr>
          <w:p w:rsidR="009921B0" w:rsidRPr="006B6241" w:rsidRDefault="005E130A" w:rsidP="005E130A">
            <w:pPr>
              <w:rPr>
                <w:sz w:val="20"/>
              </w:rPr>
            </w:pPr>
            <w:r w:rsidRPr="006B6241">
              <w:rPr>
                <w:sz w:val="20"/>
              </w:rPr>
              <w:t xml:space="preserve">Zhejiang </w:t>
            </w:r>
            <w:r w:rsidR="009921B0" w:rsidRPr="006B6241">
              <w:rPr>
                <w:sz w:val="20"/>
              </w:rPr>
              <w:t>Provincial Government</w:t>
            </w:r>
          </w:p>
        </w:tc>
        <w:tc>
          <w:tcPr>
            <w:tcW w:w="742" w:type="pct"/>
            <w:shd w:val="clear" w:color="auto" w:fill="auto"/>
            <w:vAlign w:val="center"/>
          </w:tcPr>
          <w:p w:rsidR="009921B0" w:rsidRPr="006B6241" w:rsidRDefault="001B3E2C" w:rsidP="00F67B6E">
            <w:pPr>
              <w:rPr>
                <w:sz w:val="20"/>
              </w:rPr>
            </w:pPr>
            <w:r w:rsidRPr="006B6241">
              <w:rPr>
                <w:sz w:val="20"/>
              </w:rPr>
              <w:t>Grant</w:t>
            </w:r>
          </w:p>
        </w:tc>
        <w:tc>
          <w:tcPr>
            <w:tcW w:w="728" w:type="pct"/>
            <w:vAlign w:val="center"/>
          </w:tcPr>
          <w:p w:rsidR="009921B0" w:rsidRPr="006B6241" w:rsidRDefault="006A2A46" w:rsidP="009921B0">
            <w:pPr>
              <w:jc w:val="right"/>
              <w:rPr>
                <w:sz w:val="20"/>
              </w:rPr>
            </w:pPr>
            <w:r w:rsidRPr="006B6241">
              <w:rPr>
                <w:sz w:val="20"/>
              </w:rPr>
              <w:t>1,900,000</w:t>
            </w:r>
          </w:p>
        </w:tc>
      </w:tr>
      <w:tr w:rsidR="009921B0" w:rsidRPr="006B6241" w:rsidTr="00081258">
        <w:trPr>
          <w:cantSplit/>
          <w:jc w:val="center"/>
        </w:trPr>
        <w:tc>
          <w:tcPr>
            <w:tcW w:w="1088" w:type="pct"/>
          </w:tcPr>
          <w:p w:rsidR="009921B0" w:rsidRPr="006B6241" w:rsidRDefault="001B3E2C" w:rsidP="008228CC">
            <w:pPr>
              <w:rPr>
                <w:sz w:val="20"/>
                <w:szCs w:val="20"/>
              </w:rPr>
            </w:pPr>
            <w:r w:rsidRPr="006B6241">
              <w:rPr>
                <w:sz w:val="20"/>
                <w:szCs w:val="20"/>
              </w:rPr>
              <w:t>Local Government</w:t>
            </w:r>
          </w:p>
        </w:tc>
        <w:tc>
          <w:tcPr>
            <w:tcW w:w="2442" w:type="pct"/>
            <w:vAlign w:val="center"/>
          </w:tcPr>
          <w:p w:rsidR="009921B0" w:rsidRPr="006B6241" w:rsidRDefault="005E130A" w:rsidP="005E130A">
            <w:pPr>
              <w:rPr>
                <w:sz w:val="20"/>
              </w:rPr>
            </w:pPr>
            <w:r w:rsidRPr="006B6241">
              <w:rPr>
                <w:sz w:val="20"/>
              </w:rPr>
              <w:t xml:space="preserve">Zhejiang </w:t>
            </w:r>
            <w:r w:rsidR="009921B0" w:rsidRPr="006B6241">
              <w:rPr>
                <w:sz w:val="20"/>
              </w:rPr>
              <w:t>Provincial Government</w:t>
            </w:r>
          </w:p>
        </w:tc>
        <w:tc>
          <w:tcPr>
            <w:tcW w:w="742" w:type="pct"/>
            <w:shd w:val="clear" w:color="auto" w:fill="auto"/>
            <w:vAlign w:val="center"/>
          </w:tcPr>
          <w:p w:rsidR="009921B0" w:rsidRPr="006B6241" w:rsidRDefault="001B3E2C" w:rsidP="00F67B6E">
            <w:pPr>
              <w:rPr>
                <w:sz w:val="20"/>
              </w:rPr>
            </w:pPr>
            <w:r w:rsidRPr="006B6241">
              <w:rPr>
                <w:sz w:val="20"/>
              </w:rPr>
              <w:t>In-kind</w:t>
            </w:r>
          </w:p>
        </w:tc>
        <w:tc>
          <w:tcPr>
            <w:tcW w:w="728" w:type="pct"/>
            <w:vAlign w:val="center"/>
          </w:tcPr>
          <w:p w:rsidR="009921B0" w:rsidRPr="006B6241" w:rsidRDefault="006A2A46" w:rsidP="009921B0">
            <w:pPr>
              <w:jc w:val="right"/>
              <w:rPr>
                <w:sz w:val="20"/>
              </w:rPr>
            </w:pPr>
            <w:r w:rsidRPr="006B6241">
              <w:rPr>
                <w:sz w:val="20"/>
              </w:rPr>
              <w:t>100,000</w:t>
            </w:r>
          </w:p>
        </w:tc>
      </w:tr>
      <w:tr w:rsidR="009921B0" w:rsidRPr="006B6241" w:rsidTr="00081258">
        <w:trPr>
          <w:cantSplit/>
          <w:jc w:val="center"/>
        </w:trPr>
        <w:tc>
          <w:tcPr>
            <w:tcW w:w="1088" w:type="pct"/>
          </w:tcPr>
          <w:p w:rsidR="009921B0" w:rsidRPr="006B6241" w:rsidRDefault="001B3E2C" w:rsidP="008228CC">
            <w:pPr>
              <w:rPr>
                <w:sz w:val="20"/>
                <w:szCs w:val="20"/>
              </w:rPr>
            </w:pPr>
            <w:r w:rsidRPr="006B6241">
              <w:rPr>
                <w:sz w:val="20"/>
                <w:szCs w:val="20"/>
              </w:rPr>
              <w:t>Local Government</w:t>
            </w:r>
          </w:p>
        </w:tc>
        <w:tc>
          <w:tcPr>
            <w:tcW w:w="2442" w:type="pct"/>
            <w:vAlign w:val="center"/>
          </w:tcPr>
          <w:p w:rsidR="009921B0" w:rsidRPr="006B6241" w:rsidRDefault="005E130A" w:rsidP="005E130A">
            <w:pPr>
              <w:rPr>
                <w:sz w:val="20"/>
              </w:rPr>
            </w:pPr>
            <w:proofErr w:type="spellStart"/>
            <w:r w:rsidRPr="006B6241">
              <w:rPr>
                <w:sz w:val="20"/>
              </w:rPr>
              <w:t>Fuyang</w:t>
            </w:r>
            <w:proofErr w:type="spellEnd"/>
            <w:r w:rsidRPr="006B6241">
              <w:rPr>
                <w:sz w:val="20"/>
              </w:rPr>
              <w:t xml:space="preserve"> City </w:t>
            </w:r>
            <w:r w:rsidR="009921B0" w:rsidRPr="006B6241">
              <w:rPr>
                <w:sz w:val="20"/>
              </w:rPr>
              <w:t>Government</w:t>
            </w:r>
          </w:p>
        </w:tc>
        <w:tc>
          <w:tcPr>
            <w:tcW w:w="742" w:type="pct"/>
            <w:shd w:val="clear" w:color="auto" w:fill="auto"/>
            <w:vAlign w:val="center"/>
          </w:tcPr>
          <w:p w:rsidR="009921B0" w:rsidRPr="006B6241" w:rsidRDefault="001B3E2C" w:rsidP="00F67B6E">
            <w:pPr>
              <w:rPr>
                <w:sz w:val="20"/>
              </w:rPr>
            </w:pPr>
            <w:r w:rsidRPr="006B6241">
              <w:rPr>
                <w:sz w:val="20"/>
              </w:rPr>
              <w:t>Grant</w:t>
            </w:r>
          </w:p>
        </w:tc>
        <w:tc>
          <w:tcPr>
            <w:tcW w:w="728" w:type="pct"/>
            <w:vAlign w:val="center"/>
          </w:tcPr>
          <w:p w:rsidR="009921B0" w:rsidRPr="006B6241" w:rsidRDefault="006A2A46" w:rsidP="006A2A46">
            <w:pPr>
              <w:jc w:val="right"/>
              <w:rPr>
                <w:sz w:val="20"/>
              </w:rPr>
            </w:pPr>
            <w:r w:rsidRPr="006B6241">
              <w:rPr>
                <w:sz w:val="20"/>
              </w:rPr>
              <w:t>2,000,000</w:t>
            </w:r>
          </w:p>
        </w:tc>
      </w:tr>
      <w:tr w:rsidR="009921B0" w:rsidRPr="006B6241" w:rsidTr="00081258">
        <w:trPr>
          <w:cantSplit/>
          <w:jc w:val="center"/>
        </w:trPr>
        <w:tc>
          <w:tcPr>
            <w:tcW w:w="1088" w:type="pct"/>
          </w:tcPr>
          <w:p w:rsidR="009921B0" w:rsidRPr="006B6241" w:rsidRDefault="001B3E2C" w:rsidP="008228CC">
            <w:pPr>
              <w:rPr>
                <w:sz w:val="20"/>
                <w:szCs w:val="20"/>
              </w:rPr>
            </w:pPr>
            <w:r w:rsidRPr="006B6241">
              <w:rPr>
                <w:sz w:val="20"/>
                <w:szCs w:val="20"/>
              </w:rPr>
              <w:t>Local Government</w:t>
            </w:r>
          </w:p>
        </w:tc>
        <w:tc>
          <w:tcPr>
            <w:tcW w:w="2442" w:type="pct"/>
            <w:vAlign w:val="center"/>
          </w:tcPr>
          <w:p w:rsidR="009921B0" w:rsidRPr="006B6241" w:rsidRDefault="005E130A" w:rsidP="005E130A">
            <w:pPr>
              <w:rPr>
                <w:sz w:val="20"/>
              </w:rPr>
            </w:pPr>
            <w:proofErr w:type="spellStart"/>
            <w:r w:rsidRPr="006B6241">
              <w:rPr>
                <w:sz w:val="20"/>
              </w:rPr>
              <w:t>Fuyang</w:t>
            </w:r>
            <w:proofErr w:type="spellEnd"/>
            <w:r w:rsidRPr="006B6241">
              <w:rPr>
                <w:sz w:val="20"/>
              </w:rPr>
              <w:t xml:space="preserve"> City </w:t>
            </w:r>
            <w:r w:rsidR="009921B0" w:rsidRPr="006B6241">
              <w:rPr>
                <w:sz w:val="20"/>
              </w:rPr>
              <w:t>Government</w:t>
            </w:r>
          </w:p>
        </w:tc>
        <w:tc>
          <w:tcPr>
            <w:tcW w:w="742" w:type="pct"/>
            <w:shd w:val="clear" w:color="auto" w:fill="auto"/>
            <w:vAlign w:val="center"/>
          </w:tcPr>
          <w:p w:rsidR="009921B0" w:rsidRPr="006B6241" w:rsidRDefault="001B3E2C" w:rsidP="00F67B6E">
            <w:pPr>
              <w:rPr>
                <w:sz w:val="20"/>
              </w:rPr>
            </w:pPr>
            <w:r w:rsidRPr="006B6241">
              <w:rPr>
                <w:sz w:val="20"/>
              </w:rPr>
              <w:t>In-kind</w:t>
            </w:r>
          </w:p>
        </w:tc>
        <w:tc>
          <w:tcPr>
            <w:tcW w:w="728" w:type="pct"/>
            <w:vAlign w:val="center"/>
          </w:tcPr>
          <w:p w:rsidR="009921B0" w:rsidRPr="006B6241" w:rsidRDefault="006A2A46" w:rsidP="006A2A46">
            <w:pPr>
              <w:jc w:val="right"/>
              <w:rPr>
                <w:sz w:val="20"/>
              </w:rPr>
            </w:pPr>
            <w:r w:rsidRPr="006B6241">
              <w:rPr>
                <w:sz w:val="20"/>
              </w:rPr>
              <w:t>180,000</w:t>
            </w:r>
          </w:p>
        </w:tc>
      </w:tr>
      <w:tr w:rsidR="009921B0" w:rsidRPr="006B6241" w:rsidTr="00081258">
        <w:trPr>
          <w:cantSplit/>
          <w:jc w:val="center"/>
        </w:trPr>
        <w:tc>
          <w:tcPr>
            <w:tcW w:w="1088" w:type="pct"/>
          </w:tcPr>
          <w:p w:rsidR="009921B0" w:rsidRPr="006B6241" w:rsidRDefault="00623072" w:rsidP="008228CC">
            <w:pPr>
              <w:rPr>
                <w:sz w:val="20"/>
                <w:szCs w:val="20"/>
              </w:rPr>
            </w:pPr>
            <w:r w:rsidRPr="006B6241">
              <w:rPr>
                <w:sz w:val="20"/>
                <w:szCs w:val="20"/>
              </w:rPr>
              <w:t>Private Sector</w:t>
            </w:r>
          </w:p>
        </w:tc>
        <w:tc>
          <w:tcPr>
            <w:tcW w:w="2442" w:type="pct"/>
            <w:vAlign w:val="center"/>
          </w:tcPr>
          <w:p w:rsidR="009921B0" w:rsidRPr="006B6241" w:rsidRDefault="002B4393" w:rsidP="002B4393">
            <w:pPr>
              <w:rPr>
                <w:sz w:val="20"/>
              </w:rPr>
            </w:pPr>
            <w:r w:rsidRPr="006B6241">
              <w:rPr>
                <w:sz w:val="20"/>
              </w:rPr>
              <w:t xml:space="preserve">Hangzhou </w:t>
            </w:r>
            <w:proofErr w:type="spellStart"/>
            <w:r w:rsidRPr="006B6241">
              <w:rPr>
                <w:sz w:val="20"/>
              </w:rPr>
              <w:t>Fuyang</w:t>
            </w:r>
            <w:proofErr w:type="spellEnd"/>
            <w:r w:rsidRPr="006B6241">
              <w:rPr>
                <w:sz w:val="20"/>
              </w:rPr>
              <w:t xml:space="preserve"> </w:t>
            </w:r>
            <w:proofErr w:type="spellStart"/>
            <w:r w:rsidRPr="006B6241">
              <w:rPr>
                <w:sz w:val="20"/>
              </w:rPr>
              <w:t>Chuanhua</w:t>
            </w:r>
            <w:proofErr w:type="spellEnd"/>
            <w:r w:rsidRPr="006B6241">
              <w:rPr>
                <w:sz w:val="20"/>
              </w:rPr>
              <w:t xml:space="preserve"> Logistics Base Co. Ltd.</w:t>
            </w:r>
          </w:p>
        </w:tc>
        <w:tc>
          <w:tcPr>
            <w:tcW w:w="742" w:type="pct"/>
            <w:shd w:val="clear" w:color="auto" w:fill="auto"/>
            <w:vAlign w:val="center"/>
          </w:tcPr>
          <w:p w:rsidR="009921B0" w:rsidRPr="006B6241" w:rsidRDefault="001B3E2C" w:rsidP="00F67B6E">
            <w:pPr>
              <w:rPr>
                <w:sz w:val="20"/>
              </w:rPr>
            </w:pPr>
            <w:r w:rsidRPr="006B6241">
              <w:rPr>
                <w:sz w:val="20"/>
              </w:rPr>
              <w:t>Grant</w:t>
            </w:r>
          </w:p>
        </w:tc>
        <w:tc>
          <w:tcPr>
            <w:tcW w:w="728" w:type="pct"/>
            <w:vAlign w:val="center"/>
          </w:tcPr>
          <w:p w:rsidR="009921B0" w:rsidRPr="006B6241" w:rsidRDefault="006A2A46" w:rsidP="006A2A46">
            <w:pPr>
              <w:jc w:val="right"/>
              <w:rPr>
                <w:sz w:val="20"/>
              </w:rPr>
            </w:pPr>
            <w:r w:rsidRPr="006B6241">
              <w:rPr>
                <w:sz w:val="20"/>
              </w:rPr>
              <w:t>3</w:t>
            </w:r>
            <w:r w:rsidR="00CA2A61" w:rsidRPr="006B6241">
              <w:rPr>
                <w:sz w:val="20"/>
              </w:rPr>
              <w:t>,</w:t>
            </w:r>
            <w:r w:rsidRPr="006B6241">
              <w:rPr>
                <w:sz w:val="20"/>
              </w:rPr>
              <w:t>5</w:t>
            </w:r>
            <w:r w:rsidR="00CA2A61" w:rsidRPr="006B6241">
              <w:rPr>
                <w:sz w:val="20"/>
              </w:rPr>
              <w:t>00,000</w:t>
            </w:r>
          </w:p>
        </w:tc>
      </w:tr>
      <w:tr w:rsidR="009921B0" w:rsidRPr="006B6241" w:rsidTr="00081258">
        <w:trPr>
          <w:cantSplit/>
          <w:jc w:val="center"/>
        </w:trPr>
        <w:tc>
          <w:tcPr>
            <w:tcW w:w="1088" w:type="pct"/>
          </w:tcPr>
          <w:p w:rsidR="009921B0" w:rsidRPr="006B6241" w:rsidRDefault="00623072" w:rsidP="00623072">
            <w:pPr>
              <w:rPr>
                <w:sz w:val="20"/>
                <w:szCs w:val="20"/>
              </w:rPr>
            </w:pPr>
            <w:r w:rsidRPr="006B6241">
              <w:rPr>
                <w:sz w:val="20"/>
                <w:szCs w:val="20"/>
              </w:rPr>
              <w:t>Private Sector</w:t>
            </w:r>
          </w:p>
        </w:tc>
        <w:tc>
          <w:tcPr>
            <w:tcW w:w="2442" w:type="pct"/>
            <w:vAlign w:val="center"/>
          </w:tcPr>
          <w:p w:rsidR="009921B0" w:rsidRPr="006B6241" w:rsidRDefault="002B4393" w:rsidP="00F67B6E">
            <w:pPr>
              <w:rPr>
                <w:sz w:val="20"/>
              </w:rPr>
            </w:pPr>
            <w:r w:rsidRPr="006B6241">
              <w:rPr>
                <w:sz w:val="20"/>
              </w:rPr>
              <w:t xml:space="preserve">Zhejiang </w:t>
            </w:r>
            <w:proofErr w:type="spellStart"/>
            <w:r w:rsidRPr="006B6241">
              <w:rPr>
                <w:sz w:val="20"/>
              </w:rPr>
              <w:t>Fuyangkouan</w:t>
            </w:r>
            <w:proofErr w:type="spellEnd"/>
            <w:r w:rsidRPr="006B6241">
              <w:rPr>
                <w:sz w:val="20"/>
              </w:rPr>
              <w:t xml:space="preserve"> International Logistics Co. Ltd.</w:t>
            </w:r>
          </w:p>
        </w:tc>
        <w:tc>
          <w:tcPr>
            <w:tcW w:w="742" w:type="pct"/>
            <w:shd w:val="clear" w:color="auto" w:fill="auto"/>
            <w:vAlign w:val="center"/>
          </w:tcPr>
          <w:p w:rsidR="009921B0" w:rsidRPr="006B6241" w:rsidRDefault="001B3E2C" w:rsidP="00F67B6E">
            <w:pPr>
              <w:rPr>
                <w:sz w:val="20"/>
              </w:rPr>
            </w:pPr>
            <w:r w:rsidRPr="006B6241">
              <w:rPr>
                <w:sz w:val="20"/>
              </w:rPr>
              <w:t>Grant</w:t>
            </w:r>
          </w:p>
        </w:tc>
        <w:tc>
          <w:tcPr>
            <w:tcW w:w="728" w:type="pct"/>
            <w:vAlign w:val="center"/>
          </w:tcPr>
          <w:p w:rsidR="009921B0" w:rsidRPr="006B6241" w:rsidRDefault="006A2A46" w:rsidP="006A2A46">
            <w:pPr>
              <w:jc w:val="right"/>
              <w:rPr>
                <w:sz w:val="20"/>
              </w:rPr>
            </w:pPr>
            <w:r w:rsidRPr="006B6241">
              <w:rPr>
                <w:sz w:val="20"/>
              </w:rPr>
              <w:t>4</w:t>
            </w:r>
            <w:r w:rsidR="00CA2A61" w:rsidRPr="006B6241">
              <w:rPr>
                <w:sz w:val="20"/>
              </w:rPr>
              <w:t>,</w:t>
            </w:r>
            <w:r w:rsidRPr="006B6241">
              <w:rPr>
                <w:sz w:val="20"/>
              </w:rPr>
              <w:t>2</w:t>
            </w:r>
            <w:r w:rsidR="00CA2A61" w:rsidRPr="006B6241">
              <w:rPr>
                <w:sz w:val="20"/>
              </w:rPr>
              <w:t>00,000</w:t>
            </w:r>
          </w:p>
        </w:tc>
      </w:tr>
      <w:tr w:rsidR="009921B0" w:rsidRPr="006B6241" w:rsidTr="00081258">
        <w:trPr>
          <w:cantSplit/>
          <w:jc w:val="center"/>
        </w:trPr>
        <w:tc>
          <w:tcPr>
            <w:tcW w:w="1088" w:type="pct"/>
          </w:tcPr>
          <w:p w:rsidR="009921B0" w:rsidRPr="006B6241" w:rsidRDefault="001B3E2C" w:rsidP="008228CC">
            <w:pPr>
              <w:rPr>
                <w:sz w:val="20"/>
                <w:szCs w:val="20"/>
              </w:rPr>
            </w:pPr>
            <w:r w:rsidRPr="006B6241">
              <w:rPr>
                <w:sz w:val="20"/>
                <w:szCs w:val="20"/>
              </w:rPr>
              <w:t>GEF Agency</w:t>
            </w:r>
          </w:p>
        </w:tc>
        <w:tc>
          <w:tcPr>
            <w:tcW w:w="2442" w:type="pct"/>
            <w:vAlign w:val="center"/>
          </w:tcPr>
          <w:p w:rsidR="009921B0" w:rsidRPr="006B6241" w:rsidRDefault="009921B0" w:rsidP="00F67B6E">
            <w:pPr>
              <w:rPr>
                <w:sz w:val="20"/>
              </w:rPr>
            </w:pPr>
            <w:r w:rsidRPr="006B6241">
              <w:rPr>
                <w:sz w:val="20"/>
              </w:rPr>
              <w:t>UNDP</w:t>
            </w:r>
          </w:p>
        </w:tc>
        <w:tc>
          <w:tcPr>
            <w:tcW w:w="742" w:type="pct"/>
            <w:shd w:val="clear" w:color="auto" w:fill="auto"/>
            <w:vAlign w:val="center"/>
          </w:tcPr>
          <w:p w:rsidR="009921B0" w:rsidRPr="006B6241" w:rsidRDefault="009921B0" w:rsidP="00F67B6E">
            <w:pPr>
              <w:rPr>
                <w:sz w:val="20"/>
              </w:rPr>
            </w:pPr>
            <w:r w:rsidRPr="006B6241">
              <w:rPr>
                <w:sz w:val="20"/>
              </w:rPr>
              <w:t>Grant</w:t>
            </w:r>
          </w:p>
        </w:tc>
        <w:tc>
          <w:tcPr>
            <w:tcW w:w="728" w:type="pct"/>
            <w:vAlign w:val="center"/>
          </w:tcPr>
          <w:p w:rsidR="009921B0" w:rsidRPr="006B6241" w:rsidRDefault="00CA2A61" w:rsidP="009921B0">
            <w:pPr>
              <w:jc w:val="right"/>
              <w:rPr>
                <w:sz w:val="20"/>
              </w:rPr>
            </w:pPr>
            <w:r w:rsidRPr="006B6241">
              <w:rPr>
                <w:sz w:val="20"/>
              </w:rPr>
              <w:t>250,000</w:t>
            </w:r>
          </w:p>
        </w:tc>
      </w:tr>
      <w:tr w:rsidR="009921B0" w:rsidRPr="006B6241" w:rsidTr="00081258">
        <w:trPr>
          <w:cantSplit/>
          <w:jc w:val="center"/>
          <w:hidden/>
        </w:trPr>
        <w:tc>
          <w:tcPr>
            <w:tcW w:w="1088" w:type="pct"/>
          </w:tcPr>
          <w:p w:rsidR="009921B0" w:rsidRPr="006B6241" w:rsidRDefault="001267E5" w:rsidP="008228CC">
            <w:pPr>
              <w:rPr>
                <w:vanish/>
                <w:sz w:val="20"/>
                <w:szCs w:val="20"/>
              </w:rPr>
            </w:pPr>
            <w:r w:rsidRPr="006B6241">
              <w:rPr>
                <w:vanish/>
                <w:sz w:val="20"/>
                <w:szCs w:val="20"/>
              </w:rPr>
              <w:fldChar w:fldCharType="begin">
                <w:ffData>
                  <w:name w:val="srcCofin_05"/>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9921B0" w:rsidRPr="006B6241">
              <w:rPr>
                <w:vanish/>
                <w:sz w:val="20"/>
                <w:szCs w:val="20"/>
              </w:rPr>
              <w:instrText xml:space="preserve"> FORMDROPDOWN </w:instrText>
            </w:r>
            <w:r>
              <w:rPr>
                <w:vanish/>
                <w:sz w:val="20"/>
                <w:szCs w:val="20"/>
              </w:rPr>
            </w:r>
            <w:r>
              <w:rPr>
                <w:vanish/>
                <w:sz w:val="20"/>
                <w:szCs w:val="20"/>
              </w:rPr>
              <w:fldChar w:fldCharType="separate"/>
            </w:r>
            <w:r w:rsidRPr="006B6241">
              <w:rPr>
                <w:vanish/>
                <w:sz w:val="20"/>
                <w:szCs w:val="20"/>
              </w:rPr>
              <w:fldChar w:fldCharType="end"/>
            </w:r>
          </w:p>
        </w:tc>
        <w:tc>
          <w:tcPr>
            <w:tcW w:w="2442" w:type="pct"/>
          </w:tcPr>
          <w:p w:rsidR="009921B0" w:rsidRPr="006B6241" w:rsidRDefault="001267E5" w:rsidP="008228CC">
            <w:pPr>
              <w:rPr>
                <w:vanish/>
                <w:sz w:val="20"/>
                <w:szCs w:val="20"/>
              </w:rPr>
            </w:pPr>
            <w:r w:rsidRPr="006B6241">
              <w:rPr>
                <w:vanish/>
                <w:sz w:val="20"/>
                <w:szCs w:val="20"/>
              </w:rPr>
              <w:fldChar w:fldCharType="begin">
                <w:ffData>
                  <w:name w:val="nameOfCofin_05"/>
                  <w:enabled/>
                  <w:calcOnExit w:val="0"/>
                  <w:textInput/>
                </w:ffData>
              </w:fldChar>
            </w:r>
            <w:r w:rsidR="009921B0" w:rsidRPr="006B6241">
              <w:rPr>
                <w:vanish/>
                <w:sz w:val="20"/>
                <w:szCs w:val="20"/>
              </w:rPr>
              <w:instrText xml:space="preserve"> FORMTEXT </w:instrText>
            </w:r>
            <w:r w:rsidRPr="006B6241">
              <w:rPr>
                <w:vanish/>
                <w:sz w:val="20"/>
                <w:szCs w:val="20"/>
              </w:rPr>
            </w:r>
            <w:r w:rsidRPr="006B6241">
              <w:rPr>
                <w:vanish/>
                <w:sz w:val="20"/>
                <w:szCs w:val="20"/>
              </w:rPr>
              <w:fldChar w:fldCharType="separate"/>
            </w:r>
            <w:r w:rsidR="009921B0" w:rsidRPr="006B6241">
              <w:rPr>
                <w:vanish/>
                <w:sz w:val="20"/>
                <w:szCs w:val="20"/>
              </w:rPr>
              <w:t> </w:t>
            </w:r>
            <w:r w:rsidR="009921B0" w:rsidRPr="006B6241">
              <w:rPr>
                <w:vanish/>
                <w:sz w:val="20"/>
                <w:szCs w:val="20"/>
              </w:rPr>
              <w:t> </w:t>
            </w:r>
            <w:r w:rsidR="009921B0" w:rsidRPr="006B6241">
              <w:rPr>
                <w:vanish/>
                <w:sz w:val="20"/>
                <w:szCs w:val="20"/>
              </w:rPr>
              <w:t> </w:t>
            </w:r>
            <w:r w:rsidR="009921B0" w:rsidRPr="006B6241">
              <w:rPr>
                <w:vanish/>
                <w:sz w:val="20"/>
                <w:szCs w:val="20"/>
              </w:rPr>
              <w:t> </w:t>
            </w:r>
            <w:r w:rsidR="009921B0" w:rsidRPr="006B6241">
              <w:rPr>
                <w:vanish/>
                <w:sz w:val="20"/>
                <w:szCs w:val="20"/>
              </w:rPr>
              <w:t> </w:t>
            </w:r>
            <w:r w:rsidRPr="006B6241">
              <w:rPr>
                <w:vanish/>
                <w:sz w:val="20"/>
                <w:szCs w:val="20"/>
              </w:rPr>
              <w:fldChar w:fldCharType="end"/>
            </w:r>
          </w:p>
        </w:tc>
        <w:tc>
          <w:tcPr>
            <w:tcW w:w="742" w:type="pct"/>
            <w:shd w:val="clear" w:color="auto" w:fill="auto"/>
          </w:tcPr>
          <w:p w:rsidR="009921B0" w:rsidRPr="006B6241" w:rsidRDefault="001267E5" w:rsidP="008228CC">
            <w:pPr>
              <w:ind w:left="5"/>
              <w:rPr>
                <w:vanish/>
                <w:sz w:val="20"/>
                <w:szCs w:val="20"/>
              </w:rPr>
            </w:pPr>
            <w:r w:rsidRPr="006B6241">
              <w:rPr>
                <w:vanish/>
                <w:sz w:val="20"/>
                <w:szCs w:val="20"/>
              </w:rPr>
              <w:fldChar w:fldCharType="begin">
                <w:ffData>
                  <w:name w:val="CofinType_05"/>
                  <w:enabled/>
                  <w:calcOnExit w:val="0"/>
                  <w:ddList>
                    <w:listEntry w:val="(select)"/>
                    <w:listEntry w:val="Grant"/>
                    <w:listEntry w:val="Soft Loan"/>
                    <w:listEntry w:val="Hard Loan"/>
                    <w:listEntry w:val="Guarantee"/>
                    <w:listEntry w:val="In-kind"/>
                    <w:listEntry w:val="Unknown at this stage"/>
                  </w:ddList>
                </w:ffData>
              </w:fldChar>
            </w:r>
            <w:r w:rsidR="009921B0" w:rsidRPr="006B6241">
              <w:rPr>
                <w:vanish/>
                <w:sz w:val="20"/>
                <w:szCs w:val="20"/>
              </w:rPr>
              <w:instrText xml:space="preserve"> FORMDROPDOWN </w:instrText>
            </w:r>
            <w:r>
              <w:rPr>
                <w:vanish/>
                <w:sz w:val="20"/>
                <w:szCs w:val="20"/>
              </w:rPr>
            </w:r>
            <w:r>
              <w:rPr>
                <w:vanish/>
                <w:sz w:val="20"/>
                <w:szCs w:val="20"/>
              </w:rPr>
              <w:fldChar w:fldCharType="separate"/>
            </w:r>
            <w:r w:rsidRPr="006B6241">
              <w:rPr>
                <w:vanish/>
                <w:sz w:val="20"/>
                <w:szCs w:val="20"/>
              </w:rPr>
              <w:fldChar w:fldCharType="end"/>
            </w:r>
          </w:p>
        </w:tc>
        <w:tc>
          <w:tcPr>
            <w:tcW w:w="728" w:type="pct"/>
            <w:vAlign w:val="center"/>
          </w:tcPr>
          <w:p w:rsidR="009921B0" w:rsidRPr="006B6241" w:rsidRDefault="009921B0" w:rsidP="009921B0">
            <w:pPr>
              <w:ind w:left="-6"/>
              <w:jc w:val="right"/>
              <w:rPr>
                <w:vanish/>
                <w:sz w:val="20"/>
                <w:szCs w:val="20"/>
              </w:rPr>
            </w:pPr>
          </w:p>
        </w:tc>
      </w:tr>
      <w:tr w:rsidR="009921B0" w:rsidRPr="006B6241" w:rsidTr="00081258">
        <w:trPr>
          <w:cantSplit/>
          <w:jc w:val="center"/>
          <w:hidden/>
        </w:trPr>
        <w:tc>
          <w:tcPr>
            <w:tcW w:w="1088" w:type="pct"/>
          </w:tcPr>
          <w:p w:rsidR="009921B0" w:rsidRPr="006B6241" w:rsidRDefault="001267E5" w:rsidP="008228CC">
            <w:pPr>
              <w:rPr>
                <w:vanish/>
                <w:sz w:val="20"/>
                <w:szCs w:val="20"/>
              </w:rPr>
            </w:pPr>
            <w:r w:rsidRPr="006B6241">
              <w:rPr>
                <w:vanish/>
                <w:sz w:val="20"/>
                <w:szCs w:val="20"/>
              </w:rPr>
              <w:fldChar w:fldCharType="begin">
                <w:ffData>
                  <w:name w:val="srcCofin_06"/>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9921B0" w:rsidRPr="006B6241">
              <w:rPr>
                <w:vanish/>
                <w:sz w:val="20"/>
                <w:szCs w:val="20"/>
              </w:rPr>
              <w:instrText xml:space="preserve"> FORMDROPDOWN </w:instrText>
            </w:r>
            <w:r>
              <w:rPr>
                <w:vanish/>
                <w:sz w:val="20"/>
                <w:szCs w:val="20"/>
              </w:rPr>
            </w:r>
            <w:r>
              <w:rPr>
                <w:vanish/>
                <w:sz w:val="20"/>
                <w:szCs w:val="20"/>
              </w:rPr>
              <w:fldChar w:fldCharType="separate"/>
            </w:r>
            <w:r w:rsidRPr="006B6241">
              <w:rPr>
                <w:vanish/>
                <w:sz w:val="20"/>
                <w:szCs w:val="20"/>
              </w:rPr>
              <w:fldChar w:fldCharType="end"/>
            </w:r>
          </w:p>
        </w:tc>
        <w:tc>
          <w:tcPr>
            <w:tcW w:w="2442" w:type="pct"/>
          </w:tcPr>
          <w:p w:rsidR="009921B0" w:rsidRPr="006B6241" w:rsidRDefault="001267E5" w:rsidP="008228CC">
            <w:pPr>
              <w:rPr>
                <w:vanish/>
                <w:sz w:val="20"/>
                <w:szCs w:val="20"/>
              </w:rPr>
            </w:pPr>
            <w:r w:rsidRPr="006B6241">
              <w:rPr>
                <w:vanish/>
                <w:sz w:val="20"/>
                <w:szCs w:val="20"/>
              </w:rPr>
              <w:fldChar w:fldCharType="begin">
                <w:ffData>
                  <w:name w:val="nameOfCofin_06"/>
                  <w:enabled/>
                  <w:calcOnExit w:val="0"/>
                  <w:textInput/>
                </w:ffData>
              </w:fldChar>
            </w:r>
            <w:r w:rsidR="009921B0" w:rsidRPr="006B6241">
              <w:rPr>
                <w:vanish/>
                <w:sz w:val="20"/>
                <w:szCs w:val="20"/>
              </w:rPr>
              <w:instrText xml:space="preserve"> FORMTEXT </w:instrText>
            </w:r>
            <w:r w:rsidRPr="006B6241">
              <w:rPr>
                <w:vanish/>
                <w:sz w:val="20"/>
                <w:szCs w:val="20"/>
              </w:rPr>
            </w:r>
            <w:r w:rsidRPr="006B6241">
              <w:rPr>
                <w:vanish/>
                <w:sz w:val="20"/>
                <w:szCs w:val="20"/>
              </w:rPr>
              <w:fldChar w:fldCharType="separate"/>
            </w:r>
            <w:r w:rsidR="009921B0" w:rsidRPr="006B6241">
              <w:rPr>
                <w:vanish/>
                <w:sz w:val="20"/>
                <w:szCs w:val="20"/>
              </w:rPr>
              <w:t> </w:t>
            </w:r>
            <w:r w:rsidR="009921B0" w:rsidRPr="006B6241">
              <w:rPr>
                <w:vanish/>
                <w:sz w:val="20"/>
                <w:szCs w:val="20"/>
              </w:rPr>
              <w:t> </w:t>
            </w:r>
            <w:r w:rsidR="009921B0" w:rsidRPr="006B6241">
              <w:rPr>
                <w:vanish/>
                <w:sz w:val="20"/>
                <w:szCs w:val="20"/>
              </w:rPr>
              <w:t> </w:t>
            </w:r>
            <w:r w:rsidR="009921B0" w:rsidRPr="006B6241">
              <w:rPr>
                <w:vanish/>
                <w:sz w:val="20"/>
                <w:szCs w:val="20"/>
              </w:rPr>
              <w:t> </w:t>
            </w:r>
            <w:r w:rsidR="009921B0" w:rsidRPr="006B6241">
              <w:rPr>
                <w:vanish/>
                <w:sz w:val="20"/>
                <w:szCs w:val="20"/>
              </w:rPr>
              <w:t> </w:t>
            </w:r>
            <w:r w:rsidRPr="006B6241">
              <w:rPr>
                <w:vanish/>
                <w:sz w:val="20"/>
                <w:szCs w:val="20"/>
              </w:rPr>
              <w:fldChar w:fldCharType="end"/>
            </w:r>
          </w:p>
        </w:tc>
        <w:tc>
          <w:tcPr>
            <w:tcW w:w="742" w:type="pct"/>
            <w:shd w:val="clear" w:color="auto" w:fill="auto"/>
          </w:tcPr>
          <w:p w:rsidR="009921B0" w:rsidRPr="006B6241" w:rsidRDefault="001267E5" w:rsidP="008228CC">
            <w:pPr>
              <w:ind w:left="5"/>
              <w:rPr>
                <w:vanish/>
                <w:sz w:val="20"/>
                <w:szCs w:val="20"/>
              </w:rPr>
            </w:pPr>
            <w:r w:rsidRPr="006B6241">
              <w:rPr>
                <w:vanish/>
                <w:sz w:val="20"/>
                <w:szCs w:val="20"/>
              </w:rPr>
              <w:fldChar w:fldCharType="begin">
                <w:ffData>
                  <w:name w:val="CofinType_06"/>
                  <w:enabled/>
                  <w:calcOnExit w:val="0"/>
                  <w:ddList>
                    <w:listEntry w:val="(select)"/>
                    <w:listEntry w:val="Grant"/>
                    <w:listEntry w:val="Soft Loan"/>
                    <w:listEntry w:val="Hard Loan"/>
                    <w:listEntry w:val="Guarantee"/>
                    <w:listEntry w:val="In-kind"/>
                    <w:listEntry w:val="Unknown at this stage"/>
                  </w:ddList>
                </w:ffData>
              </w:fldChar>
            </w:r>
            <w:r w:rsidR="009921B0" w:rsidRPr="006B6241">
              <w:rPr>
                <w:vanish/>
                <w:sz w:val="20"/>
                <w:szCs w:val="20"/>
              </w:rPr>
              <w:instrText xml:space="preserve"> FORMDROPDOWN </w:instrText>
            </w:r>
            <w:r>
              <w:rPr>
                <w:vanish/>
                <w:sz w:val="20"/>
                <w:szCs w:val="20"/>
              </w:rPr>
            </w:r>
            <w:r>
              <w:rPr>
                <w:vanish/>
                <w:sz w:val="20"/>
                <w:szCs w:val="20"/>
              </w:rPr>
              <w:fldChar w:fldCharType="separate"/>
            </w:r>
            <w:r w:rsidRPr="006B6241">
              <w:rPr>
                <w:vanish/>
                <w:sz w:val="20"/>
                <w:szCs w:val="20"/>
              </w:rPr>
              <w:fldChar w:fldCharType="end"/>
            </w:r>
          </w:p>
        </w:tc>
        <w:tc>
          <w:tcPr>
            <w:tcW w:w="728" w:type="pct"/>
            <w:vAlign w:val="center"/>
          </w:tcPr>
          <w:p w:rsidR="009921B0" w:rsidRPr="006B6241" w:rsidRDefault="009921B0" w:rsidP="009921B0">
            <w:pPr>
              <w:ind w:left="-6"/>
              <w:jc w:val="right"/>
              <w:rPr>
                <w:vanish/>
                <w:sz w:val="20"/>
                <w:szCs w:val="20"/>
              </w:rPr>
            </w:pPr>
          </w:p>
        </w:tc>
      </w:tr>
      <w:tr w:rsidR="009921B0" w:rsidRPr="006B6241" w:rsidTr="00E22284">
        <w:trPr>
          <w:cantSplit/>
          <w:jc w:val="center"/>
        </w:trPr>
        <w:tc>
          <w:tcPr>
            <w:tcW w:w="4272" w:type="pct"/>
            <w:gridSpan w:val="3"/>
            <w:tcBorders>
              <w:top w:val="double" w:sz="4" w:space="0" w:color="auto"/>
              <w:bottom w:val="double" w:sz="4" w:space="0" w:color="auto"/>
            </w:tcBorders>
            <w:vAlign w:val="center"/>
          </w:tcPr>
          <w:p w:rsidR="009921B0" w:rsidRPr="006B6241" w:rsidRDefault="009921B0" w:rsidP="009921B0">
            <w:pPr>
              <w:ind w:left="5"/>
              <w:rPr>
                <w:sz w:val="20"/>
                <w:szCs w:val="20"/>
              </w:rPr>
            </w:pPr>
            <w:r w:rsidRPr="006B6241">
              <w:rPr>
                <w:b/>
                <w:sz w:val="20"/>
                <w:szCs w:val="20"/>
              </w:rPr>
              <w:t>Total Co-financing</w:t>
            </w:r>
          </w:p>
        </w:tc>
        <w:tc>
          <w:tcPr>
            <w:tcW w:w="728" w:type="pct"/>
            <w:tcBorders>
              <w:top w:val="double" w:sz="4" w:space="0" w:color="auto"/>
              <w:bottom w:val="double" w:sz="4" w:space="0" w:color="auto"/>
            </w:tcBorders>
            <w:vAlign w:val="center"/>
          </w:tcPr>
          <w:p w:rsidR="009921B0" w:rsidRPr="006B6241" w:rsidRDefault="00537018" w:rsidP="009921B0">
            <w:pPr>
              <w:ind w:left="-6"/>
              <w:jc w:val="right"/>
              <w:rPr>
                <w:sz w:val="20"/>
                <w:szCs w:val="20"/>
              </w:rPr>
            </w:pPr>
            <w:r w:rsidRPr="006B6241">
              <w:rPr>
                <w:sz w:val="20"/>
                <w:szCs w:val="20"/>
              </w:rPr>
              <w:t>12</w:t>
            </w:r>
            <w:r w:rsidR="00CA2A61" w:rsidRPr="006B6241">
              <w:rPr>
                <w:sz w:val="20"/>
                <w:szCs w:val="20"/>
              </w:rPr>
              <w:t>,130,000</w:t>
            </w:r>
          </w:p>
        </w:tc>
      </w:tr>
    </w:tbl>
    <w:p w:rsidR="006F289E" w:rsidRPr="006B6241" w:rsidRDefault="006F289E" w:rsidP="008228CC">
      <w:pPr>
        <w:pStyle w:val="Footer"/>
        <w:tabs>
          <w:tab w:val="clear" w:pos="4320"/>
          <w:tab w:val="clear" w:pos="8640"/>
        </w:tabs>
        <w:ind w:left="-720"/>
        <w:rPr>
          <w:b/>
          <w:smallCaps/>
          <w:sz w:val="22"/>
          <w:szCs w:val="22"/>
        </w:rPr>
      </w:pPr>
    </w:p>
    <w:p w:rsidR="00276471" w:rsidRPr="006B6241" w:rsidRDefault="006F289E" w:rsidP="008228CC">
      <w:pPr>
        <w:pStyle w:val="Footer"/>
        <w:numPr>
          <w:ilvl w:val="0"/>
          <w:numId w:val="27"/>
        </w:numPr>
        <w:tabs>
          <w:tab w:val="clear" w:pos="4320"/>
          <w:tab w:val="clear" w:pos="8640"/>
        </w:tabs>
        <w:rPr>
          <w:b/>
          <w:smallCaps/>
          <w:sz w:val="22"/>
          <w:szCs w:val="22"/>
        </w:rPr>
      </w:pPr>
      <w:r w:rsidRPr="006B6241">
        <w:rPr>
          <w:b/>
          <w:smallCaps/>
          <w:sz w:val="22"/>
          <w:szCs w:val="22"/>
        </w:rPr>
        <w:t>I</w:t>
      </w:r>
      <w:r w:rsidR="00BC472A" w:rsidRPr="006B6241">
        <w:rPr>
          <w:b/>
          <w:smallCaps/>
          <w:sz w:val="22"/>
          <w:szCs w:val="22"/>
        </w:rPr>
        <w:t xml:space="preserve">ndicative </w:t>
      </w:r>
      <w:r w:rsidR="007F44AA" w:rsidRPr="006B6241">
        <w:rPr>
          <w:b/>
          <w:smallCaps/>
          <w:sz w:val="22"/>
          <w:szCs w:val="22"/>
        </w:rPr>
        <w:t>trust fund</w:t>
      </w:r>
      <w:r w:rsidR="005B6ABF" w:rsidRPr="006B6241">
        <w:rPr>
          <w:b/>
          <w:smallCaps/>
          <w:sz w:val="22"/>
          <w:szCs w:val="22"/>
        </w:rPr>
        <w:t xml:space="preserve"> </w:t>
      </w:r>
      <w:r w:rsidR="00107376" w:rsidRPr="006B6241">
        <w:rPr>
          <w:b/>
          <w:smallCaps/>
          <w:sz w:val="22"/>
          <w:szCs w:val="22"/>
        </w:rPr>
        <w:t>Res</w:t>
      </w:r>
      <w:r w:rsidR="005B6ABF" w:rsidRPr="006B6241">
        <w:rPr>
          <w:b/>
          <w:smallCaps/>
          <w:sz w:val="22"/>
          <w:szCs w:val="22"/>
        </w:rPr>
        <w:t xml:space="preserve">ources </w:t>
      </w:r>
      <w:r w:rsidR="00667450" w:rsidRPr="006B6241">
        <w:rPr>
          <w:b/>
          <w:smallCaps/>
        </w:rPr>
        <w:t xml:space="preserve">($) </w:t>
      </w:r>
      <w:r w:rsidR="005B6ABF" w:rsidRPr="006B6241">
        <w:rPr>
          <w:b/>
          <w:smallCaps/>
          <w:sz w:val="22"/>
          <w:szCs w:val="22"/>
        </w:rPr>
        <w:t xml:space="preserve">Requested by Agency, Focal Area </w:t>
      </w:r>
      <w:r w:rsidR="00107376" w:rsidRPr="006B6241">
        <w:rPr>
          <w:b/>
          <w:smallCaps/>
          <w:sz w:val="22"/>
          <w:szCs w:val="22"/>
        </w:rPr>
        <w:t xml:space="preserve">and </w:t>
      </w:r>
      <w:proofErr w:type="spellStart"/>
      <w:r w:rsidR="00107376" w:rsidRPr="006B6241">
        <w:rPr>
          <w:b/>
          <w:smallCaps/>
          <w:sz w:val="22"/>
          <w:szCs w:val="22"/>
        </w:rPr>
        <w:t>Country</w:t>
      </w:r>
      <w:r w:rsidR="003172BD" w:rsidRPr="006B6241">
        <w:rPr>
          <w:rStyle w:val="FootnoteReference"/>
          <w:bCs/>
          <w:color w:val="000000"/>
          <w:sz w:val="22"/>
          <w:szCs w:val="22"/>
        </w:rPr>
        <w:t>a</w:t>
      </w:r>
      <w:proofErr w:type="spellEnd"/>
      <w:r w:rsidR="0072360F" w:rsidRPr="006B6241">
        <w:rPr>
          <w:b/>
          <w:bCs/>
          <w:caps/>
          <w:color w:val="000000"/>
          <w:sz w:val="22"/>
          <w:szCs w:val="22"/>
        </w:rPr>
        <w:t>: N.A.</w:t>
      </w:r>
    </w:p>
    <w:p w:rsidR="00E10D29" w:rsidRPr="006B6241" w:rsidRDefault="00AC697E" w:rsidP="003172BD">
      <w:pPr>
        <w:pStyle w:val="Footer"/>
        <w:tabs>
          <w:tab w:val="clear" w:pos="4320"/>
          <w:tab w:val="clear" w:pos="8640"/>
        </w:tabs>
        <w:ind w:left="-450" w:right="-540" w:hanging="90"/>
        <w:rPr>
          <w:sz w:val="18"/>
          <w:szCs w:val="18"/>
        </w:rPr>
      </w:pPr>
      <w:proofErr w:type="spellStart"/>
      <w:proofErr w:type="gramStart"/>
      <w:r w:rsidRPr="006B6241">
        <w:rPr>
          <w:bCs/>
          <w:sz w:val="18"/>
          <w:szCs w:val="18"/>
          <w:vertAlign w:val="superscript"/>
        </w:rPr>
        <w:t>a</w:t>
      </w:r>
      <w:r w:rsidRPr="006B6241">
        <w:rPr>
          <w:sz w:val="18"/>
          <w:szCs w:val="18"/>
        </w:rPr>
        <w:t>In</w:t>
      </w:r>
      <w:proofErr w:type="spellEnd"/>
      <w:proofErr w:type="gramEnd"/>
      <w:r w:rsidRPr="006B6241">
        <w:rPr>
          <w:sz w:val="18"/>
          <w:szCs w:val="18"/>
        </w:rPr>
        <w:t xml:space="preserve"> case of a single focal area, single country, single GEF Agency project, and single trust fund project, there is no need to provide information for this table. </w:t>
      </w:r>
      <w:r w:rsidR="003C34B6" w:rsidRPr="006B6241">
        <w:rPr>
          <w:sz w:val="18"/>
          <w:szCs w:val="18"/>
        </w:rPr>
        <w:t>PMC amount from Table B should be included proportionately to the focal area amount in this table.</w:t>
      </w:r>
      <w:r w:rsidR="00930EA6" w:rsidRPr="006B6241">
        <w:rPr>
          <w:sz w:val="18"/>
          <w:szCs w:val="18"/>
        </w:rPr>
        <w:t xml:space="preserve"> </w:t>
      </w:r>
    </w:p>
    <w:p w:rsidR="00181537" w:rsidRPr="006B6241" w:rsidRDefault="00181537" w:rsidP="008228CC">
      <w:pPr>
        <w:pStyle w:val="Footer"/>
        <w:tabs>
          <w:tab w:val="clear" w:pos="4320"/>
          <w:tab w:val="clear" w:pos="8640"/>
        </w:tabs>
        <w:ind w:left="-720"/>
        <w:rPr>
          <w:bCs/>
          <w:sz w:val="22"/>
          <w:szCs w:val="18"/>
        </w:rPr>
      </w:pPr>
    </w:p>
    <w:p w:rsidR="00181537" w:rsidRPr="006B6241" w:rsidRDefault="00181537" w:rsidP="008228CC">
      <w:pPr>
        <w:pStyle w:val="Footer"/>
        <w:numPr>
          <w:ilvl w:val="0"/>
          <w:numId w:val="27"/>
        </w:numPr>
        <w:tabs>
          <w:tab w:val="clear" w:pos="4320"/>
          <w:tab w:val="clear" w:pos="8640"/>
        </w:tabs>
        <w:rPr>
          <w:b/>
          <w:smallCaps/>
          <w:sz w:val="22"/>
          <w:szCs w:val="22"/>
        </w:rPr>
      </w:pPr>
      <w:r w:rsidRPr="006B6241">
        <w:rPr>
          <w:b/>
          <w:smallCaps/>
          <w:sz w:val="22"/>
          <w:szCs w:val="22"/>
        </w:rPr>
        <w:t xml:space="preserve"> Project preparation grant (</w:t>
      </w:r>
      <w:r w:rsidR="00A74CB7" w:rsidRPr="006B6241">
        <w:rPr>
          <w:b/>
          <w:smallCaps/>
          <w:sz w:val="22"/>
          <w:szCs w:val="22"/>
        </w:rPr>
        <w:t>PPG</w:t>
      </w:r>
      <w:r w:rsidRPr="006B6241">
        <w:rPr>
          <w:b/>
          <w:smallCaps/>
          <w:sz w:val="22"/>
          <w:szCs w:val="22"/>
        </w:rPr>
        <w:t>)</w:t>
      </w:r>
      <w:r w:rsidR="007F44AA" w:rsidRPr="006B6241">
        <w:rPr>
          <w:rStyle w:val="FootnoteReference"/>
          <w:b/>
          <w:smallCaps/>
          <w:sz w:val="22"/>
          <w:szCs w:val="22"/>
        </w:rPr>
        <w:footnoteReference w:id="7"/>
      </w:r>
    </w:p>
    <w:p w:rsidR="006F289E" w:rsidRPr="006B6241" w:rsidRDefault="006F289E" w:rsidP="008228CC">
      <w:pPr>
        <w:pStyle w:val="Footer"/>
        <w:rPr>
          <w:sz w:val="22"/>
          <w:szCs w:val="22"/>
        </w:rPr>
      </w:pPr>
    </w:p>
    <w:p w:rsidR="00E16042" w:rsidRPr="006B6241" w:rsidRDefault="00181537" w:rsidP="008228CC">
      <w:pPr>
        <w:pStyle w:val="Footer"/>
        <w:rPr>
          <w:sz w:val="22"/>
          <w:szCs w:val="22"/>
        </w:rPr>
      </w:pPr>
      <w:r w:rsidRPr="006B6241">
        <w:rPr>
          <w:sz w:val="22"/>
          <w:szCs w:val="22"/>
        </w:rPr>
        <w:t>Please check on the appropriate box fo</w:t>
      </w:r>
      <w:r w:rsidR="00870816" w:rsidRPr="006B6241">
        <w:rPr>
          <w:sz w:val="22"/>
          <w:szCs w:val="22"/>
        </w:rPr>
        <w:t>r PPG as needed for the project according to the GEF Project Grant:</w:t>
      </w:r>
    </w:p>
    <w:p w:rsidR="00585087" w:rsidRPr="006B6241" w:rsidRDefault="00D67967" w:rsidP="008228CC">
      <w:pPr>
        <w:pStyle w:val="Footer"/>
        <w:tabs>
          <w:tab w:val="clear" w:pos="4320"/>
          <w:tab w:val="clear" w:pos="8640"/>
        </w:tabs>
        <w:rPr>
          <w:sz w:val="22"/>
          <w:szCs w:val="22"/>
        </w:rPr>
      </w:pPr>
      <w:r w:rsidRPr="006B6241">
        <w:rPr>
          <w:sz w:val="22"/>
          <w:szCs w:val="22"/>
        </w:rPr>
        <w:tab/>
        <w:t xml:space="preserve">           </w:t>
      </w:r>
      <w:r w:rsidRPr="006B6241">
        <w:rPr>
          <w:sz w:val="22"/>
          <w:szCs w:val="22"/>
        </w:rPr>
        <w:tab/>
      </w:r>
      <w:r w:rsidRPr="006B6241">
        <w:rPr>
          <w:sz w:val="22"/>
          <w:szCs w:val="22"/>
        </w:rPr>
        <w:tab/>
      </w:r>
      <w:r w:rsidRPr="006B6241">
        <w:rPr>
          <w:sz w:val="22"/>
          <w:szCs w:val="22"/>
        </w:rPr>
        <w:tab/>
      </w:r>
      <w:r w:rsidRPr="006B6241">
        <w:rPr>
          <w:sz w:val="22"/>
          <w:szCs w:val="22"/>
        </w:rPr>
        <w:tab/>
      </w:r>
      <w:r w:rsidRPr="006B6241">
        <w:rPr>
          <w:sz w:val="22"/>
          <w:szCs w:val="22"/>
        </w:rPr>
        <w:tab/>
      </w:r>
      <w:r w:rsidRPr="006B6241">
        <w:rPr>
          <w:sz w:val="22"/>
          <w:szCs w:val="22"/>
        </w:rPr>
        <w:tab/>
      </w:r>
      <w:r w:rsidR="00585087" w:rsidRPr="006B6241">
        <w:rPr>
          <w:sz w:val="22"/>
          <w:szCs w:val="22"/>
        </w:rPr>
        <w:t xml:space="preserve">       </w:t>
      </w:r>
      <w:r w:rsidRPr="006B6241">
        <w:rPr>
          <w:sz w:val="22"/>
          <w:szCs w:val="22"/>
          <w:u w:val="single"/>
        </w:rPr>
        <w:t xml:space="preserve">Amount </w:t>
      </w:r>
      <w:r w:rsidR="00585087" w:rsidRPr="006B6241">
        <w:rPr>
          <w:sz w:val="22"/>
          <w:szCs w:val="22"/>
        </w:rPr>
        <w:t xml:space="preserve">                        </w:t>
      </w:r>
      <w:r w:rsidR="00585087" w:rsidRPr="006B6241">
        <w:rPr>
          <w:sz w:val="22"/>
          <w:szCs w:val="22"/>
          <w:u w:val="single"/>
        </w:rPr>
        <w:t xml:space="preserve">Agency Fee                 </w:t>
      </w:r>
    </w:p>
    <w:p w:rsidR="00585087" w:rsidRPr="006B6241" w:rsidRDefault="00585087" w:rsidP="008228CC">
      <w:pPr>
        <w:pStyle w:val="Footer"/>
        <w:tabs>
          <w:tab w:val="clear" w:pos="4320"/>
          <w:tab w:val="clear" w:pos="8640"/>
        </w:tabs>
        <w:rPr>
          <w:sz w:val="22"/>
          <w:szCs w:val="22"/>
        </w:rPr>
      </w:pPr>
      <w:r w:rsidRPr="006B6241">
        <w:rPr>
          <w:sz w:val="22"/>
          <w:szCs w:val="22"/>
        </w:rPr>
        <w:tab/>
      </w:r>
      <w:r w:rsidRPr="006B6241">
        <w:rPr>
          <w:sz w:val="22"/>
          <w:szCs w:val="22"/>
        </w:rPr>
        <w:tab/>
      </w:r>
      <w:r w:rsidRPr="006B6241">
        <w:rPr>
          <w:sz w:val="22"/>
          <w:szCs w:val="22"/>
        </w:rPr>
        <w:tab/>
      </w:r>
      <w:r w:rsidRPr="006B6241">
        <w:rPr>
          <w:sz w:val="22"/>
          <w:szCs w:val="22"/>
        </w:rPr>
        <w:tab/>
      </w:r>
      <w:r w:rsidRPr="006B6241">
        <w:rPr>
          <w:sz w:val="22"/>
          <w:szCs w:val="22"/>
        </w:rPr>
        <w:tab/>
      </w:r>
      <w:r w:rsidRPr="006B6241">
        <w:rPr>
          <w:sz w:val="22"/>
          <w:szCs w:val="22"/>
        </w:rPr>
        <w:tab/>
      </w:r>
      <w:r w:rsidRPr="006B6241">
        <w:rPr>
          <w:sz w:val="22"/>
          <w:szCs w:val="22"/>
        </w:rPr>
        <w:tab/>
        <w:t xml:space="preserve">       </w:t>
      </w:r>
      <w:r w:rsidRPr="006B6241">
        <w:rPr>
          <w:sz w:val="22"/>
          <w:szCs w:val="22"/>
          <w:u w:val="single"/>
        </w:rPr>
        <w:t>Requested ($)</w:t>
      </w:r>
      <w:r w:rsidRPr="006B6241">
        <w:rPr>
          <w:sz w:val="22"/>
          <w:szCs w:val="22"/>
        </w:rPr>
        <w:t xml:space="preserve">  </w:t>
      </w:r>
      <w:r w:rsidR="00D11058" w:rsidRPr="006B6241">
        <w:rPr>
          <w:sz w:val="22"/>
          <w:szCs w:val="22"/>
        </w:rPr>
        <w:tab/>
      </w:r>
      <w:r w:rsidRPr="006B6241">
        <w:rPr>
          <w:sz w:val="22"/>
          <w:szCs w:val="22"/>
        </w:rPr>
        <w:t xml:space="preserve">    </w:t>
      </w:r>
      <w:r w:rsidRPr="006B6241">
        <w:rPr>
          <w:sz w:val="22"/>
          <w:szCs w:val="22"/>
          <w:u w:val="single"/>
        </w:rPr>
        <w:t>for PPG ($)</w:t>
      </w:r>
      <w:r w:rsidRPr="006B6241">
        <w:rPr>
          <w:rStyle w:val="FootnoteReference"/>
          <w:sz w:val="22"/>
          <w:szCs w:val="22"/>
          <w:u w:val="single"/>
        </w:rPr>
        <w:footnoteReference w:id="8"/>
      </w:r>
    </w:p>
    <w:p w:rsidR="00D67967" w:rsidRPr="006B6241" w:rsidRDefault="00283BED" w:rsidP="008228CC">
      <w:pPr>
        <w:pStyle w:val="Footer"/>
        <w:numPr>
          <w:ilvl w:val="0"/>
          <w:numId w:val="17"/>
        </w:numPr>
        <w:tabs>
          <w:tab w:val="clear" w:pos="4320"/>
          <w:tab w:val="clear" w:pos="8640"/>
        </w:tabs>
        <w:ind w:left="360"/>
        <w:rPr>
          <w:sz w:val="22"/>
          <w:szCs w:val="22"/>
        </w:rPr>
      </w:pPr>
      <w:r w:rsidRPr="006B6241">
        <w:rPr>
          <w:sz w:val="22"/>
          <w:szCs w:val="22"/>
        </w:rPr>
        <w:t>No PPG required</w:t>
      </w:r>
      <w:r w:rsidR="00422A6D" w:rsidRPr="006B6241">
        <w:rPr>
          <w:sz w:val="22"/>
          <w:szCs w:val="22"/>
        </w:rPr>
        <w:t xml:space="preserve">. </w:t>
      </w:r>
      <w:r w:rsidR="00975233" w:rsidRPr="006B6241">
        <w:rPr>
          <w:sz w:val="22"/>
          <w:szCs w:val="22"/>
        </w:rPr>
        <w:t xml:space="preserve">                                         </w:t>
      </w:r>
      <w:r w:rsidR="00D67967" w:rsidRPr="006B6241">
        <w:rPr>
          <w:sz w:val="22"/>
          <w:szCs w:val="22"/>
        </w:rPr>
        <w:tab/>
      </w:r>
      <w:r w:rsidR="00D67967" w:rsidRPr="006B6241">
        <w:rPr>
          <w:sz w:val="22"/>
          <w:szCs w:val="22"/>
        </w:rPr>
        <w:tab/>
      </w:r>
      <w:r w:rsidR="00585087" w:rsidRPr="006B6241">
        <w:rPr>
          <w:sz w:val="22"/>
          <w:szCs w:val="22"/>
        </w:rPr>
        <w:t xml:space="preserve">       </w:t>
      </w:r>
      <w:r w:rsidR="00822A4A" w:rsidRPr="006B6241">
        <w:rPr>
          <w:sz w:val="22"/>
          <w:szCs w:val="22"/>
          <w:u w:val="single"/>
        </w:rPr>
        <w:t>___</w:t>
      </w:r>
      <w:r w:rsidR="00D67967" w:rsidRPr="006B6241">
        <w:rPr>
          <w:sz w:val="22"/>
          <w:szCs w:val="22"/>
          <w:u w:val="single"/>
        </w:rPr>
        <w:t>-- 0--____</w:t>
      </w:r>
      <w:r w:rsidR="00585087" w:rsidRPr="006B6241">
        <w:rPr>
          <w:sz w:val="22"/>
          <w:szCs w:val="22"/>
        </w:rPr>
        <w:t xml:space="preserve">     </w:t>
      </w:r>
      <w:r w:rsidR="00D11058" w:rsidRPr="006B6241">
        <w:rPr>
          <w:sz w:val="22"/>
          <w:szCs w:val="22"/>
        </w:rPr>
        <w:tab/>
        <w:t xml:space="preserve">     </w:t>
      </w:r>
      <w:r w:rsidR="00585087" w:rsidRPr="006B6241">
        <w:rPr>
          <w:sz w:val="22"/>
          <w:szCs w:val="22"/>
          <w:u w:val="single"/>
        </w:rPr>
        <w:t xml:space="preserve">  --0--___</w:t>
      </w:r>
    </w:p>
    <w:p w:rsidR="00870816" w:rsidRPr="006B6241" w:rsidRDefault="00870816" w:rsidP="008228CC">
      <w:pPr>
        <w:pStyle w:val="Footer"/>
        <w:numPr>
          <w:ilvl w:val="0"/>
          <w:numId w:val="17"/>
        </w:numPr>
        <w:tabs>
          <w:tab w:val="clear" w:pos="4320"/>
          <w:tab w:val="clear" w:pos="8640"/>
        </w:tabs>
        <w:ind w:left="360"/>
        <w:rPr>
          <w:sz w:val="22"/>
          <w:szCs w:val="22"/>
        </w:rPr>
      </w:pPr>
      <w:r w:rsidRPr="006B6241">
        <w:rPr>
          <w:color w:val="000000"/>
          <w:sz w:val="22"/>
          <w:szCs w:val="22"/>
        </w:rPr>
        <w:t>(</w:t>
      </w:r>
      <w:r w:rsidR="005D4AD5" w:rsidRPr="006B6241">
        <w:rPr>
          <w:color w:val="000000"/>
          <w:sz w:val="22"/>
          <w:szCs w:val="22"/>
        </w:rPr>
        <w:t>up to</w:t>
      </w:r>
      <w:r w:rsidRPr="006B6241">
        <w:rPr>
          <w:color w:val="000000"/>
          <w:sz w:val="22"/>
          <w:szCs w:val="22"/>
        </w:rPr>
        <w:t xml:space="preserve">) $50k for </w:t>
      </w:r>
      <w:r w:rsidR="00667450" w:rsidRPr="006B6241">
        <w:rPr>
          <w:color w:val="000000"/>
          <w:sz w:val="22"/>
          <w:szCs w:val="22"/>
        </w:rPr>
        <w:t xml:space="preserve">projects </w:t>
      </w:r>
      <w:r w:rsidRPr="006B6241">
        <w:rPr>
          <w:color w:val="000000"/>
          <w:sz w:val="22"/>
          <w:szCs w:val="22"/>
        </w:rPr>
        <w:t>up to</w:t>
      </w:r>
      <w:r w:rsidR="00822A4A" w:rsidRPr="006B6241">
        <w:rPr>
          <w:color w:val="000000"/>
          <w:sz w:val="22"/>
          <w:szCs w:val="22"/>
        </w:rPr>
        <w:t xml:space="preserve"> &amp; including</w:t>
      </w:r>
      <w:r w:rsidR="00404F0D" w:rsidRPr="006B6241">
        <w:rPr>
          <w:color w:val="000000"/>
          <w:sz w:val="22"/>
          <w:szCs w:val="22"/>
        </w:rPr>
        <w:t xml:space="preserve"> $1 million      </w:t>
      </w:r>
      <w:r w:rsidR="00585087" w:rsidRPr="006B6241">
        <w:rPr>
          <w:color w:val="000000"/>
          <w:sz w:val="22"/>
          <w:szCs w:val="22"/>
        </w:rPr>
        <w:t xml:space="preserve"> </w:t>
      </w:r>
      <w:r w:rsidR="00D67967" w:rsidRPr="006B6241">
        <w:rPr>
          <w:sz w:val="22"/>
          <w:szCs w:val="22"/>
        </w:rPr>
        <w:t>___</w:t>
      </w:r>
      <w:r w:rsidR="00D67967" w:rsidRPr="006B6241">
        <w:rPr>
          <w:sz w:val="22"/>
          <w:szCs w:val="22"/>
          <w:u w:val="single"/>
        </w:rPr>
        <w:t>_</w:t>
      </w:r>
      <w:r w:rsidR="00D67967" w:rsidRPr="006B6241">
        <w:rPr>
          <w:sz w:val="22"/>
          <w:szCs w:val="22"/>
        </w:rPr>
        <w:t>_______</w:t>
      </w:r>
      <w:r w:rsidR="00D11058" w:rsidRPr="006B6241">
        <w:rPr>
          <w:sz w:val="22"/>
          <w:szCs w:val="22"/>
        </w:rPr>
        <w:t xml:space="preserve"> </w:t>
      </w:r>
      <w:r w:rsidR="00D11058" w:rsidRPr="006B6241">
        <w:rPr>
          <w:sz w:val="22"/>
          <w:szCs w:val="22"/>
        </w:rPr>
        <w:tab/>
        <w:t xml:space="preserve">      </w:t>
      </w:r>
      <w:r w:rsidR="00585087" w:rsidRPr="006B6241">
        <w:rPr>
          <w:sz w:val="22"/>
          <w:szCs w:val="22"/>
        </w:rPr>
        <w:t>___</w:t>
      </w:r>
      <w:r w:rsidR="00585087" w:rsidRPr="006B6241">
        <w:rPr>
          <w:sz w:val="22"/>
          <w:szCs w:val="22"/>
          <w:u w:val="single"/>
        </w:rPr>
        <w:t>_</w:t>
      </w:r>
      <w:r w:rsidR="00585087" w:rsidRPr="006B6241">
        <w:rPr>
          <w:sz w:val="22"/>
          <w:szCs w:val="22"/>
        </w:rPr>
        <w:t>____</w:t>
      </w:r>
    </w:p>
    <w:p w:rsidR="00870816" w:rsidRPr="006B6241" w:rsidRDefault="00870816" w:rsidP="008228CC">
      <w:pPr>
        <w:pStyle w:val="Footer"/>
        <w:numPr>
          <w:ilvl w:val="0"/>
          <w:numId w:val="17"/>
        </w:numPr>
        <w:tabs>
          <w:tab w:val="clear" w:pos="4320"/>
          <w:tab w:val="clear" w:pos="8640"/>
        </w:tabs>
        <w:ind w:left="360"/>
        <w:rPr>
          <w:sz w:val="22"/>
          <w:szCs w:val="22"/>
        </w:rPr>
      </w:pPr>
      <w:r w:rsidRPr="006B6241">
        <w:rPr>
          <w:color w:val="000000"/>
          <w:sz w:val="22"/>
          <w:szCs w:val="22"/>
        </w:rPr>
        <w:t>(</w:t>
      </w:r>
      <w:r w:rsidR="005D4AD5" w:rsidRPr="006B6241">
        <w:rPr>
          <w:color w:val="000000"/>
          <w:sz w:val="22"/>
          <w:szCs w:val="22"/>
        </w:rPr>
        <w:t>up to</w:t>
      </w:r>
      <w:r w:rsidRPr="006B6241">
        <w:rPr>
          <w:color w:val="000000"/>
          <w:sz w:val="22"/>
          <w:szCs w:val="22"/>
        </w:rPr>
        <w:t>)</w:t>
      </w:r>
      <w:r w:rsidR="00AB70D4" w:rsidRPr="006B6241">
        <w:rPr>
          <w:color w:val="000000"/>
          <w:sz w:val="22"/>
          <w:szCs w:val="22"/>
        </w:rPr>
        <w:t xml:space="preserve"> </w:t>
      </w:r>
      <w:r w:rsidRPr="006B6241">
        <w:rPr>
          <w:color w:val="000000"/>
          <w:sz w:val="22"/>
          <w:szCs w:val="22"/>
        </w:rPr>
        <w:t>$100k for projects up to</w:t>
      </w:r>
      <w:r w:rsidR="00822A4A" w:rsidRPr="006B6241">
        <w:rPr>
          <w:color w:val="000000"/>
          <w:sz w:val="22"/>
          <w:szCs w:val="22"/>
        </w:rPr>
        <w:t xml:space="preserve"> &amp; including</w:t>
      </w:r>
      <w:r w:rsidRPr="006B6241">
        <w:rPr>
          <w:color w:val="000000"/>
          <w:sz w:val="22"/>
          <w:szCs w:val="22"/>
        </w:rPr>
        <w:t xml:space="preserve"> $3 million</w:t>
      </w:r>
      <w:r w:rsidR="00975233" w:rsidRPr="006B6241">
        <w:rPr>
          <w:color w:val="000000"/>
          <w:sz w:val="22"/>
          <w:szCs w:val="22"/>
        </w:rPr>
        <w:t xml:space="preserve">     </w:t>
      </w:r>
      <w:r w:rsidR="00585087" w:rsidRPr="006B6241">
        <w:rPr>
          <w:color w:val="000000"/>
          <w:sz w:val="22"/>
          <w:szCs w:val="22"/>
        </w:rPr>
        <w:t xml:space="preserve"> </w:t>
      </w:r>
      <w:r w:rsidR="00364E0A" w:rsidRPr="006B6241">
        <w:rPr>
          <w:color w:val="000000"/>
          <w:sz w:val="22"/>
          <w:szCs w:val="22"/>
        </w:rPr>
        <w:t>1</w:t>
      </w:r>
      <w:r w:rsidR="00AB70D4" w:rsidRPr="006B6241">
        <w:rPr>
          <w:color w:val="000000"/>
          <w:sz w:val="22"/>
          <w:szCs w:val="22"/>
        </w:rPr>
        <w:t>0</w:t>
      </w:r>
      <w:r w:rsidR="00364E0A" w:rsidRPr="006B6241">
        <w:rPr>
          <w:color w:val="000000"/>
          <w:sz w:val="22"/>
          <w:szCs w:val="22"/>
        </w:rPr>
        <w:t>0,000</w:t>
      </w:r>
      <w:r w:rsidR="00364E0A" w:rsidRPr="006B6241">
        <w:rPr>
          <w:color w:val="000000"/>
          <w:sz w:val="22"/>
          <w:szCs w:val="22"/>
        </w:rPr>
        <w:tab/>
      </w:r>
      <w:r w:rsidR="00364E0A" w:rsidRPr="006B6241">
        <w:rPr>
          <w:color w:val="000000"/>
          <w:sz w:val="22"/>
          <w:szCs w:val="22"/>
        </w:rPr>
        <w:tab/>
      </w:r>
      <w:r w:rsidR="00364E0A" w:rsidRPr="006B6241">
        <w:rPr>
          <w:color w:val="000000"/>
          <w:sz w:val="22"/>
          <w:szCs w:val="22"/>
        </w:rPr>
        <w:tab/>
      </w:r>
      <w:r w:rsidR="00AB70D4" w:rsidRPr="006B6241">
        <w:rPr>
          <w:color w:val="000000"/>
          <w:sz w:val="22"/>
          <w:szCs w:val="22"/>
        </w:rPr>
        <w:t>9,500</w:t>
      </w:r>
    </w:p>
    <w:p w:rsidR="00870816" w:rsidRPr="006B6241" w:rsidRDefault="00870816" w:rsidP="008228CC">
      <w:pPr>
        <w:pStyle w:val="Footer"/>
        <w:numPr>
          <w:ilvl w:val="0"/>
          <w:numId w:val="17"/>
        </w:numPr>
        <w:tabs>
          <w:tab w:val="clear" w:pos="4320"/>
          <w:tab w:val="clear" w:pos="8640"/>
        </w:tabs>
        <w:ind w:left="360"/>
        <w:rPr>
          <w:sz w:val="22"/>
          <w:szCs w:val="22"/>
        </w:rPr>
      </w:pPr>
      <w:r w:rsidRPr="006B6241">
        <w:rPr>
          <w:color w:val="000000"/>
          <w:sz w:val="22"/>
          <w:szCs w:val="22"/>
        </w:rPr>
        <w:t>(</w:t>
      </w:r>
      <w:r w:rsidR="005D4AD5" w:rsidRPr="006B6241">
        <w:rPr>
          <w:color w:val="000000"/>
          <w:sz w:val="22"/>
          <w:szCs w:val="22"/>
        </w:rPr>
        <w:t>up to</w:t>
      </w:r>
      <w:r w:rsidRPr="006B6241">
        <w:rPr>
          <w:color w:val="000000"/>
          <w:sz w:val="22"/>
          <w:szCs w:val="22"/>
        </w:rPr>
        <w:t>)</w:t>
      </w:r>
      <w:r w:rsidR="00AB70D4" w:rsidRPr="006B6241">
        <w:rPr>
          <w:color w:val="000000"/>
          <w:sz w:val="22"/>
          <w:szCs w:val="22"/>
        </w:rPr>
        <w:t xml:space="preserve"> </w:t>
      </w:r>
      <w:r w:rsidRPr="006B6241">
        <w:rPr>
          <w:color w:val="000000"/>
          <w:sz w:val="22"/>
          <w:szCs w:val="22"/>
        </w:rPr>
        <w:t xml:space="preserve">$150k for projects up to </w:t>
      </w:r>
      <w:r w:rsidR="00822A4A" w:rsidRPr="006B6241">
        <w:rPr>
          <w:color w:val="000000"/>
          <w:sz w:val="22"/>
          <w:szCs w:val="22"/>
        </w:rPr>
        <w:t xml:space="preserve">&amp; including </w:t>
      </w:r>
      <w:r w:rsidRPr="006B6241">
        <w:rPr>
          <w:color w:val="000000"/>
          <w:sz w:val="22"/>
          <w:szCs w:val="22"/>
        </w:rPr>
        <w:t>$6 million</w:t>
      </w:r>
      <w:r w:rsidR="00975233" w:rsidRPr="006B6241">
        <w:rPr>
          <w:color w:val="000000"/>
          <w:sz w:val="22"/>
          <w:szCs w:val="22"/>
        </w:rPr>
        <w:t xml:space="preserve">     </w:t>
      </w:r>
      <w:r w:rsidR="00364E0A" w:rsidRPr="006B6241">
        <w:rPr>
          <w:color w:val="000000"/>
          <w:sz w:val="22"/>
          <w:szCs w:val="22"/>
        </w:rPr>
        <w:t>___________                _________</w:t>
      </w:r>
    </w:p>
    <w:p w:rsidR="00870816" w:rsidRPr="006B6241" w:rsidRDefault="00870816" w:rsidP="008228CC">
      <w:pPr>
        <w:pStyle w:val="Footer"/>
        <w:numPr>
          <w:ilvl w:val="0"/>
          <w:numId w:val="17"/>
        </w:numPr>
        <w:tabs>
          <w:tab w:val="clear" w:pos="4320"/>
          <w:tab w:val="clear" w:pos="8640"/>
        </w:tabs>
        <w:ind w:left="360"/>
        <w:rPr>
          <w:sz w:val="22"/>
          <w:szCs w:val="22"/>
        </w:rPr>
      </w:pPr>
      <w:r w:rsidRPr="006B6241">
        <w:rPr>
          <w:color w:val="000000"/>
          <w:sz w:val="22"/>
          <w:szCs w:val="22"/>
        </w:rPr>
        <w:t>(</w:t>
      </w:r>
      <w:r w:rsidR="005D4AD5" w:rsidRPr="006B6241">
        <w:rPr>
          <w:color w:val="000000"/>
          <w:sz w:val="22"/>
          <w:szCs w:val="22"/>
        </w:rPr>
        <w:t>up to</w:t>
      </w:r>
      <w:r w:rsidRPr="006B6241">
        <w:rPr>
          <w:color w:val="000000"/>
          <w:sz w:val="22"/>
          <w:szCs w:val="22"/>
        </w:rPr>
        <w:t>)</w:t>
      </w:r>
      <w:r w:rsidR="00AB70D4" w:rsidRPr="006B6241">
        <w:rPr>
          <w:color w:val="000000"/>
          <w:sz w:val="22"/>
          <w:szCs w:val="22"/>
        </w:rPr>
        <w:t xml:space="preserve"> </w:t>
      </w:r>
      <w:r w:rsidRPr="006B6241">
        <w:rPr>
          <w:color w:val="000000"/>
          <w:sz w:val="22"/>
          <w:szCs w:val="22"/>
        </w:rPr>
        <w:t xml:space="preserve">$200k for projects </w:t>
      </w:r>
      <w:r w:rsidR="002C7D5B" w:rsidRPr="006B6241">
        <w:rPr>
          <w:color w:val="000000"/>
          <w:sz w:val="22"/>
          <w:szCs w:val="22"/>
        </w:rPr>
        <w:t>up to</w:t>
      </w:r>
      <w:r w:rsidR="00822A4A" w:rsidRPr="006B6241">
        <w:rPr>
          <w:color w:val="000000"/>
          <w:sz w:val="22"/>
          <w:szCs w:val="22"/>
        </w:rPr>
        <w:t xml:space="preserve"> &amp; including</w:t>
      </w:r>
      <w:r w:rsidR="002C7D5B" w:rsidRPr="006B6241">
        <w:rPr>
          <w:color w:val="000000"/>
          <w:sz w:val="22"/>
          <w:szCs w:val="22"/>
        </w:rPr>
        <w:t xml:space="preserve"> $10</w:t>
      </w:r>
      <w:r w:rsidRPr="006B6241">
        <w:rPr>
          <w:color w:val="000000"/>
          <w:sz w:val="22"/>
          <w:szCs w:val="22"/>
        </w:rPr>
        <w:t xml:space="preserve"> million </w:t>
      </w:r>
      <w:r w:rsidR="00975233" w:rsidRPr="006B6241">
        <w:rPr>
          <w:color w:val="000000"/>
          <w:sz w:val="22"/>
          <w:szCs w:val="22"/>
        </w:rPr>
        <w:t xml:space="preserve"> </w:t>
      </w:r>
      <w:r w:rsidR="00585087" w:rsidRPr="006B6241">
        <w:rPr>
          <w:color w:val="000000"/>
          <w:sz w:val="22"/>
          <w:szCs w:val="22"/>
        </w:rPr>
        <w:t xml:space="preserve"> </w:t>
      </w:r>
      <w:r w:rsidR="00D67967" w:rsidRPr="006B6241">
        <w:rPr>
          <w:sz w:val="22"/>
          <w:szCs w:val="22"/>
        </w:rPr>
        <w:t>___</w:t>
      </w:r>
      <w:r w:rsidR="00D67967" w:rsidRPr="006B6241">
        <w:rPr>
          <w:sz w:val="22"/>
          <w:szCs w:val="22"/>
          <w:u w:val="single"/>
        </w:rPr>
        <w:t>_</w:t>
      </w:r>
      <w:r w:rsidR="00D67967" w:rsidRPr="006B6241">
        <w:rPr>
          <w:sz w:val="22"/>
          <w:szCs w:val="22"/>
        </w:rPr>
        <w:t>_______</w:t>
      </w:r>
      <w:r w:rsidR="00975233" w:rsidRPr="006B6241">
        <w:rPr>
          <w:color w:val="000000"/>
          <w:sz w:val="22"/>
          <w:szCs w:val="22"/>
        </w:rPr>
        <w:t xml:space="preserve">      </w:t>
      </w:r>
      <w:r w:rsidR="00D11058" w:rsidRPr="006B6241">
        <w:rPr>
          <w:color w:val="000000"/>
          <w:sz w:val="22"/>
          <w:szCs w:val="22"/>
        </w:rPr>
        <w:t xml:space="preserve">           </w:t>
      </w:r>
      <w:r w:rsidR="00585087" w:rsidRPr="006B6241">
        <w:rPr>
          <w:color w:val="000000"/>
          <w:sz w:val="22"/>
          <w:szCs w:val="22"/>
        </w:rPr>
        <w:t>___</w:t>
      </w:r>
      <w:r w:rsidR="00585087" w:rsidRPr="006B6241">
        <w:rPr>
          <w:color w:val="000000"/>
          <w:sz w:val="22"/>
          <w:szCs w:val="22"/>
          <w:u w:val="single"/>
        </w:rPr>
        <w:t>_</w:t>
      </w:r>
      <w:r w:rsidR="00585087" w:rsidRPr="006B6241">
        <w:rPr>
          <w:color w:val="000000"/>
          <w:sz w:val="22"/>
          <w:szCs w:val="22"/>
        </w:rPr>
        <w:t>____</w:t>
      </w:r>
    </w:p>
    <w:p w:rsidR="00C66795" w:rsidRPr="006B6241" w:rsidRDefault="00870816" w:rsidP="008228CC">
      <w:pPr>
        <w:pStyle w:val="Footer"/>
        <w:numPr>
          <w:ilvl w:val="0"/>
          <w:numId w:val="17"/>
        </w:numPr>
        <w:tabs>
          <w:tab w:val="clear" w:pos="4320"/>
          <w:tab w:val="clear" w:pos="8640"/>
        </w:tabs>
        <w:ind w:left="360"/>
        <w:rPr>
          <w:sz w:val="22"/>
          <w:szCs w:val="22"/>
        </w:rPr>
      </w:pPr>
      <w:r w:rsidRPr="006B6241">
        <w:rPr>
          <w:color w:val="000000"/>
          <w:sz w:val="22"/>
          <w:szCs w:val="22"/>
        </w:rPr>
        <w:t>(</w:t>
      </w:r>
      <w:r w:rsidR="005D4AD5" w:rsidRPr="006B6241">
        <w:rPr>
          <w:color w:val="000000"/>
          <w:sz w:val="22"/>
          <w:szCs w:val="22"/>
        </w:rPr>
        <w:t>up to</w:t>
      </w:r>
      <w:r w:rsidRPr="006B6241">
        <w:rPr>
          <w:color w:val="000000"/>
          <w:sz w:val="22"/>
          <w:szCs w:val="22"/>
        </w:rPr>
        <w:t>)</w:t>
      </w:r>
      <w:r w:rsidR="00AB70D4" w:rsidRPr="006B6241">
        <w:rPr>
          <w:color w:val="000000"/>
          <w:sz w:val="22"/>
          <w:szCs w:val="22"/>
        </w:rPr>
        <w:t xml:space="preserve"> </w:t>
      </w:r>
      <w:r w:rsidRPr="006B6241">
        <w:rPr>
          <w:color w:val="000000"/>
          <w:sz w:val="22"/>
          <w:szCs w:val="22"/>
        </w:rPr>
        <w:t xml:space="preserve">$300k for projects </w:t>
      </w:r>
      <w:r w:rsidR="002C7D5B" w:rsidRPr="006B6241">
        <w:rPr>
          <w:color w:val="000000"/>
          <w:sz w:val="22"/>
          <w:szCs w:val="22"/>
        </w:rPr>
        <w:t xml:space="preserve">above </w:t>
      </w:r>
      <w:r w:rsidRPr="006B6241">
        <w:rPr>
          <w:color w:val="000000"/>
          <w:sz w:val="22"/>
          <w:szCs w:val="22"/>
        </w:rPr>
        <w:t xml:space="preserve">$10 million </w:t>
      </w:r>
      <w:r w:rsidR="00975233" w:rsidRPr="006B6241">
        <w:rPr>
          <w:color w:val="000000"/>
          <w:sz w:val="22"/>
          <w:szCs w:val="22"/>
        </w:rPr>
        <w:t xml:space="preserve">    </w:t>
      </w:r>
      <w:r w:rsidR="00D67967" w:rsidRPr="006B6241">
        <w:rPr>
          <w:color w:val="000000"/>
          <w:sz w:val="22"/>
          <w:szCs w:val="22"/>
        </w:rPr>
        <w:tab/>
      </w:r>
      <w:r w:rsidR="00585087" w:rsidRPr="006B6241">
        <w:rPr>
          <w:color w:val="000000"/>
          <w:sz w:val="22"/>
          <w:szCs w:val="22"/>
        </w:rPr>
        <w:t xml:space="preserve">       </w:t>
      </w:r>
      <w:r w:rsidR="00D67967" w:rsidRPr="006B6241">
        <w:rPr>
          <w:sz w:val="22"/>
          <w:szCs w:val="22"/>
        </w:rPr>
        <w:t>___</w:t>
      </w:r>
      <w:r w:rsidR="00D67967" w:rsidRPr="006B6241">
        <w:rPr>
          <w:sz w:val="22"/>
          <w:szCs w:val="22"/>
          <w:u w:val="single"/>
        </w:rPr>
        <w:t>_</w:t>
      </w:r>
      <w:r w:rsidR="00D67967" w:rsidRPr="006B6241">
        <w:rPr>
          <w:sz w:val="22"/>
          <w:szCs w:val="22"/>
        </w:rPr>
        <w:t>_______</w:t>
      </w:r>
      <w:r w:rsidR="00975233" w:rsidRPr="006B6241">
        <w:rPr>
          <w:color w:val="000000"/>
          <w:sz w:val="22"/>
          <w:szCs w:val="22"/>
        </w:rPr>
        <w:t xml:space="preserve">   </w:t>
      </w:r>
      <w:r w:rsidR="00585087" w:rsidRPr="006B6241">
        <w:rPr>
          <w:color w:val="000000"/>
          <w:sz w:val="22"/>
          <w:szCs w:val="22"/>
        </w:rPr>
        <w:t xml:space="preserve">   </w:t>
      </w:r>
      <w:r w:rsidR="00D11058" w:rsidRPr="006B6241">
        <w:rPr>
          <w:color w:val="000000"/>
          <w:sz w:val="22"/>
          <w:szCs w:val="22"/>
        </w:rPr>
        <w:t xml:space="preserve">          </w:t>
      </w:r>
      <w:r w:rsidR="00585087" w:rsidRPr="006B6241">
        <w:rPr>
          <w:color w:val="000000"/>
          <w:sz w:val="22"/>
          <w:szCs w:val="22"/>
        </w:rPr>
        <w:t>___</w:t>
      </w:r>
      <w:r w:rsidR="00585087" w:rsidRPr="006B6241">
        <w:rPr>
          <w:color w:val="000000"/>
          <w:sz w:val="22"/>
          <w:szCs w:val="22"/>
          <w:u w:val="single"/>
        </w:rPr>
        <w:t>_</w:t>
      </w:r>
      <w:r w:rsidR="00585087" w:rsidRPr="006B6241">
        <w:rPr>
          <w:color w:val="000000"/>
          <w:sz w:val="22"/>
          <w:szCs w:val="22"/>
        </w:rPr>
        <w:t>____</w:t>
      </w:r>
    </w:p>
    <w:p w:rsidR="00181537" w:rsidRPr="006B6241" w:rsidRDefault="00181537" w:rsidP="008228CC">
      <w:pPr>
        <w:pStyle w:val="Footer"/>
        <w:rPr>
          <w:b/>
          <w:caps/>
          <w:sz w:val="22"/>
          <w:szCs w:val="22"/>
          <w:u w:val="single"/>
        </w:rPr>
      </w:pPr>
    </w:p>
    <w:p w:rsidR="006F3B05" w:rsidRPr="006B6241" w:rsidRDefault="006F3B05" w:rsidP="008228CC">
      <w:pPr>
        <w:pStyle w:val="Footer"/>
        <w:numPr>
          <w:ilvl w:val="0"/>
          <w:numId w:val="27"/>
        </w:numPr>
        <w:tabs>
          <w:tab w:val="clear" w:pos="4320"/>
          <w:tab w:val="clear" w:pos="8640"/>
        </w:tabs>
        <w:rPr>
          <w:b/>
          <w:sz w:val="22"/>
          <w:szCs w:val="22"/>
        </w:rPr>
      </w:pPr>
      <w:r w:rsidRPr="006B6241">
        <w:rPr>
          <w:b/>
          <w:smallCaps/>
          <w:sz w:val="22"/>
          <w:szCs w:val="22"/>
        </w:rPr>
        <w:t xml:space="preserve">PPG Amount requested by </w:t>
      </w:r>
      <w:proofErr w:type="gramStart"/>
      <w:r w:rsidRPr="006B6241">
        <w:rPr>
          <w:b/>
          <w:smallCaps/>
          <w:sz w:val="22"/>
          <w:szCs w:val="22"/>
        </w:rPr>
        <w:t>agency(</w:t>
      </w:r>
      <w:proofErr w:type="spellStart"/>
      <w:proofErr w:type="gramEnd"/>
      <w:r w:rsidRPr="006B6241">
        <w:rPr>
          <w:b/>
          <w:smallCaps/>
          <w:sz w:val="22"/>
          <w:szCs w:val="22"/>
        </w:rPr>
        <w:t>ies</w:t>
      </w:r>
      <w:proofErr w:type="spellEnd"/>
      <w:r w:rsidRPr="006B6241">
        <w:rPr>
          <w:b/>
          <w:smallCaps/>
          <w:sz w:val="22"/>
          <w:szCs w:val="22"/>
        </w:rPr>
        <w:t>), focal area(s) and country(</w:t>
      </w:r>
      <w:proofErr w:type="spellStart"/>
      <w:r w:rsidRPr="006B6241">
        <w:rPr>
          <w:b/>
          <w:smallCaps/>
          <w:sz w:val="22"/>
          <w:szCs w:val="22"/>
        </w:rPr>
        <w:t>ies</w:t>
      </w:r>
      <w:proofErr w:type="spellEnd"/>
      <w:r w:rsidRPr="006B6241">
        <w:rPr>
          <w:b/>
          <w:smallCaps/>
          <w:sz w:val="22"/>
          <w:szCs w:val="22"/>
        </w:rPr>
        <w:t>)</w:t>
      </w:r>
      <w:r w:rsidR="00592BEC" w:rsidRPr="006B6241">
        <w:rPr>
          <w:b/>
          <w:smallCaps/>
          <w:sz w:val="22"/>
          <w:szCs w:val="22"/>
        </w:rPr>
        <w:t xml:space="preserve"> for MFA and/or MTF </w:t>
      </w:r>
      <w:r w:rsidR="00375D58" w:rsidRPr="006B6241">
        <w:rPr>
          <w:b/>
          <w:smallCaps/>
          <w:sz w:val="22"/>
          <w:szCs w:val="22"/>
        </w:rPr>
        <w:t>P</w:t>
      </w:r>
      <w:r w:rsidR="00592BEC" w:rsidRPr="006B6241">
        <w:rPr>
          <w:b/>
          <w:smallCaps/>
          <w:sz w:val="22"/>
          <w:szCs w:val="22"/>
        </w:rPr>
        <w:t>roject only</w:t>
      </w:r>
      <w:r w:rsidR="00C3642C" w:rsidRPr="006B6241">
        <w:rPr>
          <w:b/>
          <w:smallCaps/>
          <w:sz w:val="22"/>
          <w:szCs w:val="22"/>
        </w:rPr>
        <w:t>: N. A.</w:t>
      </w:r>
    </w:p>
    <w:p w:rsidR="00C66795" w:rsidRPr="006B6241" w:rsidRDefault="00592BEC" w:rsidP="00C3642C">
      <w:pPr>
        <w:pStyle w:val="Footer"/>
        <w:tabs>
          <w:tab w:val="clear" w:pos="4320"/>
          <w:tab w:val="clear" w:pos="8640"/>
        </w:tabs>
        <w:ind w:left="-450" w:right="-540" w:firstLine="270"/>
        <w:rPr>
          <w:sz w:val="22"/>
          <w:szCs w:val="22"/>
        </w:rPr>
      </w:pPr>
      <w:r w:rsidRPr="006B6241">
        <w:rPr>
          <w:caps/>
          <w:sz w:val="18"/>
          <w:szCs w:val="22"/>
        </w:rPr>
        <w:t>MFA:  M</w:t>
      </w:r>
      <w:r w:rsidR="00375D58" w:rsidRPr="006B6241">
        <w:rPr>
          <w:sz w:val="18"/>
          <w:szCs w:val="22"/>
        </w:rPr>
        <w:t xml:space="preserve">ulti-focal area projects; </w:t>
      </w:r>
      <w:r w:rsidRPr="006B6241">
        <w:rPr>
          <w:sz w:val="18"/>
          <w:szCs w:val="22"/>
        </w:rPr>
        <w:t>MTF:  Multi-Trust Fund projects.</w:t>
      </w:r>
    </w:p>
    <w:p w:rsidR="006F3B05" w:rsidRPr="006B6241" w:rsidRDefault="006F3B05" w:rsidP="008228CC">
      <w:pPr>
        <w:pStyle w:val="Footer"/>
        <w:rPr>
          <w:b/>
          <w:caps/>
          <w:color w:val="00B0F0"/>
          <w:sz w:val="22"/>
          <w:szCs w:val="22"/>
          <w:u w:val="single"/>
        </w:rPr>
      </w:pPr>
    </w:p>
    <w:p w:rsidR="00AE49B5" w:rsidRPr="006B6241" w:rsidRDefault="006278B9" w:rsidP="008228CC">
      <w:pPr>
        <w:pStyle w:val="Footer"/>
        <w:rPr>
          <w:b/>
          <w:caps/>
          <w:color w:val="00B0F0"/>
          <w:sz w:val="22"/>
          <w:szCs w:val="22"/>
          <w:u w:val="single"/>
        </w:rPr>
      </w:pPr>
      <w:r w:rsidRPr="006B6241">
        <w:rPr>
          <w:b/>
          <w:caps/>
          <w:color w:val="00B0F0"/>
          <w:sz w:val="22"/>
          <w:szCs w:val="22"/>
          <w:u w:val="single"/>
        </w:rPr>
        <w:br w:type="page"/>
      </w:r>
      <w:r w:rsidR="00AE49B5" w:rsidRPr="006B6241">
        <w:rPr>
          <w:b/>
          <w:caps/>
          <w:color w:val="00B0F0"/>
          <w:sz w:val="22"/>
          <w:szCs w:val="22"/>
          <w:u w:val="single"/>
        </w:rPr>
        <w:lastRenderedPageBreak/>
        <w:t>part ii:  project JustiFication</w:t>
      </w:r>
    </w:p>
    <w:p w:rsidR="006F289E" w:rsidRPr="006B6241" w:rsidRDefault="006F289E" w:rsidP="00642209">
      <w:pPr>
        <w:pStyle w:val="ListParagraph"/>
        <w:rPr>
          <w:lang w:val="en-US"/>
        </w:rPr>
      </w:pPr>
    </w:p>
    <w:p w:rsidR="006F289E" w:rsidRPr="006B6241" w:rsidRDefault="00870816" w:rsidP="00642209">
      <w:pPr>
        <w:pStyle w:val="ListParagraph"/>
        <w:rPr>
          <w:b/>
          <w:lang w:val="en-US"/>
        </w:rPr>
      </w:pPr>
      <w:r w:rsidRPr="006B6241">
        <w:rPr>
          <w:b/>
          <w:lang w:val="en-US"/>
        </w:rPr>
        <w:t>Project Overview</w:t>
      </w:r>
      <w:r w:rsidRPr="006B6241">
        <w:rPr>
          <w:b/>
          <w:lang w:val="en-US"/>
        </w:rPr>
        <w:br/>
      </w:r>
    </w:p>
    <w:p w:rsidR="0072360F" w:rsidRPr="006B6241" w:rsidRDefault="00F91DD9" w:rsidP="00642209">
      <w:pPr>
        <w:pStyle w:val="ListParagraph"/>
        <w:rPr>
          <w:lang w:val="en-US"/>
        </w:rPr>
      </w:pPr>
      <w:r w:rsidRPr="006B6241">
        <w:rPr>
          <w:b/>
          <w:lang w:val="en-US"/>
        </w:rPr>
        <w:t xml:space="preserve">A.1. </w:t>
      </w:r>
      <w:r w:rsidR="00616D13" w:rsidRPr="006B6241">
        <w:rPr>
          <w:b/>
          <w:lang w:val="en-US"/>
        </w:rPr>
        <w:t>Project Description</w:t>
      </w:r>
      <w:r w:rsidR="00375D58" w:rsidRPr="006B6241">
        <w:rPr>
          <w:lang w:val="en-US"/>
        </w:rPr>
        <w:t>:</w:t>
      </w:r>
      <w:r w:rsidR="00616D13" w:rsidRPr="006B6241">
        <w:rPr>
          <w:lang w:val="en-US"/>
        </w:rPr>
        <w:t xml:space="preserve"> </w:t>
      </w:r>
    </w:p>
    <w:p w:rsidR="0072360F" w:rsidRPr="006B6241" w:rsidRDefault="0072360F" w:rsidP="00642209">
      <w:pPr>
        <w:pStyle w:val="ListParagraph"/>
        <w:rPr>
          <w:lang w:val="en-US"/>
        </w:rPr>
      </w:pPr>
    </w:p>
    <w:p w:rsidR="0072360F" w:rsidRPr="006B6241" w:rsidRDefault="0072360F" w:rsidP="00642209">
      <w:pPr>
        <w:pStyle w:val="ListParagraph"/>
        <w:rPr>
          <w:lang w:val="en-US"/>
        </w:rPr>
      </w:pPr>
      <w:r w:rsidRPr="006B6241">
        <w:rPr>
          <w:u w:val="single"/>
          <w:lang w:val="en-US"/>
        </w:rPr>
        <w:t>G</w:t>
      </w:r>
      <w:r w:rsidR="00693747" w:rsidRPr="006B6241">
        <w:rPr>
          <w:u w:val="single"/>
          <w:lang w:val="en-US"/>
        </w:rPr>
        <w:t xml:space="preserve">lobal </w:t>
      </w:r>
      <w:r w:rsidR="003821D5" w:rsidRPr="006B6241">
        <w:rPr>
          <w:u w:val="single"/>
          <w:lang w:val="en-US"/>
        </w:rPr>
        <w:t>E</w:t>
      </w:r>
      <w:r w:rsidR="00693747" w:rsidRPr="006B6241">
        <w:rPr>
          <w:u w:val="single"/>
          <w:lang w:val="en-US"/>
        </w:rPr>
        <w:t xml:space="preserve">nvironmental </w:t>
      </w:r>
      <w:r w:rsidR="003821D5" w:rsidRPr="006B6241">
        <w:rPr>
          <w:u w:val="single"/>
          <w:lang w:val="en-US"/>
        </w:rPr>
        <w:t>P</w:t>
      </w:r>
      <w:r w:rsidR="00693747" w:rsidRPr="006B6241">
        <w:rPr>
          <w:u w:val="single"/>
          <w:lang w:val="en-US"/>
        </w:rPr>
        <w:t xml:space="preserve">roblems, </w:t>
      </w:r>
      <w:r w:rsidR="003821D5" w:rsidRPr="006B6241">
        <w:rPr>
          <w:u w:val="single"/>
          <w:lang w:val="en-US"/>
        </w:rPr>
        <w:t>R</w:t>
      </w:r>
      <w:r w:rsidR="00693747" w:rsidRPr="006B6241">
        <w:rPr>
          <w:u w:val="single"/>
          <w:lang w:val="en-US"/>
        </w:rPr>
        <w:t xml:space="preserve">oot </w:t>
      </w:r>
      <w:r w:rsidR="003821D5" w:rsidRPr="006B6241">
        <w:rPr>
          <w:u w:val="single"/>
          <w:lang w:val="en-US"/>
        </w:rPr>
        <w:t>C</w:t>
      </w:r>
      <w:r w:rsidR="00693747" w:rsidRPr="006B6241">
        <w:rPr>
          <w:u w:val="single"/>
          <w:lang w:val="en-US"/>
        </w:rPr>
        <w:t xml:space="preserve">auses and </w:t>
      </w:r>
      <w:r w:rsidR="003821D5" w:rsidRPr="006B6241">
        <w:rPr>
          <w:u w:val="single"/>
          <w:lang w:val="en-US"/>
        </w:rPr>
        <w:t>B</w:t>
      </w:r>
      <w:r w:rsidR="00693747" w:rsidRPr="006B6241">
        <w:rPr>
          <w:u w:val="single"/>
          <w:lang w:val="en-US"/>
        </w:rPr>
        <w:t>arriers</w:t>
      </w:r>
    </w:p>
    <w:p w:rsidR="0072360F" w:rsidRPr="006B6241" w:rsidRDefault="0072360F" w:rsidP="00642209">
      <w:pPr>
        <w:pStyle w:val="ListParagraph"/>
        <w:rPr>
          <w:lang w:val="en-US"/>
        </w:rPr>
      </w:pPr>
    </w:p>
    <w:p w:rsidR="004A5269" w:rsidRPr="006B6241" w:rsidRDefault="000A133D" w:rsidP="00E22284">
      <w:pPr>
        <w:pStyle w:val="ListParagraph"/>
        <w:jc w:val="both"/>
        <w:rPr>
          <w:lang w:val="en-US"/>
        </w:rPr>
      </w:pPr>
      <w:r w:rsidRPr="006B6241">
        <w:rPr>
          <w:lang w:val="en-US"/>
        </w:rPr>
        <w:t xml:space="preserve">For a country </w:t>
      </w:r>
      <w:r w:rsidR="00666CDA" w:rsidRPr="006B6241">
        <w:rPr>
          <w:lang w:val="en-US"/>
        </w:rPr>
        <w:t xml:space="preserve">like China, which for the past 2 decades has been experiencing </w:t>
      </w:r>
      <w:r w:rsidRPr="006B6241">
        <w:rPr>
          <w:lang w:val="en-US"/>
        </w:rPr>
        <w:t xml:space="preserve">rapid economic growth, </w:t>
      </w:r>
      <w:r w:rsidR="00666CDA" w:rsidRPr="006B6241">
        <w:rPr>
          <w:lang w:val="en-US"/>
        </w:rPr>
        <w:t xml:space="preserve">activities such as </w:t>
      </w:r>
      <w:r w:rsidRPr="006B6241">
        <w:rPr>
          <w:lang w:val="en-US"/>
        </w:rPr>
        <w:t xml:space="preserve">the production, handling, storage, and physical delivery of </w:t>
      </w:r>
      <w:r w:rsidR="00666CDA" w:rsidRPr="006B6241">
        <w:rPr>
          <w:lang w:val="en-US"/>
        </w:rPr>
        <w:t xml:space="preserve">products/goods (including raw materials) have increased significantly. </w:t>
      </w:r>
      <w:r w:rsidR="007C76C9" w:rsidRPr="006B6241">
        <w:rPr>
          <w:lang w:val="en-US"/>
        </w:rPr>
        <w:t xml:space="preserve">Trucking, the most common, yet the most energy inefficient form of freight/cargo transport, accounts for 90% of the annual total volume of freight transport in China (compared to 75% by rail in the USA). </w:t>
      </w:r>
      <w:r w:rsidR="004A5269" w:rsidRPr="006B6241">
        <w:rPr>
          <w:lang w:val="en-US"/>
        </w:rPr>
        <w:t xml:space="preserve">Currently, the </w:t>
      </w:r>
      <w:r w:rsidR="00DC5FF4" w:rsidRPr="006B6241">
        <w:rPr>
          <w:lang w:val="en-US"/>
        </w:rPr>
        <w:t xml:space="preserve">logistics industry in </w:t>
      </w:r>
      <w:r w:rsidR="004A5269" w:rsidRPr="006B6241">
        <w:rPr>
          <w:lang w:val="en-US"/>
        </w:rPr>
        <w:t>China faces lots of problems, including non-standard supply chain equipment, low truck availability, and long loading time. As a result, operational expenses (mainly on energy consumption for physical distribution, i.e., freight transport; and materials management; i.e., inventory carrying) in China’s logistics in</w:t>
      </w:r>
      <w:r w:rsidR="00DC5FF4" w:rsidRPr="006B6241">
        <w:rPr>
          <w:lang w:val="en-US"/>
        </w:rPr>
        <w:t xml:space="preserve">dustry </w:t>
      </w:r>
      <w:r w:rsidR="004A5269" w:rsidRPr="006B6241">
        <w:rPr>
          <w:lang w:val="en-US"/>
        </w:rPr>
        <w:t>account for 18.3% of the GDP, compared with 6% in Germany and 5% in France.</w:t>
      </w:r>
    </w:p>
    <w:p w:rsidR="00DC5FF4" w:rsidRPr="006B6241" w:rsidRDefault="00DC5FF4" w:rsidP="00E22284">
      <w:pPr>
        <w:pStyle w:val="ListParagraph"/>
        <w:jc w:val="both"/>
        <w:rPr>
          <w:lang w:val="en-US"/>
        </w:rPr>
      </w:pPr>
    </w:p>
    <w:p w:rsidR="00DC5FF4" w:rsidRPr="006B6241" w:rsidRDefault="00DC5FF4" w:rsidP="00E22284">
      <w:pPr>
        <w:pStyle w:val="ListParagraph"/>
        <w:jc w:val="both"/>
        <w:rPr>
          <w:lang w:val="en-US"/>
        </w:rPr>
      </w:pPr>
      <w:r w:rsidRPr="006B6241">
        <w:rPr>
          <w:lang w:val="en-US"/>
        </w:rPr>
        <w:t xml:space="preserve">To cope up with the rapid economic growth, logistics infrastructure investments have been spectacular; in the last five years China has spent more than about US$1.5 trillion on 639,000 km of new roads, 33,000 km of new freeways and 15,500 km of new railway lines. It has created 1,700 deep water ports and 170 airports. But all of these are not integrated. As a result, despite of these huge investments, </w:t>
      </w:r>
      <w:r w:rsidR="004A5269" w:rsidRPr="006B6241">
        <w:rPr>
          <w:lang w:val="en-US"/>
        </w:rPr>
        <w:t>the logistics efficiency in China is very low</w:t>
      </w:r>
      <w:r w:rsidRPr="006B6241">
        <w:rPr>
          <w:lang w:val="en-US"/>
        </w:rPr>
        <w:t xml:space="preserve"> compared to that in other countries</w:t>
      </w:r>
      <w:r w:rsidR="004A5269" w:rsidRPr="006B6241">
        <w:rPr>
          <w:lang w:val="en-US"/>
        </w:rPr>
        <w:t>. National average empty truck load is 50% to 60%</w:t>
      </w:r>
      <w:r w:rsidR="002F617F" w:rsidRPr="006B6241">
        <w:rPr>
          <w:rStyle w:val="FootnoteReference"/>
          <w:lang w:val="en-US"/>
        </w:rPr>
        <w:footnoteReference w:id="9"/>
      </w:r>
      <w:r w:rsidR="004A5269" w:rsidRPr="006B6241">
        <w:rPr>
          <w:lang w:val="en-US"/>
        </w:rPr>
        <w:t xml:space="preserve">.  Also, average fuel consumption per distance by trucks is about 30% higher than </w:t>
      </w:r>
      <w:r w:rsidRPr="006B6241">
        <w:rPr>
          <w:lang w:val="en-US"/>
        </w:rPr>
        <w:t xml:space="preserve">those in the </w:t>
      </w:r>
      <w:r w:rsidR="004A5269" w:rsidRPr="006B6241">
        <w:rPr>
          <w:lang w:val="en-US"/>
        </w:rPr>
        <w:t>developed countries.</w:t>
      </w:r>
      <w:r w:rsidRPr="006B6241">
        <w:rPr>
          <w:lang w:val="en-US"/>
        </w:rPr>
        <w:t xml:space="preserve"> </w:t>
      </w:r>
      <w:r w:rsidR="004A5269" w:rsidRPr="006B6241">
        <w:rPr>
          <w:lang w:val="en-US"/>
        </w:rPr>
        <w:t>The logistics across China cost</w:t>
      </w:r>
      <w:r w:rsidR="004A5269" w:rsidRPr="006B6241">
        <w:rPr>
          <w:vertAlign w:val="superscript"/>
          <w:lang w:val="en-US"/>
        </w:rPr>
        <w:footnoteReference w:id="10"/>
      </w:r>
      <w:r w:rsidR="004A5269" w:rsidRPr="006B6241">
        <w:rPr>
          <w:lang w:val="en-US"/>
        </w:rPr>
        <w:t xml:space="preserve"> a massive 17.9% of GDP in Q1 2012, about double that of developed countries.</w:t>
      </w:r>
      <w:r w:rsidRPr="006B6241">
        <w:rPr>
          <w:lang w:val="en-US"/>
        </w:rPr>
        <w:t xml:space="preserve"> </w:t>
      </w:r>
      <w:r w:rsidR="004A5269" w:rsidRPr="006B6241">
        <w:rPr>
          <w:lang w:val="en-US"/>
        </w:rPr>
        <w:t xml:space="preserve">China’s higher logistics cost is related to the capacity &amp; skills </w:t>
      </w:r>
      <w:r w:rsidRPr="006B6241">
        <w:rPr>
          <w:lang w:val="en-US"/>
        </w:rPr>
        <w:t xml:space="preserve">of </w:t>
      </w:r>
      <w:r w:rsidR="004A5269" w:rsidRPr="006B6241">
        <w:rPr>
          <w:lang w:val="en-US"/>
        </w:rPr>
        <w:t>its logistics services providers (LSPs).</w:t>
      </w:r>
      <w:r w:rsidRPr="006B6241">
        <w:rPr>
          <w:lang w:val="en-US"/>
        </w:rPr>
        <w:t xml:space="preserve"> The country’s </w:t>
      </w:r>
      <w:r w:rsidR="004A5269" w:rsidRPr="006B6241">
        <w:rPr>
          <w:lang w:val="en-US"/>
        </w:rPr>
        <w:t xml:space="preserve">LSPs </w:t>
      </w:r>
      <w:r w:rsidRPr="006B6241">
        <w:rPr>
          <w:lang w:val="en-US"/>
        </w:rPr>
        <w:t xml:space="preserve">are yet to </w:t>
      </w:r>
      <w:r w:rsidR="004A5269" w:rsidRPr="006B6241">
        <w:rPr>
          <w:lang w:val="en-US"/>
        </w:rPr>
        <w:t>progress further towards added value and more sophisticated services. The logistics industry is fragmented, with more than 1,000 players and even more “unskilled providers”</w:t>
      </w:r>
      <w:r w:rsidRPr="006B6241">
        <w:rPr>
          <w:lang w:val="en-US"/>
        </w:rPr>
        <w:t xml:space="preserve">. </w:t>
      </w:r>
    </w:p>
    <w:p w:rsidR="00DC5FF4" w:rsidRPr="006B6241" w:rsidRDefault="00DC5FF4" w:rsidP="00E22284">
      <w:pPr>
        <w:pStyle w:val="ListParagraph"/>
        <w:jc w:val="both"/>
        <w:rPr>
          <w:lang w:val="en-US"/>
        </w:rPr>
      </w:pPr>
    </w:p>
    <w:p w:rsidR="004A5269" w:rsidRPr="006B6241" w:rsidRDefault="004A5269" w:rsidP="00E22284">
      <w:pPr>
        <w:pStyle w:val="ListParagraph"/>
        <w:jc w:val="both"/>
        <w:rPr>
          <w:lang w:val="en-US"/>
        </w:rPr>
      </w:pPr>
      <w:r w:rsidRPr="006B6241">
        <w:rPr>
          <w:lang w:val="en-US"/>
        </w:rPr>
        <w:t xml:space="preserve">Green Logistics has been considered as the answer to improving the logistics industry and it is also a big potential market in China due to the increasing development of Chinese industrial, transportation industries and the growing awareness of environmental protection. Environment conscious Chinese companies, particularly those engaged in the global market, are becoming increasingly aware of the importance of efficiency and energy saving. </w:t>
      </w:r>
      <w:r w:rsidR="00DC5FF4" w:rsidRPr="006B6241">
        <w:rPr>
          <w:lang w:val="en-US"/>
        </w:rPr>
        <w:t>For these companies, t</w:t>
      </w:r>
      <w:r w:rsidRPr="006B6241">
        <w:rPr>
          <w:lang w:val="en-US"/>
        </w:rPr>
        <w:t>he interest and willingness to apply this supply chain management technique is present but there is lack of understanding of how this can be done. LSPs and manufacturers have begun to work more closely to deepen the development of the supply chain. Nonetheless, there is a lot more to be done to bring China up to a globally competitive standard.</w:t>
      </w:r>
    </w:p>
    <w:p w:rsidR="004A5269" w:rsidRPr="006B6241" w:rsidRDefault="004A5269" w:rsidP="00E22284">
      <w:pPr>
        <w:jc w:val="both"/>
      </w:pPr>
    </w:p>
    <w:p w:rsidR="004A5269" w:rsidRPr="006B6241" w:rsidRDefault="004A5269" w:rsidP="00E22284">
      <w:pPr>
        <w:pStyle w:val="ListParagraph"/>
        <w:jc w:val="both"/>
      </w:pPr>
      <w:r w:rsidRPr="006B6241">
        <w:t>The following are the identified major barriers to the application of “green logistics” in China:</w:t>
      </w:r>
    </w:p>
    <w:p w:rsidR="004A5269" w:rsidRPr="006B6241" w:rsidRDefault="004A5269" w:rsidP="00E22284">
      <w:pPr>
        <w:pStyle w:val="ListParagraph"/>
        <w:jc w:val="both"/>
      </w:pPr>
    </w:p>
    <w:p w:rsidR="004A5269" w:rsidRPr="006B6241" w:rsidRDefault="004A5269" w:rsidP="00E22284">
      <w:pPr>
        <w:pStyle w:val="ListParagraph"/>
        <w:numPr>
          <w:ilvl w:val="0"/>
          <w:numId w:val="36"/>
        </w:numPr>
        <w:jc w:val="both"/>
        <w:rPr>
          <w:szCs w:val="22"/>
        </w:rPr>
      </w:pPr>
      <w:r w:rsidRPr="006B6241">
        <w:rPr>
          <w:szCs w:val="22"/>
        </w:rPr>
        <w:lastRenderedPageBreak/>
        <w:t xml:space="preserve">Lack of comprehensive, consistent and enforced policies (and implementation and institutional arrangements) supporting the application of green logistics systems in the logistics industry </w:t>
      </w:r>
    </w:p>
    <w:p w:rsidR="004A5269" w:rsidRPr="006B6241" w:rsidRDefault="004A5269" w:rsidP="00E22284">
      <w:pPr>
        <w:pStyle w:val="ListParagraph"/>
        <w:numPr>
          <w:ilvl w:val="0"/>
          <w:numId w:val="36"/>
        </w:numPr>
        <w:jc w:val="both"/>
        <w:rPr>
          <w:szCs w:val="22"/>
        </w:rPr>
      </w:pPr>
      <w:r w:rsidRPr="006B6241">
        <w:rPr>
          <w:szCs w:val="22"/>
        </w:rPr>
        <w:t xml:space="preserve">Low level of capacity, knowledge and skills of and cooperation among the relevant government entities, manufacturing and logistics industries on the application, design and </w:t>
      </w:r>
      <w:proofErr w:type="spellStart"/>
      <w:r w:rsidRPr="006B6241">
        <w:rPr>
          <w:szCs w:val="22"/>
        </w:rPr>
        <w:t>operationalization</w:t>
      </w:r>
      <w:proofErr w:type="spellEnd"/>
      <w:r w:rsidRPr="006B6241">
        <w:rPr>
          <w:szCs w:val="22"/>
        </w:rPr>
        <w:t xml:space="preserve"> of green logistics systems, as well as in the application of energy conservation and operational efficiency in the logistics industry</w:t>
      </w:r>
    </w:p>
    <w:p w:rsidR="000A133D" w:rsidRPr="006B6241" w:rsidRDefault="004A5269" w:rsidP="00E22284">
      <w:pPr>
        <w:numPr>
          <w:ilvl w:val="0"/>
          <w:numId w:val="36"/>
        </w:numPr>
        <w:jc w:val="both"/>
        <w:rPr>
          <w:sz w:val="22"/>
          <w:szCs w:val="22"/>
        </w:rPr>
      </w:pPr>
      <w:r w:rsidRPr="006B6241">
        <w:rPr>
          <w:sz w:val="22"/>
          <w:szCs w:val="22"/>
          <w:lang w:val="en-GB"/>
        </w:rPr>
        <w:t>Low level of confidence of the logistics industry on the viability of green logistics applications and infrastructures - “Green Logistics” technologies and techniques are regarded in the industry as new high tech approach, and is relatively expensive. When the current system seems to work anyway (although in an inefficient, wasteful and a lengthy process compared to those in developed countries), there is no incentive for logistics firms to modernize and apply energy efficient and environment conserving practices. The industry expects financial incentives and support if these are to be pursued.</w:t>
      </w:r>
    </w:p>
    <w:p w:rsidR="004A5269" w:rsidRPr="006B6241" w:rsidRDefault="004A5269" w:rsidP="00E22284">
      <w:pPr>
        <w:numPr>
          <w:ilvl w:val="0"/>
          <w:numId w:val="36"/>
        </w:numPr>
        <w:jc w:val="both"/>
        <w:rPr>
          <w:sz w:val="22"/>
          <w:szCs w:val="22"/>
        </w:rPr>
      </w:pPr>
      <w:r w:rsidRPr="006B6241">
        <w:rPr>
          <w:sz w:val="22"/>
          <w:szCs w:val="22"/>
        </w:rPr>
        <w:t xml:space="preserve">Lack of an effective information platform to share the successful experiences in the design, development and operation of green logistics system </w:t>
      </w:r>
    </w:p>
    <w:p w:rsidR="0072360F" w:rsidRPr="006B6241" w:rsidRDefault="0072360F" w:rsidP="00E22284">
      <w:pPr>
        <w:pStyle w:val="ListParagraph"/>
        <w:jc w:val="both"/>
        <w:rPr>
          <w:lang w:val="en-US"/>
        </w:rPr>
      </w:pPr>
    </w:p>
    <w:p w:rsidR="0072360F" w:rsidRPr="006B6241" w:rsidRDefault="0072360F" w:rsidP="00E22284">
      <w:pPr>
        <w:pStyle w:val="ListParagraph"/>
        <w:jc w:val="both"/>
        <w:rPr>
          <w:lang w:val="en-US"/>
        </w:rPr>
      </w:pPr>
      <w:r w:rsidRPr="006B6241">
        <w:rPr>
          <w:u w:val="single"/>
          <w:lang w:val="en-US"/>
        </w:rPr>
        <w:t>B</w:t>
      </w:r>
      <w:r w:rsidR="00693747" w:rsidRPr="006B6241">
        <w:rPr>
          <w:u w:val="single"/>
          <w:lang w:val="en-US"/>
        </w:rPr>
        <w:t xml:space="preserve">aseline </w:t>
      </w:r>
      <w:r w:rsidR="003821D5" w:rsidRPr="006B6241">
        <w:rPr>
          <w:u w:val="single"/>
          <w:lang w:val="en-US"/>
        </w:rPr>
        <w:t>S</w:t>
      </w:r>
      <w:r w:rsidR="00693747" w:rsidRPr="006B6241">
        <w:rPr>
          <w:u w:val="single"/>
          <w:lang w:val="en-US"/>
        </w:rPr>
        <w:t xml:space="preserve">cenario and </w:t>
      </w:r>
      <w:r w:rsidR="003821D5" w:rsidRPr="006B6241">
        <w:rPr>
          <w:u w:val="single"/>
          <w:lang w:val="en-US"/>
        </w:rPr>
        <w:t>A</w:t>
      </w:r>
      <w:r w:rsidR="00693747" w:rsidRPr="006B6241">
        <w:rPr>
          <w:u w:val="single"/>
          <w:lang w:val="en-US"/>
        </w:rPr>
        <w:t xml:space="preserve">ssociated </w:t>
      </w:r>
      <w:r w:rsidR="003821D5" w:rsidRPr="006B6241">
        <w:rPr>
          <w:u w:val="single"/>
          <w:lang w:val="en-US"/>
        </w:rPr>
        <w:t>B</w:t>
      </w:r>
      <w:r w:rsidR="00693747" w:rsidRPr="006B6241">
        <w:rPr>
          <w:u w:val="single"/>
          <w:lang w:val="en-US"/>
        </w:rPr>
        <w:t xml:space="preserve">aseline </w:t>
      </w:r>
      <w:r w:rsidR="003821D5" w:rsidRPr="006B6241">
        <w:rPr>
          <w:u w:val="single"/>
          <w:lang w:val="en-US"/>
        </w:rPr>
        <w:t>P</w:t>
      </w:r>
      <w:r w:rsidR="00693747" w:rsidRPr="006B6241">
        <w:rPr>
          <w:u w:val="single"/>
          <w:lang w:val="en-US"/>
        </w:rPr>
        <w:t>rojects</w:t>
      </w:r>
      <w:r w:rsidRPr="006B6241">
        <w:rPr>
          <w:lang w:val="en-US"/>
        </w:rPr>
        <w:t>:</w:t>
      </w:r>
    </w:p>
    <w:p w:rsidR="00AE02CE" w:rsidRPr="006B6241" w:rsidRDefault="00AE02CE" w:rsidP="00E22284">
      <w:pPr>
        <w:pStyle w:val="ListParagraph"/>
        <w:jc w:val="both"/>
        <w:rPr>
          <w:lang w:val="en-US" w:eastAsia="zh-CN"/>
        </w:rPr>
      </w:pPr>
    </w:p>
    <w:p w:rsidR="00AE02CE" w:rsidRPr="006B6241" w:rsidRDefault="00AE02CE" w:rsidP="00E22284">
      <w:pPr>
        <w:pStyle w:val="ListParagraph"/>
        <w:jc w:val="both"/>
      </w:pPr>
      <w:r w:rsidRPr="006B6241">
        <w:t xml:space="preserve">During the past 2 decades, the logistics industry in China has significantly developed and presently occupies an important position in the country’s economy. But because of the country’s rapid economic growth, the industry has grown in a sort of “forced economy” scenario whereby the energy utilization efficiency and the environmental impacts of the various materials management and physical distribution activities in the industry were not given due consideration. The environmental impacts of logistical activities are most severe where population densities are highest, i.e., in cities where most logistics infrastructures and LSPs are located. With the current trend of economic development that more or less is for increasing social productivity and overall national strength and improving people's living standards, the relatively lesser attention given to environmental concerns within the logistics industry will lead to higher energy consumption, increasing waste generation and pollution, and GHG emissions. While some logistics centres in the country has started (albeit late compared with developed countries) to implement “green logistics”, the successful realization of such supply chain management techniques and practice remains much to be desired. Without efforts to bridge the current significant gap in adopting, supporting and effectively implementing “green logistics” the current trend of ever increasing energy consumption in freight transport/handling, waste and pollution generation from the materials management activities, and the consequential generation of increasing amounts of GHG emissions from the logistic industry activities will continue. In the end, faced with increasing level of environmental and product quality specifications in the global market, this trend could negatively affect the economic growth of the country. </w:t>
      </w:r>
    </w:p>
    <w:p w:rsidR="00AE02CE" w:rsidRPr="006B6241" w:rsidRDefault="00AE02CE" w:rsidP="00E22284">
      <w:pPr>
        <w:pStyle w:val="ListParagraph"/>
        <w:jc w:val="both"/>
      </w:pPr>
    </w:p>
    <w:p w:rsidR="00AE02CE" w:rsidRPr="006B6241" w:rsidRDefault="00071F92" w:rsidP="00E22284">
      <w:pPr>
        <w:pStyle w:val="ListParagraph"/>
        <w:jc w:val="both"/>
      </w:pPr>
      <w:r w:rsidRPr="006B6241">
        <w:t>Ef</w:t>
      </w:r>
      <w:r w:rsidR="00AE02CE" w:rsidRPr="006B6241">
        <w:t>forts to improve efficiency in the logistics industry in Zhejiang Province</w:t>
      </w:r>
      <w:r w:rsidRPr="006B6241">
        <w:t xml:space="preserve"> include </w:t>
      </w:r>
      <w:r w:rsidR="00AE02CE" w:rsidRPr="006B6241">
        <w:t xml:space="preserve">2 planned projects under the Zhejiang </w:t>
      </w:r>
      <w:proofErr w:type="spellStart"/>
      <w:r w:rsidR="00AE02CE" w:rsidRPr="006B6241">
        <w:t>Fuyang</w:t>
      </w:r>
      <w:proofErr w:type="spellEnd"/>
      <w:r w:rsidR="00AE02CE" w:rsidRPr="006B6241">
        <w:t xml:space="preserve"> Green Logistics Platform program of the provincial government and by the </w:t>
      </w:r>
      <w:proofErr w:type="spellStart"/>
      <w:r w:rsidR="00AE02CE" w:rsidRPr="006B6241">
        <w:t>Fuyang</w:t>
      </w:r>
      <w:proofErr w:type="spellEnd"/>
      <w:r w:rsidR="00AE02CE" w:rsidRPr="006B6241">
        <w:t xml:space="preserve"> City government</w:t>
      </w:r>
      <w:r w:rsidRPr="006B6241">
        <w:t>. These are</w:t>
      </w:r>
      <w:r w:rsidR="00AE02CE" w:rsidRPr="006B6241">
        <w:t>:</w:t>
      </w:r>
    </w:p>
    <w:p w:rsidR="0028513D" w:rsidRPr="006B6241" w:rsidRDefault="0028513D" w:rsidP="00E22284">
      <w:pPr>
        <w:pStyle w:val="ListParagraph"/>
        <w:ind w:left="270"/>
        <w:jc w:val="both"/>
      </w:pPr>
    </w:p>
    <w:p w:rsidR="00AE02CE" w:rsidRPr="006B6241" w:rsidRDefault="00AE02CE" w:rsidP="00E22284">
      <w:pPr>
        <w:pStyle w:val="ListParagraph"/>
        <w:numPr>
          <w:ilvl w:val="0"/>
          <w:numId w:val="36"/>
        </w:numPr>
        <w:jc w:val="both"/>
      </w:pPr>
      <w:r w:rsidRPr="006B6241">
        <w:t>Transformation of Road and Port Logistics Project – This project is on the improvement of logistics management and technology applications, and logistics system optimization. It will involve the construction of a logistics information exchange centre, a transportation centre, an express transport centre, a central warehouse, and additional complementary service facilities. The intention is to come up with a more efficient logistics operations combining sea, air and road transport systems, to optimize logistics operations towards achieving objectives of logistics, such as efficiency, congestion alleviation, and, energy conservation. The project started at the end of 2012 and will cost RMB 300 million to implement.</w:t>
      </w:r>
    </w:p>
    <w:p w:rsidR="00AE02CE" w:rsidRPr="006B6241" w:rsidRDefault="00AE02CE" w:rsidP="00E22284">
      <w:pPr>
        <w:pStyle w:val="ListParagraph"/>
        <w:numPr>
          <w:ilvl w:val="0"/>
          <w:numId w:val="36"/>
        </w:numPr>
        <w:jc w:val="both"/>
      </w:pPr>
      <w:r w:rsidRPr="006B6241">
        <w:t>International Port Logistics Project - This project will entail the construction of a 170,000 m</w:t>
      </w:r>
      <w:r w:rsidRPr="006B6241">
        <w:rPr>
          <w:vertAlign w:val="superscript"/>
        </w:rPr>
        <w:t>2</w:t>
      </w:r>
      <w:r w:rsidRPr="006B6241">
        <w:t xml:space="preserve"> of a modern combined custom and quarantine inspection warehouse, and 20,000 m</w:t>
      </w:r>
      <w:r w:rsidRPr="006B6241">
        <w:rPr>
          <w:vertAlign w:val="superscript"/>
        </w:rPr>
        <w:t>2</w:t>
      </w:r>
      <w:r w:rsidRPr="006B6241">
        <w:t xml:space="preserve"> of container handling </w:t>
      </w:r>
      <w:r w:rsidRPr="006B6241">
        <w:lastRenderedPageBreak/>
        <w:t xml:space="preserve">facilities. It will be the service centre for import/export inspection and transport. The project will also plan to utilize the planned </w:t>
      </w:r>
      <w:proofErr w:type="spellStart"/>
      <w:r w:rsidRPr="006B6241">
        <w:t>Dongzhou</w:t>
      </w:r>
      <w:proofErr w:type="spellEnd"/>
      <w:r w:rsidRPr="006B6241">
        <w:t xml:space="preserve"> Port to connect to three rivers and replace current road transport with water transport and reduce empty return transport.</w:t>
      </w:r>
    </w:p>
    <w:p w:rsidR="00AE02CE" w:rsidRPr="006B6241" w:rsidRDefault="00AE02CE" w:rsidP="00E22284">
      <w:pPr>
        <w:pStyle w:val="ListParagraph"/>
        <w:numPr>
          <w:ilvl w:val="0"/>
          <w:numId w:val="36"/>
        </w:numPr>
        <w:jc w:val="both"/>
      </w:pPr>
      <w:r w:rsidRPr="006B6241">
        <w:t xml:space="preserve">Other related initiatives </w:t>
      </w:r>
      <w:r w:rsidR="00081258" w:rsidRPr="006B6241">
        <w:t xml:space="preserve">on improving the energy utilization performance and environment quality </w:t>
      </w:r>
      <w:r w:rsidRPr="006B6241">
        <w:t xml:space="preserve">in the </w:t>
      </w:r>
      <w:r w:rsidR="00081258" w:rsidRPr="006B6241">
        <w:t xml:space="preserve">logistics industry </w:t>
      </w:r>
      <w:r w:rsidRPr="006B6241">
        <w:t>province are the following:</w:t>
      </w:r>
    </w:p>
    <w:p w:rsidR="0028513D" w:rsidRPr="006B6241" w:rsidRDefault="0028513D" w:rsidP="00E22284">
      <w:pPr>
        <w:pStyle w:val="ListParagraph"/>
        <w:ind w:left="720"/>
        <w:jc w:val="both"/>
      </w:pPr>
    </w:p>
    <w:p w:rsidR="00AE02CE" w:rsidRPr="006B6241" w:rsidRDefault="00AE02CE" w:rsidP="00E22284">
      <w:pPr>
        <w:pStyle w:val="ListParagraph"/>
        <w:numPr>
          <w:ilvl w:val="0"/>
          <w:numId w:val="37"/>
        </w:numPr>
        <w:jc w:val="both"/>
      </w:pPr>
      <w:r w:rsidRPr="006B6241">
        <w:t xml:space="preserve">Energy Savings in Transportation Propulsion Engineering Project </w:t>
      </w:r>
      <w:r w:rsidR="0028513D" w:rsidRPr="006B6241">
        <w:t>–</w:t>
      </w:r>
      <w:r w:rsidRPr="006B6241">
        <w:t xml:space="preserve"> </w:t>
      </w:r>
      <w:r w:rsidR="0028513D" w:rsidRPr="006B6241">
        <w:t xml:space="preserve">This project is in line with the Zhejiang Transport Sector "Resource Saving and Environmental Protection Action Plan, and </w:t>
      </w:r>
      <w:r w:rsidRPr="006B6241">
        <w:t>is aimed at achieving energy efficiency in freight transportation and reduce energy consumption in the logistics industry by employing green logistics systems.</w:t>
      </w:r>
    </w:p>
    <w:p w:rsidR="00AE02CE" w:rsidRPr="006B6241" w:rsidRDefault="0028513D" w:rsidP="00E22284">
      <w:pPr>
        <w:pStyle w:val="ListParagraph"/>
        <w:numPr>
          <w:ilvl w:val="0"/>
          <w:numId w:val="37"/>
        </w:numPr>
        <w:jc w:val="both"/>
      </w:pPr>
      <w:r w:rsidRPr="006B6241">
        <w:t xml:space="preserve">Implementation of the </w:t>
      </w:r>
      <w:proofErr w:type="spellStart"/>
      <w:r w:rsidR="00AE02CE" w:rsidRPr="006B6241">
        <w:t>Fuyang</w:t>
      </w:r>
      <w:proofErr w:type="spellEnd"/>
      <w:r w:rsidR="00AE02CE" w:rsidRPr="006B6241">
        <w:t xml:space="preserve"> City "Trade Logistics 12th Five-Year Plan" </w:t>
      </w:r>
      <w:r w:rsidRPr="006B6241">
        <w:t>–</w:t>
      </w:r>
      <w:r w:rsidR="00AE02CE" w:rsidRPr="006B6241">
        <w:t xml:space="preserve"> </w:t>
      </w:r>
      <w:r w:rsidRPr="006B6241">
        <w:t xml:space="preserve">This is will involve the </w:t>
      </w:r>
      <w:r w:rsidR="00AE02CE" w:rsidRPr="006B6241">
        <w:t>implement</w:t>
      </w:r>
      <w:r w:rsidRPr="006B6241">
        <w:t>ation of</w:t>
      </w:r>
      <w:r w:rsidR="00AE02CE" w:rsidRPr="006B6241">
        <w:t xml:space="preserve"> </w:t>
      </w:r>
      <w:r w:rsidRPr="006B6241">
        <w:t xml:space="preserve">planned </w:t>
      </w:r>
      <w:r w:rsidR="00AE02CE" w:rsidRPr="006B6241">
        <w:t>actions to improve trade and logistics operations with the focus of upgrading the system and infrastructures of the city’s logistics industry. The project intends to save energy, reduce wastes and operational costs</w:t>
      </w:r>
      <w:r w:rsidRPr="006B6241">
        <w:t xml:space="preserve"> in the city’s logistic industry</w:t>
      </w:r>
      <w:r w:rsidR="00AE02CE" w:rsidRPr="006B6241">
        <w:t>.</w:t>
      </w:r>
    </w:p>
    <w:p w:rsidR="00AE02CE" w:rsidRPr="006B6241" w:rsidRDefault="00AE02CE" w:rsidP="00E22284">
      <w:pPr>
        <w:pStyle w:val="ListParagraph"/>
        <w:jc w:val="both"/>
        <w:rPr>
          <w:lang w:val="en-US" w:eastAsia="zh-CN"/>
        </w:rPr>
      </w:pPr>
    </w:p>
    <w:p w:rsidR="0072360F" w:rsidRPr="006B6241" w:rsidRDefault="0072360F" w:rsidP="00E22284">
      <w:pPr>
        <w:pStyle w:val="ListParagraph"/>
        <w:jc w:val="both"/>
        <w:rPr>
          <w:lang w:val="en-US"/>
        </w:rPr>
      </w:pPr>
      <w:r w:rsidRPr="006B6241">
        <w:rPr>
          <w:u w:val="single"/>
          <w:lang w:val="en-US"/>
        </w:rPr>
        <w:t>P</w:t>
      </w:r>
      <w:r w:rsidR="00693747" w:rsidRPr="006B6241">
        <w:rPr>
          <w:u w:val="single"/>
          <w:lang w:val="en-US"/>
        </w:rPr>
        <w:t xml:space="preserve">roposed </w:t>
      </w:r>
      <w:r w:rsidR="00B5671B" w:rsidRPr="006B6241">
        <w:rPr>
          <w:u w:val="single"/>
          <w:lang w:val="en-US"/>
        </w:rPr>
        <w:t>A</w:t>
      </w:r>
      <w:r w:rsidR="00693747" w:rsidRPr="006B6241">
        <w:rPr>
          <w:u w:val="single"/>
          <w:lang w:val="en-US"/>
        </w:rPr>
        <w:t xml:space="preserve">lternative </w:t>
      </w:r>
      <w:r w:rsidR="00B5671B" w:rsidRPr="006B6241">
        <w:rPr>
          <w:u w:val="single"/>
          <w:lang w:val="en-US"/>
        </w:rPr>
        <w:t>S</w:t>
      </w:r>
      <w:r w:rsidR="00693747" w:rsidRPr="006B6241">
        <w:rPr>
          <w:u w:val="single"/>
          <w:lang w:val="en-US"/>
        </w:rPr>
        <w:t xml:space="preserve">cenario, </w:t>
      </w:r>
      <w:r w:rsidR="00B5671B" w:rsidRPr="006B6241">
        <w:rPr>
          <w:u w:val="single"/>
          <w:lang w:val="en-US"/>
        </w:rPr>
        <w:t>Components and E</w:t>
      </w:r>
      <w:r w:rsidR="00693747" w:rsidRPr="006B6241">
        <w:rPr>
          <w:u w:val="single"/>
          <w:lang w:val="en-US"/>
        </w:rPr>
        <w:t xml:space="preserve">xpected </w:t>
      </w:r>
      <w:r w:rsidR="00B5671B" w:rsidRPr="006B6241">
        <w:rPr>
          <w:u w:val="single"/>
          <w:lang w:val="en-US"/>
        </w:rPr>
        <w:t>O</w:t>
      </w:r>
      <w:r w:rsidR="00693747" w:rsidRPr="006B6241">
        <w:rPr>
          <w:u w:val="single"/>
          <w:lang w:val="en-US"/>
        </w:rPr>
        <w:t xml:space="preserve">utcomes </w:t>
      </w:r>
      <w:r w:rsidR="00B5671B" w:rsidRPr="006B6241">
        <w:rPr>
          <w:u w:val="single"/>
          <w:lang w:val="en-US"/>
        </w:rPr>
        <w:t>o</w:t>
      </w:r>
      <w:r w:rsidR="00693747" w:rsidRPr="006B6241">
        <w:rPr>
          <w:u w:val="single"/>
          <w:lang w:val="en-US"/>
        </w:rPr>
        <w:t xml:space="preserve">f the </w:t>
      </w:r>
      <w:r w:rsidR="00B5671B" w:rsidRPr="006B6241">
        <w:rPr>
          <w:u w:val="single"/>
          <w:lang w:val="en-US"/>
        </w:rPr>
        <w:t>Proposed P</w:t>
      </w:r>
      <w:r w:rsidR="00693747" w:rsidRPr="006B6241">
        <w:rPr>
          <w:u w:val="single"/>
          <w:lang w:val="en-US"/>
        </w:rPr>
        <w:t>roject</w:t>
      </w:r>
      <w:r w:rsidRPr="006B6241">
        <w:rPr>
          <w:lang w:val="en-US"/>
        </w:rPr>
        <w:t>:</w:t>
      </w:r>
    </w:p>
    <w:p w:rsidR="0072360F" w:rsidRPr="006B6241" w:rsidRDefault="0072360F" w:rsidP="00E22284">
      <w:pPr>
        <w:pStyle w:val="ListParagraph"/>
        <w:jc w:val="both"/>
        <w:rPr>
          <w:lang w:val="en-US" w:eastAsia="zh-CN"/>
        </w:rPr>
      </w:pPr>
    </w:p>
    <w:p w:rsidR="00676D98" w:rsidRPr="006B6241" w:rsidRDefault="00806A23" w:rsidP="00E22284">
      <w:pPr>
        <w:pStyle w:val="ListParagraph"/>
        <w:jc w:val="both"/>
        <w:rPr>
          <w:bCs/>
          <w:iCs/>
          <w:color w:val="000000"/>
          <w:szCs w:val="22"/>
        </w:rPr>
      </w:pPr>
      <w:r w:rsidRPr="006B6241">
        <w:rPr>
          <w:bCs/>
          <w:iCs/>
          <w:color w:val="000000"/>
          <w:szCs w:val="22"/>
        </w:rPr>
        <w:t xml:space="preserve">The objective of the proposed project is </w:t>
      </w:r>
      <w:r w:rsidR="00071F92" w:rsidRPr="006B6241">
        <w:rPr>
          <w:bCs/>
          <w:iCs/>
          <w:color w:val="000000"/>
          <w:szCs w:val="22"/>
        </w:rPr>
        <w:t>the widespread application of energy efficient green logistics techniques and practices in the logistics industry in Zhejiang Province</w:t>
      </w:r>
      <w:r w:rsidRPr="006B6241">
        <w:rPr>
          <w:bCs/>
          <w:iCs/>
          <w:color w:val="000000"/>
          <w:szCs w:val="22"/>
        </w:rPr>
        <w:t xml:space="preserve">. To achieve this, the identified barriers to the effective and extensive application of </w:t>
      </w:r>
      <w:r w:rsidR="00071F92" w:rsidRPr="006B6241">
        <w:rPr>
          <w:bCs/>
          <w:iCs/>
          <w:color w:val="000000"/>
          <w:szCs w:val="22"/>
        </w:rPr>
        <w:t xml:space="preserve">green logistics in the logistics industry in the province </w:t>
      </w:r>
      <w:r w:rsidRPr="006B6241">
        <w:rPr>
          <w:bCs/>
          <w:iCs/>
          <w:color w:val="000000"/>
          <w:szCs w:val="22"/>
        </w:rPr>
        <w:t xml:space="preserve">have to be removed. Thus a barrier removal approach will be applied. </w:t>
      </w:r>
    </w:p>
    <w:p w:rsidR="00676D98" w:rsidRPr="006B6241" w:rsidRDefault="00676D98" w:rsidP="00E22284">
      <w:pPr>
        <w:pStyle w:val="ListParagraph"/>
        <w:jc w:val="both"/>
        <w:rPr>
          <w:bCs/>
          <w:iCs/>
          <w:color w:val="000000"/>
          <w:szCs w:val="22"/>
        </w:rPr>
      </w:pPr>
    </w:p>
    <w:p w:rsidR="00D33B9D" w:rsidRPr="006B6241" w:rsidRDefault="00AE02CE" w:rsidP="00E22284">
      <w:pPr>
        <w:pStyle w:val="ListParagraph"/>
        <w:jc w:val="both"/>
      </w:pPr>
      <w:r w:rsidRPr="006B6241">
        <w:t xml:space="preserve">The planned alternative scenario that will be facilitated through this proposed project is </w:t>
      </w:r>
      <w:r w:rsidR="00D33B9D" w:rsidRPr="006B6241">
        <w:t>the transformation of the l</w:t>
      </w:r>
      <w:r w:rsidRPr="006B6241">
        <w:t xml:space="preserve">ogistics industry in Zhejiang Province into one that operates based on the 3 basic pillars for urban-based green logistics: mobility, sustainability and liveability, wherein the interplay of operational efficiency, environmental friendliness and energy efficiency/conservation is vital for ensuring sustainable operation and development of the province’s logistics industry. The transformation that will be at least influenced through the various interventions that will be carried out under the proposed project is expected to bring about a logistics industry based in </w:t>
      </w:r>
      <w:proofErr w:type="spellStart"/>
      <w:r w:rsidRPr="006B6241">
        <w:t>Fuyang</w:t>
      </w:r>
      <w:proofErr w:type="spellEnd"/>
      <w:r w:rsidRPr="006B6241">
        <w:t xml:space="preserve"> City that will satisfactorily serve the commercial and manufacturing sectors in Zhejiang Province in the delivery and collection of goods in an efficient way, without disrupting the sustainable, mobile, liveable and environmental friendly character of the city</w:t>
      </w:r>
      <w:r w:rsidR="002F617F" w:rsidRPr="006B6241">
        <w:rPr>
          <w:rStyle w:val="FootnoteReference"/>
        </w:rPr>
        <w:footnoteReference w:id="11"/>
      </w:r>
      <w:r w:rsidRPr="006B6241">
        <w:t xml:space="preserve">. </w:t>
      </w:r>
      <w:r w:rsidR="002F617F" w:rsidRPr="006B6241">
        <w:t xml:space="preserve">This will significantly reduce, if not eliminate, the empty load rates of freight trucks that are mainly owned by individual industrial companies transporting their own raw materials and finished products. </w:t>
      </w:r>
      <w:r w:rsidRPr="006B6241">
        <w:t>The barrier removal activities that will be carried out in the project will make possible the effective implementation of green logistics systems in the industry thereby enabling more efficient, energy conserving, wastes reducing materials management and physical distribution operations that in the end will translate to not only significant monetary savings, but also substantial GHG emission reductions.</w:t>
      </w:r>
      <w:r w:rsidR="00D33B9D" w:rsidRPr="006B6241">
        <w:t xml:space="preserve"> Such alternative scenario to what could be expected if the current logistics systems will continue business-as-usual will not only benefit the logistics industry in Zhejiang Province but also the entire logistics industry in China.</w:t>
      </w:r>
    </w:p>
    <w:p w:rsidR="00D33B9D" w:rsidRPr="006B6241" w:rsidRDefault="00D33B9D" w:rsidP="00E22284">
      <w:pPr>
        <w:pStyle w:val="ListParagraph"/>
        <w:jc w:val="both"/>
        <w:rPr>
          <w:lang w:val="en-US"/>
        </w:rPr>
      </w:pPr>
    </w:p>
    <w:p w:rsidR="00D33B9D" w:rsidRPr="006B6241" w:rsidRDefault="00D33B9D" w:rsidP="00E22284">
      <w:pPr>
        <w:pStyle w:val="ListParagraph"/>
        <w:jc w:val="both"/>
        <w:rPr>
          <w:lang w:val="en-US"/>
        </w:rPr>
      </w:pPr>
      <w:r w:rsidRPr="006B6241">
        <w:rPr>
          <w:lang w:val="en-US"/>
        </w:rPr>
        <w:t xml:space="preserve">The following are the proposed interventions that would facilitate the realization of the envisioned alternative scenario for the logistics industry in Zhejiang Province:  </w:t>
      </w:r>
    </w:p>
    <w:p w:rsidR="00450F12" w:rsidRPr="006B6241" w:rsidRDefault="00450F12" w:rsidP="00E22284">
      <w:pPr>
        <w:ind w:leftChars="150" w:left="360"/>
        <w:jc w:val="both"/>
        <w:rPr>
          <w:sz w:val="22"/>
          <w:szCs w:val="22"/>
        </w:rPr>
      </w:pPr>
    </w:p>
    <w:p w:rsidR="00844B82" w:rsidRPr="006B6241" w:rsidRDefault="00450F12" w:rsidP="00844B82">
      <w:pPr>
        <w:jc w:val="both"/>
        <w:rPr>
          <w:sz w:val="22"/>
          <w:szCs w:val="22"/>
        </w:rPr>
      </w:pPr>
      <w:r w:rsidRPr="006B6241">
        <w:rPr>
          <w:b/>
          <w:sz w:val="22"/>
          <w:szCs w:val="22"/>
        </w:rPr>
        <w:t xml:space="preserve">Component 1: </w:t>
      </w:r>
      <w:r w:rsidR="00D33B9D" w:rsidRPr="006B6241">
        <w:rPr>
          <w:b/>
          <w:sz w:val="22"/>
          <w:szCs w:val="22"/>
        </w:rPr>
        <w:t>Policy and Regulatory Support for Green Logistics</w:t>
      </w:r>
      <w:r w:rsidRPr="006B6241">
        <w:rPr>
          <w:sz w:val="22"/>
          <w:szCs w:val="22"/>
        </w:rPr>
        <w:t xml:space="preserve"> – This component will address the barrier related to the inadequate policies and regulatory frameworks that support the promotion and </w:t>
      </w:r>
      <w:r w:rsidRPr="006B6241">
        <w:rPr>
          <w:sz w:val="22"/>
          <w:szCs w:val="22"/>
        </w:rPr>
        <w:lastRenderedPageBreak/>
        <w:t xml:space="preserve">application of </w:t>
      </w:r>
      <w:r w:rsidR="00D33B9D" w:rsidRPr="006B6241">
        <w:rPr>
          <w:sz w:val="22"/>
          <w:szCs w:val="22"/>
        </w:rPr>
        <w:t xml:space="preserve">green logistics </w:t>
      </w:r>
      <w:r w:rsidRPr="006B6241">
        <w:rPr>
          <w:sz w:val="22"/>
          <w:szCs w:val="22"/>
        </w:rPr>
        <w:t xml:space="preserve">in </w:t>
      </w:r>
      <w:r w:rsidR="00D33B9D" w:rsidRPr="006B6241">
        <w:rPr>
          <w:sz w:val="22"/>
          <w:szCs w:val="22"/>
        </w:rPr>
        <w:t>the logistics industry in Zhejiang Province</w:t>
      </w:r>
      <w:r w:rsidRPr="006B6241">
        <w:rPr>
          <w:sz w:val="22"/>
          <w:szCs w:val="22"/>
        </w:rPr>
        <w:t xml:space="preserve">. A </w:t>
      </w:r>
      <w:r w:rsidR="00B4404C" w:rsidRPr="006B6241">
        <w:rPr>
          <w:sz w:val="22"/>
          <w:szCs w:val="22"/>
        </w:rPr>
        <w:t>future condition where</w:t>
      </w:r>
      <w:r w:rsidRPr="006B6241">
        <w:rPr>
          <w:sz w:val="22"/>
          <w:szCs w:val="22"/>
        </w:rPr>
        <w:t xml:space="preserve">in </w:t>
      </w:r>
      <w:r w:rsidR="00B4404C" w:rsidRPr="006B6241">
        <w:rPr>
          <w:sz w:val="22"/>
          <w:szCs w:val="22"/>
        </w:rPr>
        <w:t xml:space="preserve">established support policies and regulations on the application and operation of green logistics systems are enforced in the logistics industry in Zhejiang Province </w:t>
      </w:r>
      <w:r w:rsidRPr="006B6241">
        <w:rPr>
          <w:sz w:val="22"/>
          <w:szCs w:val="22"/>
        </w:rPr>
        <w:t>is the expected outcome from the envisioned activities under this component. This component will involve</w:t>
      </w:r>
      <w:r w:rsidR="007E1681" w:rsidRPr="006B6241">
        <w:rPr>
          <w:sz w:val="22"/>
          <w:szCs w:val="22"/>
        </w:rPr>
        <w:t xml:space="preserve"> working with the </w:t>
      </w:r>
      <w:r w:rsidR="00B4404C" w:rsidRPr="006B6241">
        <w:rPr>
          <w:sz w:val="22"/>
          <w:szCs w:val="22"/>
        </w:rPr>
        <w:t xml:space="preserve">local governments of Zhejiang Province and </w:t>
      </w:r>
      <w:proofErr w:type="spellStart"/>
      <w:r w:rsidR="00B4404C" w:rsidRPr="006B6241">
        <w:rPr>
          <w:sz w:val="22"/>
          <w:szCs w:val="22"/>
        </w:rPr>
        <w:t>Fuyang</w:t>
      </w:r>
      <w:proofErr w:type="spellEnd"/>
      <w:r w:rsidR="00B4404C" w:rsidRPr="006B6241">
        <w:rPr>
          <w:sz w:val="22"/>
          <w:szCs w:val="22"/>
        </w:rPr>
        <w:t xml:space="preserve"> City </w:t>
      </w:r>
      <w:r w:rsidR="007E1681" w:rsidRPr="006B6241">
        <w:rPr>
          <w:sz w:val="22"/>
          <w:szCs w:val="22"/>
        </w:rPr>
        <w:t xml:space="preserve">on the </w:t>
      </w:r>
      <w:r w:rsidR="00B4404C" w:rsidRPr="006B6241">
        <w:rPr>
          <w:sz w:val="22"/>
          <w:szCs w:val="22"/>
        </w:rPr>
        <w:t xml:space="preserve">formulation and approval of </w:t>
      </w:r>
      <w:r w:rsidR="007E1681" w:rsidRPr="006B6241">
        <w:rPr>
          <w:sz w:val="22"/>
          <w:szCs w:val="22"/>
        </w:rPr>
        <w:t xml:space="preserve">policies </w:t>
      </w:r>
      <w:r w:rsidR="00B4404C" w:rsidRPr="006B6241">
        <w:rPr>
          <w:sz w:val="22"/>
          <w:szCs w:val="22"/>
        </w:rPr>
        <w:t xml:space="preserve">and regulations </w:t>
      </w:r>
      <w:r w:rsidR="007E1681" w:rsidRPr="006B6241">
        <w:rPr>
          <w:sz w:val="22"/>
          <w:szCs w:val="22"/>
        </w:rPr>
        <w:t>on</w:t>
      </w:r>
      <w:r w:rsidR="00B4404C" w:rsidRPr="006B6241">
        <w:rPr>
          <w:sz w:val="22"/>
          <w:szCs w:val="22"/>
        </w:rPr>
        <w:t xml:space="preserve"> logistics</w:t>
      </w:r>
      <w:r w:rsidR="007E1681" w:rsidRPr="006B6241">
        <w:rPr>
          <w:sz w:val="22"/>
          <w:szCs w:val="22"/>
        </w:rPr>
        <w:t>, and will include</w:t>
      </w:r>
      <w:r w:rsidRPr="006B6241">
        <w:rPr>
          <w:sz w:val="22"/>
          <w:szCs w:val="22"/>
        </w:rPr>
        <w:t xml:space="preserve">: </w:t>
      </w:r>
      <w:r w:rsidR="00B4404C" w:rsidRPr="006B6241">
        <w:rPr>
          <w:sz w:val="22"/>
          <w:szCs w:val="22"/>
        </w:rPr>
        <w:t>(</w:t>
      </w:r>
      <w:r w:rsidR="00FA2153" w:rsidRPr="006B6241">
        <w:rPr>
          <w:sz w:val="22"/>
          <w:szCs w:val="22"/>
        </w:rPr>
        <w:t>a</w:t>
      </w:r>
      <w:r w:rsidR="00B4404C" w:rsidRPr="006B6241">
        <w:rPr>
          <w:sz w:val="22"/>
          <w:szCs w:val="22"/>
        </w:rPr>
        <w:t>) Conduct of researches on: (</w:t>
      </w:r>
      <w:proofErr w:type="spellStart"/>
      <w:r w:rsidR="00B4404C" w:rsidRPr="006B6241">
        <w:rPr>
          <w:sz w:val="22"/>
          <w:szCs w:val="22"/>
        </w:rPr>
        <w:t>i</w:t>
      </w:r>
      <w:proofErr w:type="spellEnd"/>
      <w:r w:rsidR="00B4404C" w:rsidRPr="006B6241">
        <w:rPr>
          <w:sz w:val="22"/>
          <w:szCs w:val="22"/>
        </w:rPr>
        <w:t>) the energy use trends and GHG emissions from the operation of the logistics industry (materials management, and physical distribution) in Zhejiang Province; and, (ii) green logistics systems developed and implemented in other countries and their energy utilization performances</w:t>
      </w:r>
      <w:r w:rsidR="004323EA" w:rsidRPr="006B6241">
        <w:rPr>
          <w:rStyle w:val="FootnoteReference"/>
          <w:sz w:val="22"/>
          <w:szCs w:val="22"/>
        </w:rPr>
        <w:footnoteReference w:id="12"/>
      </w:r>
      <w:r w:rsidR="00B4404C" w:rsidRPr="006B6241">
        <w:rPr>
          <w:sz w:val="22"/>
          <w:szCs w:val="22"/>
        </w:rPr>
        <w:t>; (</w:t>
      </w:r>
      <w:r w:rsidR="00FA2153" w:rsidRPr="006B6241">
        <w:rPr>
          <w:sz w:val="22"/>
          <w:szCs w:val="22"/>
        </w:rPr>
        <w:t>b</w:t>
      </w:r>
      <w:r w:rsidR="00B4404C" w:rsidRPr="006B6241">
        <w:rPr>
          <w:sz w:val="22"/>
          <w:szCs w:val="22"/>
        </w:rPr>
        <w:t>) Formulation for recommendation of adoption of standards, policies and implementing rules and regulations on the promotion and practice of green logistics in Zhejiang Province</w:t>
      </w:r>
      <w:r w:rsidR="00844B82" w:rsidRPr="006B6241">
        <w:rPr>
          <w:sz w:val="22"/>
          <w:szCs w:val="22"/>
        </w:rPr>
        <w:t>, including improved coordination of various applicable freight transport modes in the province</w:t>
      </w:r>
      <w:r w:rsidR="00B4404C" w:rsidRPr="006B6241">
        <w:rPr>
          <w:sz w:val="22"/>
          <w:szCs w:val="22"/>
        </w:rPr>
        <w:t>; (</w:t>
      </w:r>
      <w:r w:rsidR="00FA2153" w:rsidRPr="006B6241">
        <w:rPr>
          <w:sz w:val="22"/>
          <w:szCs w:val="22"/>
        </w:rPr>
        <w:t>c</w:t>
      </w:r>
      <w:r w:rsidR="00B4404C" w:rsidRPr="006B6241">
        <w:rPr>
          <w:sz w:val="22"/>
          <w:szCs w:val="22"/>
        </w:rPr>
        <w:t>) Publication and dissemination of guides and reference documents for the application of energy conserving and energy efficient practices in the logistics industry in Zhejiang Province, in particular, and in China, in general</w:t>
      </w:r>
      <w:r w:rsidR="00FA2153" w:rsidRPr="006B6241">
        <w:rPr>
          <w:sz w:val="22"/>
          <w:szCs w:val="22"/>
        </w:rPr>
        <w:t xml:space="preserve">; and, (d) </w:t>
      </w:r>
      <w:r w:rsidR="00844B82" w:rsidRPr="006B6241">
        <w:rPr>
          <w:sz w:val="22"/>
          <w:szCs w:val="22"/>
        </w:rPr>
        <w:t xml:space="preserve">Approved follow-up plan to promote and implement the replication of the successful </w:t>
      </w:r>
      <w:r w:rsidR="000565C7" w:rsidRPr="006B6241">
        <w:rPr>
          <w:sz w:val="22"/>
          <w:szCs w:val="22"/>
        </w:rPr>
        <w:t>a</w:t>
      </w:r>
      <w:r w:rsidR="00844B82" w:rsidRPr="006B6241">
        <w:rPr>
          <w:sz w:val="22"/>
          <w:szCs w:val="22"/>
        </w:rPr>
        <w:t xml:space="preserve">pplications of the piloted green logistics </w:t>
      </w:r>
      <w:r w:rsidR="00C91944" w:rsidRPr="006B6241">
        <w:rPr>
          <w:sz w:val="22"/>
          <w:szCs w:val="22"/>
        </w:rPr>
        <w:t xml:space="preserve">(materials management and physical distribution) </w:t>
      </w:r>
      <w:r w:rsidR="00844B82" w:rsidRPr="006B6241">
        <w:rPr>
          <w:sz w:val="22"/>
          <w:szCs w:val="22"/>
        </w:rPr>
        <w:t xml:space="preserve">policies in Zhejiang </w:t>
      </w:r>
      <w:r w:rsidR="00C91944" w:rsidRPr="006B6241">
        <w:rPr>
          <w:sz w:val="22"/>
          <w:szCs w:val="22"/>
        </w:rPr>
        <w:t xml:space="preserve">Province </w:t>
      </w:r>
      <w:r w:rsidR="00844B82" w:rsidRPr="006B6241">
        <w:rPr>
          <w:sz w:val="22"/>
          <w:szCs w:val="22"/>
        </w:rPr>
        <w:t xml:space="preserve">to other </w:t>
      </w:r>
      <w:r w:rsidR="00C91944" w:rsidRPr="006B6241">
        <w:rPr>
          <w:sz w:val="22"/>
          <w:szCs w:val="22"/>
        </w:rPr>
        <w:t xml:space="preserve">major Chinese provinces and </w:t>
      </w:r>
      <w:r w:rsidR="00844B82" w:rsidRPr="006B6241">
        <w:rPr>
          <w:sz w:val="22"/>
          <w:szCs w:val="22"/>
        </w:rPr>
        <w:t>cities</w:t>
      </w:r>
      <w:r w:rsidR="00C91944" w:rsidRPr="006B6241">
        <w:rPr>
          <w:rStyle w:val="FootnoteReference"/>
          <w:sz w:val="22"/>
          <w:szCs w:val="22"/>
        </w:rPr>
        <w:footnoteReference w:id="13"/>
      </w:r>
      <w:r w:rsidR="00844B82" w:rsidRPr="006B6241">
        <w:rPr>
          <w:sz w:val="22"/>
          <w:szCs w:val="22"/>
        </w:rPr>
        <w:t>.</w:t>
      </w:r>
      <w:r w:rsidR="00055213" w:rsidRPr="006B6241">
        <w:rPr>
          <w:sz w:val="22"/>
          <w:szCs w:val="22"/>
        </w:rPr>
        <w:t xml:space="preserve"> The major port cities in Zhejiang (Ningbo and </w:t>
      </w:r>
      <w:proofErr w:type="spellStart"/>
      <w:r w:rsidR="00055213" w:rsidRPr="006B6241">
        <w:rPr>
          <w:sz w:val="22"/>
          <w:szCs w:val="22"/>
        </w:rPr>
        <w:t>Beilun</w:t>
      </w:r>
      <w:proofErr w:type="spellEnd"/>
      <w:r w:rsidR="00055213" w:rsidRPr="006B6241">
        <w:rPr>
          <w:sz w:val="22"/>
          <w:szCs w:val="22"/>
        </w:rPr>
        <w:t xml:space="preserve">) are among the initial cities that are targeted to replicate the green logistics policies that the project will demonstrate. At the later part of the project implementation, at least 5 other cities that have sizable logistics industry (e.g., Dalian, Qingdao, Tianjin, </w:t>
      </w:r>
      <w:proofErr w:type="spellStart"/>
      <w:r w:rsidR="00055213" w:rsidRPr="006B6241">
        <w:rPr>
          <w:sz w:val="22"/>
          <w:szCs w:val="22"/>
        </w:rPr>
        <w:t>Quanzhou</w:t>
      </w:r>
      <w:proofErr w:type="spellEnd"/>
      <w:r w:rsidR="00055213" w:rsidRPr="006B6241">
        <w:rPr>
          <w:sz w:val="22"/>
          <w:szCs w:val="22"/>
        </w:rPr>
        <w:t xml:space="preserve">, and </w:t>
      </w:r>
      <w:proofErr w:type="spellStart"/>
      <w:r w:rsidR="00055213" w:rsidRPr="006B6241">
        <w:rPr>
          <w:sz w:val="22"/>
          <w:szCs w:val="22"/>
        </w:rPr>
        <w:t>Yangshan</w:t>
      </w:r>
      <w:proofErr w:type="spellEnd"/>
      <w:r w:rsidR="00055213" w:rsidRPr="006B6241">
        <w:rPr>
          <w:sz w:val="22"/>
          <w:szCs w:val="22"/>
        </w:rPr>
        <w:t xml:space="preserve">) will be targeted for the replication of green logistics principles, technologies/techniques and practices. The indicative cities targeted for replication are port cities with big logistics establishments (logistics services providers – LSPs), that serve several large scale manufacturing industries. These are areas that are similar to the port cities in Zhejiang </w:t>
      </w:r>
      <w:r w:rsidR="00397353" w:rsidRPr="006B6241">
        <w:rPr>
          <w:sz w:val="22"/>
          <w:szCs w:val="22"/>
        </w:rPr>
        <w:t>Province</w:t>
      </w:r>
      <w:r w:rsidR="00055213" w:rsidRPr="006B6241">
        <w:rPr>
          <w:sz w:val="22"/>
          <w:szCs w:val="22"/>
        </w:rPr>
        <w:t xml:space="preserve"> such as Hangzhou and </w:t>
      </w:r>
      <w:proofErr w:type="spellStart"/>
      <w:r w:rsidR="00055213" w:rsidRPr="006B6241">
        <w:rPr>
          <w:sz w:val="22"/>
          <w:szCs w:val="22"/>
        </w:rPr>
        <w:t>Fuyang</w:t>
      </w:r>
      <w:proofErr w:type="spellEnd"/>
      <w:r w:rsidR="00055213" w:rsidRPr="006B6241">
        <w:rPr>
          <w:sz w:val="22"/>
          <w:szCs w:val="22"/>
        </w:rPr>
        <w:t>, and where the optimized combination of land and water freight transport systems can potentially generate more efficient operations energy-wise and cost-wise, and in so doing reduce road freight transport-related air pollution and realize GEBs.</w:t>
      </w:r>
    </w:p>
    <w:p w:rsidR="00450F12" w:rsidRPr="006B6241" w:rsidRDefault="00450F12" w:rsidP="00E22284">
      <w:pPr>
        <w:jc w:val="both"/>
        <w:rPr>
          <w:sz w:val="22"/>
          <w:szCs w:val="22"/>
          <w:lang w:eastAsia="zh-CN"/>
        </w:rPr>
      </w:pPr>
    </w:p>
    <w:p w:rsidR="000B308D" w:rsidRPr="006B6241" w:rsidRDefault="00F37E49" w:rsidP="00E22284">
      <w:pPr>
        <w:jc w:val="both"/>
        <w:rPr>
          <w:sz w:val="22"/>
          <w:szCs w:val="22"/>
        </w:rPr>
      </w:pPr>
      <w:r w:rsidRPr="006B6241">
        <w:rPr>
          <w:b/>
          <w:sz w:val="22"/>
          <w:szCs w:val="22"/>
        </w:rPr>
        <w:t>Component 2:</w:t>
      </w:r>
      <w:r w:rsidRPr="006B6241">
        <w:rPr>
          <w:b/>
          <w:sz w:val="22"/>
          <w:szCs w:val="22"/>
          <w:lang w:eastAsia="zh-CN"/>
        </w:rPr>
        <w:t xml:space="preserve"> </w:t>
      </w:r>
      <w:r w:rsidR="00B4404C" w:rsidRPr="006B6241">
        <w:rPr>
          <w:b/>
          <w:sz w:val="22"/>
          <w:szCs w:val="22"/>
          <w:lang w:eastAsia="zh-CN"/>
        </w:rPr>
        <w:t>Green Logistics Systems Demonstration</w:t>
      </w:r>
      <w:r w:rsidR="001B2DDD" w:rsidRPr="006B6241">
        <w:rPr>
          <w:b/>
          <w:sz w:val="22"/>
          <w:szCs w:val="22"/>
          <w:lang w:eastAsia="zh-CN"/>
        </w:rPr>
        <w:t xml:space="preserve"> </w:t>
      </w:r>
      <w:r w:rsidRPr="006B6241">
        <w:rPr>
          <w:sz w:val="22"/>
          <w:szCs w:val="22"/>
        </w:rPr>
        <w:t>–</w:t>
      </w:r>
      <w:r w:rsidR="001B2DDD" w:rsidRPr="006B6241">
        <w:rPr>
          <w:sz w:val="22"/>
          <w:szCs w:val="22"/>
        </w:rPr>
        <w:t xml:space="preserve"> This component is meant to address the barrier regarding the </w:t>
      </w:r>
      <w:r w:rsidR="005465BC" w:rsidRPr="006B6241">
        <w:rPr>
          <w:sz w:val="22"/>
          <w:szCs w:val="22"/>
        </w:rPr>
        <w:t xml:space="preserve">low level of capacity, knowledge and skills of, and cooperation among the relevant government entities, manufacturing and logistics industries on the application, design and </w:t>
      </w:r>
      <w:proofErr w:type="spellStart"/>
      <w:r w:rsidR="005465BC" w:rsidRPr="006B6241">
        <w:rPr>
          <w:sz w:val="22"/>
          <w:szCs w:val="22"/>
        </w:rPr>
        <w:t>operationalization</w:t>
      </w:r>
      <w:proofErr w:type="spellEnd"/>
      <w:r w:rsidR="005465BC" w:rsidRPr="006B6241">
        <w:rPr>
          <w:sz w:val="22"/>
          <w:szCs w:val="22"/>
        </w:rPr>
        <w:t xml:space="preserve"> of green logistics systems, as well as in the application of energy conservation and operational efficiency in the logistics industry. It is also intended to enhance the level of confidence of the logistics industry on the viability of green logistics applications and infrastructures. W</w:t>
      </w:r>
      <w:r w:rsidR="001B2DDD" w:rsidRPr="006B6241">
        <w:rPr>
          <w:sz w:val="22"/>
          <w:szCs w:val="22"/>
        </w:rPr>
        <w:t xml:space="preserve">ith the interventions that will be carried out under this component, </w:t>
      </w:r>
      <w:r w:rsidR="005465BC" w:rsidRPr="006B6241">
        <w:rPr>
          <w:sz w:val="22"/>
          <w:szCs w:val="22"/>
        </w:rPr>
        <w:t xml:space="preserve">improved energy efficiency in the materials management and physical distribution activities in the logistics industry in Zhejiang Province is expected. </w:t>
      </w:r>
      <w:r w:rsidR="001B2DDD" w:rsidRPr="006B6241">
        <w:rPr>
          <w:sz w:val="22"/>
          <w:szCs w:val="22"/>
        </w:rPr>
        <w:t xml:space="preserve">The activities that will be carried out under this component will be in cooperation with the </w:t>
      </w:r>
      <w:r w:rsidR="005465BC" w:rsidRPr="006B6241">
        <w:rPr>
          <w:sz w:val="22"/>
          <w:szCs w:val="22"/>
        </w:rPr>
        <w:t xml:space="preserve">logistic companies </w:t>
      </w:r>
      <w:r w:rsidR="001B2DDD" w:rsidRPr="006B6241">
        <w:rPr>
          <w:sz w:val="22"/>
          <w:szCs w:val="22"/>
        </w:rPr>
        <w:t xml:space="preserve">that are interested in </w:t>
      </w:r>
      <w:r w:rsidR="005465BC" w:rsidRPr="006B6241">
        <w:rPr>
          <w:sz w:val="22"/>
          <w:szCs w:val="22"/>
        </w:rPr>
        <w:t>the application of green logistics technologies/techniques in their operations</w:t>
      </w:r>
      <w:r w:rsidR="001B2DDD" w:rsidRPr="006B6241">
        <w:rPr>
          <w:sz w:val="22"/>
          <w:szCs w:val="22"/>
        </w:rPr>
        <w:t xml:space="preserve">. </w:t>
      </w:r>
    </w:p>
    <w:p w:rsidR="000B308D" w:rsidRPr="006B6241" w:rsidRDefault="000B308D" w:rsidP="00E22284">
      <w:pPr>
        <w:jc w:val="both"/>
        <w:rPr>
          <w:sz w:val="22"/>
          <w:szCs w:val="22"/>
        </w:rPr>
      </w:pPr>
    </w:p>
    <w:p w:rsidR="000B308D" w:rsidRPr="006B6241" w:rsidRDefault="001B2DDD" w:rsidP="00E22284">
      <w:pPr>
        <w:jc w:val="both"/>
        <w:rPr>
          <w:sz w:val="22"/>
          <w:szCs w:val="22"/>
        </w:rPr>
      </w:pPr>
      <w:r w:rsidRPr="006B6241">
        <w:rPr>
          <w:sz w:val="22"/>
          <w:szCs w:val="22"/>
        </w:rPr>
        <w:lastRenderedPageBreak/>
        <w:t>The</w:t>
      </w:r>
      <w:r w:rsidR="005465BC" w:rsidRPr="006B6241">
        <w:rPr>
          <w:sz w:val="22"/>
          <w:szCs w:val="22"/>
        </w:rPr>
        <w:t xml:space="preserve">re will be </w:t>
      </w:r>
      <w:r w:rsidR="000B308D" w:rsidRPr="006B6241">
        <w:rPr>
          <w:sz w:val="22"/>
          <w:szCs w:val="22"/>
        </w:rPr>
        <w:t>three</w:t>
      </w:r>
      <w:r w:rsidR="005465BC" w:rsidRPr="006B6241">
        <w:rPr>
          <w:sz w:val="22"/>
          <w:szCs w:val="22"/>
        </w:rPr>
        <w:t xml:space="preserve"> sets of activities. The two major activities are on the demonstration of the application of green logistics in the: (1) materials management; and, (2) physical distribution, operations in the logistics industry in Zhejiang Province. The demonstrations </w:t>
      </w:r>
      <w:r w:rsidR="000B308D" w:rsidRPr="006B6241">
        <w:rPr>
          <w:sz w:val="22"/>
          <w:szCs w:val="22"/>
        </w:rPr>
        <w:t xml:space="preserve">on the green logistics application on materials management </w:t>
      </w:r>
      <w:r w:rsidR="005465BC" w:rsidRPr="006B6241">
        <w:rPr>
          <w:sz w:val="22"/>
          <w:szCs w:val="22"/>
        </w:rPr>
        <w:t>will entail the performance of the following activities: (</w:t>
      </w:r>
      <w:proofErr w:type="spellStart"/>
      <w:r w:rsidR="000B308D" w:rsidRPr="006B6241">
        <w:rPr>
          <w:sz w:val="22"/>
          <w:szCs w:val="22"/>
        </w:rPr>
        <w:t>i</w:t>
      </w:r>
      <w:proofErr w:type="spellEnd"/>
      <w:r w:rsidR="005465BC" w:rsidRPr="006B6241">
        <w:rPr>
          <w:sz w:val="22"/>
          <w:szCs w:val="22"/>
        </w:rPr>
        <w:t>) Modifi</w:t>
      </w:r>
      <w:r w:rsidR="000B308D" w:rsidRPr="006B6241">
        <w:rPr>
          <w:sz w:val="22"/>
          <w:szCs w:val="22"/>
        </w:rPr>
        <w:t xml:space="preserve">cation of the </w:t>
      </w:r>
      <w:r w:rsidR="005465BC" w:rsidRPr="006B6241">
        <w:rPr>
          <w:sz w:val="22"/>
          <w:szCs w:val="22"/>
        </w:rPr>
        <w:t>design for the facilities and materials management system (including the associated facilities and infrastructures) in the Zhejiang Province logistics system projects; (</w:t>
      </w:r>
      <w:r w:rsidR="000B308D" w:rsidRPr="006B6241">
        <w:rPr>
          <w:sz w:val="22"/>
          <w:szCs w:val="22"/>
        </w:rPr>
        <w:t>ii</w:t>
      </w:r>
      <w:r w:rsidR="005465BC" w:rsidRPr="006B6241">
        <w:rPr>
          <w:sz w:val="22"/>
          <w:szCs w:val="22"/>
        </w:rPr>
        <w:t xml:space="preserve">) </w:t>
      </w:r>
      <w:r w:rsidR="000B308D" w:rsidRPr="006B6241">
        <w:rPr>
          <w:sz w:val="22"/>
          <w:szCs w:val="22"/>
        </w:rPr>
        <w:t>Conduct of f</w:t>
      </w:r>
      <w:r w:rsidR="005465BC" w:rsidRPr="006B6241">
        <w:rPr>
          <w:sz w:val="22"/>
          <w:szCs w:val="22"/>
        </w:rPr>
        <w:t>easibility analyses on the application and operation of green logistics system; (</w:t>
      </w:r>
      <w:r w:rsidR="000B308D" w:rsidRPr="006B6241">
        <w:rPr>
          <w:sz w:val="22"/>
          <w:szCs w:val="22"/>
        </w:rPr>
        <w:t>iii</w:t>
      </w:r>
      <w:r w:rsidR="005465BC" w:rsidRPr="006B6241">
        <w:rPr>
          <w:sz w:val="22"/>
          <w:szCs w:val="22"/>
        </w:rPr>
        <w:t xml:space="preserve">) </w:t>
      </w:r>
      <w:r w:rsidR="000B308D" w:rsidRPr="006B6241">
        <w:rPr>
          <w:sz w:val="22"/>
          <w:szCs w:val="22"/>
        </w:rPr>
        <w:t>Development and approval of the i</w:t>
      </w:r>
      <w:r w:rsidR="005465BC" w:rsidRPr="006B6241">
        <w:rPr>
          <w:sz w:val="22"/>
          <w:szCs w:val="22"/>
        </w:rPr>
        <w:t>mplementation plans (including financing arrangements) for each EE materials management demonstration;  and</w:t>
      </w:r>
      <w:r w:rsidR="000B308D" w:rsidRPr="006B6241">
        <w:rPr>
          <w:sz w:val="22"/>
          <w:szCs w:val="22"/>
        </w:rPr>
        <w:t>,</w:t>
      </w:r>
      <w:r w:rsidR="005465BC" w:rsidRPr="006B6241">
        <w:rPr>
          <w:sz w:val="22"/>
          <w:szCs w:val="22"/>
        </w:rPr>
        <w:t xml:space="preserve"> (</w:t>
      </w:r>
      <w:r w:rsidR="000B308D" w:rsidRPr="006B6241">
        <w:rPr>
          <w:sz w:val="22"/>
          <w:szCs w:val="22"/>
        </w:rPr>
        <w:t>iv</w:t>
      </w:r>
      <w:r w:rsidR="005465BC" w:rsidRPr="006B6241">
        <w:rPr>
          <w:sz w:val="22"/>
          <w:szCs w:val="22"/>
        </w:rPr>
        <w:t xml:space="preserve">) </w:t>
      </w:r>
      <w:r w:rsidR="000B308D" w:rsidRPr="006B6241">
        <w:rPr>
          <w:sz w:val="22"/>
          <w:szCs w:val="22"/>
        </w:rPr>
        <w:t xml:space="preserve">Construction, commissioning </w:t>
      </w:r>
      <w:r w:rsidR="005465BC" w:rsidRPr="006B6241">
        <w:rPr>
          <w:sz w:val="22"/>
          <w:szCs w:val="22"/>
        </w:rPr>
        <w:t>and operation</w:t>
      </w:r>
      <w:r w:rsidR="000B308D" w:rsidRPr="006B6241">
        <w:rPr>
          <w:sz w:val="22"/>
          <w:szCs w:val="22"/>
        </w:rPr>
        <w:t xml:space="preserve"> of a</w:t>
      </w:r>
      <w:r w:rsidR="005465BC" w:rsidRPr="006B6241">
        <w:rPr>
          <w:sz w:val="22"/>
          <w:szCs w:val="22"/>
        </w:rPr>
        <w:t xml:space="preserve"> green logistics-based centralized logistic facility in </w:t>
      </w:r>
      <w:proofErr w:type="spellStart"/>
      <w:r w:rsidR="005465BC" w:rsidRPr="006B6241">
        <w:rPr>
          <w:sz w:val="22"/>
          <w:szCs w:val="22"/>
        </w:rPr>
        <w:t>Fuyang</w:t>
      </w:r>
      <w:proofErr w:type="spellEnd"/>
      <w:r w:rsidR="005465BC" w:rsidRPr="006B6241">
        <w:rPr>
          <w:sz w:val="22"/>
          <w:szCs w:val="22"/>
        </w:rPr>
        <w:t xml:space="preserve"> City, Zhejiang Province</w:t>
      </w:r>
      <w:r w:rsidR="000B308D" w:rsidRPr="006B6241">
        <w:rPr>
          <w:sz w:val="22"/>
          <w:szCs w:val="22"/>
        </w:rPr>
        <w:t>. The demonstrations on the green logistics application on physical distribution will involve the performance of the following activities: (</w:t>
      </w:r>
      <w:proofErr w:type="spellStart"/>
      <w:r w:rsidR="000B308D" w:rsidRPr="006B6241">
        <w:rPr>
          <w:sz w:val="22"/>
          <w:szCs w:val="22"/>
        </w:rPr>
        <w:t>i</w:t>
      </w:r>
      <w:proofErr w:type="spellEnd"/>
      <w:r w:rsidR="000B308D" w:rsidRPr="006B6241">
        <w:rPr>
          <w:sz w:val="22"/>
          <w:szCs w:val="22"/>
        </w:rPr>
        <w:t>) Conduct of feasibility analyses on the application and operation of alternative green logistics physical distribution system; (2) Development of energy efficient water and water/road freight planning and management schemes; (3) Development of implementation plans (including financing arrangements) for the green logistics physical distribution demonstration; and, (4) Establishment and operation of a green logistics-based physical distribution system demonstration project in Zhejiang Province.</w:t>
      </w:r>
    </w:p>
    <w:p w:rsidR="000B308D" w:rsidRPr="006B6241" w:rsidRDefault="000B308D" w:rsidP="00E22284">
      <w:pPr>
        <w:jc w:val="both"/>
        <w:rPr>
          <w:sz w:val="22"/>
          <w:szCs w:val="22"/>
        </w:rPr>
      </w:pPr>
    </w:p>
    <w:p w:rsidR="000B308D" w:rsidRPr="006B6241" w:rsidRDefault="005465BC" w:rsidP="00E22284">
      <w:pPr>
        <w:jc w:val="both"/>
        <w:rPr>
          <w:sz w:val="22"/>
          <w:szCs w:val="22"/>
        </w:rPr>
      </w:pPr>
      <w:r w:rsidRPr="006B6241">
        <w:rPr>
          <w:sz w:val="22"/>
          <w:szCs w:val="22"/>
        </w:rPr>
        <w:t xml:space="preserve">The other set </w:t>
      </w:r>
      <w:r w:rsidR="000B308D" w:rsidRPr="006B6241">
        <w:rPr>
          <w:sz w:val="22"/>
          <w:szCs w:val="22"/>
        </w:rPr>
        <w:t xml:space="preserve">of activities </w:t>
      </w:r>
      <w:r w:rsidRPr="006B6241">
        <w:rPr>
          <w:sz w:val="22"/>
          <w:szCs w:val="22"/>
        </w:rPr>
        <w:t xml:space="preserve">is mainly on the documentation </w:t>
      </w:r>
      <w:r w:rsidR="000B308D" w:rsidRPr="006B6241">
        <w:rPr>
          <w:sz w:val="22"/>
          <w:szCs w:val="22"/>
        </w:rPr>
        <w:t>of the demonstration results and the energy performance and environmental impacts of each demonstrations, as well as action planning for sustainability of the green logistics system demonstration program</w:t>
      </w:r>
    </w:p>
    <w:p w:rsidR="000B308D" w:rsidRPr="006B6241" w:rsidRDefault="000B308D" w:rsidP="00E22284">
      <w:pPr>
        <w:jc w:val="both"/>
        <w:rPr>
          <w:sz w:val="22"/>
          <w:szCs w:val="22"/>
        </w:rPr>
      </w:pPr>
    </w:p>
    <w:p w:rsidR="00F8732F" w:rsidRPr="006B6241" w:rsidRDefault="00450F12" w:rsidP="00E22284">
      <w:pPr>
        <w:jc w:val="both"/>
        <w:rPr>
          <w:sz w:val="22"/>
          <w:szCs w:val="22"/>
        </w:rPr>
      </w:pPr>
      <w:r w:rsidRPr="006B6241">
        <w:rPr>
          <w:b/>
          <w:sz w:val="22"/>
          <w:szCs w:val="22"/>
        </w:rPr>
        <w:t xml:space="preserve">Component 3: </w:t>
      </w:r>
      <w:r w:rsidR="00CB5099" w:rsidRPr="006B6241">
        <w:rPr>
          <w:b/>
          <w:sz w:val="22"/>
          <w:szCs w:val="22"/>
        </w:rPr>
        <w:t>Capacity Building and Promotion of Green Logistics Systems</w:t>
      </w:r>
      <w:r w:rsidRPr="006B6241">
        <w:rPr>
          <w:sz w:val="22"/>
          <w:szCs w:val="22"/>
        </w:rPr>
        <w:t xml:space="preserve"> – This component will consist of </w:t>
      </w:r>
      <w:r w:rsidR="00CB5099" w:rsidRPr="006B6241">
        <w:rPr>
          <w:sz w:val="22"/>
          <w:szCs w:val="22"/>
        </w:rPr>
        <w:t xml:space="preserve">interventions </w:t>
      </w:r>
      <w:r w:rsidRPr="006B6241">
        <w:rPr>
          <w:sz w:val="22"/>
          <w:szCs w:val="22"/>
        </w:rPr>
        <w:t>which are aimed at removing barrier concerning the</w:t>
      </w:r>
      <w:r w:rsidR="00552656" w:rsidRPr="006B6241">
        <w:t xml:space="preserve"> </w:t>
      </w:r>
      <w:r w:rsidR="00552656" w:rsidRPr="006B6241">
        <w:rPr>
          <w:sz w:val="22"/>
          <w:szCs w:val="22"/>
        </w:rPr>
        <w:t xml:space="preserve">lack of an effective information platform to share the successful experiences in the design, development and operation of green logistics system. </w:t>
      </w:r>
      <w:r w:rsidR="00BD6700" w:rsidRPr="006B6241">
        <w:rPr>
          <w:sz w:val="22"/>
          <w:szCs w:val="22"/>
        </w:rPr>
        <w:t xml:space="preserve">The successful completion of the envisioned activities under this component will to contribute achieving an increased </w:t>
      </w:r>
      <w:r w:rsidR="00552656" w:rsidRPr="006B6241">
        <w:rPr>
          <w:sz w:val="22"/>
          <w:szCs w:val="22"/>
        </w:rPr>
        <w:t xml:space="preserve">application and utilization of energy efficient materials management and physical distribution techniques, technologies and practices in the logistics and manufacturing industries in Zhejiang Province. The indicative activities that will be carried out </w:t>
      </w:r>
      <w:r w:rsidR="00BD6700" w:rsidRPr="006B6241">
        <w:rPr>
          <w:sz w:val="22"/>
          <w:szCs w:val="22"/>
        </w:rPr>
        <w:t xml:space="preserve">under this component </w:t>
      </w:r>
      <w:r w:rsidR="00552656" w:rsidRPr="006B6241">
        <w:rPr>
          <w:sz w:val="22"/>
          <w:szCs w:val="22"/>
        </w:rPr>
        <w:t xml:space="preserve">include: (1) Conduct of a capacity development needs assessment </w:t>
      </w:r>
      <w:r w:rsidR="005A074C" w:rsidRPr="006B6241">
        <w:rPr>
          <w:sz w:val="22"/>
          <w:szCs w:val="22"/>
        </w:rPr>
        <w:t>i</w:t>
      </w:r>
      <w:r w:rsidR="00F8732F" w:rsidRPr="006B6241">
        <w:rPr>
          <w:sz w:val="22"/>
          <w:szCs w:val="22"/>
        </w:rPr>
        <w:t>n the area of green logistics and developed green logistics capacity building program</w:t>
      </w:r>
      <w:r w:rsidR="005A074C" w:rsidRPr="006B6241">
        <w:rPr>
          <w:sz w:val="22"/>
          <w:szCs w:val="22"/>
        </w:rPr>
        <w:t xml:space="preserve">; </w:t>
      </w:r>
      <w:r w:rsidR="0019020F" w:rsidRPr="006B6241">
        <w:rPr>
          <w:sz w:val="22"/>
          <w:szCs w:val="22"/>
        </w:rPr>
        <w:t xml:space="preserve">(2) </w:t>
      </w:r>
      <w:r w:rsidR="005A074C" w:rsidRPr="006B6241">
        <w:rPr>
          <w:sz w:val="22"/>
          <w:szCs w:val="22"/>
        </w:rPr>
        <w:t xml:space="preserve">Design and conduct of </w:t>
      </w:r>
      <w:r w:rsidR="00F8732F" w:rsidRPr="006B6241">
        <w:rPr>
          <w:sz w:val="22"/>
          <w:szCs w:val="22"/>
        </w:rPr>
        <w:t>green logistics training courses for government authorities and relevant stakeholders in the logistics and manufacturing industries in Zhejiang Province (e.g., concepts, practices, methodologies)</w:t>
      </w:r>
      <w:r w:rsidR="0019020F" w:rsidRPr="006B6241">
        <w:rPr>
          <w:sz w:val="22"/>
          <w:szCs w:val="22"/>
        </w:rPr>
        <w:t xml:space="preserve">; (3) </w:t>
      </w:r>
      <w:r w:rsidR="00DA3EAF" w:rsidRPr="006B6241">
        <w:rPr>
          <w:sz w:val="22"/>
          <w:szCs w:val="22"/>
        </w:rPr>
        <w:t>Development and dissemination of technical guidance documents including web-based tools</w:t>
      </w:r>
      <w:r w:rsidR="00F8732F" w:rsidRPr="006B6241">
        <w:rPr>
          <w:sz w:val="22"/>
          <w:szCs w:val="22"/>
        </w:rPr>
        <w:t xml:space="preserve"> on green logistics systems</w:t>
      </w:r>
      <w:r w:rsidR="00DA3EAF" w:rsidRPr="006B6241">
        <w:rPr>
          <w:rStyle w:val="FootnoteReference"/>
          <w:sz w:val="22"/>
          <w:szCs w:val="22"/>
        </w:rPr>
        <w:footnoteReference w:id="14"/>
      </w:r>
      <w:r w:rsidR="0019020F" w:rsidRPr="006B6241">
        <w:rPr>
          <w:sz w:val="22"/>
          <w:szCs w:val="22"/>
        </w:rPr>
        <w:t xml:space="preserve">; (4) </w:t>
      </w:r>
      <w:r w:rsidR="00F8732F" w:rsidRPr="006B6241">
        <w:rPr>
          <w:sz w:val="22"/>
          <w:szCs w:val="22"/>
        </w:rPr>
        <w:t>Conduct</w:t>
      </w:r>
      <w:r w:rsidR="0019020F" w:rsidRPr="006B6241">
        <w:rPr>
          <w:sz w:val="22"/>
          <w:szCs w:val="22"/>
        </w:rPr>
        <w:t xml:space="preserve"> of </w:t>
      </w:r>
      <w:r w:rsidR="00F8732F" w:rsidRPr="006B6241">
        <w:rPr>
          <w:sz w:val="22"/>
          <w:szCs w:val="22"/>
        </w:rPr>
        <w:t>promotional workshops and/or activities to disseminate demo program results and documents, and to enhance awareness and knowl</w:t>
      </w:r>
      <w:r w:rsidR="0019020F" w:rsidRPr="006B6241">
        <w:rPr>
          <w:sz w:val="22"/>
          <w:szCs w:val="22"/>
        </w:rPr>
        <w:t>edge in green logistics systems; (5) E</w:t>
      </w:r>
      <w:r w:rsidR="00F8732F" w:rsidRPr="006B6241">
        <w:rPr>
          <w:sz w:val="22"/>
          <w:szCs w:val="22"/>
        </w:rPr>
        <w:t>valuat</w:t>
      </w:r>
      <w:r w:rsidR="0019020F" w:rsidRPr="006B6241">
        <w:rPr>
          <w:sz w:val="22"/>
          <w:szCs w:val="22"/>
        </w:rPr>
        <w:t xml:space="preserve">ion of the </w:t>
      </w:r>
      <w:r w:rsidR="00F8732F" w:rsidRPr="006B6241">
        <w:rPr>
          <w:sz w:val="22"/>
          <w:szCs w:val="22"/>
        </w:rPr>
        <w:t>promotion and capacity building of green logistics systems</w:t>
      </w:r>
      <w:r w:rsidR="00B44F82" w:rsidRPr="006B6241">
        <w:rPr>
          <w:sz w:val="22"/>
          <w:szCs w:val="22"/>
        </w:rPr>
        <w:t xml:space="preserve">; and, (6) Designing, promotion and implementation of an energy </w:t>
      </w:r>
      <w:r w:rsidR="00E37FA6" w:rsidRPr="006B6241">
        <w:rPr>
          <w:sz w:val="22"/>
          <w:szCs w:val="22"/>
        </w:rPr>
        <w:t>performance</w:t>
      </w:r>
      <w:r w:rsidR="00B44F82" w:rsidRPr="006B6241">
        <w:rPr>
          <w:sz w:val="22"/>
          <w:szCs w:val="22"/>
        </w:rPr>
        <w:t xml:space="preserve"> rating program for LSPs in Zhejiang Province</w:t>
      </w:r>
      <w:r w:rsidR="0019020F" w:rsidRPr="006B6241">
        <w:rPr>
          <w:sz w:val="22"/>
          <w:szCs w:val="22"/>
        </w:rPr>
        <w:t>.</w:t>
      </w:r>
    </w:p>
    <w:p w:rsidR="00F8732F" w:rsidRPr="006B6241" w:rsidRDefault="00F8732F" w:rsidP="00E22284">
      <w:pPr>
        <w:jc w:val="both"/>
        <w:rPr>
          <w:sz w:val="22"/>
          <w:szCs w:val="22"/>
        </w:rPr>
      </w:pPr>
    </w:p>
    <w:p w:rsidR="0072360F" w:rsidRPr="006B6241" w:rsidRDefault="0072360F" w:rsidP="00E22284">
      <w:pPr>
        <w:pStyle w:val="ListParagraph"/>
        <w:jc w:val="both"/>
        <w:rPr>
          <w:u w:val="single"/>
          <w:lang w:val="en-US"/>
        </w:rPr>
      </w:pPr>
      <w:r w:rsidRPr="006B6241">
        <w:rPr>
          <w:u w:val="single"/>
          <w:lang w:val="en-US"/>
        </w:rPr>
        <w:t>I</w:t>
      </w:r>
      <w:r w:rsidR="00693747" w:rsidRPr="006B6241">
        <w:rPr>
          <w:u w:val="single"/>
          <w:lang w:val="en-US"/>
        </w:rPr>
        <w:t xml:space="preserve">ncremental </w:t>
      </w:r>
      <w:r w:rsidR="0057675C" w:rsidRPr="006B6241">
        <w:rPr>
          <w:u w:val="single"/>
          <w:lang w:val="en-US"/>
        </w:rPr>
        <w:t>C</w:t>
      </w:r>
      <w:r w:rsidR="00693747" w:rsidRPr="006B6241">
        <w:rPr>
          <w:u w:val="single"/>
          <w:lang w:val="en-US"/>
        </w:rPr>
        <w:t xml:space="preserve">ost </w:t>
      </w:r>
      <w:r w:rsidR="0057675C" w:rsidRPr="006B6241">
        <w:rPr>
          <w:u w:val="single"/>
          <w:lang w:val="en-US"/>
        </w:rPr>
        <w:t>R</w:t>
      </w:r>
      <w:r w:rsidR="00693747" w:rsidRPr="006B6241">
        <w:rPr>
          <w:u w:val="single"/>
          <w:lang w:val="en-US"/>
        </w:rPr>
        <w:t xml:space="preserve">easoning and </w:t>
      </w:r>
      <w:r w:rsidR="007A1EED" w:rsidRPr="006B6241">
        <w:rPr>
          <w:u w:val="single"/>
          <w:lang w:val="en-US"/>
        </w:rPr>
        <w:t>E</w:t>
      </w:r>
      <w:r w:rsidR="00693747" w:rsidRPr="006B6241">
        <w:rPr>
          <w:u w:val="single"/>
          <w:lang w:val="en-US"/>
        </w:rPr>
        <w:t xml:space="preserve">xpected </w:t>
      </w:r>
      <w:r w:rsidR="007A1EED" w:rsidRPr="006B6241">
        <w:rPr>
          <w:u w:val="single"/>
          <w:lang w:val="en-US"/>
        </w:rPr>
        <w:t>C</w:t>
      </w:r>
      <w:r w:rsidRPr="006B6241">
        <w:rPr>
          <w:u w:val="single"/>
          <w:lang w:val="en-US"/>
        </w:rPr>
        <w:t xml:space="preserve">ontributions from the </w:t>
      </w:r>
      <w:r w:rsidR="007A1EED" w:rsidRPr="006B6241">
        <w:rPr>
          <w:u w:val="single"/>
          <w:lang w:val="en-US"/>
        </w:rPr>
        <w:t>B</w:t>
      </w:r>
      <w:r w:rsidRPr="006B6241">
        <w:rPr>
          <w:u w:val="single"/>
          <w:lang w:val="en-US"/>
        </w:rPr>
        <w:t>aseline</w:t>
      </w:r>
      <w:r w:rsidR="00693747" w:rsidRPr="006B6241">
        <w:rPr>
          <w:u w:val="single"/>
          <w:lang w:val="en-US"/>
        </w:rPr>
        <w:t xml:space="preserve">, the GEFTF, LDCF/SCCF and </w:t>
      </w:r>
      <w:r w:rsidR="007A1EED" w:rsidRPr="006B6241">
        <w:rPr>
          <w:u w:val="single"/>
          <w:lang w:val="en-US"/>
        </w:rPr>
        <w:t>C</w:t>
      </w:r>
      <w:r w:rsidR="00693747" w:rsidRPr="006B6241">
        <w:rPr>
          <w:u w:val="single"/>
          <w:lang w:val="en-US"/>
        </w:rPr>
        <w:t>o-financing</w:t>
      </w:r>
    </w:p>
    <w:p w:rsidR="0072360F" w:rsidRPr="006B6241" w:rsidRDefault="0072360F" w:rsidP="00E22284">
      <w:pPr>
        <w:pStyle w:val="ListParagraph"/>
        <w:jc w:val="both"/>
        <w:rPr>
          <w:lang w:val="en-US"/>
        </w:rPr>
      </w:pPr>
    </w:p>
    <w:p w:rsidR="00AE02CE" w:rsidRPr="006B6241" w:rsidRDefault="00AE02CE" w:rsidP="00E22284">
      <w:pPr>
        <w:pStyle w:val="ListParagraph"/>
        <w:jc w:val="both"/>
      </w:pPr>
      <w:r w:rsidRPr="006B6241">
        <w:t xml:space="preserve">The proposed project will build on the planned and budgeted projects in the logistics industry in Zhejiang Province. These baseline projects are meant to improve the operational efficiency of the logistics industry in the province through system upgrades and consolidation of freight transport, which practically involves </w:t>
      </w:r>
      <w:r w:rsidRPr="006B6241">
        <w:lastRenderedPageBreak/>
        <w:t xml:space="preserve">mainly trucking of goods (raw materials and finished products) of the major industries in the Province (e.g., paper-making, communication equipment, mining, cement, building materials, metal smelting, etc.) to and from the international ports of Ningbo and Shanghai, and to other Chinese cities. While the idea of cost savings, environmental protection and operational efficiency improvement are among the driving force for Zhejiang </w:t>
      </w:r>
      <w:proofErr w:type="spellStart"/>
      <w:r w:rsidRPr="006B6241">
        <w:t>Fuyang</w:t>
      </w:r>
      <w:proofErr w:type="spellEnd"/>
      <w:r w:rsidRPr="006B6241">
        <w:t xml:space="preserve"> Green Logistics Platform program of the Provincial Government, due to lack of knowledge of green logistics techniques, the 2 logistics projects under this program are by and large still based on the traditional logistics model which does not take a holistic approach toward minimizing energy and environmental impacts at every stage of the logistics operations. With these, the full potential for energy savings, operational cost savings, and GHG emission reductions in the logistics industry will not be realized. </w:t>
      </w:r>
    </w:p>
    <w:p w:rsidR="00AE02CE" w:rsidRPr="006B6241" w:rsidRDefault="00AE02CE" w:rsidP="00E22284">
      <w:pPr>
        <w:pStyle w:val="ListParagraph"/>
        <w:jc w:val="both"/>
      </w:pPr>
    </w:p>
    <w:p w:rsidR="00AE02CE" w:rsidRPr="006B6241" w:rsidRDefault="00AE02CE" w:rsidP="00E22284">
      <w:pPr>
        <w:pStyle w:val="ListParagraph"/>
        <w:jc w:val="both"/>
        <w:rPr>
          <w:lang w:val="en-US"/>
        </w:rPr>
      </w:pPr>
      <w:r w:rsidRPr="006B6241">
        <w:t xml:space="preserve">For the effective showcasing and promotion of the application of the green logistics model, enhancements of the current design to incorporate green logistics features will be done through the removal of barriers associated with the lack of capacity and knowledge about the application, design, financing and operation of green logistics systems for the materials management and physical distribution operations in the provincial logistics industry. </w:t>
      </w:r>
      <w:r w:rsidR="0019020F" w:rsidRPr="006B6241">
        <w:t>Incremental s</w:t>
      </w:r>
      <w:r w:rsidRPr="006B6241">
        <w:t xml:space="preserve">upport activities </w:t>
      </w:r>
      <w:r w:rsidR="0019020F" w:rsidRPr="006B6241">
        <w:t xml:space="preserve">are necessary </w:t>
      </w:r>
      <w:r w:rsidRPr="006B6241">
        <w:t xml:space="preserve">to facilitate the demonstrations of the application of the energy-saving and environment conserving aspects of green logistics systems. For example, incremental activities that will focus on the incorporation of more cost-effective approaches to facilitate full utilization of river systems in </w:t>
      </w:r>
      <w:proofErr w:type="spellStart"/>
      <w:r w:rsidRPr="006B6241">
        <w:t>Fuyang</w:t>
      </w:r>
      <w:proofErr w:type="spellEnd"/>
      <w:r w:rsidRPr="006B6241">
        <w:t xml:space="preserve"> City and in the province for freight transport to reduce empty load rates of freight truck from the current 50% to at least 10% are required to realize freight transport energy savings and the associated GHG emission reduction. </w:t>
      </w:r>
      <w:r w:rsidR="00875548" w:rsidRPr="006B6241">
        <w:t>T</w:t>
      </w:r>
      <w:r w:rsidRPr="006B6241">
        <w:t>o encourage the major stakeholders in the logistics industry (government authorities, commercial establishments, and manufacturing industries) to support the establishment and operation green logistics infrastructures; and facilitate the cost effective utilization of such infrastructures and the enabling of green logistic systems</w:t>
      </w:r>
      <w:r w:rsidR="00875548" w:rsidRPr="006B6241">
        <w:t xml:space="preserve">, GEF support are necessary. Otherwise, without such incremental enabling activities the achievement of the anticipated alternative scenario in Zhejiang Province’s logistic industry will not be realized. </w:t>
      </w:r>
      <w:r w:rsidRPr="006B6241">
        <w:t>More importantly, incremental activities to establish and enforce policy and regulatory frameworks that are supportive (through effective institutional arrangements, financial/fiscal incentives, information sharing, etc.) will be necessary to sustain the application of green logistics systems in the logistics as well as the substantial sustainable development benefits that result from them.</w:t>
      </w:r>
    </w:p>
    <w:p w:rsidR="00AE02CE" w:rsidRPr="006B6241" w:rsidRDefault="00AE02CE" w:rsidP="00E22284">
      <w:pPr>
        <w:pStyle w:val="ListParagraph"/>
        <w:jc w:val="both"/>
        <w:rPr>
          <w:lang w:val="en-US"/>
        </w:rPr>
      </w:pPr>
    </w:p>
    <w:p w:rsidR="00AE357D" w:rsidRPr="006B6241" w:rsidRDefault="002E7BDF" w:rsidP="00E22284">
      <w:pPr>
        <w:pStyle w:val="ListParagraph"/>
        <w:jc w:val="both"/>
        <w:rPr>
          <w:lang w:val="en-US"/>
        </w:rPr>
      </w:pPr>
      <w:r w:rsidRPr="006B6241">
        <w:rPr>
          <w:lang w:val="en-US"/>
        </w:rPr>
        <w:t xml:space="preserve">Without GEF support for </w:t>
      </w:r>
      <w:r w:rsidR="004413DE" w:rsidRPr="006B6241">
        <w:rPr>
          <w:lang w:val="en-US"/>
        </w:rPr>
        <w:t xml:space="preserve">funding </w:t>
      </w:r>
      <w:r w:rsidRPr="006B6241">
        <w:rPr>
          <w:lang w:val="en-US"/>
        </w:rPr>
        <w:t xml:space="preserve">the incremental cost </w:t>
      </w:r>
      <w:r w:rsidR="004413DE" w:rsidRPr="006B6241">
        <w:rPr>
          <w:lang w:val="en-US"/>
        </w:rPr>
        <w:t>for</w:t>
      </w:r>
      <w:r w:rsidRPr="006B6241">
        <w:rPr>
          <w:lang w:val="en-US"/>
        </w:rPr>
        <w:t xml:space="preserve"> removing the barriers that this proposed project </w:t>
      </w:r>
      <w:r w:rsidR="004413DE" w:rsidRPr="006B6241">
        <w:rPr>
          <w:lang w:val="en-US"/>
        </w:rPr>
        <w:t>will address</w:t>
      </w:r>
      <w:r w:rsidRPr="006B6241">
        <w:rPr>
          <w:lang w:val="en-US"/>
        </w:rPr>
        <w:t xml:space="preserve">, the expected potential additional global environmental benefits (in terms of avoided CO2 emissions linked from the electricity </w:t>
      </w:r>
      <w:r w:rsidR="0043307D" w:rsidRPr="006B6241">
        <w:rPr>
          <w:lang w:val="en-US"/>
        </w:rPr>
        <w:t xml:space="preserve">and transport fuels </w:t>
      </w:r>
      <w:r w:rsidRPr="006B6241">
        <w:rPr>
          <w:lang w:val="en-US"/>
        </w:rPr>
        <w:t xml:space="preserve">that will be saved) would not be realized. Without this proposed project, </w:t>
      </w:r>
      <w:r w:rsidR="004413DE" w:rsidRPr="006B6241">
        <w:rPr>
          <w:lang w:val="en-US"/>
        </w:rPr>
        <w:t xml:space="preserve">China </w:t>
      </w:r>
      <w:r w:rsidRPr="006B6241">
        <w:rPr>
          <w:lang w:val="en-US"/>
        </w:rPr>
        <w:t xml:space="preserve">would have limited success in promoting </w:t>
      </w:r>
      <w:r w:rsidR="0043307D" w:rsidRPr="006B6241">
        <w:rPr>
          <w:lang w:val="en-US"/>
        </w:rPr>
        <w:t xml:space="preserve">energy efficient and environment friendly techniques and practices in an energy-intensive logistics industry (particularly freight transport), </w:t>
      </w:r>
      <w:r w:rsidR="007A1EED" w:rsidRPr="006B6241">
        <w:rPr>
          <w:lang w:val="en-US"/>
        </w:rPr>
        <w:t xml:space="preserve">and </w:t>
      </w:r>
      <w:r w:rsidR="0043307D" w:rsidRPr="006B6241">
        <w:rPr>
          <w:lang w:val="en-US"/>
        </w:rPr>
        <w:t xml:space="preserve">consequently </w:t>
      </w:r>
      <w:r w:rsidR="007A1EED" w:rsidRPr="006B6241">
        <w:rPr>
          <w:lang w:val="en-US"/>
        </w:rPr>
        <w:t xml:space="preserve">the potential </w:t>
      </w:r>
      <w:r w:rsidRPr="006B6241">
        <w:rPr>
          <w:lang w:val="en-US"/>
        </w:rPr>
        <w:t>contributi</w:t>
      </w:r>
      <w:r w:rsidR="007A1EED" w:rsidRPr="006B6241">
        <w:rPr>
          <w:lang w:val="en-US"/>
        </w:rPr>
        <w:t>on</w:t>
      </w:r>
      <w:r w:rsidRPr="006B6241">
        <w:rPr>
          <w:lang w:val="en-US"/>
        </w:rPr>
        <w:t xml:space="preserve"> to </w:t>
      </w:r>
      <w:r w:rsidR="0043307D" w:rsidRPr="006B6241">
        <w:rPr>
          <w:lang w:val="en-US"/>
        </w:rPr>
        <w:t xml:space="preserve">achieving </w:t>
      </w:r>
      <w:r w:rsidRPr="006B6241">
        <w:rPr>
          <w:lang w:val="en-US"/>
        </w:rPr>
        <w:t xml:space="preserve">the country’s </w:t>
      </w:r>
      <w:r w:rsidR="007A1EED" w:rsidRPr="006B6241">
        <w:rPr>
          <w:lang w:val="en-US"/>
        </w:rPr>
        <w:t>GHG emissions reduction targets will not be fully realized</w:t>
      </w:r>
      <w:r w:rsidRPr="006B6241">
        <w:rPr>
          <w:lang w:val="en-US"/>
        </w:rPr>
        <w:t xml:space="preserve">. With the GEF support for the incremental cost needed to create the much needed </w:t>
      </w:r>
      <w:r w:rsidR="0043307D" w:rsidRPr="006B6241">
        <w:rPr>
          <w:lang w:val="en-US"/>
        </w:rPr>
        <w:t xml:space="preserve">enabling conditions </w:t>
      </w:r>
      <w:r w:rsidRPr="006B6241">
        <w:rPr>
          <w:lang w:val="en-US"/>
        </w:rPr>
        <w:t xml:space="preserve">to remove the barriers that will in turn facilitate the </w:t>
      </w:r>
      <w:r w:rsidR="0043307D" w:rsidRPr="006B6241">
        <w:rPr>
          <w:lang w:val="en-US"/>
        </w:rPr>
        <w:t>widespread application of green logistics</w:t>
      </w:r>
      <w:r w:rsidRPr="006B6241">
        <w:rPr>
          <w:lang w:val="en-US"/>
        </w:rPr>
        <w:t xml:space="preserve">, and </w:t>
      </w:r>
      <w:r w:rsidR="0043307D" w:rsidRPr="006B6241">
        <w:rPr>
          <w:lang w:val="en-US"/>
        </w:rPr>
        <w:t xml:space="preserve">ultimately </w:t>
      </w:r>
      <w:r w:rsidRPr="006B6241">
        <w:rPr>
          <w:lang w:val="en-US"/>
        </w:rPr>
        <w:t xml:space="preserve">realize the expected global environmental benefits of reducing GHG emissions (from energy savings derived from the </w:t>
      </w:r>
      <w:r w:rsidR="0043307D" w:rsidRPr="006B6241">
        <w:rPr>
          <w:lang w:val="en-US"/>
        </w:rPr>
        <w:t>energy efficient materials management and physical distribution operations) in the country’s logistic industry</w:t>
      </w:r>
      <w:r w:rsidRPr="006B6241">
        <w:rPr>
          <w:lang w:val="en-US"/>
        </w:rPr>
        <w:t>.</w:t>
      </w:r>
    </w:p>
    <w:p w:rsidR="00AE357D" w:rsidRPr="006B6241" w:rsidRDefault="00AE357D" w:rsidP="00E22284">
      <w:pPr>
        <w:pStyle w:val="ListParagraph"/>
        <w:jc w:val="both"/>
        <w:rPr>
          <w:lang w:val="en-US"/>
        </w:rPr>
      </w:pPr>
    </w:p>
    <w:p w:rsidR="0072360F" w:rsidRPr="006B6241" w:rsidRDefault="0072360F" w:rsidP="00E22284">
      <w:pPr>
        <w:pStyle w:val="ListParagraph"/>
        <w:jc w:val="both"/>
        <w:rPr>
          <w:u w:val="single"/>
          <w:lang w:val="en-US"/>
        </w:rPr>
      </w:pPr>
      <w:r w:rsidRPr="006B6241">
        <w:rPr>
          <w:u w:val="single"/>
          <w:lang w:val="en-US"/>
        </w:rPr>
        <w:t>G</w:t>
      </w:r>
      <w:r w:rsidR="00693747" w:rsidRPr="006B6241">
        <w:rPr>
          <w:u w:val="single"/>
          <w:lang w:val="en-US"/>
        </w:rPr>
        <w:t xml:space="preserve">lobal </w:t>
      </w:r>
      <w:r w:rsidR="007E1681" w:rsidRPr="006B6241">
        <w:rPr>
          <w:u w:val="single"/>
          <w:lang w:val="en-US"/>
        </w:rPr>
        <w:t>E</w:t>
      </w:r>
      <w:r w:rsidR="00693747" w:rsidRPr="006B6241">
        <w:rPr>
          <w:u w:val="single"/>
          <w:lang w:val="en-US"/>
        </w:rPr>
        <w:t xml:space="preserve">nvironmental </w:t>
      </w:r>
      <w:r w:rsidR="007E1681" w:rsidRPr="006B6241">
        <w:rPr>
          <w:u w:val="single"/>
          <w:lang w:val="en-US"/>
        </w:rPr>
        <w:t>B</w:t>
      </w:r>
      <w:r w:rsidR="00693747" w:rsidRPr="006B6241">
        <w:rPr>
          <w:u w:val="single"/>
          <w:lang w:val="en-US"/>
        </w:rPr>
        <w:t>enefits</w:t>
      </w:r>
    </w:p>
    <w:p w:rsidR="0072360F" w:rsidRPr="006B6241" w:rsidRDefault="0072360F" w:rsidP="00E22284">
      <w:pPr>
        <w:pStyle w:val="ListParagraph"/>
        <w:jc w:val="both"/>
        <w:rPr>
          <w:lang w:val="en-US"/>
        </w:rPr>
      </w:pPr>
    </w:p>
    <w:p w:rsidR="001C3EDE" w:rsidRPr="006B6241" w:rsidRDefault="00AE02CE" w:rsidP="00E22284">
      <w:pPr>
        <w:pStyle w:val="ListParagraph"/>
        <w:jc w:val="both"/>
        <w:rPr>
          <w:vanish/>
          <w:szCs w:val="22"/>
        </w:rPr>
      </w:pPr>
      <w:r w:rsidRPr="006B6241">
        <w:t>Among the anticipated benefits from proposed GEF project are the following:</w:t>
      </w:r>
      <w:r w:rsidR="0043307D" w:rsidRPr="006B6241">
        <w:t xml:space="preserve"> (</w:t>
      </w:r>
      <w:r w:rsidR="00032601" w:rsidRPr="006B6241">
        <w:t>a</w:t>
      </w:r>
      <w:r w:rsidR="0043307D" w:rsidRPr="006B6241">
        <w:t xml:space="preserve">) </w:t>
      </w:r>
      <w:r w:rsidRPr="006B6241">
        <w:t xml:space="preserve">Reduction of Zhejiang Province’s freight truck empty load rates from 50% to 10%, which contribute to an estimated 10% reduction in </w:t>
      </w:r>
      <w:r w:rsidR="001C3EDE" w:rsidRPr="006B6241">
        <w:t>the approximately</w:t>
      </w:r>
      <w:r w:rsidR="00032601" w:rsidRPr="006B6241">
        <w:t xml:space="preserve"> </w:t>
      </w:r>
      <w:r w:rsidRPr="006B6241">
        <w:t>19 million tons of CO</w:t>
      </w:r>
      <w:r w:rsidRPr="006B6241">
        <w:rPr>
          <w:vertAlign w:val="subscript"/>
        </w:rPr>
        <w:t xml:space="preserve">2 </w:t>
      </w:r>
      <w:r w:rsidRPr="006B6241">
        <w:t xml:space="preserve">emissions from truck transport in Zhejiang </w:t>
      </w:r>
      <w:r w:rsidRPr="006B6241">
        <w:lastRenderedPageBreak/>
        <w:t>Province</w:t>
      </w:r>
      <w:r w:rsidR="00281E4C" w:rsidRPr="006B6241">
        <w:rPr>
          <w:rStyle w:val="FootnoteReference"/>
        </w:rPr>
        <w:footnoteReference w:id="15"/>
      </w:r>
      <w:r w:rsidR="001C3EDE" w:rsidRPr="006B6241">
        <w:t xml:space="preserve">; (b) </w:t>
      </w:r>
      <w:r w:rsidRPr="006B6241">
        <w:t>Increased utilization of more cost-effective and energy efficient water transport systems</w:t>
      </w:r>
      <w:r w:rsidR="001C3EDE" w:rsidRPr="006B6241">
        <w:t>; (c) D</w:t>
      </w:r>
      <w:r w:rsidRPr="006B6241">
        <w:t>irect energy savings from the application of energy efficiency technologies and practices in the materials handling/management activities of LSPs</w:t>
      </w:r>
      <w:r w:rsidR="001C3EDE" w:rsidRPr="006B6241">
        <w:t>; and, (</w:t>
      </w:r>
      <w:r w:rsidR="00032601" w:rsidRPr="006B6241">
        <w:t>d</w:t>
      </w:r>
      <w:r w:rsidR="001C3EDE" w:rsidRPr="006B6241">
        <w:t xml:space="preserve">) </w:t>
      </w:r>
      <w:r w:rsidRPr="006B6241">
        <w:t xml:space="preserve">Reduction of logistics costs </w:t>
      </w:r>
      <w:r w:rsidR="001C3EDE" w:rsidRPr="006B6241">
        <w:t xml:space="preserve">(half of which is on energy costs) </w:t>
      </w:r>
      <w:r w:rsidRPr="006B6241">
        <w:t xml:space="preserve">for </w:t>
      </w:r>
      <w:r w:rsidR="001C3EDE" w:rsidRPr="006B6241">
        <w:t xml:space="preserve">provincial </w:t>
      </w:r>
      <w:r w:rsidRPr="006B6241">
        <w:t>manufacturing industries by about 40% from the freight consolidation features of the new green logistics system</w:t>
      </w:r>
      <w:r w:rsidR="001C3EDE" w:rsidRPr="006B6241">
        <w:t>. Preliminary estimates place the potential energy savings from the implementation of the feasible and applicable features of the green logistics systems in the logistics industry in Zhejiang Province to a magnitude that will bring about a cumulative 10-year GHG emission reduction of about 19 million tons CO</w:t>
      </w:r>
      <w:r w:rsidR="001C3EDE" w:rsidRPr="006B6241">
        <w:rPr>
          <w:vertAlign w:val="subscript"/>
        </w:rPr>
        <w:t>2</w:t>
      </w:r>
      <w:r w:rsidR="001C3EDE" w:rsidRPr="006B6241">
        <w:t xml:space="preserve">. Examples of potential savings are: (a) Switching a truck route from Shanghai to ocean shipping, </w:t>
      </w:r>
      <w:r w:rsidR="00245088" w:rsidRPr="006B6241">
        <w:t xml:space="preserve">can potential </w:t>
      </w:r>
      <w:r w:rsidR="001C3EDE" w:rsidRPr="006B6241">
        <w:t>save nearly half the costs and 52% of emissions; and, (b) Increasing container utili</w:t>
      </w:r>
      <w:r w:rsidR="00245088" w:rsidRPr="006B6241">
        <w:t>z</w:t>
      </w:r>
      <w:r w:rsidR="001C3EDE" w:rsidRPr="006B6241">
        <w:t xml:space="preserve">ation, improving from 58% to 75%, </w:t>
      </w:r>
      <w:r w:rsidR="00245088" w:rsidRPr="006B6241">
        <w:t>can bring</w:t>
      </w:r>
      <w:r w:rsidR="001C3EDE" w:rsidRPr="006B6241">
        <w:t xml:space="preserve"> costs benefits as well as a 15% savings in CO</w:t>
      </w:r>
      <w:r w:rsidR="001C3EDE" w:rsidRPr="006B6241">
        <w:rPr>
          <w:vertAlign w:val="subscript"/>
        </w:rPr>
        <w:t>2</w:t>
      </w:r>
      <w:r w:rsidR="00245088" w:rsidRPr="006B6241">
        <w:t xml:space="preserve"> emissions</w:t>
      </w:r>
    </w:p>
    <w:p w:rsidR="001C3EDE" w:rsidRPr="006B6241" w:rsidRDefault="001C3EDE" w:rsidP="00E22284">
      <w:pPr>
        <w:pStyle w:val="ListParagraph"/>
        <w:numPr>
          <w:ilvl w:val="0"/>
          <w:numId w:val="38"/>
        </w:numPr>
        <w:jc w:val="both"/>
        <w:rPr>
          <w:vanish/>
          <w:szCs w:val="22"/>
        </w:rPr>
      </w:pPr>
    </w:p>
    <w:p w:rsidR="001C3EDE" w:rsidRPr="006B6241" w:rsidRDefault="001C3EDE" w:rsidP="00E22284">
      <w:pPr>
        <w:pStyle w:val="ListParagraph"/>
        <w:jc w:val="both"/>
        <w:rPr>
          <w:lang w:val="en-US"/>
        </w:rPr>
      </w:pPr>
      <w:r w:rsidRPr="006B6241">
        <w:t>.</w:t>
      </w:r>
    </w:p>
    <w:p w:rsidR="00AE02CE" w:rsidRPr="006B6241" w:rsidRDefault="00AE02CE" w:rsidP="00E22284">
      <w:pPr>
        <w:pStyle w:val="ListParagraph"/>
        <w:jc w:val="both"/>
      </w:pPr>
    </w:p>
    <w:p w:rsidR="00141E2A" w:rsidRPr="006B6241" w:rsidRDefault="00061D1D" w:rsidP="00E22284">
      <w:pPr>
        <w:pStyle w:val="ListParagraph"/>
        <w:jc w:val="both"/>
        <w:rPr>
          <w:lang w:val="en-US"/>
        </w:rPr>
      </w:pPr>
      <w:r w:rsidRPr="006B6241">
        <w:t xml:space="preserve">Considering the estimated potential CO2 emission reduction, and the estimated GEF funding resulting estimated </w:t>
      </w:r>
      <w:r w:rsidR="00785E78" w:rsidRPr="006B6241">
        <w:rPr>
          <w:lang w:val="en-US"/>
        </w:rPr>
        <w:t xml:space="preserve">unit abatement cost (UAC) </w:t>
      </w:r>
      <w:r w:rsidRPr="006B6241">
        <w:rPr>
          <w:lang w:val="en-US"/>
        </w:rPr>
        <w:t xml:space="preserve">would be </w:t>
      </w:r>
      <w:r w:rsidR="00785E78" w:rsidRPr="006B6241">
        <w:rPr>
          <w:lang w:val="en-US"/>
        </w:rPr>
        <w:t xml:space="preserve">about US$ </w:t>
      </w:r>
      <w:r w:rsidR="009B7F48" w:rsidRPr="006B6241">
        <w:rPr>
          <w:lang w:val="en-US" w:eastAsia="zh-CN"/>
        </w:rPr>
        <w:t>0.</w:t>
      </w:r>
      <w:r w:rsidRPr="006B6241">
        <w:rPr>
          <w:lang w:val="en-US" w:eastAsia="zh-CN"/>
        </w:rPr>
        <w:t>16</w:t>
      </w:r>
      <w:r w:rsidR="00785E78" w:rsidRPr="006B6241">
        <w:rPr>
          <w:lang w:val="en-US"/>
        </w:rPr>
        <w:t>/ton CO2 (i.e., GEF$ per ton CO2). This measure of the project’s cost effectiveness (i.e., UAC) will be tracked using a monitoring and evaluation system that the proposed project will be developed during the project. This UAC figure will be regularly re-evaluated and updated during the project implementation particularly in quantifying the potential energy savings from projected replications, and in coming up with the CO2 emission reduction estimates</w:t>
      </w:r>
      <w:r w:rsidR="00141E2A" w:rsidRPr="006B6241">
        <w:rPr>
          <w:lang w:val="en-US"/>
        </w:rPr>
        <w:t xml:space="preserve">. </w:t>
      </w:r>
    </w:p>
    <w:p w:rsidR="00141E2A" w:rsidRPr="006B6241" w:rsidRDefault="00141E2A" w:rsidP="00E22284">
      <w:pPr>
        <w:pStyle w:val="ListParagraph"/>
        <w:jc w:val="both"/>
        <w:rPr>
          <w:lang w:val="en-US"/>
        </w:rPr>
      </w:pPr>
    </w:p>
    <w:p w:rsidR="00141E2A" w:rsidRPr="006B6241" w:rsidRDefault="00141E2A" w:rsidP="00E22284">
      <w:pPr>
        <w:pStyle w:val="ListParagraph"/>
        <w:jc w:val="both"/>
        <w:rPr>
          <w:lang w:val="en-US"/>
        </w:rPr>
      </w:pPr>
      <w:r w:rsidRPr="006B6241">
        <w:rPr>
          <w:u w:val="single"/>
          <w:lang w:val="en-US"/>
        </w:rPr>
        <w:t>Innovativeness, Sustainability and Potential for Scaling-up</w:t>
      </w:r>
    </w:p>
    <w:p w:rsidR="00141E2A" w:rsidRPr="006B6241" w:rsidRDefault="00141E2A" w:rsidP="00E22284">
      <w:pPr>
        <w:pStyle w:val="ListParagraph"/>
        <w:jc w:val="both"/>
        <w:rPr>
          <w:lang w:val="en-US"/>
        </w:rPr>
      </w:pPr>
    </w:p>
    <w:p w:rsidR="00785E78" w:rsidRPr="006B6241" w:rsidRDefault="00800089" w:rsidP="00E22284">
      <w:pPr>
        <w:pStyle w:val="ListParagraph"/>
        <w:jc w:val="both"/>
        <w:rPr>
          <w:lang w:val="en-US"/>
        </w:rPr>
      </w:pPr>
      <w:r w:rsidRPr="006B6241">
        <w:rPr>
          <w:lang w:val="en-US"/>
        </w:rPr>
        <w:t xml:space="preserve">A </w:t>
      </w:r>
      <w:r w:rsidR="00061D1D" w:rsidRPr="006B6241">
        <w:rPr>
          <w:lang w:val="en-US"/>
        </w:rPr>
        <w:t xml:space="preserve">project </w:t>
      </w:r>
      <w:r w:rsidR="00C37573" w:rsidRPr="006B6241">
        <w:rPr>
          <w:lang w:val="en-US"/>
        </w:rPr>
        <w:t xml:space="preserve">on enabling and facilitating improvements in the energy utilization performance </w:t>
      </w:r>
      <w:r w:rsidR="00061D1D" w:rsidRPr="006B6241">
        <w:rPr>
          <w:lang w:val="en-US"/>
        </w:rPr>
        <w:t xml:space="preserve">the logistics industry, particularly in a </w:t>
      </w:r>
      <w:r w:rsidR="00C37573" w:rsidRPr="006B6241">
        <w:rPr>
          <w:lang w:val="en-US"/>
        </w:rPr>
        <w:t xml:space="preserve">rapidly growing economy like China </w:t>
      </w:r>
      <w:r w:rsidR="00061D1D" w:rsidRPr="006B6241">
        <w:rPr>
          <w:lang w:val="en-US"/>
        </w:rPr>
        <w:t xml:space="preserve">is something that </w:t>
      </w:r>
      <w:r w:rsidR="00C37573" w:rsidRPr="006B6241">
        <w:rPr>
          <w:lang w:val="en-US"/>
        </w:rPr>
        <w:t xml:space="preserve">is </w:t>
      </w:r>
      <w:r w:rsidRPr="006B6241">
        <w:rPr>
          <w:lang w:val="en-US"/>
        </w:rPr>
        <w:t>clearly innovative</w:t>
      </w:r>
      <w:r w:rsidR="00C37573" w:rsidRPr="006B6241">
        <w:rPr>
          <w:lang w:val="en-US"/>
        </w:rPr>
        <w:t xml:space="preserve">. While there have been initiatives in improving the energy efficiency of land freight transport systems (i.e., trucking) in the country, schemes that will promote and enable the wide scale utilization of available and feasible alternative freight transport systems (mainly the more energy efficient water transport systems) would be something worth addressing. Moreover, the </w:t>
      </w:r>
      <w:r w:rsidR="005F7E7D" w:rsidRPr="006B6241">
        <w:rPr>
          <w:lang w:val="en-US"/>
        </w:rPr>
        <w:t xml:space="preserve">promotion of </w:t>
      </w:r>
      <w:r w:rsidR="00C37573" w:rsidRPr="006B6241">
        <w:rPr>
          <w:lang w:val="en-US"/>
        </w:rPr>
        <w:t xml:space="preserve">energy efficient and energy conserving operations in materials management (e.g., packaging, warehousing, cold storage, waste management) </w:t>
      </w:r>
      <w:r w:rsidR="005F7E7D" w:rsidRPr="006B6241">
        <w:rPr>
          <w:lang w:val="en-US"/>
        </w:rPr>
        <w:t xml:space="preserve">in the logistics industry is also an innovative feature of such kind of project </w:t>
      </w:r>
      <w:r w:rsidRPr="006B6241">
        <w:rPr>
          <w:lang w:val="en-US"/>
        </w:rPr>
        <w:t xml:space="preserve">in China. </w:t>
      </w:r>
      <w:r w:rsidR="007C76C9" w:rsidRPr="006B6241">
        <w:rPr>
          <w:lang w:val="en-US"/>
        </w:rPr>
        <w:t xml:space="preserve">In its desire to reduce operational costs in an environment friendly manner, Zhejiang Province (and particularly </w:t>
      </w:r>
      <w:proofErr w:type="spellStart"/>
      <w:r w:rsidR="007C76C9" w:rsidRPr="006B6241">
        <w:rPr>
          <w:lang w:val="en-US"/>
        </w:rPr>
        <w:t>Fuyang</w:t>
      </w:r>
      <w:proofErr w:type="spellEnd"/>
      <w:r w:rsidR="007C76C9" w:rsidRPr="006B6241">
        <w:rPr>
          <w:lang w:val="en-US"/>
        </w:rPr>
        <w:t xml:space="preserve"> City) has embarked on a plan to apply green logistics in the operations of its logistics industry. </w:t>
      </w:r>
      <w:r w:rsidR="005F7E7D" w:rsidRPr="006B6241">
        <w:rPr>
          <w:lang w:val="en-US"/>
        </w:rPr>
        <w:t xml:space="preserve">However, the province in confronted with </w:t>
      </w:r>
      <w:r w:rsidR="0071197A" w:rsidRPr="006B6241">
        <w:rPr>
          <w:lang w:val="en-US"/>
        </w:rPr>
        <w:t xml:space="preserve">barriers </w:t>
      </w:r>
      <w:r w:rsidR="005F7E7D" w:rsidRPr="006B6241">
        <w:rPr>
          <w:lang w:val="en-US"/>
        </w:rPr>
        <w:t xml:space="preserve">that hinder them in applying such techniques and practices and in realizing their expectations of cost savings and low carbon footprint operations. Such barriers </w:t>
      </w:r>
      <w:r w:rsidR="0071197A" w:rsidRPr="006B6241">
        <w:rPr>
          <w:lang w:val="en-US"/>
        </w:rPr>
        <w:t xml:space="preserve">need to be addressed in an integrated manner to </w:t>
      </w:r>
      <w:r w:rsidR="00141E2A" w:rsidRPr="006B6241">
        <w:rPr>
          <w:lang w:val="en-US"/>
        </w:rPr>
        <w:t>help pave the way for a rather very promising development</w:t>
      </w:r>
      <w:r w:rsidR="005F7E7D" w:rsidRPr="006B6241">
        <w:rPr>
          <w:lang w:val="en-US"/>
        </w:rPr>
        <w:t xml:space="preserve"> in the province’s logistic industry</w:t>
      </w:r>
      <w:r w:rsidR="00141E2A" w:rsidRPr="006B6241">
        <w:rPr>
          <w:lang w:val="en-US"/>
        </w:rPr>
        <w:t xml:space="preserve">. </w:t>
      </w:r>
      <w:r w:rsidR="00997553" w:rsidRPr="006B6241">
        <w:rPr>
          <w:lang w:val="en-US" w:eastAsia="zh-CN"/>
        </w:rPr>
        <w:t>T</w:t>
      </w:r>
      <w:r w:rsidR="00141E2A" w:rsidRPr="006B6241">
        <w:rPr>
          <w:lang w:val="en-US"/>
        </w:rPr>
        <w:t xml:space="preserve">he potential for a wider application of </w:t>
      </w:r>
      <w:r w:rsidR="005F7E7D" w:rsidRPr="006B6241">
        <w:rPr>
          <w:lang w:val="en-US"/>
        </w:rPr>
        <w:t xml:space="preserve">green logistics </w:t>
      </w:r>
      <w:r w:rsidR="00141E2A" w:rsidRPr="006B6241">
        <w:rPr>
          <w:lang w:val="en-US"/>
        </w:rPr>
        <w:t>is quite high</w:t>
      </w:r>
      <w:r w:rsidR="00997553" w:rsidRPr="006B6241">
        <w:rPr>
          <w:lang w:val="en-US" w:eastAsia="zh-CN"/>
        </w:rPr>
        <w:t xml:space="preserve">, </w:t>
      </w:r>
      <w:r w:rsidR="005F7E7D" w:rsidRPr="006B6241">
        <w:rPr>
          <w:lang w:val="en-US" w:eastAsia="zh-CN"/>
        </w:rPr>
        <w:t xml:space="preserve">considering what seems to be an ever growing domestic and foreign </w:t>
      </w:r>
      <w:r w:rsidR="007D3E3B" w:rsidRPr="006B6241">
        <w:rPr>
          <w:lang w:val="en-US" w:eastAsia="zh-CN"/>
        </w:rPr>
        <w:t xml:space="preserve">trade. </w:t>
      </w:r>
      <w:r w:rsidR="00141E2A" w:rsidRPr="006B6241">
        <w:rPr>
          <w:lang w:val="en-US"/>
        </w:rPr>
        <w:t xml:space="preserve">The activities that will be carried out under this proposed project are barrier removal in nature. To ensure avoidance of the recurrence of the barriers and the continuance of the enabling environments that will be created and/or facilitated by the project, appropriate sustainable follow-up actions will be planned as part of the project activities. Such action plan will be implemented after the project as per the institutional arrangements that will be developed for such purpose. In addition, the removal of barriers and the effective and seamless implementation of the procedures and regulatory/policy and institutional frameworks that will be established will surely influence the scaling-up of the project, e.g., to </w:t>
      </w:r>
      <w:r w:rsidR="007D3E3B" w:rsidRPr="006B6241">
        <w:rPr>
          <w:lang w:val="en-US"/>
        </w:rPr>
        <w:t>carry out the same interventions in other provinces particularly those with a large logistics industry</w:t>
      </w:r>
      <w:r w:rsidR="00141E2A" w:rsidRPr="006B6241">
        <w:rPr>
          <w:lang w:val="en-US"/>
        </w:rPr>
        <w:t>.</w:t>
      </w:r>
    </w:p>
    <w:p w:rsidR="00252A00" w:rsidRPr="006B6241" w:rsidRDefault="00252A00" w:rsidP="00E22284">
      <w:pPr>
        <w:pStyle w:val="ListParagraph"/>
        <w:jc w:val="both"/>
        <w:rPr>
          <w:lang w:val="en-US"/>
        </w:rPr>
      </w:pPr>
    </w:p>
    <w:p w:rsidR="00870816" w:rsidRPr="006B6241" w:rsidRDefault="00870816" w:rsidP="00E22284">
      <w:pPr>
        <w:jc w:val="both"/>
        <w:outlineLvl w:val="0"/>
        <w:rPr>
          <w:sz w:val="22"/>
          <w:szCs w:val="22"/>
        </w:rPr>
      </w:pPr>
      <w:r w:rsidRPr="006B6241">
        <w:rPr>
          <w:b/>
          <w:sz w:val="22"/>
          <w:szCs w:val="22"/>
        </w:rPr>
        <w:t xml:space="preserve">A.2. </w:t>
      </w:r>
      <w:r w:rsidR="008857BF" w:rsidRPr="006B6241">
        <w:rPr>
          <w:b/>
          <w:sz w:val="22"/>
          <w:szCs w:val="22"/>
        </w:rPr>
        <w:t>Stakeholders</w:t>
      </w:r>
      <w:r w:rsidR="00375D58" w:rsidRPr="006B6241">
        <w:rPr>
          <w:sz w:val="22"/>
          <w:szCs w:val="22"/>
        </w:rPr>
        <w:t>:</w:t>
      </w:r>
      <w:r w:rsidR="008857BF" w:rsidRPr="006B6241">
        <w:rPr>
          <w:sz w:val="22"/>
          <w:szCs w:val="22"/>
        </w:rPr>
        <w:t xml:space="preserve"> </w:t>
      </w:r>
    </w:p>
    <w:p w:rsidR="006F289E" w:rsidRPr="006B6241" w:rsidRDefault="006F289E" w:rsidP="00E22284">
      <w:pPr>
        <w:jc w:val="both"/>
        <w:outlineLvl w:val="0"/>
        <w:rPr>
          <w:sz w:val="22"/>
          <w:szCs w:val="22"/>
        </w:rPr>
      </w:pPr>
    </w:p>
    <w:p w:rsidR="00430868" w:rsidRPr="006B6241" w:rsidRDefault="00430868" w:rsidP="00E22284">
      <w:pPr>
        <w:jc w:val="both"/>
        <w:outlineLvl w:val="0"/>
        <w:rPr>
          <w:sz w:val="22"/>
          <w:szCs w:val="22"/>
        </w:rPr>
      </w:pPr>
      <w:r w:rsidRPr="006B6241">
        <w:rPr>
          <w:sz w:val="22"/>
          <w:szCs w:val="22"/>
        </w:rPr>
        <w:t>The following table lists the key stakeholders of the project and their roles and responsibilities in the design and preparation of the proposed project:</w:t>
      </w:r>
    </w:p>
    <w:p w:rsidR="00430868" w:rsidRPr="006B6241" w:rsidRDefault="00430868" w:rsidP="00E22284">
      <w:pPr>
        <w:jc w:val="both"/>
        <w:outlineLv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6228"/>
      </w:tblGrid>
      <w:tr w:rsidR="008228CC" w:rsidRPr="006B6241" w:rsidTr="00E540D0">
        <w:tc>
          <w:tcPr>
            <w:tcW w:w="3348" w:type="dxa"/>
            <w:shd w:val="clear" w:color="auto" w:fill="auto"/>
            <w:vAlign w:val="center"/>
          </w:tcPr>
          <w:p w:rsidR="008228CC" w:rsidRPr="006B6241" w:rsidRDefault="008228CC" w:rsidP="00F42186">
            <w:pPr>
              <w:jc w:val="center"/>
              <w:outlineLvl w:val="0"/>
              <w:rPr>
                <w:b/>
                <w:sz w:val="22"/>
                <w:szCs w:val="22"/>
              </w:rPr>
            </w:pPr>
            <w:r w:rsidRPr="006B6241">
              <w:rPr>
                <w:b/>
                <w:sz w:val="22"/>
                <w:szCs w:val="22"/>
              </w:rPr>
              <w:t>Stakeholder</w:t>
            </w:r>
          </w:p>
        </w:tc>
        <w:tc>
          <w:tcPr>
            <w:tcW w:w="6228" w:type="dxa"/>
            <w:shd w:val="clear" w:color="auto" w:fill="auto"/>
            <w:vAlign w:val="center"/>
          </w:tcPr>
          <w:p w:rsidR="008228CC" w:rsidRPr="006B6241" w:rsidRDefault="008228CC" w:rsidP="00F42186">
            <w:pPr>
              <w:jc w:val="center"/>
              <w:outlineLvl w:val="0"/>
              <w:rPr>
                <w:b/>
                <w:sz w:val="22"/>
                <w:szCs w:val="22"/>
              </w:rPr>
            </w:pPr>
            <w:r w:rsidRPr="006B6241">
              <w:rPr>
                <w:b/>
                <w:sz w:val="22"/>
                <w:szCs w:val="22"/>
              </w:rPr>
              <w:t>Roles and Responsibilities in Project</w:t>
            </w:r>
            <w:r w:rsidR="00F42186" w:rsidRPr="006B6241">
              <w:rPr>
                <w:b/>
                <w:sz w:val="22"/>
                <w:szCs w:val="22"/>
              </w:rPr>
              <w:t xml:space="preserve"> Preparation</w:t>
            </w:r>
          </w:p>
        </w:tc>
      </w:tr>
      <w:tr w:rsidR="008228CC" w:rsidRPr="006B6241" w:rsidTr="00E540D0">
        <w:tc>
          <w:tcPr>
            <w:tcW w:w="3348" w:type="dxa"/>
            <w:shd w:val="clear" w:color="auto" w:fill="auto"/>
          </w:tcPr>
          <w:p w:rsidR="008228CC" w:rsidRPr="006B6241" w:rsidRDefault="007D3E3B" w:rsidP="007D3E3B">
            <w:pPr>
              <w:outlineLvl w:val="0"/>
              <w:rPr>
                <w:sz w:val="22"/>
                <w:szCs w:val="22"/>
              </w:rPr>
            </w:pPr>
            <w:r w:rsidRPr="006B6241">
              <w:rPr>
                <w:sz w:val="22"/>
                <w:szCs w:val="22"/>
              </w:rPr>
              <w:t>Zhejiang Provincial Government</w:t>
            </w:r>
            <w:r w:rsidR="00F422DC" w:rsidRPr="006B6241">
              <w:rPr>
                <w:sz w:val="22"/>
                <w:szCs w:val="22"/>
              </w:rPr>
              <w:t xml:space="preserve"> (Zhejiang Provincial Development and Reform Commission)</w:t>
            </w:r>
            <w:r w:rsidR="00F422DC" w:rsidRPr="006B6241">
              <w:rPr>
                <w:rStyle w:val="FootnoteReference"/>
                <w:sz w:val="22"/>
                <w:szCs w:val="22"/>
              </w:rPr>
              <w:footnoteReference w:id="16"/>
            </w:r>
          </w:p>
        </w:tc>
        <w:tc>
          <w:tcPr>
            <w:tcW w:w="6228" w:type="dxa"/>
            <w:shd w:val="clear" w:color="auto" w:fill="auto"/>
          </w:tcPr>
          <w:p w:rsidR="008228CC" w:rsidRPr="006B6241" w:rsidRDefault="008228CC" w:rsidP="007019C5">
            <w:pPr>
              <w:outlineLvl w:val="0"/>
              <w:rPr>
                <w:sz w:val="22"/>
                <w:szCs w:val="22"/>
              </w:rPr>
            </w:pPr>
            <w:r w:rsidRPr="006B6241">
              <w:rPr>
                <w:sz w:val="22"/>
                <w:szCs w:val="22"/>
              </w:rPr>
              <w:t>Responsible for communication and coordination with MOF and UNDP, liaison with local government</w:t>
            </w:r>
            <w:r w:rsidR="007019C5" w:rsidRPr="006B6241">
              <w:rPr>
                <w:sz w:val="22"/>
                <w:szCs w:val="22"/>
              </w:rPr>
              <w:t>s</w:t>
            </w:r>
            <w:r w:rsidRPr="006B6241">
              <w:rPr>
                <w:sz w:val="22"/>
                <w:szCs w:val="22"/>
              </w:rPr>
              <w:t xml:space="preserve">, project </w:t>
            </w:r>
            <w:r w:rsidR="007019C5" w:rsidRPr="006B6241">
              <w:rPr>
                <w:sz w:val="22"/>
                <w:szCs w:val="22"/>
              </w:rPr>
              <w:t>development management</w:t>
            </w:r>
            <w:r w:rsidRPr="006B6241">
              <w:rPr>
                <w:sz w:val="22"/>
                <w:szCs w:val="22"/>
              </w:rPr>
              <w:t>,</w:t>
            </w:r>
            <w:r w:rsidR="007019C5" w:rsidRPr="006B6241">
              <w:rPr>
                <w:sz w:val="22"/>
                <w:szCs w:val="22"/>
              </w:rPr>
              <w:t xml:space="preserve"> and project development </w:t>
            </w:r>
            <w:r w:rsidRPr="006B6241">
              <w:rPr>
                <w:sz w:val="22"/>
                <w:szCs w:val="22"/>
              </w:rPr>
              <w:t>financial management.</w:t>
            </w:r>
          </w:p>
        </w:tc>
      </w:tr>
      <w:tr w:rsidR="008228CC" w:rsidRPr="006B6241" w:rsidTr="00E540D0">
        <w:tc>
          <w:tcPr>
            <w:tcW w:w="3348" w:type="dxa"/>
            <w:shd w:val="clear" w:color="auto" w:fill="auto"/>
          </w:tcPr>
          <w:p w:rsidR="008228CC" w:rsidRPr="006B6241" w:rsidRDefault="007D3E3B" w:rsidP="007D3E3B">
            <w:pPr>
              <w:outlineLvl w:val="0"/>
              <w:rPr>
                <w:sz w:val="22"/>
                <w:szCs w:val="22"/>
              </w:rPr>
            </w:pPr>
            <w:proofErr w:type="spellStart"/>
            <w:r w:rsidRPr="006B6241">
              <w:rPr>
                <w:sz w:val="22"/>
                <w:szCs w:val="22"/>
              </w:rPr>
              <w:t>Fuyang</w:t>
            </w:r>
            <w:proofErr w:type="spellEnd"/>
            <w:r w:rsidRPr="006B6241">
              <w:rPr>
                <w:sz w:val="22"/>
                <w:szCs w:val="22"/>
              </w:rPr>
              <w:t xml:space="preserve"> City Government</w:t>
            </w:r>
          </w:p>
        </w:tc>
        <w:tc>
          <w:tcPr>
            <w:tcW w:w="6228" w:type="dxa"/>
            <w:shd w:val="clear" w:color="auto" w:fill="auto"/>
          </w:tcPr>
          <w:p w:rsidR="008228CC" w:rsidRPr="006B6241" w:rsidRDefault="00065775" w:rsidP="00961ED9">
            <w:pPr>
              <w:outlineLvl w:val="0"/>
              <w:rPr>
                <w:sz w:val="22"/>
                <w:szCs w:val="22"/>
              </w:rPr>
            </w:pPr>
            <w:r w:rsidRPr="006B6241">
              <w:rPr>
                <w:sz w:val="22"/>
                <w:szCs w:val="22"/>
              </w:rPr>
              <w:t>Provision of a</w:t>
            </w:r>
            <w:r w:rsidR="008228CC" w:rsidRPr="006B6241">
              <w:rPr>
                <w:sz w:val="22"/>
                <w:szCs w:val="22"/>
              </w:rPr>
              <w:t xml:space="preserve">ssistance in the </w:t>
            </w:r>
            <w:r w:rsidRPr="006B6241">
              <w:rPr>
                <w:sz w:val="22"/>
                <w:szCs w:val="22"/>
              </w:rPr>
              <w:t xml:space="preserve">identification and design of </w:t>
            </w:r>
            <w:r w:rsidR="008228CC" w:rsidRPr="006B6241">
              <w:rPr>
                <w:sz w:val="22"/>
                <w:szCs w:val="22"/>
              </w:rPr>
              <w:t>demonstration</w:t>
            </w:r>
            <w:r w:rsidRPr="006B6241">
              <w:rPr>
                <w:sz w:val="22"/>
                <w:szCs w:val="22"/>
              </w:rPr>
              <w:t xml:space="preserve">s for the </w:t>
            </w:r>
            <w:r w:rsidR="00961ED9" w:rsidRPr="006B6241">
              <w:rPr>
                <w:sz w:val="22"/>
                <w:szCs w:val="22"/>
              </w:rPr>
              <w:t xml:space="preserve">application of green logistics technologies, techniques and practices in logistics operations in </w:t>
            </w:r>
            <w:proofErr w:type="spellStart"/>
            <w:r w:rsidR="00961ED9" w:rsidRPr="006B6241">
              <w:rPr>
                <w:sz w:val="22"/>
                <w:szCs w:val="22"/>
              </w:rPr>
              <w:t>Fuyang</w:t>
            </w:r>
            <w:proofErr w:type="spellEnd"/>
            <w:r w:rsidR="00961ED9" w:rsidRPr="006B6241">
              <w:rPr>
                <w:sz w:val="22"/>
                <w:szCs w:val="22"/>
              </w:rPr>
              <w:t xml:space="preserve"> City</w:t>
            </w:r>
          </w:p>
        </w:tc>
      </w:tr>
      <w:tr w:rsidR="00961ED9" w:rsidRPr="006B6241" w:rsidTr="00A30A17">
        <w:tc>
          <w:tcPr>
            <w:tcW w:w="3348" w:type="dxa"/>
            <w:shd w:val="clear" w:color="auto" w:fill="auto"/>
            <w:vAlign w:val="center"/>
          </w:tcPr>
          <w:p w:rsidR="00961ED9" w:rsidRPr="006B6241" w:rsidRDefault="00961ED9" w:rsidP="00A30A17">
            <w:pPr>
              <w:rPr>
                <w:sz w:val="22"/>
                <w:szCs w:val="22"/>
              </w:rPr>
            </w:pPr>
            <w:r w:rsidRPr="006B6241">
              <w:rPr>
                <w:sz w:val="22"/>
                <w:szCs w:val="22"/>
              </w:rPr>
              <w:t xml:space="preserve">Hangzhou </w:t>
            </w:r>
            <w:proofErr w:type="spellStart"/>
            <w:r w:rsidRPr="006B6241">
              <w:rPr>
                <w:sz w:val="22"/>
                <w:szCs w:val="22"/>
              </w:rPr>
              <w:t>Fuyang</w:t>
            </w:r>
            <w:proofErr w:type="spellEnd"/>
            <w:r w:rsidRPr="006B6241">
              <w:rPr>
                <w:sz w:val="22"/>
                <w:szCs w:val="22"/>
              </w:rPr>
              <w:t xml:space="preserve"> </w:t>
            </w:r>
            <w:proofErr w:type="spellStart"/>
            <w:r w:rsidRPr="006B6241">
              <w:rPr>
                <w:sz w:val="22"/>
                <w:szCs w:val="22"/>
              </w:rPr>
              <w:t>Chuanhua</w:t>
            </w:r>
            <w:proofErr w:type="spellEnd"/>
            <w:r w:rsidRPr="006B6241">
              <w:rPr>
                <w:sz w:val="22"/>
                <w:szCs w:val="22"/>
              </w:rPr>
              <w:t xml:space="preserve"> Logistics Base Co. Ltd.</w:t>
            </w:r>
          </w:p>
        </w:tc>
        <w:tc>
          <w:tcPr>
            <w:tcW w:w="6228" w:type="dxa"/>
            <w:shd w:val="clear" w:color="auto" w:fill="auto"/>
          </w:tcPr>
          <w:p w:rsidR="00961ED9" w:rsidRPr="006B6241" w:rsidRDefault="00961ED9" w:rsidP="00961ED9">
            <w:pPr>
              <w:outlineLvl w:val="0"/>
              <w:rPr>
                <w:sz w:val="22"/>
                <w:szCs w:val="22"/>
              </w:rPr>
            </w:pPr>
            <w:r w:rsidRPr="006B6241">
              <w:rPr>
                <w:sz w:val="22"/>
                <w:szCs w:val="22"/>
              </w:rPr>
              <w:t>Design of activities on the demonstration of green logistics in physical distribution operations</w:t>
            </w:r>
          </w:p>
        </w:tc>
      </w:tr>
      <w:tr w:rsidR="00961ED9" w:rsidRPr="006B6241" w:rsidTr="00A30A17">
        <w:tc>
          <w:tcPr>
            <w:tcW w:w="3348" w:type="dxa"/>
            <w:shd w:val="clear" w:color="auto" w:fill="auto"/>
            <w:vAlign w:val="center"/>
          </w:tcPr>
          <w:p w:rsidR="00961ED9" w:rsidRPr="006B6241" w:rsidRDefault="00961ED9" w:rsidP="00A30A17">
            <w:pPr>
              <w:rPr>
                <w:sz w:val="22"/>
                <w:szCs w:val="22"/>
              </w:rPr>
            </w:pPr>
            <w:r w:rsidRPr="006B6241">
              <w:rPr>
                <w:sz w:val="22"/>
                <w:szCs w:val="22"/>
              </w:rPr>
              <w:t xml:space="preserve">Zhejiang </w:t>
            </w:r>
            <w:proofErr w:type="spellStart"/>
            <w:r w:rsidRPr="006B6241">
              <w:rPr>
                <w:sz w:val="22"/>
                <w:szCs w:val="22"/>
              </w:rPr>
              <w:t>Fuyangkouan</w:t>
            </w:r>
            <w:proofErr w:type="spellEnd"/>
            <w:r w:rsidRPr="006B6241">
              <w:rPr>
                <w:sz w:val="22"/>
                <w:szCs w:val="22"/>
              </w:rPr>
              <w:t xml:space="preserve"> International Logistics Co. Ltd.</w:t>
            </w:r>
          </w:p>
        </w:tc>
        <w:tc>
          <w:tcPr>
            <w:tcW w:w="6228" w:type="dxa"/>
            <w:shd w:val="clear" w:color="auto" w:fill="auto"/>
          </w:tcPr>
          <w:p w:rsidR="00961ED9" w:rsidRPr="006B6241" w:rsidRDefault="00961ED9" w:rsidP="00961ED9">
            <w:pPr>
              <w:outlineLvl w:val="0"/>
              <w:rPr>
                <w:sz w:val="22"/>
                <w:szCs w:val="22"/>
              </w:rPr>
            </w:pPr>
            <w:r w:rsidRPr="006B6241">
              <w:rPr>
                <w:sz w:val="22"/>
                <w:szCs w:val="22"/>
              </w:rPr>
              <w:t xml:space="preserve">Design of activities on the demonstration of green logistics in materials management operations </w:t>
            </w:r>
          </w:p>
        </w:tc>
      </w:tr>
      <w:tr w:rsidR="00961ED9" w:rsidRPr="006B6241" w:rsidTr="00E540D0">
        <w:tc>
          <w:tcPr>
            <w:tcW w:w="3348" w:type="dxa"/>
            <w:shd w:val="clear" w:color="auto" w:fill="auto"/>
          </w:tcPr>
          <w:p w:rsidR="00961ED9" w:rsidRPr="006B6241" w:rsidRDefault="00961ED9" w:rsidP="006C6477">
            <w:pPr>
              <w:outlineLvl w:val="0"/>
              <w:rPr>
                <w:sz w:val="22"/>
                <w:szCs w:val="22"/>
              </w:rPr>
            </w:pPr>
            <w:r w:rsidRPr="006B6241">
              <w:rPr>
                <w:sz w:val="22"/>
                <w:szCs w:val="22"/>
              </w:rPr>
              <w:t>Other Zhejiang Province based logistic service providers</w:t>
            </w:r>
          </w:p>
        </w:tc>
        <w:tc>
          <w:tcPr>
            <w:tcW w:w="6228" w:type="dxa"/>
            <w:shd w:val="clear" w:color="auto" w:fill="auto"/>
          </w:tcPr>
          <w:p w:rsidR="00961ED9" w:rsidRPr="006B6241" w:rsidRDefault="00961ED9" w:rsidP="00961ED9">
            <w:pPr>
              <w:outlineLvl w:val="0"/>
              <w:rPr>
                <w:sz w:val="22"/>
                <w:szCs w:val="22"/>
              </w:rPr>
            </w:pPr>
            <w:r w:rsidRPr="006B6241">
              <w:rPr>
                <w:sz w:val="22"/>
                <w:szCs w:val="22"/>
              </w:rPr>
              <w:t>Participation in the design of the incremental technical assistance and capacity development activities of the project</w:t>
            </w:r>
          </w:p>
        </w:tc>
      </w:tr>
      <w:tr w:rsidR="00961ED9" w:rsidRPr="006B6241" w:rsidTr="00E540D0">
        <w:tc>
          <w:tcPr>
            <w:tcW w:w="3348" w:type="dxa"/>
            <w:shd w:val="clear" w:color="auto" w:fill="auto"/>
          </w:tcPr>
          <w:p w:rsidR="00961ED9" w:rsidRPr="006B6241" w:rsidRDefault="00961ED9" w:rsidP="007019C5">
            <w:pPr>
              <w:outlineLvl w:val="0"/>
              <w:rPr>
                <w:sz w:val="22"/>
                <w:szCs w:val="22"/>
              </w:rPr>
            </w:pPr>
            <w:r w:rsidRPr="006B6241">
              <w:rPr>
                <w:sz w:val="22"/>
                <w:szCs w:val="22"/>
              </w:rPr>
              <w:t>UNDP</w:t>
            </w:r>
          </w:p>
        </w:tc>
        <w:tc>
          <w:tcPr>
            <w:tcW w:w="6228" w:type="dxa"/>
            <w:shd w:val="clear" w:color="auto" w:fill="auto"/>
          </w:tcPr>
          <w:p w:rsidR="00961ED9" w:rsidRPr="006B6241" w:rsidRDefault="00961ED9" w:rsidP="00961ED9">
            <w:pPr>
              <w:outlineLvl w:val="0"/>
              <w:rPr>
                <w:sz w:val="22"/>
                <w:szCs w:val="22"/>
              </w:rPr>
            </w:pPr>
            <w:r w:rsidRPr="006B6241">
              <w:rPr>
                <w:sz w:val="22"/>
                <w:szCs w:val="22"/>
              </w:rPr>
              <w:t xml:space="preserve">Provision of technical support in the development of the project concept, PIF and project document </w:t>
            </w:r>
          </w:p>
        </w:tc>
      </w:tr>
    </w:tbl>
    <w:p w:rsidR="008228CC" w:rsidRPr="006B6241" w:rsidRDefault="008228CC" w:rsidP="008228CC">
      <w:pPr>
        <w:outlineLvl w:val="0"/>
        <w:rPr>
          <w:sz w:val="22"/>
          <w:szCs w:val="22"/>
        </w:rPr>
      </w:pPr>
    </w:p>
    <w:p w:rsidR="00870816" w:rsidRPr="006B6241" w:rsidRDefault="00870816" w:rsidP="008228CC">
      <w:pPr>
        <w:outlineLvl w:val="0"/>
        <w:rPr>
          <w:sz w:val="22"/>
          <w:szCs w:val="22"/>
        </w:rPr>
      </w:pPr>
      <w:r w:rsidRPr="006B6241">
        <w:rPr>
          <w:b/>
          <w:sz w:val="22"/>
          <w:szCs w:val="22"/>
        </w:rPr>
        <w:t xml:space="preserve">A.3 </w:t>
      </w:r>
      <w:r w:rsidR="008857BF" w:rsidRPr="006B6241">
        <w:rPr>
          <w:b/>
          <w:sz w:val="22"/>
          <w:szCs w:val="22"/>
        </w:rPr>
        <w:t>Risk</w:t>
      </w:r>
      <w:r w:rsidR="00375D58" w:rsidRPr="006B6241">
        <w:rPr>
          <w:sz w:val="22"/>
          <w:szCs w:val="22"/>
        </w:rPr>
        <w:t>:</w:t>
      </w:r>
      <w:r w:rsidR="008857BF" w:rsidRPr="006B6241">
        <w:rPr>
          <w:sz w:val="22"/>
          <w:szCs w:val="22"/>
        </w:rPr>
        <w:t xml:space="preserve"> </w:t>
      </w:r>
    </w:p>
    <w:tbl>
      <w:tblPr>
        <w:tblW w:w="0" w:type="auto"/>
        <w:tblLook w:val="04A0"/>
      </w:tblPr>
      <w:tblGrid>
        <w:gridCol w:w="8766"/>
      </w:tblGrid>
      <w:tr w:rsidR="00870816" w:rsidRPr="006B6241" w:rsidTr="00216CFB">
        <w:tc>
          <w:tcPr>
            <w:tcW w:w="8766" w:type="dxa"/>
          </w:tcPr>
          <w:p w:rsidR="00870816" w:rsidRPr="006B6241" w:rsidRDefault="00870816" w:rsidP="008228CC">
            <w:pPr>
              <w:outlineLvl w:val="0"/>
              <w:rPr>
                <w:sz w:val="22"/>
                <w:szCs w:val="22"/>
              </w:rPr>
            </w:pPr>
          </w:p>
        </w:tc>
      </w:tr>
    </w:tbl>
    <w:p w:rsidR="008228CC" w:rsidRPr="006B6241" w:rsidRDefault="008228CC" w:rsidP="00E22284">
      <w:pPr>
        <w:jc w:val="both"/>
        <w:outlineLvl w:val="0"/>
        <w:rPr>
          <w:sz w:val="22"/>
          <w:szCs w:val="22"/>
        </w:rPr>
      </w:pPr>
      <w:r w:rsidRPr="006B6241">
        <w:rPr>
          <w:sz w:val="22"/>
          <w:szCs w:val="22"/>
        </w:rPr>
        <w:t>During the project implementation, the risks that might prevent the project objectives from being achieved ar</w:t>
      </w:r>
      <w:r w:rsidR="00E540D0" w:rsidRPr="006B6241">
        <w:rPr>
          <w:sz w:val="22"/>
          <w:szCs w:val="22"/>
        </w:rPr>
        <w:t>e listed as follows:</w:t>
      </w:r>
    </w:p>
    <w:p w:rsidR="008228CC" w:rsidRPr="006B6241" w:rsidRDefault="008228CC" w:rsidP="008228CC">
      <w:pPr>
        <w:outlineLvl w:val="0"/>
        <w:rPr>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990"/>
        <w:gridCol w:w="5850"/>
      </w:tblGrid>
      <w:tr w:rsidR="00FB72A0" w:rsidRPr="006B6241" w:rsidTr="007007B8">
        <w:tc>
          <w:tcPr>
            <w:tcW w:w="2898" w:type="dxa"/>
            <w:shd w:val="clear" w:color="auto" w:fill="auto"/>
            <w:vAlign w:val="center"/>
          </w:tcPr>
          <w:p w:rsidR="00FB72A0" w:rsidRPr="006B6241" w:rsidRDefault="00FB72A0" w:rsidP="00C8157E">
            <w:pPr>
              <w:jc w:val="center"/>
              <w:outlineLvl w:val="0"/>
              <w:rPr>
                <w:b/>
                <w:sz w:val="22"/>
                <w:szCs w:val="22"/>
              </w:rPr>
            </w:pPr>
            <w:r w:rsidRPr="006B6241">
              <w:rPr>
                <w:b/>
                <w:sz w:val="22"/>
                <w:szCs w:val="22"/>
              </w:rPr>
              <w:t>Risk</w:t>
            </w:r>
          </w:p>
        </w:tc>
        <w:tc>
          <w:tcPr>
            <w:tcW w:w="990" w:type="dxa"/>
            <w:shd w:val="clear" w:color="auto" w:fill="auto"/>
            <w:vAlign w:val="center"/>
          </w:tcPr>
          <w:p w:rsidR="00FB72A0" w:rsidRPr="006B6241" w:rsidRDefault="00FB72A0" w:rsidP="00C8157E">
            <w:pPr>
              <w:jc w:val="center"/>
              <w:outlineLvl w:val="0"/>
              <w:rPr>
                <w:b/>
                <w:sz w:val="22"/>
                <w:szCs w:val="22"/>
              </w:rPr>
            </w:pPr>
            <w:r w:rsidRPr="006B6241">
              <w:rPr>
                <w:b/>
                <w:sz w:val="22"/>
                <w:szCs w:val="22"/>
              </w:rPr>
              <w:t>Level of Risk</w:t>
            </w:r>
          </w:p>
        </w:tc>
        <w:tc>
          <w:tcPr>
            <w:tcW w:w="5850" w:type="dxa"/>
            <w:shd w:val="clear" w:color="auto" w:fill="auto"/>
            <w:vAlign w:val="center"/>
          </w:tcPr>
          <w:p w:rsidR="00FB72A0" w:rsidRPr="006B6241" w:rsidRDefault="00FB72A0" w:rsidP="00C8157E">
            <w:pPr>
              <w:jc w:val="center"/>
              <w:outlineLvl w:val="0"/>
              <w:rPr>
                <w:b/>
                <w:sz w:val="22"/>
                <w:szCs w:val="22"/>
              </w:rPr>
            </w:pPr>
            <w:r w:rsidRPr="006B6241">
              <w:rPr>
                <w:b/>
                <w:sz w:val="22"/>
                <w:szCs w:val="22"/>
              </w:rPr>
              <w:t>Mitigating Actions</w:t>
            </w:r>
          </w:p>
        </w:tc>
      </w:tr>
      <w:tr w:rsidR="008B69AD" w:rsidRPr="006B6241" w:rsidTr="007007B8">
        <w:tc>
          <w:tcPr>
            <w:tcW w:w="2898" w:type="dxa"/>
            <w:shd w:val="clear" w:color="auto" w:fill="auto"/>
          </w:tcPr>
          <w:p w:rsidR="008B69AD" w:rsidRPr="006B6241" w:rsidRDefault="008B69AD" w:rsidP="0071197A">
            <w:pPr>
              <w:outlineLvl w:val="0"/>
              <w:rPr>
                <w:sz w:val="22"/>
                <w:szCs w:val="22"/>
              </w:rPr>
            </w:pPr>
            <w:r w:rsidRPr="006B6241">
              <w:rPr>
                <w:sz w:val="22"/>
                <w:szCs w:val="22"/>
              </w:rPr>
              <w:t>Low level of commitment of stakeholders (including government agencies and LSPs) in the implementation of project activities</w:t>
            </w:r>
          </w:p>
        </w:tc>
        <w:tc>
          <w:tcPr>
            <w:tcW w:w="990" w:type="dxa"/>
            <w:shd w:val="clear" w:color="auto" w:fill="auto"/>
          </w:tcPr>
          <w:p w:rsidR="008B69AD" w:rsidRPr="006B6241" w:rsidRDefault="008B69AD" w:rsidP="00C8157E">
            <w:pPr>
              <w:outlineLvl w:val="0"/>
              <w:rPr>
                <w:sz w:val="22"/>
                <w:szCs w:val="22"/>
              </w:rPr>
            </w:pPr>
            <w:r w:rsidRPr="006B6241">
              <w:rPr>
                <w:sz w:val="22"/>
                <w:szCs w:val="22"/>
              </w:rPr>
              <w:t>Low</w:t>
            </w:r>
          </w:p>
        </w:tc>
        <w:tc>
          <w:tcPr>
            <w:tcW w:w="5850" w:type="dxa"/>
            <w:shd w:val="clear" w:color="auto" w:fill="auto"/>
          </w:tcPr>
          <w:p w:rsidR="008B69AD" w:rsidRPr="006B6241" w:rsidRDefault="008B69AD" w:rsidP="0071197A">
            <w:pPr>
              <w:outlineLvl w:val="0"/>
              <w:rPr>
                <w:sz w:val="22"/>
                <w:szCs w:val="22"/>
              </w:rPr>
            </w:pPr>
            <w:r w:rsidRPr="006B6241">
              <w:rPr>
                <w:sz w:val="22"/>
                <w:szCs w:val="22"/>
              </w:rPr>
              <w:t>Lead implementing partner (IP), the People's Government of Zhejiang Province, will make use of its existing working relationship with most of the provincial government and private sector enterprises in ensuring high level of interest and active participation in the project. With its influence and the strong support of the provincial government departments as well as with its previous international project implementation experience a variety of institutions, the provincial government is expected come up with an efficient coordination mechanism to ensure the high quality of the project implementation.</w:t>
            </w:r>
          </w:p>
        </w:tc>
      </w:tr>
      <w:tr w:rsidR="008B69AD" w:rsidRPr="006B6241" w:rsidTr="007007B8">
        <w:tc>
          <w:tcPr>
            <w:tcW w:w="2898" w:type="dxa"/>
            <w:shd w:val="clear" w:color="auto" w:fill="auto"/>
          </w:tcPr>
          <w:p w:rsidR="008B69AD" w:rsidRPr="006B6241" w:rsidRDefault="008B69AD" w:rsidP="0071197A">
            <w:pPr>
              <w:outlineLvl w:val="0"/>
              <w:rPr>
                <w:sz w:val="22"/>
                <w:szCs w:val="22"/>
              </w:rPr>
            </w:pPr>
            <w:r w:rsidRPr="006B6241">
              <w:rPr>
                <w:sz w:val="22"/>
                <w:szCs w:val="22"/>
              </w:rPr>
              <w:t>Difficulties in the replication of successful results of the project</w:t>
            </w:r>
          </w:p>
        </w:tc>
        <w:tc>
          <w:tcPr>
            <w:tcW w:w="990" w:type="dxa"/>
            <w:shd w:val="clear" w:color="auto" w:fill="auto"/>
          </w:tcPr>
          <w:p w:rsidR="008B69AD" w:rsidRPr="006B6241" w:rsidRDefault="008B69AD" w:rsidP="00C8157E">
            <w:pPr>
              <w:outlineLvl w:val="0"/>
              <w:rPr>
                <w:sz w:val="22"/>
                <w:szCs w:val="22"/>
              </w:rPr>
            </w:pPr>
            <w:r w:rsidRPr="006B6241">
              <w:rPr>
                <w:sz w:val="22"/>
                <w:szCs w:val="22"/>
              </w:rPr>
              <w:t>Low</w:t>
            </w:r>
          </w:p>
        </w:tc>
        <w:tc>
          <w:tcPr>
            <w:tcW w:w="5850" w:type="dxa"/>
            <w:shd w:val="clear" w:color="auto" w:fill="auto"/>
          </w:tcPr>
          <w:p w:rsidR="008B69AD" w:rsidRPr="006B6241" w:rsidRDefault="008B69AD" w:rsidP="0071197A">
            <w:pPr>
              <w:outlineLvl w:val="0"/>
              <w:rPr>
                <w:sz w:val="22"/>
                <w:szCs w:val="22"/>
              </w:rPr>
            </w:pPr>
            <w:r w:rsidRPr="006B6241">
              <w:rPr>
                <w:sz w:val="22"/>
                <w:szCs w:val="22"/>
              </w:rPr>
              <w:t xml:space="preserve">The lead IP will maintain close contact with key central and provincial government agencies for the dissemination of the demonstration results and closely coordinate and guide the replication of the demonstrations. The strategy of assigning and close monitoring of the execution of key implementation roles to the relevant departments of the central and provincial governments (including the Ministry of Transport) will be </w:t>
            </w:r>
            <w:r w:rsidRPr="006B6241">
              <w:rPr>
                <w:sz w:val="22"/>
                <w:szCs w:val="22"/>
              </w:rPr>
              <w:lastRenderedPageBreak/>
              <w:t>employed.</w:t>
            </w:r>
          </w:p>
        </w:tc>
      </w:tr>
      <w:tr w:rsidR="008B69AD" w:rsidRPr="006B6241" w:rsidTr="007007B8">
        <w:tc>
          <w:tcPr>
            <w:tcW w:w="2898" w:type="dxa"/>
            <w:shd w:val="clear" w:color="auto" w:fill="auto"/>
          </w:tcPr>
          <w:p w:rsidR="008B69AD" w:rsidRPr="006B6241" w:rsidRDefault="008B69AD" w:rsidP="008B69AD">
            <w:pPr>
              <w:outlineLvl w:val="0"/>
              <w:rPr>
                <w:sz w:val="22"/>
                <w:szCs w:val="22"/>
              </w:rPr>
            </w:pPr>
            <w:r w:rsidRPr="006B6241">
              <w:rPr>
                <w:sz w:val="22"/>
                <w:szCs w:val="22"/>
              </w:rPr>
              <w:lastRenderedPageBreak/>
              <w:t>Availability of co-financing is delayed and negatively affects the implementation of the project activities</w:t>
            </w:r>
          </w:p>
        </w:tc>
        <w:tc>
          <w:tcPr>
            <w:tcW w:w="990" w:type="dxa"/>
            <w:shd w:val="clear" w:color="auto" w:fill="auto"/>
          </w:tcPr>
          <w:p w:rsidR="008B69AD" w:rsidRPr="006B6241" w:rsidRDefault="008B69AD" w:rsidP="00C8157E">
            <w:pPr>
              <w:outlineLvl w:val="0"/>
              <w:rPr>
                <w:sz w:val="22"/>
                <w:szCs w:val="22"/>
              </w:rPr>
            </w:pPr>
            <w:r w:rsidRPr="006B6241">
              <w:rPr>
                <w:sz w:val="22"/>
                <w:szCs w:val="22"/>
              </w:rPr>
              <w:t>Low</w:t>
            </w:r>
          </w:p>
        </w:tc>
        <w:tc>
          <w:tcPr>
            <w:tcW w:w="5850" w:type="dxa"/>
            <w:shd w:val="clear" w:color="auto" w:fill="auto"/>
          </w:tcPr>
          <w:p w:rsidR="008B69AD" w:rsidRPr="006B6241" w:rsidRDefault="008B69AD" w:rsidP="0071197A">
            <w:pPr>
              <w:outlineLvl w:val="0"/>
              <w:rPr>
                <w:sz w:val="22"/>
                <w:szCs w:val="22"/>
              </w:rPr>
            </w:pPr>
            <w:r w:rsidRPr="006B6241">
              <w:rPr>
                <w:sz w:val="22"/>
                <w:szCs w:val="22"/>
              </w:rPr>
              <w:t>The IP will make sure that written commitments of the key co-financers of the project becomes available to ensure the financial plan of the project. Moreover, in-depth involvement of the co-financers (particularly those, whose projects, or components therein, will be subsumed into the proposed project) in the design of the components of the project will ensure clearer understanding of the project and the necessity of their co-financing. The actual delivery of the committed co-financing will be regularly monitored by the IP.</w:t>
            </w:r>
          </w:p>
        </w:tc>
      </w:tr>
      <w:tr w:rsidR="00FB72A0" w:rsidRPr="006B6241" w:rsidTr="007007B8">
        <w:tc>
          <w:tcPr>
            <w:tcW w:w="2898" w:type="dxa"/>
            <w:shd w:val="clear" w:color="auto" w:fill="auto"/>
          </w:tcPr>
          <w:p w:rsidR="00FB72A0" w:rsidRPr="006B6241" w:rsidRDefault="008B69AD" w:rsidP="008B69AD">
            <w:pPr>
              <w:outlineLvl w:val="0"/>
              <w:rPr>
                <w:sz w:val="22"/>
                <w:szCs w:val="22"/>
              </w:rPr>
            </w:pPr>
            <w:r w:rsidRPr="006B6241">
              <w:rPr>
                <w:sz w:val="22"/>
                <w:szCs w:val="22"/>
              </w:rPr>
              <w:t xml:space="preserve">Varying </w:t>
            </w:r>
            <w:r w:rsidR="0071197A" w:rsidRPr="006B6241">
              <w:rPr>
                <w:sz w:val="22"/>
                <w:szCs w:val="22"/>
              </w:rPr>
              <w:t>vested interests and objectives of lo</w:t>
            </w:r>
            <w:r w:rsidRPr="006B6241">
              <w:rPr>
                <w:sz w:val="22"/>
                <w:szCs w:val="22"/>
              </w:rPr>
              <w:t xml:space="preserve">gistics service providers </w:t>
            </w:r>
            <w:r w:rsidR="0071197A" w:rsidRPr="006B6241">
              <w:rPr>
                <w:sz w:val="22"/>
                <w:szCs w:val="22"/>
              </w:rPr>
              <w:t xml:space="preserve">as well as other stakeholders in the local and central governments may prevent the effective </w:t>
            </w:r>
            <w:r w:rsidR="00FB72A0" w:rsidRPr="006B6241">
              <w:rPr>
                <w:sz w:val="22"/>
                <w:szCs w:val="22"/>
              </w:rPr>
              <w:t>organiz</w:t>
            </w:r>
            <w:r w:rsidR="0071197A" w:rsidRPr="006B6241">
              <w:rPr>
                <w:sz w:val="22"/>
                <w:szCs w:val="22"/>
              </w:rPr>
              <w:t>ation</w:t>
            </w:r>
            <w:r w:rsidR="00FB72A0" w:rsidRPr="006B6241">
              <w:rPr>
                <w:sz w:val="22"/>
                <w:szCs w:val="22"/>
              </w:rPr>
              <w:t xml:space="preserve"> and coordinat</w:t>
            </w:r>
            <w:r w:rsidR="0071197A" w:rsidRPr="006B6241">
              <w:rPr>
                <w:sz w:val="22"/>
                <w:szCs w:val="22"/>
              </w:rPr>
              <w:t xml:space="preserve">ion of </w:t>
            </w:r>
            <w:r w:rsidR="00FB72A0" w:rsidRPr="006B6241">
              <w:rPr>
                <w:sz w:val="22"/>
                <w:szCs w:val="22"/>
              </w:rPr>
              <w:t>the</w:t>
            </w:r>
            <w:r w:rsidR="0071197A" w:rsidRPr="006B6241">
              <w:rPr>
                <w:sz w:val="22"/>
                <w:szCs w:val="22"/>
              </w:rPr>
              <w:t>ir</w:t>
            </w:r>
            <w:r w:rsidR="00FB72A0" w:rsidRPr="006B6241">
              <w:rPr>
                <w:sz w:val="22"/>
                <w:szCs w:val="22"/>
              </w:rPr>
              <w:t xml:space="preserve"> participation </w:t>
            </w:r>
            <w:r w:rsidR="0071197A" w:rsidRPr="006B6241">
              <w:rPr>
                <w:sz w:val="22"/>
                <w:szCs w:val="22"/>
              </w:rPr>
              <w:t xml:space="preserve">and support </w:t>
            </w:r>
            <w:r w:rsidR="00FB72A0" w:rsidRPr="006B6241">
              <w:rPr>
                <w:sz w:val="22"/>
                <w:szCs w:val="22"/>
              </w:rPr>
              <w:t xml:space="preserve">of </w:t>
            </w:r>
            <w:r w:rsidR="0071197A" w:rsidRPr="006B6241">
              <w:rPr>
                <w:sz w:val="22"/>
                <w:szCs w:val="22"/>
              </w:rPr>
              <w:t>the project</w:t>
            </w:r>
          </w:p>
        </w:tc>
        <w:tc>
          <w:tcPr>
            <w:tcW w:w="990" w:type="dxa"/>
            <w:shd w:val="clear" w:color="auto" w:fill="auto"/>
          </w:tcPr>
          <w:p w:rsidR="00FB72A0" w:rsidRPr="006B6241" w:rsidRDefault="00FB72A0" w:rsidP="00C8157E">
            <w:pPr>
              <w:outlineLvl w:val="0"/>
              <w:rPr>
                <w:sz w:val="22"/>
                <w:szCs w:val="22"/>
              </w:rPr>
            </w:pPr>
            <w:r w:rsidRPr="006B6241">
              <w:rPr>
                <w:sz w:val="22"/>
                <w:szCs w:val="22"/>
              </w:rPr>
              <w:t>Low</w:t>
            </w:r>
          </w:p>
        </w:tc>
        <w:tc>
          <w:tcPr>
            <w:tcW w:w="5850" w:type="dxa"/>
            <w:shd w:val="clear" w:color="auto" w:fill="auto"/>
          </w:tcPr>
          <w:p w:rsidR="00FB72A0" w:rsidRPr="006B6241" w:rsidRDefault="008B69AD" w:rsidP="00E22284">
            <w:pPr>
              <w:outlineLvl w:val="0"/>
              <w:rPr>
                <w:sz w:val="22"/>
                <w:szCs w:val="22"/>
              </w:rPr>
            </w:pPr>
            <w:r w:rsidRPr="006B6241">
              <w:rPr>
                <w:sz w:val="22"/>
                <w:szCs w:val="22"/>
              </w:rPr>
              <w:t>The lead IP</w:t>
            </w:r>
            <w:r w:rsidR="00FB72A0" w:rsidRPr="006B6241">
              <w:rPr>
                <w:sz w:val="22"/>
                <w:szCs w:val="22"/>
              </w:rPr>
              <w:t xml:space="preserve"> will closely coordinate the project implementation with the project partners utilizing its rich experience implementing energy management projects with government offices such as NDRC</w:t>
            </w:r>
            <w:r w:rsidRPr="006B6241">
              <w:rPr>
                <w:sz w:val="22"/>
                <w:szCs w:val="22"/>
              </w:rPr>
              <w:t xml:space="preserve"> and</w:t>
            </w:r>
            <w:r w:rsidR="00FB72A0" w:rsidRPr="006B6241">
              <w:rPr>
                <w:sz w:val="22"/>
                <w:szCs w:val="22"/>
              </w:rPr>
              <w:t xml:space="preserve"> MO</w:t>
            </w:r>
            <w:r w:rsidRPr="006B6241">
              <w:rPr>
                <w:sz w:val="22"/>
                <w:szCs w:val="22"/>
              </w:rPr>
              <w:t>T</w:t>
            </w:r>
            <w:r w:rsidR="00FB72A0" w:rsidRPr="006B6241">
              <w:rPr>
                <w:sz w:val="22"/>
                <w:szCs w:val="22"/>
              </w:rPr>
              <w:t xml:space="preserve">. </w:t>
            </w:r>
            <w:r w:rsidR="005E26F5" w:rsidRPr="006B6241">
              <w:rPr>
                <w:sz w:val="22"/>
                <w:szCs w:val="22"/>
              </w:rPr>
              <w:t>In addition, apart from establishing competent project team that will comprise of competent local and international experts in the field of green logistics, the IP will also make use of its current good working relationship with the local logistics industry.</w:t>
            </w:r>
          </w:p>
        </w:tc>
      </w:tr>
    </w:tbl>
    <w:p w:rsidR="008228CC" w:rsidRPr="006B6241" w:rsidRDefault="00FB72A0" w:rsidP="008228CC">
      <w:pPr>
        <w:outlineLvl w:val="0"/>
        <w:rPr>
          <w:sz w:val="22"/>
          <w:szCs w:val="22"/>
        </w:rPr>
      </w:pPr>
      <w:r w:rsidRPr="006B6241">
        <w:rPr>
          <w:sz w:val="22"/>
          <w:szCs w:val="22"/>
        </w:rPr>
        <w:t xml:space="preserve"> </w:t>
      </w:r>
    </w:p>
    <w:p w:rsidR="008B69AD" w:rsidRPr="006B6241" w:rsidRDefault="00F94E5C" w:rsidP="00E22284">
      <w:pPr>
        <w:jc w:val="both"/>
        <w:outlineLvl w:val="0"/>
        <w:rPr>
          <w:sz w:val="22"/>
          <w:szCs w:val="22"/>
        </w:rPr>
      </w:pPr>
      <w:r w:rsidRPr="006B6241">
        <w:rPr>
          <w:sz w:val="22"/>
          <w:szCs w:val="22"/>
        </w:rPr>
        <w:t>The o</w:t>
      </w:r>
      <w:r w:rsidR="008B69AD" w:rsidRPr="006B6241">
        <w:rPr>
          <w:sz w:val="22"/>
          <w:szCs w:val="22"/>
        </w:rPr>
        <w:t>verall risk is low.</w:t>
      </w:r>
    </w:p>
    <w:p w:rsidR="007A1EED" w:rsidRPr="006B6241" w:rsidRDefault="007A1EED" w:rsidP="00E22284">
      <w:pPr>
        <w:jc w:val="both"/>
        <w:outlineLvl w:val="0"/>
        <w:rPr>
          <w:sz w:val="22"/>
          <w:szCs w:val="22"/>
        </w:rPr>
      </w:pPr>
    </w:p>
    <w:p w:rsidR="00FB72A0" w:rsidRPr="006B6241" w:rsidRDefault="00870816" w:rsidP="00E22284">
      <w:pPr>
        <w:jc w:val="both"/>
        <w:outlineLvl w:val="0"/>
        <w:rPr>
          <w:sz w:val="22"/>
          <w:szCs w:val="22"/>
        </w:rPr>
      </w:pPr>
      <w:r w:rsidRPr="006B6241">
        <w:rPr>
          <w:b/>
          <w:sz w:val="22"/>
          <w:szCs w:val="22"/>
        </w:rPr>
        <w:t xml:space="preserve">A.4. </w:t>
      </w:r>
      <w:r w:rsidR="00375D58" w:rsidRPr="006B6241">
        <w:rPr>
          <w:b/>
          <w:sz w:val="22"/>
          <w:szCs w:val="22"/>
        </w:rPr>
        <w:t>Coordination</w:t>
      </w:r>
      <w:r w:rsidR="00375D58" w:rsidRPr="006B6241">
        <w:rPr>
          <w:sz w:val="22"/>
          <w:szCs w:val="22"/>
        </w:rPr>
        <w:t>:</w:t>
      </w:r>
    </w:p>
    <w:tbl>
      <w:tblPr>
        <w:tblW w:w="0" w:type="auto"/>
        <w:tblLook w:val="04A0"/>
      </w:tblPr>
      <w:tblGrid>
        <w:gridCol w:w="8748"/>
      </w:tblGrid>
      <w:tr w:rsidR="00870816" w:rsidRPr="006B6241" w:rsidTr="00216CFB">
        <w:tc>
          <w:tcPr>
            <w:tcW w:w="8748" w:type="dxa"/>
          </w:tcPr>
          <w:p w:rsidR="00870816" w:rsidRPr="006B6241" w:rsidRDefault="00870816" w:rsidP="00E22284">
            <w:pPr>
              <w:jc w:val="both"/>
              <w:outlineLvl w:val="0"/>
              <w:rPr>
                <w:sz w:val="22"/>
                <w:szCs w:val="22"/>
              </w:rPr>
            </w:pPr>
          </w:p>
        </w:tc>
      </w:tr>
    </w:tbl>
    <w:p w:rsidR="008228CC" w:rsidRPr="006B6241" w:rsidRDefault="008228CC" w:rsidP="00E22284">
      <w:pPr>
        <w:pStyle w:val="Footer"/>
        <w:jc w:val="both"/>
        <w:rPr>
          <w:sz w:val="22"/>
          <w:szCs w:val="22"/>
        </w:rPr>
      </w:pPr>
      <w:r w:rsidRPr="006B6241">
        <w:rPr>
          <w:sz w:val="22"/>
          <w:szCs w:val="22"/>
        </w:rPr>
        <w:t xml:space="preserve">The design of the proposed project </w:t>
      </w:r>
      <w:r w:rsidR="00E540D0" w:rsidRPr="006B6241">
        <w:rPr>
          <w:sz w:val="22"/>
          <w:szCs w:val="22"/>
        </w:rPr>
        <w:t xml:space="preserve">will </w:t>
      </w:r>
      <w:r w:rsidRPr="006B6241">
        <w:rPr>
          <w:sz w:val="22"/>
          <w:szCs w:val="22"/>
        </w:rPr>
        <w:t>fully coordinat</w:t>
      </w:r>
      <w:r w:rsidR="00E540D0" w:rsidRPr="006B6241">
        <w:rPr>
          <w:sz w:val="22"/>
          <w:szCs w:val="22"/>
        </w:rPr>
        <w:t>e</w:t>
      </w:r>
      <w:r w:rsidRPr="006B6241">
        <w:rPr>
          <w:sz w:val="22"/>
          <w:szCs w:val="22"/>
        </w:rPr>
        <w:t xml:space="preserve"> with the other projects </w:t>
      </w:r>
      <w:r w:rsidR="00E540D0" w:rsidRPr="006B6241">
        <w:rPr>
          <w:sz w:val="22"/>
          <w:szCs w:val="22"/>
        </w:rPr>
        <w:t xml:space="preserve">implemented in China that are related to </w:t>
      </w:r>
      <w:r w:rsidR="00563945" w:rsidRPr="006B6241">
        <w:rPr>
          <w:sz w:val="22"/>
          <w:szCs w:val="22"/>
        </w:rPr>
        <w:t xml:space="preserve">freight transport and industrial </w:t>
      </w:r>
      <w:r w:rsidR="00E540D0" w:rsidRPr="006B6241">
        <w:rPr>
          <w:sz w:val="22"/>
          <w:szCs w:val="22"/>
        </w:rPr>
        <w:t>energy efficien</w:t>
      </w:r>
      <w:r w:rsidR="00563945" w:rsidRPr="006B6241">
        <w:rPr>
          <w:sz w:val="22"/>
          <w:szCs w:val="22"/>
        </w:rPr>
        <w:t>cy</w:t>
      </w:r>
      <w:r w:rsidRPr="006B6241">
        <w:rPr>
          <w:sz w:val="22"/>
          <w:szCs w:val="22"/>
        </w:rPr>
        <w:t xml:space="preserve">. </w:t>
      </w:r>
    </w:p>
    <w:p w:rsidR="008228CC" w:rsidRPr="006B6241" w:rsidRDefault="008228CC" w:rsidP="00E22284">
      <w:pPr>
        <w:pStyle w:val="Footer"/>
        <w:jc w:val="both"/>
        <w:rPr>
          <w:sz w:val="22"/>
          <w:szCs w:val="22"/>
        </w:rPr>
      </w:pPr>
    </w:p>
    <w:p w:rsidR="008228CC" w:rsidRPr="006B6241" w:rsidRDefault="008228CC" w:rsidP="00E22284">
      <w:pPr>
        <w:pStyle w:val="Footer"/>
        <w:numPr>
          <w:ilvl w:val="0"/>
          <w:numId w:val="34"/>
        </w:numPr>
        <w:tabs>
          <w:tab w:val="clear" w:pos="4320"/>
          <w:tab w:val="center" w:pos="360"/>
        </w:tabs>
        <w:ind w:left="360"/>
        <w:jc w:val="both"/>
        <w:rPr>
          <w:sz w:val="22"/>
          <w:szCs w:val="22"/>
        </w:rPr>
      </w:pPr>
      <w:r w:rsidRPr="006B6241">
        <w:rPr>
          <w:sz w:val="22"/>
          <w:szCs w:val="22"/>
        </w:rPr>
        <w:t>China Energy Efficiency Promotion in Industry Project (CEEPI)</w:t>
      </w:r>
      <w:r w:rsidR="00E540D0" w:rsidRPr="006B6241">
        <w:rPr>
          <w:sz w:val="22"/>
          <w:szCs w:val="22"/>
        </w:rPr>
        <w:t xml:space="preserve"> – </w:t>
      </w:r>
      <w:r w:rsidR="00563945" w:rsidRPr="006B6241">
        <w:rPr>
          <w:sz w:val="22"/>
          <w:szCs w:val="22"/>
        </w:rPr>
        <w:t xml:space="preserve">The project development team will liaise and consult </w:t>
      </w:r>
      <w:r w:rsidR="00E6292A" w:rsidRPr="006B6241">
        <w:rPr>
          <w:sz w:val="22"/>
          <w:szCs w:val="22"/>
        </w:rPr>
        <w:t xml:space="preserve">with the implementers of this project, which is </w:t>
      </w:r>
      <w:r w:rsidRPr="006B6241">
        <w:rPr>
          <w:sz w:val="22"/>
          <w:szCs w:val="22"/>
        </w:rPr>
        <w:t>a WB/GEF project focus</w:t>
      </w:r>
      <w:r w:rsidR="00E6292A" w:rsidRPr="006B6241">
        <w:rPr>
          <w:sz w:val="22"/>
          <w:szCs w:val="22"/>
        </w:rPr>
        <w:t xml:space="preserve">ing </w:t>
      </w:r>
      <w:r w:rsidRPr="006B6241">
        <w:rPr>
          <w:sz w:val="22"/>
          <w:szCs w:val="22"/>
        </w:rPr>
        <w:t xml:space="preserve">on </w:t>
      </w:r>
      <w:r w:rsidR="00E6292A" w:rsidRPr="006B6241">
        <w:rPr>
          <w:sz w:val="22"/>
          <w:szCs w:val="22"/>
        </w:rPr>
        <w:t xml:space="preserve">the promotion of </w:t>
      </w:r>
      <w:r w:rsidRPr="006B6241">
        <w:rPr>
          <w:sz w:val="22"/>
          <w:szCs w:val="22"/>
        </w:rPr>
        <w:t>energy management system</w:t>
      </w:r>
      <w:r w:rsidR="00E540D0" w:rsidRPr="006B6241">
        <w:rPr>
          <w:sz w:val="22"/>
          <w:szCs w:val="22"/>
        </w:rPr>
        <w:t>s</w:t>
      </w:r>
      <w:r w:rsidRPr="006B6241">
        <w:rPr>
          <w:sz w:val="22"/>
          <w:szCs w:val="22"/>
        </w:rPr>
        <w:t xml:space="preserve"> and capacity building in industry</w:t>
      </w:r>
      <w:r w:rsidR="00E6292A" w:rsidRPr="006B6241">
        <w:rPr>
          <w:sz w:val="22"/>
          <w:szCs w:val="22"/>
        </w:rPr>
        <w:t xml:space="preserve">, </w:t>
      </w:r>
      <w:r w:rsidR="00B42D37" w:rsidRPr="006B6241">
        <w:rPr>
          <w:sz w:val="22"/>
          <w:szCs w:val="22"/>
        </w:rPr>
        <w:t>in designing and implementing the policy barrier removal activities under Component 1 of this proposed GEF project.</w:t>
      </w:r>
    </w:p>
    <w:p w:rsidR="008228CC" w:rsidRPr="006B6241" w:rsidRDefault="008228CC" w:rsidP="00E22284">
      <w:pPr>
        <w:pStyle w:val="Footer"/>
        <w:tabs>
          <w:tab w:val="clear" w:pos="4320"/>
          <w:tab w:val="center" w:pos="360"/>
        </w:tabs>
        <w:jc w:val="both"/>
        <w:rPr>
          <w:sz w:val="22"/>
          <w:szCs w:val="22"/>
        </w:rPr>
      </w:pPr>
    </w:p>
    <w:p w:rsidR="008228CC" w:rsidRPr="006B6241" w:rsidRDefault="00A87B55" w:rsidP="00E22284">
      <w:pPr>
        <w:pStyle w:val="Footer"/>
        <w:numPr>
          <w:ilvl w:val="0"/>
          <w:numId w:val="34"/>
        </w:numPr>
        <w:tabs>
          <w:tab w:val="clear" w:pos="4320"/>
          <w:tab w:val="center" w:pos="360"/>
        </w:tabs>
        <w:ind w:left="360"/>
        <w:jc w:val="both"/>
        <w:rPr>
          <w:sz w:val="22"/>
          <w:szCs w:val="22"/>
        </w:rPr>
      </w:pPr>
      <w:r w:rsidRPr="006B6241">
        <w:rPr>
          <w:sz w:val="22"/>
          <w:szCs w:val="22"/>
        </w:rPr>
        <w:t xml:space="preserve">Guangdong Green Freight Demonstration Project </w:t>
      </w:r>
      <w:r w:rsidR="008228CC" w:rsidRPr="006B6241">
        <w:rPr>
          <w:sz w:val="22"/>
          <w:szCs w:val="22"/>
        </w:rPr>
        <w:t>Motor Challenge Program (MCP)</w:t>
      </w:r>
      <w:r w:rsidR="00B42D37" w:rsidRPr="006B6241">
        <w:rPr>
          <w:sz w:val="22"/>
          <w:szCs w:val="22"/>
        </w:rPr>
        <w:t xml:space="preserve"> – This ongoing project is </w:t>
      </w:r>
      <w:r w:rsidRPr="006B6241">
        <w:rPr>
          <w:sz w:val="22"/>
          <w:szCs w:val="22"/>
        </w:rPr>
        <w:t xml:space="preserve">a WB/GEF project is aimed at demonstrating the global and local environmental benefits to the application of energy efficiency vehicle technologies and operating techniques to more than 500,000 truck operators in Guangdong Province; and, supporting the improvement of energy efficiency and reducing greenhouse gas emissions in the road freight transport sector in Guangdong Province. </w:t>
      </w:r>
      <w:r w:rsidR="00B42D37" w:rsidRPr="006B6241">
        <w:rPr>
          <w:sz w:val="22"/>
          <w:szCs w:val="22"/>
        </w:rPr>
        <w:t>The project development team will interact and consult with the implementers of th</w:t>
      </w:r>
      <w:r w:rsidRPr="006B6241">
        <w:rPr>
          <w:sz w:val="22"/>
          <w:szCs w:val="22"/>
        </w:rPr>
        <w:t xml:space="preserve">is project </w:t>
      </w:r>
      <w:r w:rsidR="00B42D37" w:rsidRPr="006B6241">
        <w:rPr>
          <w:sz w:val="22"/>
          <w:szCs w:val="22"/>
        </w:rPr>
        <w:t xml:space="preserve">(particularly those working on the energy efficiency capacity development activities) in designing and implementing the technical and information barrier removal activities under Component </w:t>
      </w:r>
      <w:r w:rsidRPr="006B6241">
        <w:rPr>
          <w:sz w:val="22"/>
          <w:szCs w:val="22"/>
        </w:rPr>
        <w:t>2</w:t>
      </w:r>
      <w:r w:rsidR="00B42D37" w:rsidRPr="006B6241">
        <w:rPr>
          <w:sz w:val="22"/>
          <w:szCs w:val="22"/>
        </w:rPr>
        <w:t xml:space="preserve"> of this proposed GEF project.</w:t>
      </w:r>
    </w:p>
    <w:p w:rsidR="008228CC" w:rsidRPr="006B6241" w:rsidRDefault="008228CC" w:rsidP="00E22284">
      <w:pPr>
        <w:pStyle w:val="Footer"/>
        <w:jc w:val="both"/>
        <w:rPr>
          <w:sz w:val="22"/>
          <w:szCs w:val="22"/>
        </w:rPr>
      </w:pPr>
    </w:p>
    <w:p w:rsidR="001B69DE" w:rsidRPr="006B6241" w:rsidRDefault="001B69DE" w:rsidP="00E22284">
      <w:pPr>
        <w:pStyle w:val="Footer"/>
        <w:jc w:val="both"/>
        <w:rPr>
          <w:sz w:val="22"/>
          <w:szCs w:val="22"/>
        </w:rPr>
      </w:pPr>
      <w:r w:rsidRPr="006B6241">
        <w:rPr>
          <w:sz w:val="22"/>
          <w:szCs w:val="22"/>
        </w:rPr>
        <w:t xml:space="preserve">The project development team will also coordinate with the relevant departments of </w:t>
      </w:r>
      <w:r w:rsidR="00A87B55" w:rsidRPr="006B6241">
        <w:rPr>
          <w:sz w:val="22"/>
          <w:szCs w:val="22"/>
        </w:rPr>
        <w:t xml:space="preserve">the local governments in Zhenjiang Province and </w:t>
      </w:r>
      <w:proofErr w:type="spellStart"/>
      <w:r w:rsidR="00A87B55" w:rsidRPr="006B6241">
        <w:rPr>
          <w:sz w:val="22"/>
          <w:szCs w:val="22"/>
        </w:rPr>
        <w:t>Fuyang</w:t>
      </w:r>
      <w:proofErr w:type="spellEnd"/>
      <w:r w:rsidR="00A87B55" w:rsidRPr="006B6241">
        <w:rPr>
          <w:sz w:val="22"/>
          <w:szCs w:val="22"/>
        </w:rPr>
        <w:t xml:space="preserve"> City </w:t>
      </w:r>
      <w:r w:rsidRPr="006B6241">
        <w:rPr>
          <w:sz w:val="22"/>
          <w:szCs w:val="22"/>
        </w:rPr>
        <w:t xml:space="preserve">on their ongoing/planned activities and projects that are relevant to the proposed GEF project in order to explore and possibly make use of potential synergies, and ensure </w:t>
      </w:r>
      <w:proofErr w:type="spellStart"/>
      <w:r w:rsidRPr="006B6241">
        <w:rPr>
          <w:sz w:val="22"/>
          <w:szCs w:val="22"/>
        </w:rPr>
        <w:t>complementarity</w:t>
      </w:r>
      <w:proofErr w:type="spellEnd"/>
      <w:r w:rsidRPr="006B6241">
        <w:rPr>
          <w:sz w:val="22"/>
          <w:szCs w:val="22"/>
        </w:rPr>
        <w:t xml:space="preserve"> and building on best practices and lessons learned. The establishment of links with the relevant agencies and ongoing projects/programs is expected to help in identifying the relevant activities that will build on their respective achievements. The project will be developed in close cooperation with its stakeholders as well as with the UNDP-Asia Pacific Regional Centre in Bangkok. The UNDP country office in China will be fully involved in the project development through its participation in the various stakeholder and co-financing consultation meetings and technical workshops</w:t>
      </w:r>
      <w:r w:rsidR="00E91E25" w:rsidRPr="006B6241">
        <w:rPr>
          <w:sz w:val="22"/>
          <w:szCs w:val="22"/>
        </w:rPr>
        <w:t xml:space="preserve"> </w:t>
      </w:r>
      <w:r w:rsidR="00E91E25" w:rsidRPr="006B6241">
        <w:rPr>
          <w:sz w:val="22"/>
          <w:szCs w:val="22"/>
        </w:rPr>
        <w:lastRenderedPageBreak/>
        <w:t>during project development</w:t>
      </w:r>
      <w:r w:rsidRPr="006B6241">
        <w:rPr>
          <w:sz w:val="22"/>
          <w:szCs w:val="22"/>
        </w:rPr>
        <w:t>, and in the multipartite review meetings. Consultations will also be done with UNDP-GEF, New York during the project development phase.</w:t>
      </w:r>
    </w:p>
    <w:p w:rsidR="008228CC" w:rsidRPr="006B6241" w:rsidRDefault="001B69DE" w:rsidP="00E22284">
      <w:pPr>
        <w:pStyle w:val="Footer"/>
        <w:jc w:val="both"/>
        <w:rPr>
          <w:b/>
          <w:caps/>
          <w:color w:val="00B0F0"/>
          <w:sz w:val="22"/>
          <w:szCs w:val="22"/>
          <w:u w:val="single"/>
        </w:rPr>
      </w:pPr>
      <w:r w:rsidRPr="006B6241">
        <w:rPr>
          <w:b/>
          <w:caps/>
          <w:color w:val="00B0F0"/>
          <w:sz w:val="22"/>
          <w:szCs w:val="22"/>
          <w:u w:val="single"/>
        </w:rPr>
        <w:t xml:space="preserve"> </w:t>
      </w:r>
    </w:p>
    <w:tbl>
      <w:tblPr>
        <w:tblW w:w="0" w:type="auto"/>
        <w:tblLook w:val="04A0"/>
      </w:tblPr>
      <w:tblGrid>
        <w:gridCol w:w="9468"/>
      </w:tblGrid>
      <w:tr w:rsidR="00E31B0D" w:rsidRPr="006B6241" w:rsidTr="00574D55">
        <w:tc>
          <w:tcPr>
            <w:tcW w:w="9468" w:type="dxa"/>
          </w:tcPr>
          <w:p w:rsidR="00906E33" w:rsidRPr="006B6241" w:rsidRDefault="00870816" w:rsidP="00E22284">
            <w:pPr>
              <w:jc w:val="both"/>
              <w:outlineLvl w:val="0"/>
              <w:rPr>
                <w:sz w:val="22"/>
                <w:szCs w:val="22"/>
              </w:rPr>
            </w:pPr>
            <w:r w:rsidRPr="006B6241">
              <w:rPr>
                <w:b/>
                <w:sz w:val="22"/>
                <w:szCs w:val="22"/>
              </w:rPr>
              <w:t>B</w:t>
            </w:r>
            <w:r w:rsidR="00E31B0D" w:rsidRPr="006B6241">
              <w:rPr>
                <w:b/>
                <w:sz w:val="22"/>
                <w:szCs w:val="22"/>
              </w:rPr>
              <w:t>.1</w:t>
            </w:r>
            <w:r w:rsidR="00375D58" w:rsidRPr="006B6241">
              <w:rPr>
                <w:b/>
                <w:sz w:val="22"/>
                <w:szCs w:val="22"/>
              </w:rPr>
              <w:t>.</w:t>
            </w:r>
            <w:r w:rsidR="00E51A9E" w:rsidRPr="006B6241">
              <w:rPr>
                <w:b/>
                <w:sz w:val="22"/>
                <w:szCs w:val="22"/>
              </w:rPr>
              <w:t xml:space="preserve"> </w:t>
            </w:r>
            <w:r w:rsidR="002E29F2" w:rsidRPr="006B6241">
              <w:rPr>
                <w:b/>
                <w:sz w:val="22"/>
                <w:szCs w:val="22"/>
              </w:rPr>
              <w:t>N</w:t>
            </w:r>
            <w:r w:rsidR="00E51A9E" w:rsidRPr="006B6241">
              <w:rPr>
                <w:b/>
                <w:sz w:val="22"/>
                <w:szCs w:val="22"/>
              </w:rPr>
              <w:t xml:space="preserve">ational strategies and plans or reports and assessments </w:t>
            </w:r>
            <w:r w:rsidR="001E0CDA" w:rsidRPr="006B6241">
              <w:rPr>
                <w:b/>
                <w:sz w:val="22"/>
                <w:szCs w:val="22"/>
              </w:rPr>
              <w:t xml:space="preserve">under relevant </w:t>
            </w:r>
            <w:r w:rsidR="00574D55" w:rsidRPr="006B6241">
              <w:rPr>
                <w:b/>
                <w:sz w:val="22"/>
                <w:szCs w:val="22"/>
              </w:rPr>
              <w:t>c</w:t>
            </w:r>
            <w:r w:rsidR="001E0CDA" w:rsidRPr="006B6241">
              <w:rPr>
                <w:b/>
                <w:sz w:val="22"/>
                <w:szCs w:val="22"/>
              </w:rPr>
              <w:t xml:space="preserve">onventions, if </w:t>
            </w:r>
            <w:r w:rsidR="00574D55" w:rsidRPr="006B6241">
              <w:rPr>
                <w:b/>
                <w:sz w:val="22"/>
                <w:szCs w:val="22"/>
              </w:rPr>
              <w:t>applicable</w:t>
            </w:r>
            <w:r w:rsidR="002C7D5B" w:rsidRPr="006B6241">
              <w:rPr>
                <w:sz w:val="22"/>
                <w:szCs w:val="22"/>
              </w:rPr>
              <w:t>:</w:t>
            </w:r>
          </w:p>
          <w:p w:rsidR="00E31B0D" w:rsidRPr="006B6241" w:rsidRDefault="00E31B0D" w:rsidP="00E22284">
            <w:pPr>
              <w:jc w:val="both"/>
              <w:outlineLvl w:val="0"/>
              <w:rPr>
                <w:sz w:val="22"/>
                <w:szCs w:val="22"/>
              </w:rPr>
            </w:pPr>
          </w:p>
        </w:tc>
      </w:tr>
    </w:tbl>
    <w:p w:rsidR="00B72640" w:rsidRPr="006B6241" w:rsidRDefault="00091EC1" w:rsidP="00E22284">
      <w:pPr>
        <w:jc w:val="both"/>
        <w:outlineLvl w:val="0"/>
        <w:rPr>
          <w:sz w:val="22"/>
          <w:szCs w:val="22"/>
        </w:rPr>
      </w:pPr>
      <w:r w:rsidRPr="006B6241">
        <w:rPr>
          <w:sz w:val="22"/>
          <w:szCs w:val="22"/>
        </w:rPr>
        <w:t>Th</w:t>
      </w:r>
      <w:r w:rsidR="00C43CB4" w:rsidRPr="006B6241">
        <w:rPr>
          <w:sz w:val="22"/>
          <w:szCs w:val="22"/>
        </w:rPr>
        <w:t xml:space="preserve">is proposed climate change mitigation project </w:t>
      </w:r>
      <w:r w:rsidRPr="006B6241">
        <w:rPr>
          <w:sz w:val="22"/>
          <w:szCs w:val="22"/>
        </w:rPr>
        <w:t xml:space="preserve">is consistent with </w:t>
      </w:r>
      <w:r w:rsidR="00C43CB4" w:rsidRPr="006B6241">
        <w:rPr>
          <w:sz w:val="22"/>
          <w:szCs w:val="22"/>
        </w:rPr>
        <w:t xml:space="preserve">Energy-Saving and Emission-Reduction objectives of </w:t>
      </w:r>
      <w:r w:rsidRPr="006B6241">
        <w:rPr>
          <w:sz w:val="22"/>
          <w:szCs w:val="22"/>
        </w:rPr>
        <w:t>China’s national energy strategy and planning. China’s 12th Five-Year Plan (2011 to 2015)</w:t>
      </w:r>
      <w:r w:rsidR="00C43CB4" w:rsidRPr="006B6241">
        <w:rPr>
          <w:sz w:val="22"/>
          <w:szCs w:val="22"/>
        </w:rPr>
        <w:t xml:space="preserve">. The estimated annual 1.9 million tons CO2 emission reduction that will be brought about, influenced and facilitated by this proposed project is expected contribute substantially to achieving the country’s target GHG emission reduction. </w:t>
      </w:r>
      <w:r w:rsidR="001C2F56" w:rsidRPr="006B6241">
        <w:rPr>
          <w:sz w:val="22"/>
          <w:szCs w:val="22"/>
        </w:rPr>
        <w:t xml:space="preserve">The proposed project is also in line with the Ministry of Transport’s "Twelfth Five-Year" Development Plan "implementation" that aims to promote freight and logistics development. This plan includes the implementation of key road transport infrastructure construction projects, including highway passenger stations and passenger hub, as well as a logistics park and road freight hub. </w:t>
      </w:r>
      <w:r w:rsidR="00B72640" w:rsidRPr="006B6241">
        <w:rPr>
          <w:sz w:val="22"/>
          <w:szCs w:val="22"/>
        </w:rPr>
        <w:t xml:space="preserve">Moreover, the project will be guided by the plans of the Ministry of Transport’s Road and Waterway Transportation, Energy-Saving and Long-term Plan (2015 and 2020), which is a national medium-to long-term planning framework that includes a program for local logistics industry improvement projects, with the view of achieving energy conservation in the logistics industry. </w:t>
      </w:r>
      <w:r w:rsidR="001C2F56" w:rsidRPr="006B6241">
        <w:rPr>
          <w:sz w:val="22"/>
          <w:szCs w:val="22"/>
        </w:rPr>
        <w:t xml:space="preserve">Lastly, the project is in concordance with the Zhejiang Provincial </w:t>
      </w:r>
      <w:r w:rsidR="00B72640" w:rsidRPr="006B6241">
        <w:rPr>
          <w:sz w:val="22"/>
          <w:szCs w:val="22"/>
        </w:rPr>
        <w:t xml:space="preserve">Transport and </w:t>
      </w:r>
      <w:r w:rsidR="001C2F56" w:rsidRPr="006B6241">
        <w:rPr>
          <w:sz w:val="22"/>
          <w:szCs w:val="22"/>
        </w:rPr>
        <w:t>Communications Department’s 2011 12</w:t>
      </w:r>
      <w:r w:rsidR="001C2F56" w:rsidRPr="006B6241">
        <w:rPr>
          <w:sz w:val="22"/>
          <w:szCs w:val="22"/>
          <w:vertAlign w:val="superscript"/>
        </w:rPr>
        <w:t>th</w:t>
      </w:r>
      <w:r w:rsidR="001C2F56" w:rsidRPr="006B6241">
        <w:rPr>
          <w:sz w:val="22"/>
          <w:szCs w:val="22"/>
        </w:rPr>
        <w:t xml:space="preserve"> Five Year Plan, which calls for civilian a</w:t>
      </w:r>
      <w:r w:rsidR="00B72640" w:rsidRPr="006B6241">
        <w:rPr>
          <w:sz w:val="22"/>
          <w:szCs w:val="22"/>
        </w:rPr>
        <w:t xml:space="preserve">viation, </w:t>
      </w:r>
      <w:r w:rsidR="001C2F56" w:rsidRPr="006B6241">
        <w:rPr>
          <w:sz w:val="22"/>
          <w:szCs w:val="22"/>
        </w:rPr>
        <w:t>highway and waterway transport development</w:t>
      </w:r>
      <w:r w:rsidR="00B72640" w:rsidRPr="006B6241">
        <w:rPr>
          <w:sz w:val="22"/>
          <w:szCs w:val="22"/>
        </w:rPr>
        <w:t xml:space="preserve"> in Zhejiang Province. The province is one of the highest energy consuming provinces in China, and its total road and waterway transport are ranked number three in China. This plan aims to reduce 2.2 million </w:t>
      </w:r>
      <w:proofErr w:type="spellStart"/>
      <w:r w:rsidR="00B72640" w:rsidRPr="006B6241">
        <w:rPr>
          <w:sz w:val="22"/>
          <w:szCs w:val="22"/>
        </w:rPr>
        <w:t>tce</w:t>
      </w:r>
      <w:proofErr w:type="spellEnd"/>
      <w:r w:rsidR="00B72640" w:rsidRPr="006B6241">
        <w:rPr>
          <w:sz w:val="22"/>
          <w:szCs w:val="22"/>
        </w:rPr>
        <w:t xml:space="preserve"> from road transport and 750,000 </w:t>
      </w:r>
      <w:proofErr w:type="spellStart"/>
      <w:r w:rsidR="00B72640" w:rsidRPr="006B6241">
        <w:rPr>
          <w:sz w:val="22"/>
          <w:szCs w:val="22"/>
        </w:rPr>
        <w:t>tce</w:t>
      </w:r>
      <w:proofErr w:type="spellEnd"/>
      <w:r w:rsidR="00B72640" w:rsidRPr="006B6241">
        <w:rPr>
          <w:sz w:val="22"/>
          <w:szCs w:val="22"/>
        </w:rPr>
        <w:t xml:space="preserve"> from waterway transport by 2015. </w:t>
      </w:r>
    </w:p>
    <w:p w:rsidR="00091EC1" w:rsidRPr="006B6241" w:rsidRDefault="00091EC1" w:rsidP="00E22284">
      <w:pPr>
        <w:jc w:val="both"/>
        <w:outlineLvl w:val="0"/>
        <w:rPr>
          <w:sz w:val="22"/>
          <w:szCs w:val="22"/>
        </w:rPr>
      </w:pPr>
    </w:p>
    <w:p w:rsidR="00A859D1" w:rsidRPr="006B6241" w:rsidRDefault="00A859D1" w:rsidP="00E22284">
      <w:pPr>
        <w:jc w:val="both"/>
        <w:outlineLvl w:val="0"/>
        <w:rPr>
          <w:sz w:val="22"/>
          <w:szCs w:val="22"/>
        </w:rPr>
      </w:pPr>
      <w:r w:rsidRPr="006B6241">
        <w:rPr>
          <w:sz w:val="22"/>
          <w:szCs w:val="22"/>
        </w:rPr>
        <w:t>Moreover, this proposed project is in line with the climate change mitigation plans and actions that are presented in China’s Second National Communication (2NC). This is because the 2NC supports the country’s plans and programs that it intends to pursue during the 12th FYP period, which is on industrial structure optimization in combination with further technological advances, enhanced project measures, strengthened management and guidance to substantially improve its energy efficiency</w:t>
      </w:r>
      <w:r w:rsidR="00F422DC" w:rsidRPr="006B6241">
        <w:rPr>
          <w:rStyle w:val="FootnoteReference"/>
          <w:sz w:val="22"/>
          <w:szCs w:val="22"/>
        </w:rPr>
        <w:footnoteReference w:id="17"/>
      </w:r>
      <w:r w:rsidRPr="006B6241">
        <w:rPr>
          <w:sz w:val="22"/>
          <w:szCs w:val="22"/>
        </w:rPr>
        <w:t xml:space="preserve">. </w:t>
      </w:r>
      <w:r w:rsidR="00F422DC" w:rsidRPr="006B6241">
        <w:rPr>
          <w:sz w:val="22"/>
          <w:szCs w:val="22"/>
        </w:rPr>
        <w:t>In this regard t</w:t>
      </w:r>
      <w:r w:rsidRPr="006B6241">
        <w:rPr>
          <w:sz w:val="22"/>
          <w:szCs w:val="22"/>
        </w:rPr>
        <w:t>his proposed PIF, which is on improving the energy utilization efficiency in the material management and physical distribution operations in the Chinese logistics industry, is expected to contribute to the achievement of the country’s GHG emission reduction targets.</w:t>
      </w:r>
    </w:p>
    <w:p w:rsidR="00A859D1" w:rsidRPr="006B6241" w:rsidRDefault="00A859D1" w:rsidP="00E22284">
      <w:pPr>
        <w:jc w:val="both"/>
        <w:outlineLvl w:val="0"/>
        <w:rPr>
          <w:sz w:val="22"/>
          <w:szCs w:val="22"/>
        </w:rPr>
      </w:pPr>
    </w:p>
    <w:p w:rsidR="00906E33" w:rsidRPr="006B6241" w:rsidRDefault="00870816" w:rsidP="00E22284">
      <w:pPr>
        <w:jc w:val="both"/>
        <w:outlineLvl w:val="0"/>
        <w:rPr>
          <w:sz w:val="22"/>
          <w:szCs w:val="22"/>
        </w:rPr>
      </w:pPr>
      <w:r w:rsidRPr="006B6241">
        <w:rPr>
          <w:b/>
          <w:sz w:val="22"/>
          <w:szCs w:val="22"/>
        </w:rPr>
        <w:t>B</w:t>
      </w:r>
      <w:r w:rsidR="00AE49B5" w:rsidRPr="006B6241">
        <w:rPr>
          <w:b/>
          <w:sz w:val="22"/>
          <w:szCs w:val="22"/>
        </w:rPr>
        <w:t xml:space="preserve">.2. </w:t>
      </w:r>
      <w:r w:rsidR="00E51A9E" w:rsidRPr="006B6241">
        <w:rPr>
          <w:b/>
          <w:sz w:val="22"/>
          <w:szCs w:val="22"/>
        </w:rPr>
        <w:t xml:space="preserve">GEF </w:t>
      </w:r>
      <w:r w:rsidR="00F91DD9" w:rsidRPr="006B6241">
        <w:rPr>
          <w:b/>
          <w:sz w:val="22"/>
          <w:szCs w:val="22"/>
        </w:rPr>
        <w:t xml:space="preserve">focal area and/or </w:t>
      </w:r>
      <w:r w:rsidR="00E51A9E" w:rsidRPr="006B6241">
        <w:rPr>
          <w:b/>
          <w:sz w:val="22"/>
          <w:szCs w:val="22"/>
        </w:rPr>
        <w:t>fund(s) strategies, eligibility criteria and priorities</w:t>
      </w:r>
      <w:r w:rsidR="002C7D5B" w:rsidRPr="006B6241">
        <w:rPr>
          <w:sz w:val="22"/>
          <w:szCs w:val="22"/>
        </w:rPr>
        <w:t>:</w:t>
      </w:r>
    </w:p>
    <w:p w:rsidR="006F289E" w:rsidRPr="006B6241" w:rsidRDefault="006F289E" w:rsidP="00E22284">
      <w:pPr>
        <w:jc w:val="both"/>
        <w:rPr>
          <w:sz w:val="22"/>
          <w:szCs w:val="22"/>
        </w:rPr>
      </w:pPr>
    </w:p>
    <w:p w:rsidR="00DD1205" w:rsidRPr="006B6241" w:rsidRDefault="00DD1205" w:rsidP="00E22284">
      <w:pPr>
        <w:jc w:val="both"/>
        <w:rPr>
          <w:sz w:val="22"/>
          <w:szCs w:val="22"/>
        </w:rPr>
      </w:pPr>
      <w:r w:rsidRPr="006B6241">
        <w:rPr>
          <w:sz w:val="22"/>
          <w:szCs w:val="22"/>
        </w:rPr>
        <w:t xml:space="preserve">The proposed project fits </w:t>
      </w:r>
      <w:r w:rsidR="00720E94" w:rsidRPr="006B6241">
        <w:rPr>
          <w:sz w:val="22"/>
          <w:szCs w:val="22"/>
        </w:rPr>
        <w:t xml:space="preserve">the GEF-5 CCM </w:t>
      </w:r>
      <w:r w:rsidRPr="006B6241">
        <w:rPr>
          <w:sz w:val="22"/>
          <w:szCs w:val="22"/>
        </w:rPr>
        <w:t xml:space="preserve">strategic objective #2 (Promotion of market transformation for energy efficiency in industry and the building sectors) under the climate change mitigation focal area of the GEF and will contribute to the reduction of greenhouse gas emissions through the transformation of the </w:t>
      </w:r>
      <w:r w:rsidR="00B72640" w:rsidRPr="006B6241">
        <w:rPr>
          <w:sz w:val="22"/>
          <w:szCs w:val="22"/>
        </w:rPr>
        <w:t xml:space="preserve">operations of the logistics industry in Zhejiang Province into an energy efficient, integrated and holistic process, particularly the materials management aspects. Moreover, </w:t>
      </w:r>
      <w:r w:rsidR="00720E94" w:rsidRPr="006B6241">
        <w:rPr>
          <w:sz w:val="22"/>
          <w:szCs w:val="22"/>
        </w:rPr>
        <w:t>the interventions on the alternative freight transport systems under the proposed project are in line with the GEF-5 CCM strategic objective #4 (Promotion of energy efficient, low carbon transport and urban systems). The proposed activities on the improvement of the energy utilization performance in physical distribution in the logistics industry</w:t>
      </w:r>
      <w:r w:rsidR="00F94E5C" w:rsidRPr="006B6241">
        <w:rPr>
          <w:sz w:val="22"/>
          <w:szCs w:val="22"/>
        </w:rPr>
        <w:t xml:space="preserve"> </w:t>
      </w:r>
      <w:r w:rsidR="00720E94" w:rsidRPr="006B6241">
        <w:rPr>
          <w:sz w:val="22"/>
          <w:szCs w:val="22"/>
        </w:rPr>
        <w:t xml:space="preserve">will entail the facilitation (through barrier removal) of the increased utilization of water and water/road transport systems in Zhejiang Province to reduce empty load rates in </w:t>
      </w:r>
      <w:r w:rsidR="00F94E5C" w:rsidRPr="006B6241">
        <w:rPr>
          <w:sz w:val="22"/>
          <w:szCs w:val="22"/>
        </w:rPr>
        <w:t xml:space="preserve">freight </w:t>
      </w:r>
      <w:r w:rsidR="00720E94" w:rsidRPr="006B6241">
        <w:rPr>
          <w:sz w:val="22"/>
          <w:szCs w:val="22"/>
        </w:rPr>
        <w:t>trucking.</w:t>
      </w:r>
    </w:p>
    <w:p w:rsidR="008105D1" w:rsidRPr="006B6241" w:rsidRDefault="008105D1" w:rsidP="00E22284">
      <w:pPr>
        <w:jc w:val="both"/>
        <w:rPr>
          <w:sz w:val="22"/>
          <w:szCs w:val="22"/>
        </w:rPr>
      </w:pPr>
    </w:p>
    <w:p w:rsidR="008105D1" w:rsidRPr="006B6241" w:rsidRDefault="008105D1" w:rsidP="008105D1">
      <w:pPr>
        <w:jc w:val="both"/>
        <w:rPr>
          <w:sz w:val="22"/>
          <w:szCs w:val="22"/>
        </w:rPr>
      </w:pPr>
      <w:r w:rsidRPr="006B6241">
        <w:rPr>
          <w:sz w:val="22"/>
          <w:szCs w:val="22"/>
        </w:rPr>
        <w:lastRenderedPageBreak/>
        <w:t>In this project proposal the logistics sector is considered as an industry comprising of establishments that include mainly of logistics service providers (LSPs). These LSPs provide either or both services for materials and facilities management (e.g., warehousing, cold storage, packaging, waste recycling/reuse, etc.) or/and physical distribution (e.g., freight transport and goods delivery). The energy efficiency interventions in the materials and facilities management services are contributing to CCM-2 (EE in buildings and industrial sectors). The energy efficiency interventions in the physical distribution services are contributing to CCM-4 (sustainable transport and urban systems). The proposed project is being proposed as contributing to both CCMs 2 and 4.</w:t>
      </w:r>
      <w:r w:rsidR="00DB68ED" w:rsidRPr="006B6241">
        <w:rPr>
          <w:sz w:val="22"/>
          <w:szCs w:val="22"/>
        </w:rPr>
        <w:t xml:space="preserve"> </w:t>
      </w:r>
      <w:r w:rsidRPr="006B6241">
        <w:rPr>
          <w:sz w:val="22"/>
          <w:szCs w:val="22"/>
        </w:rPr>
        <w:t xml:space="preserve">The proposed project can be considered </w:t>
      </w:r>
      <w:r w:rsidR="00DB68ED" w:rsidRPr="006B6241">
        <w:rPr>
          <w:sz w:val="22"/>
          <w:szCs w:val="22"/>
        </w:rPr>
        <w:t xml:space="preserve">as a stand-alone </w:t>
      </w:r>
      <w:r w:rsidRPr="006B6241">
        <w:rPr>
          <w:sz w:val="22"/>
          <w:szCs w:val="22"/>
        </w:rPr>
        <w:t xml:space="preserve">CCM-4 project if one is to consider the logistics industry as an urban system with the relevant infrastructures (e.g., ports, freight consolidation areas, warehouses, etc.) being established, constructed, operated and maintained by a city. But that is not the case in Zhejiang Province and </w:t>
      </w:r>
      <w:proofErr w:type="spellStart"/>
      <w:r w:rsidRPr="006B6241">
        <w:rPr>
          <w:sz w:val="22"/>
          <w:szCs w:val="22"/>
        </w:rPr>
        <w:t>Fuyang</w:t>
      </w:r>
      <w:proofErr w:type="spellEnd"/>
      <w:r w:rsidRPr="006B6241">
        <w:rPr>
          <w:sz w:val="22"/>
          <w:szCs w:val="22"/>
        </w:rPr>
        <w:t xml:space="preserve"> City.</w:t>
      </w:r>
    </w:p>
    <w:p w:rsidR="00F94E5C" w:rsidRPr="006B6241" w:rsidRDefault="00F94E5C" w:rsidP="00E22284">
      <w:pPr>
        <w:jc w:val="both"/>
        <w:rPr>
          <w:sz w:val="22"/>
          <w:szCs w:val="22"/>
        </w:rPr>
      </w:pPr>
    </w:p>
    <w:p w:rsidR="00906E33" w:rsidRPr="006B6241" w:rsidRDefault="00870816" w:rsidP="00E22284">
      <w:pPr>
        <w:jc w:val="both"/>
        <w:rPr>
          <w:sz w:val="22"/>
          <w:szCs w:val="22"/>
        </w:rPr>
      </w:pPr>
      <w:r w:rsidRPr="006B6241">
        <w:rPr>
          <w:b/>
          <w:sz w:val="22"/>
          <w:szCs w:val="22"/>
        </w:rPr>
        <w:t>B</w:t>
      </w:r>
      <w:r w:rsidR="00A8173F" w:rsidRPr="006B6241">
        <w:rPr>
          <w:b/>
          <w:sz w:val="22"/>
          <w:szCs w:val="22"/>
        </w:rPr>
        <w:t>.3</w:t>
      </w:r>
      <w:r w:rsidR="00375D58" w:rsidRPr="006B6241">
        <w:rPr>
          <w:b/>
          <w:sz w:val="22"/>
          <w:szCs w:val="22"/>
        </w:rPr>
        <w:t>.</w:t>
      </w:r>
      <w:r w:rsidR="00A8173F" w:rsidRPr="006B6241">
        <w:rPr>
          <w:b/>
          <w:sz w:val="22"/>
          <w:szCs w:val="22"/>
        </w:rPr>
        <w:t xml:space="preserve"> </w:t>
      </w:r>
      <w:r w:rsidR="00F91DD9" w:rsidRPr="006B6241">
        <w:rPr>
          <w:b/>
          <w:sz w:val="22"/>
          <w:szCs w:val="22"/>
        </w:rPr>
        <w:t>GEF A</w:t>
      </w:r>
      <w:r w:rsidR="00A8173F" w:rsidRPr="006B6241">
        <w:rPr>
          <w:b/>
          <w:sz w:val="22"/>
          <w:szCs w:val="22"/>
        </w:rPr>
        <w:t xml:space="preserve">gency’s </w:t>
      </w:r>
      <w:r w:rsidR="001E0CDA" w:rsidRPr="006B6241">
        <w:rPr>
          <w:b/>
          <w:sz w:val="22"/>
          <w:szCs w:val="22"/>
        </w:rPr>
        <w:t>comparative advantage</w:t>
      </w:r>
      <w:r w:rsidRPr="006B6241">
        <w:rPr>
          <w:b/>
          <w:sz w:val="22"/>
          <w:szCs w:val="22"/>
        </w:rPr>
        <w:t xml:space="preserve"> for implementing this project</w:t>
      </w:r>
      <w:r w:rsidR="00A8173F" w:rsidRPr="006B6241">
        <w:rPr>
          <w:sz w:val="22"/>
          <w:szCs w:val="22"/>
        </w:rPr>
        <w:t>:</w:t>
      </w:r>
      <w:r w:rsidR="001E0CDA" w:rsidRPr="006B6241">
        <w:rPr>
          <w:sz w:val="22"/>
          <w:szCs w:val="22"/>
        </w:rPr>
        <w:t xml:space="preserve"> </w:t>
      </w:r>
    </w:p>
    <w:p w:rsidR="00AE49B5" w:rsidRPr="006B6241" w:rsidRDefault="00AE49B5" w:rsidP="00E22284">
      <w:pPr>
        <w:jc w:val="both"/>
        <w:rPr>
          <w:sz w:val="22"/>
          <w:szCs w:val="22"/>
        </w:rPr>
      </w:pPr>
    </w:p>
    <w:p w:rsidR="00F94E5C" w:rsidRPr="006B6241" w:rsidRDefault="005E6B18" w:rsidP="00E22284">
      <w:pPr>
        <w:jc w:val="both"/>
        <w:rPr>
          <w:sz w:val="22"/>
          <w:szCs w:val="22"/>
        </w:rPr>
      </w:pPr>
      <w:r w:rsidRPr="006B6241">
        <w:rPr>
          <w:sz w:val="22"/>
          <w:szCs w:val="22"/>
        </w:rPr>
        <w:t>This project</w:t>
      </w:r>
      <w:r w:rsidR="00720E94" w:rsidRPr="006B6241">
        <w:rPr>
          <w:sz w:val="22"/>
          <w:szCs w:val="22"/>
        </w:rPr>
        <w:t>, which focuses on the logistics industry,</w:t>
      </w:r>
      <w:r w:rsidRPr="006B6241">
        <w:rPr>
          <w:sz w:val="22"/>
          <w:szCs w:val="22"/>
        </w:rPr>
        <w:t xml:space="preserve"> contributes to the achievement of the outcome - energy efficiency in industry and the building sectors as stated in the UNDP-China Country Program Document 2011 – 2015. It also contributes to the achievement of the primary outcome - Environmental protection, climate change, and natural resource management on Environment and Sustainable Development, as mentioned in the UNDAF 2011-2015. </w:t>
      </w:r>
      <w:r w:rsidR="00467A1E" w:rsidRPr="006B6241">
        <w:rPr>
          <w:sz w:val="22"/>
          <w:szCs w:val="22"/>
        </w:rPr>
        <w:t xml:space="preserve">Moreover, this program is directly in line with the UNDP EITT’s signature program on low emission urban and transport infrastructure, specifically focusing on GHG emission reduction from </w:t>
      </w:r>
      <w:r w:rsidR="00720E94" w:rsidRPr="006B6241">
        <w:rPr>
          <w:sz w:val="22"/>
          <w:szCs w:val="22"/>
        </w:rPr>
        <w:t>the logistics industry in Zhejiang Province</w:t>
      </w:r>
      <w:r w:rsidR="00467A1E" w:rsidRPr="006B6241">
        <w:rPr>
          <w:sz w:val="22"/>
          <w:szCs w:val="22"/>
        </w:rPr>
        <w:t xml:space="preserve">. </w:t>
      </w:r>
      <w:r w:rsidRPr="006B6241">
        <w:rPr>
          <w:sz w:val="22"/>
          <w:szCs w:val="22"/>
        </w:rPr>
        <w:t>With its country presence, UNDP-China is well-positioned to implement this proposed project as it has, and currently have, a proven track record of successful implementation of energy efficiency projects in the country</w:t>
      </w:r>
      <w:r w:rsidR="00F94E5C" w:rsidRPr="006B6241">
        <w:rPr>
          <w:sz w:val="22"/>
          <w:szCs w:val="22"/>
        </w:rPr>
        <w:t xml:space="preserve">, as well as sustainable transport projects in other developing countries in Asia. The optimization and improvement of the energy performance of energy consuming processes and operations in industry are included in most of these energy efficiency projects that were carried out in industries and buildings, </w:t>
      </w:r>
      <w:r w:rsidR="00055213" w:rsidRPr="006B6241">
        <w:rPr>
          <w:sz w:val="22"/>
          <w:szCs w:val="22"/>
        </w:rPr>
        <w:t>b</w:t>
      </w:r>
      <w:r w:rsidR="00F94E5C" w:rsidRPr="006B6241">
        <w:rPr>
          <w:sz w:val="22"/>
          <w:szCs w:val="22"/>
        </w:rPr>
        <w:t>y and large such interventions are also, with appropriate adjustments, are also applicable to the materials management and physical distribution processes and operations in the logistics industry in China.</w:t>
      </w:r>
    </w:p>
    <w:p w:rsidR="00F94E5C" w:rsidRPr="006B6241" w:rsidRDefault="00F94E5C" w:rsidP="00E22284">
      <w:pPr>
        <w:jc w:val="both"/>
        <w:rPr>
          <w:sz w:val="22"/>
          <w:szCs w:val="22"/>
        </w:rPr>
      </w:pPr>
    </w:p>
    <w:p w:rsidR="00055213" w:rsidRPr="006B6241" w:rsidRDefault="00055213" w:rsidP="00E22284">
      <w:pPr>
        <w:jc w:val="both"/>
        <w:rPr>
          <w:sz w:val="22"/>
          <w:szCs w:val="22"/>
        </w:rPr>
      </w:pPr>
      <w:r w:rsidRPr="006B6241">
        <w:rPr>
          <w:sz w:val="22"/>
          <w:szCs w:val="22"/>
        </w:rPr>
        <w:t xml:space="preserve">For this project, the UNDP will be providing </w:t>
      </w:r>
      <w:r w:rsidR="00D0012A" w:rsidRPr="006B6241">
        <w:rPr>
          <w:sz w:val="22"/>
          <w:szCs w:val="22"/>
        </w:rPr>
        <w:t xml:space="preserve">cash </w:t>
      </w:r>
      <w:r w:rsidRPr="006B6241">
        <w:rPr>
          <w:sz w:val="22"/>
          <w:szCs w:val="22"/>
        </w:rPr>
        <w:t>co-financing, which will be used mainly for project management (including travel for project inspections, audits, monitoring and evaluation activities). This co-financing will come from allocated core funding to support energy and environment activities of the country office in line with the realization of goals of the current country program in China. The final amount of UNDP co-financing will be determined during the PPG exercise and is expected to be not less than US$ 250,000.</w:t>
      </w:r>
    </w:p>
    <w:p w:rsidR="00055213" w:rsidRPr="006B6241" w:rsidRDefault="00055213" w:rsidP="00E22284">
      <w:pPr>
        <w:jc w:val="both"/>
        <w:rPr>
          <w:sz w:val="22"/>
          <w:szCs w:val="22"/>
        </w:rPr>
      </w:pPr>
    </w:p>
    <w:p w:rsidR="005E6B18" w:rsidRPr="006B6241" w:rsidRDefault="00720E94" w:rsidP="00E22284">
      <w:pPr>
        <w:jc w:val="both"/>
        <w:rPr>
          <w:sz w:val="22"/>
          <w:szCs w:val="22"/>
        </w:rPr>
      </w:pPr>
      <w:r w:rsidRPr="006B6241">
        <w:rPr>
          <w:sz w:val="22"/>
          <w:szCs w:val="22"/>
        </w:rPr>
        <w:t xml:space="preserve">As one of </w:t>
      </w:r>
      <w:r w:rsidR="005E6B18" w:rsidRPr="006B6241">
        <w:rPr>
          <w:sz w:val="22"/>
          <w:szCs w:val="22"/>
        </w:rPr>
        <w:t xml:space="preserve">the leading UN agency in China supporting the GOC in addressing climate change issues in the country; its staff members’ substantial experience in the successful implementation of GEF-funded projects in the country; and its overall substantial experience and expertise in working in partnership at the decentralized level with local </w:t>
      </w:r>
      <w:r w:rsidRPr="006B6241">
        <w:rPr>
          <w:sz w:val="22"/>
          <w:szCs w:val="22"/>
        </w:rPr>
        <w:t>governments</w:t>
      </w:r>
      <w:r w:rsidR="005E6B18" w:rsidRPr="006B6241">
        <w:rPr>
          <w:sz w:val="22"/>
          <w:szCs w:val="22"/>
        </w:rPr>
        <w:t xml:space="preserve">, private sector, policy makers and civil society, justify its capacity and qualification to implement this proposed project. </w:t>
      </w:r>
      <w:r w:rsidRPr="006B6241">
        <w:rPr>
          <w:sz w:val="22"/>
          <w:szCs w:val="22"/>
        </w:rPr>
        <w:t xml:space="preserve">As in other climate change mitigation and energy projects, </w:t>
      </w:r>
      <w:r w:rsidR="005E6B18" w:rsidRPr="006B6241">
        <w:rPr>
          <w:sz w:val="22"/>
          <w:szCs w:val="22"/>
        </w:rPr>
        <w:t>UNDP-China will be backstopped by technical expertise available in the UNDP Asia-Pacific Resource Centre (APRC) in Bangkok, Thailand</w:t>
      </w:r>
      <w:r w:rsidRPr="006B6241">
        <w:rPr>
          <w:sz w:val="22"/>
          <w:szCs w:val="22"/>
        </w:rPr>
        <w:t xml:space="preserve"> in the design, preparation and implementation of this proposed project</w:t>
      </w:r>
      <w:r w:rsidR="005E6B18" w:rsidRPr="006B6241">
        <w:rPr>
          <w:sz w:val="22"/>
          <w:szCs w:val="22"/>
        </w:rPr>
        <w:t>.</w:t>
      </w:r>
    </w:p>
    <w:tbl>
      <w:tblPr>
        <w:tblW w:w="0" w:type="auto"/>
        <w:tblInd w:w="1008" w:type="dxa"/>
        <w:tblLook w:val="04A0"/>
      </w:tblPr>
      <w:tblGrid>
        <w:gridCol w:w="8568"/>
      </w:tblGrid>
      <w:tr w:rsidR="008E0F00" w:rsidRPr="006B6241" w:rsidTr="003E7EE1">
        <w:tc>
          <w:tcPr>
            <w:tcW w:w="8568" w:type="dxa"/>
          </w:tcPr>
          <w:p w:rsidR="008E0F00" w:rsidRPr="006B6241" w:rsidRDefault="008E0F00" w:rsidP="008228CC">
            <w:pPr>
              <w:rPr>
                <w:sz w:val="22"/>
                <w:szCs w:val="22"/>
              </w:rPr>
            </w:pPr>
          </w:p>
        </w:tc>
      </w:tr>
    </w:tbl>
    <w:p w:rsidR="00094734" w:rsidRPr="006B6241" w:rsidRDefault="00094734" w:rsidP="008228CC">
      <w:pPr>
        <w:pStyle w:val="Footer"/>
        <w:rPr>
          <w:b/>
          <w:caps/>
          <w:color w:val="00B0F0"/>
          <w:sz w:val="22"/>
          <w:szCs w:val="22"/>
          <w:u w:val="single"/>
        </w:rPr>
      </w:pPr>
    </w:p>
    <w:p w:rsidR="00AE49B5" w:rsidRPr="006B6241" w:rsidRDefault="006278B9" w:rsidP="008228CC">
      <w:pPr>
        <w:pStyle w:val="Footer"/>
        <w:rPr>
          <w:b/>
          <w:caps/>
          <w:sz w:val="22"/>
          <w:szCs w:val="22"/>
          <w:u w:val="single"/>
        </w:rPr>
      </w:pPr>
      <w:r w:rsidRPr="006B6241">
        <w:rPr>
          <w:b/>
          <w:caps/>
          <w:color w:val="00B0F0"/>
          <w:sz w:val="22"/>
          <w:szCs w:val="22"/>
          <w:u w:val="single"/>
        </w:rPr>
        <w:br w:type="page"/>
      </w:r>
      <w:r w:rsidR="00AE49B5" w:rsidRPr="006B6241">
        <w:rPr>
          <w:b/>
          <w:caps/>
          <w:color w:val="00B0F0"/>
          <w:sz w:val="22"/>
          <w:szCs w:val="22"/>
          <w:u w:val="single"/>
        </w:rPr>
        <w:lastRenderedPageBreak/>
        <w:t xml:space="preserve">part iii:  approval/endorsement by gef operational focal point(s) and GEF </w:t>
      </w:r>
      <w:proofErr w:type="gramStart"/>
      <w:r w:rsidR="00AE49B5" w:rsidRPr="006B6241">
        <w:rPr>
          <w:b/>
          <w:caps/>
          <w:color w:val="00B0F0"/>
          <w:sz w:val="22"/>
          <w:szCs w:val="22"/>
          <w:u w:val="single"/>
        </w:rPr>
        <w:t>agency(</w:t>
      </w:r>
      <w:proofErr w:type="gramEnd"/>
      <w:r w:rsidR="00AE49B5" w:rsidRPr="006B6241">
        <w:rPr>
          <w:b/>
          <w:caps/>
          <w:color w:val="00B0F0"/>
          <w:sz w:val="22"/>
          <w:szCs w:val="22"/>
          <w:u w:val="single"/>
        </w:rPr>
        <w:t>ies</w:t>
      </w:r>
      <w:r w:rsidR="00AE49B5" w:rsidRPr="006B6241">
        <w:rPr>
          <w:b/>
          <w:caps/>
          <w:sz w:val="22"/>
          <w:szCs w:val="22"/>
          <w:u w:val="single"/>
        </w:rPr>
        <w:t>)</w:t>
      </w:r>
    </w:p>
    <w:p w:rsidR="006F289E" w:rsidRPr="006B6241" w:rsidRDefault="006F289E" w:rsidP="008228CC">
      <w:pPr>
        <w:ind w:left="360" w:hanging="360"/>
        <w:rPr>
          <w:b/>
          <w:bCs/>
          <w:smallCaps/>
          <w:sz w:val="22"/>
          <w:szCs w:val="22"/>
        </w:rPr>
      </w:pPr>
    </w:p>
    <w:p w:rsidR="00AE49B5" w:rsidRPr="006B6241" w:rsidRDefault="00AE49B5" w:rsidP="008228CC">
      <w:pPr>
        <w:numPr>
          <w:ilvl w:val="0"/>
          <w:numId w:val="30"/>
        </w:numPr>
        <w:rPr>
          <w:sz w:val="22"/>
          <w:szCs w:val="22"/>
        </w:rPr>
      </w:pPr>
      <w:r w:rsidRPr="006B6241">
        <w:rPr>
          <w:b/>
          <w:bCs/>
          <w:smallCaps/>
          <w:sz w:val="22"/>
          <w:szCs w:val="22"/>
        </w:rPr>
        <w:t>Record of Endorsement of GEF Operational Focal Point (S) on Behalf of the Government(S):</w:t>
      </w:r>
      <w:r w:rsidRPr="006B6241">
        <w:rPr>
          <w:sz w:val="22"/>
          <w:szCs w:val="22"/>
        </w:rPr>
        <w:t xml:space="preserve"> </w:t>
      </w:r>
    </w:p>
    <w:p w:rsidR="006F289E" w:rsidRPr="006B6241" w:rsidRDefault="006F289E" w:rsidP="008228CC">
      <w:pPr>
        <w:ind w:left="720"/>
        <w:rPr>
          <w:sz w:val="22"/>
          <w:szCs w:val="22"/>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790"/>
        <w:gridCol w:w="3870"/>
        <w:gridCol w:w="1800"/>
      </w:tblGrid>
      <w:tr w:rsidR="00AE49B5" w:rsidRPr="006B6241" w:rsidTr="00FA34A6">
        <w:tc>
          <w:tcPr>
            <w:tcW w:w="1620" w:type="dxa"/>
          </w:tcPr>
          <w:p w:rsidR="00AE49B5" w:rsidRPr="006B6241" w:rsidRDefault="00AE49B5" w:rsidP="008228CC">
            <w:pPr>
              <w:jc w:val="both"/>
              <w:rPr>
                <w:b/>
                <w:bCs/>
                <w:smallCaps/>
                <w:sz w:val="22"/>
                <w:szCs w:val="22"/>
              </w:rPr>
            </w:pPr>
            <w:r w:rsidRPr="006B6241">
              <w:rPr>
                <w:b/>
                <w:bCs/>
                <w:smallCaps/>
                <w:sz w:val="22"/>
                <w:szCs w:val="22"/>
              </w:rPr>
              <w:t>Name</w:t>
            </w:r>
          </w:p>
        </w:tc>
        <w:tc>
          <w:tcPr>
            <w:tcW w:w="2790" w:type="dxa"/>
          </w:tcPr>
          <w:p w:rsidR="00AE49B5" w:rsidRPr="006B6241" w:rsidRDefault="00AE49B5" w:rsidP="008228CC">
            <w:pPr>
              <w:jc w:val="both"/>
              <w:rPr>
                <w:b/>
                <w:bCs/>
                <w:smallCaps/>
                <w:sz w:val="22"/>
                <w:szCs w:val="22"/>
              </w:rPr>
            </w:pPr>
            <w:r w:rsidRPr="006B6241">
              <w:rPr>
                <w:b/>
                <w:bCs/>
                <w:smallCaps/>
                <w:sz w:val="22"/>
                <w:szCs w:val="22"/>
              </w:rPr>
              <w:t>Position</w:t>
            </w:r>
          </w:p>
        </w:tc>
        <w:tc>
          <w:tcPr>
            <w:tcW w:w="3870" w:type="dxa"/>
          </w:tcPr>
          <w:p w:rsidR="00AE49B5" w:rsidRPr="006B6241" w:rsidRDefault="00AE49B5" w:rsidP="008228CC">
            <w:pPr>
              <w:jc w:val="both"/>
              <w:rPr>
                <w:b/>
                <w:bCs/>
                <w:smallCaps/>
                <w:sz w:val="22"/>
                <w:szCs w:val="22"/>
              </w:rPr>
            </w:pPr>
            <w:r w:rsidRPr="006B6241">
              <w:rPr>
                <w:b/>
                <w:bCs/>
                <w:smallCaps/>
                <w:sz w:val="22"/>
                <w:szCs w:val="22"/>
              </w:rPr>
              <w:t>Ministry</w:t>
            </w:r>
          </w:p>
        </w:tc>
        <w:tc>
          <w:tcPr>
            <w:tcW w:w="1800" w:type="dxa"/>
          </w:tcPr>
          <w:p w:rsidR="00AE49B5" w:rsidRPr="006B6241" w:rsidRDefault="00523282" w:rsidP="00FA34A6">
            <w:pPr>
              <w:jc w:val="center"/>
              <w:rPr>
                <w:b/>
                <w:sz w:val="22"/>
                <w:szCs w:val="22"/>
              </w:rPr>
            </w:pPr>
            <w:r w:rsidRPr="006B6241">
              <w:rPr>
                <w:b/>
                <w:bCs/>
                <w:smallCaps/>
                <w:sz w:val="22"/>
                <w:szCs w:val="22"/>
              </w:rPr>
              <w:t>Date</w:t>
            </w:r>
            <w:r w:rsidR="00AE49B5" w:rsidRPr="006B6241">
              <w:rPr>
                <w:b/>
                <w:sz w:val="22"/>
                <w:szCs w:val="22"/>
              </w:rPr>
              <w:t xml:space="preserve"> </w:t>
            </w:r>
          </w:p>
        </w:tc>
      </w:tr>
      <w:tr w:rsidR="00FA34A6" w:rsidRPr="006B6241" w:rsidTr="00FA34A6">
        <w:tc>
          <w:tcPr>
            <w:tcW w:w="1620" w:type="dxa"/>
          </w:tcPr>
          <w:p w:rsidR="00FA34A6" w:rsidRPr="006B6241" w:rsidRDefault="00FA34A6" w:rsidP="00EC5431">
            <w:pPr>
              <w:rPr>
                <w:sz w:val="22"/>
                <w:szCs w:val="22"/>
              </w:rPr>
            </w:pPr>
            <w:proofErr w:type="spellStart"/>
            <w:r w:rsidRPr="006B6241">
              <w:rPr>
                <w:sz w:val="22"/>
                <w:szCs w:val="22"/>
              </w:rPr>
              <w:t>Jiandi</w:t>
            </w:r>
            <w:proofErr w:type="spellEnd"/>
            <w:r w:rsidRPr="006B6241">
              <w:rPr>
                <w:sz w:val="22"/>
                <w:szCs w:val="22"/>
              </w:rPr>
              <w:t xml:space="preserve"> Ye</w:t>
            </w:r>
          </w:p>
        </w:tc>
        <w:tc>
          <w:tcPr>
            <w:tcW w:w="2790" w:type="dxa"/>
          </w:tcPr>
          <w:p w:rsidR="00FA34A6" w:rsidRPr="006B6241" w:rsidRDefault="00FA34A6" w:rsidP="00EC5431">
            <w:pPr>
              <w:rPr>
                <w:sz w:val="22"/>
                <w:szCs w:val="22"/>
              </w:rPr>
            </w:pPr>
            <w:r w:rsidRPr="006B6241">
              <w:rPr>
                <w:sz w:val="22"/>
                <w:szCs w:val="22"/>
              </w:rPr>
              <w:t>GEF Operational Focal Point</w:t>
            </w:r>
          </w:p>
        </w:tc>
        <w:tc>
          <w:tcPr>
            <w:tcW w:w="3870" w:type="dxa"/>
          </w:tcPr>
          <w:p w:rsidR="00FA34A6" w:rsidRPr="006B6241" w:rsidRDefault="00FA34A6" w:rsidP="00EC5431">
            <w:pPr>
              <w:jc w:val="both"/>
              <w:rPr>
                <w:b/>
                <w:bCs/>
                <w:smallCaps/>
                <w:sz w:val="22"/>
                <w:szCs w:val="22"/>
              </w:rPr>
            </w:pPr>
            <w:r w:rsidRPr="006B6241">
              <w:rPr>
                <w:bCs/>
                <w:sz w:val="22"/>
                <w:szCs w:val="22"/>
              </w:rPr>
              <w:t>International Dept., Ministry of Finance</w:t>
            </w:r>
          </w:p>
        </w:tc>
        <w:tc>
          <w:tcPr>
            <w:tcW w:w="1800" w:type="dxa"/>
          </w:tcPr>
          <w:p w:rsidR="00FA34A6" w:rsidRPr="006B6241" w:rsidRDefault="00FA34A6" w:rsidP="00EC5431">
            <w:pPr>
              <w:jc w:val="both"/>
              <w:rPr>
                <w:bCs/>
                <w:sz w:val="22"/>
                <w:szCs w:val="22"/>
              </w:rPr>
            </w:pPr>
            <w:r w:rsidRPr="006B6241">
              <w:rPr>
                <w:bCs/>
                <w:sz w:val="22"/>
                <w:szCs w:val="22"/>
              </w:rPr>
              <w:t>12/17/2012</w:t>
            </w:r>
          </w:p>
        </w:tc>
      </w:tr>
    </w:tbl>
    <w:p w:rsidR="00DC472C" w:rsidRPr="006B6241" w:rsidRDefault="00DC472C" w:rsidP="008228CC">
      <w:pPr>
        <w:pStyle w:val="Footer"/>
        <w:tabs>
          <w:tab w:val="clear" w:pos="4320"/>
          <w:tab w:val="clear" w:pos="8640"/>
        </w:tabs>
        <w:rPr>
          <w:b/>
          <w:smallCaps/>
          <w:sz w:val="22"/>
          <w:szCs w:val="22"/>
        </w:rPr>
        <w:sectPr w:rsidR="00DC472C" w:rsidRPr="006B6241" w:rsidSect="006F289E">
          <w:footerReference w:type="even" r:id="rId12"/>
          <w:footerReference w:type="default" r:id="rId13"/>
          <w:pgSz w:w="12240" w:h="15840" w:code="1"/>
          <w:pgMar w:top="1440" w:right="1440" w:bottom="1440" w:left="1440" w:header="720" w:footer="0" w:gutter="0"/>
          <w:cols w:space="720"/>
          <w:docGrid w:linePitch="360"/>
        </w:sectPr>
      </w:pPr>
    </w:p>
    <w:p w:rsidR="006F289E" w:rsidRPr="006B6241" w:rsidRDefault="006F289E" w:rsidP="008228CC">
      <w:pPr>
        <w:pStyle w:val="Footer"/>
        <w:tabs>
          <w:tab w:val="clear" w:pos="4320"/>
          <w:tab w:val="clear" w:pos="8640"/>
        </w:tabs>
        <w:rPr>
          <w:b/>
          <w:smallCaps/>
          <w:sz w:val="22"/>
          <w:szCs w:val="22"/>
        </w:rPr>
      </w:pPr>
    </w:p>
    <w:p w:rsidR="006F289E" w:rsidRPr="006B6241" w:rsidRDefault="00AE49B5" w:rsidP="008228CC">
      <w:pPr>
        <w:numPr>
          <w:ilvl w:val="0"/>
          <w:numId w:val="30"/>
        </w:numPr>
        <w:ind w:left="360"/>
        <w:rPr>
          <w:b/>
          <w:smallCaps/>
          <w:sz w:val="22"/>
          <w:szCs w:val="22"/>
        </w:rPr>
      </w:pPr>
      <w:r w:rsidRPr="006B6241">
        <w:rPr>
          <w:b/>
          <w:smallCaps/>
          <w:sz w:val="22"/>
          <w:szCs w:val="22"/>
        </w:rPr>
        <w:t>GEF Agency(</w:t>
      </w:r>
      <w:proofErr w:type="spellStart"/>
      <w:r w:rsidRPr="006B6241">
        <w:rPr>
          <w:b/>
          <w:smallCaps/>
          <w:sz w:val="22"/>
          <w:szCs w:val="22"/>
        </w:rPr>
        <w:t>ies</w:t>
      </w:r>
      <w:proofErr w:type="spellEnd"/>
      <w:r w:rsidRPr="006B6241">
        <w:rPr>
          <w:b/>
          <w:smallCaps/>
          <w:sz w:val="22"/>
          <w:szCs w:val="22"/>
        </w:rPr>
        <w:t>) Certification</w:t>
      </w:r>
    </w:p>
    <w:p w:rsidR="00AE49B5" w:rsidRPr="006B6241" w:rsidRDefault="00AE49B5" w:rsidP="008228CC">
      <w:pPr>
        <w:pStyle w:val="Footer"/>
        <w:tabs>
          <w:tab w:val="clear" w:pos="4320"/>
          <w:tab w:val="clear" w:pos="8640"/>
        </w:tabs>
        <w:ind w:left="720"/>
        <w:rPr>
          <w:b/>
          <w:smallCaps/>
          <w:sz w:val="22"/>
          <w:szCs w:val="22"/>
        </w:rPr>
      </w:pPr>
      <w:r w:rsidRPr="006B6241">
        <w:rPr>
          <w:b/>
          <w:smallCaps/>
          <w:sz w:val="22"/>
          <w:szCs w:val="22"/>
        </w:rPr>
        <w:tab/>
      </w:r>
    </w:p>
    <w:tbl>
      <w:tblPr>
        <w:tblW w:w="100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0"/>
        <w:gridCol w:w="1301"/>
        <w:gridCol w:w="1144"/>
        <w:gridCol w:w="1849"/>
        <w:gridCol w:w="1298"/>
        <w:gridCol w:w="2558"/>
      </w:tblGrid>
      <w:tr w:rsidR="00AE49B5" w:rsidRPr="006B6241" w:rsidTr="005E6B18">
        <w:trPr>
          <w:cantSplit/>
          <w:trHeight w:val="377"/>
        </w:trPr>
        <w:tc>
          <w:tcPr>
            <w:tcW w:w="10080" w:type="dxa"/>
            <w:gridSpan w:val="6"/>
          </w:tcPr>
          <w:p w:rsidR="00AE49B5" w:rsidRPr="006B6241" w:rsidRDefault="00AE49B5" w:rsidP="008228CC">
            <w:pPr>
              <w:rPr>
                <w:b/>
                <w:sz w:val="22"/>
                <w:szCs w:val="22"/>
              </w:rPr>
            </w:pPr>
            <w:r w:rsidRPr="006B6241">
              <w:rPr>
                <w:b/>
                <w:sz w:val="22"/>
                <w:szCs w:val="22"/>
              </w:rPr>
              <w:t>This request has been prepared in accordance with GEF/LDCF/SCCF</w:t>
            </w:r>
            <w:r w:rsidR="00E31B0D" w:rsidRPr="006B6241">
              <w:rPr>
                <w:b/>
                <w:sz w:val="22"/>
                <w:szCs w:val="22"/>
              </w:rPr>
              <w:t>/NPIF</w:t>
            </w:r>
            <w:r w:rsidRPr="006B6241">
              <w:rPr>
                <w:b/>
                <w:sz w:val="22"/>
                <w:szCs w:val="22"/>
              </w:rPr>
              <w:t xml:space="preserve"> policies and procedures and meets the GEF/LDCF/SCCF</w:t>
            </w:r>
            <w:r w:rsidR="00E31B0D" w:rsidRPr="006B6241">
              <w:rPr>
                <w:b/>
                <w:sz w:val="22"/>
                <w:szCs w:val="22"/>
              </w:rPr>
              <w:t>/NPIF</w:t>
            </w:r>
            <w:r w:rsidRPr="006B6241">
              <w:rPr>
                <w:b/>
                <w:sz w:val="22"/>
                <w:szCs w:val="22"/>
              </w:rPr>
              <w:t xml:space="preserve"> criteria for project identification and preparation.</w:t>
            </w:r>
          </w:p>
        </w:tc>
      </w:tr>
      <w:tr w:rsidR="005E6B18" w:rsidRPr="006B6241" w:rsidTr="005E6B18">
        <w:tblPrEx>
          <w:tblLook w:val="01E0"/>
        </w:tblPrEx>
        <w:tc>
          <w:tcPr>
            <w:tcW w:w="2070" w:type="dxa"/>
            <w:vAlign w:val="center"/>
          </w:tcPr>
          <w:p w:rsidR="00AE49B5" w:rsidRPr="006B6241" w:rsidRDefault="00AE49B5" w:rsidP="005E6B18">
            <w:pPr>
              <w:jc w:val="center"/>
              <w:rPr>
                <w:b/>
                <w:sz w:val="22"/>
                <w:szCs w:val="22"/>
              </w:rPr>
            </w:pPr>
            <w:r w:rsidRPr="006B6241">
              <w:rPr>
                <w:b/>
                <w:sz w:val="22"/>
                <w:szCs w:val="22"/>
              </w:rPr>
              <w:t>Agency Coordinator, Agency name</w:t>
            </w:r>
          </w:p>
        </w:tc>
        <w:tc>
          <w:tcPr>
            <w:tcW w:w="1350" w:type="dxa"/>
            <w:vAlign w:val="center"/>
          </w:tcPr>
          <w:p w:rsidR="00AE49B5" w:rsidRPr="006B6241" w:rsidRDefault="00AE49B5" w:rsidP="005E6B18">
            <w:pPr>
              <w:jc w:val="center"/>
              <w:rPr>
                <w:b/>
                <w:sz w:val="22"/>
                <w:szCs w:val="22"/>
              </w:rPr>
            </w:pPr>
          </w:p>
          <w:p w:rsidR="00AE49B5" w:rsidRPr="006B6241" w:rsidRDefault="00AE49B5" w:rsidP="005E6B18">
            <w:pPr>
              <w:jc w:val="center"/>
              <w:rPr>
                <w:b/>
                <w:sz w:val="22"/>
                <w:szCs w:val="22"/>
              </w:rPr>
            </w:pPr>
            <w:r w:rsidRPr="006B6241">
              <w:rPr>
                <w:b/>
                <w:sz w:val="22"/>
                <w:szCs w:val="22"/>
              </w:rPr>
              <w:t>Signature</w:t>
            </w:r>
          </w:p>
        </w:tc>
        <w:tc>
          <w:tcPr>
            <w:tcW w:w="1260" w:type="dxa"/>
            <w:vAlign w:val="center"/>
          </w:tcPr>
          <w:p w:rsidR="00AE49B5" w:rsidRPr="006B6241" w:rsidRDefault="000E358B" w:rsidP="005E6B18">
            <w:pPr>
              <w:jc w:val="center"/>
              <w:rPr>
                <w:b/>
                <w:sz w:val="22"/>
                <w:szCs w:val="22"/>
              </w:rPr>
            </w:pPr>
            <w:r w:rsidRPr="006B6241">
              <w:rPr>
                <w:b/>
                <w:bCs/>
                <w:smallCaps/>
                <w:sz w:val="22"/>
                <w:szCs w:val="22"/>
              </w:rPr>
              <w:t>Date</w:t>
            </w:r>
          </w:p>
        </w:tc>
        <w:tc>
          <w:tcPr>
            <w:tcW w:w="2105" w:type="dxa"/>
            <w:vAlign w:val="center"/>
          </w:tcPr>
          <w:p w:rsidR="00AE49B5" w:rsidRPr="006B6241" w:rsidRDefault="00AE49B5" w:rsidP="005E6B18">
            <w:pPr>
              <w:jc w:val="center"/>
              <w:rPr>
                <w:b/>
                <w:sz w:val="22"/>
                <w:szCs w:val="22"/>
              </w:rPr>
            </w:pPr>
            <w:r w:rsidRPr="006B6241">
              <w:rPr>
                <w:b/>
                <w:sz w:val="22"/>
                <w:szCs w:val="22"/>
              </w:rPr>
              <w:t>Project Contact Person</w:t>
            </w:r>
          </w:p>
        </w:tc>
        <w:tc>
          <w:tcPr>
            <w:tcW w:w="1328" w:type="dxa"/>
            <w:vAlign w:val="center"/>
          </w:tcPr>
          <w:p w:rsidR="00AE49B5" w:rsidRPr="006B6241" w:rsidRDefault="00AE49B5" w:rsidP="005E6B18">
            <w:pPr>
              <w:jc w:val="center"/>
              <w:rPr>
                <w:b/>
                <w:sz w:val="22"/>
                <w:szCs w:val="22"/>
              </w:rPr>
            </w:pPr>
          </w:p>
          <w:p w:rsidR="00AE49B5" w:rsidRPr="006B6241" w:rsidRDefault="00AE49B5" w:rsidP="005E6B18">
            <w:pPr>
              <w:jc w:val="center"/>
              <w:rPr>
                <w:b/>
                <w:sz w:val="22"/>
                <w:szCs w:val="22"/>
              </w:rPr>
            </w:pPr>
            <w:r w:rsidRPr="006B6241">
              <w:rPr>
                <w:b/>
                <w:sz w:val="22"/>
                <w:szCs w:val="22"/>
              </w:rPr>
              <w:t>Telephone</w:t>
            </w:r>
          </w:p>
        </w:tc>
        <w:tc>
          <w:tcPr>
            <w:tcW w:w="1967" w:type="dxa"/>
            <w:vAlign w:val="center"/>
          </w:tcPr>
          <w:p w:rsidR="00AE49B5" w:rsidRPr="006B6241" w:rsidRDefault="00AE49B5" w:rsidP="005E6B18">
            <w:pPr>
              <w:jc w:val="center"/>
              <w:rPr>
                <w:b/>
                <w:sz w:val="22"/>
                <w:szCs w:val="22"/>
              </w:rPr>
            </w:pPr>
            <w:r w:rsidRPr="006B6241">
              <w:rPr>
                <w:b/>
                <w:sz w:val="22"/>
                <w:szCs w:val="22"/>
              </w:rPr>
              <w:t>Email Address</w:t>
            </w:r>
          </w:p>
        </w:tc>
      </w:tr>
      <w:tr w:rsidR="005E6B18" w:rsidRPr="00CB5099" w:rsidTr="005E6B18">
        <w:tblPrEx>
          <w:tblLook w:val="01E0"/>
        </w:tblPrEx>
        <w:tc>
          <w:tcPr>
            <w:tcW w:w="2070" w:type="dxa"/>
            <w:vAlign w:val="center"/>
          </w:tcPr>
          <w:p w:rsidR="00AE49B5" w:rsidRPr="006B6241" w:rsidRDefault="005E6B18" w:rsidP="005E6B18">
            <w:pPr>
              <w:jc w:val="center"/>
              <w:rPr>
                <w:sz w:val="22"/>
                <w:szCs w:val="22"/>
              </w:rPr>
            </w:pPr>
            <w:r w:rsidRPr="006B6241">
              <w:rPr>
                <w:sz w:val="22"/>
                <w:szCs w:val="22"/>
              </w:rPr>
              <w:t>Adriana Dinu</w:t>
            </w:r>
          </w:p>
          <w:p w:rsidR="00E24780" w:rsidRPr="006B6241" w:rsidRDefault="00E24780" w:rsidP="00E24780">
            <w:pPr>
              <w:jc w:val="center"/>
            </w:pPr>
            <w:r w:rsidRPr="006B6241">
              <w:t>UNDP/ GEF Officer-in-Charge</w:t>
            </w:r>
          </w:p>
          <w:p w:rsidR="005E6B18" w:rsidRPr="006B6241" w:rsidRDefault="005E6B18" w:rsidP="005E6B18">
            <w:pPr>
              <w:jc w:val="center"/>
              <w:rPr>
                <w:sz w:val="22"/>
                <w:szCs w:val="22"/>
              </w:rPr>
            </w:pPr>
          </w:p>
        </w:tc>
        <w:tc>
          <w:tcPr>
            <w:tcW w:w="1350" w:type="dxa"/>
            <w:vAlign w:val="center"/>
          </w:tcPr>
          <w:p w:rsidR="00AE49B5" w:rsidRPr="006B6241" w:rsidRDefault="00FA07E9" w:rsidP="005E6B18">
            <w:pPr>
              <w:jc w:val="center"/>
              <w:rPr>
                <w:sz w:val="22"/>
                <w:szCs w:val="22"/>
              </w:rPr>
            </w:pPr>
            <w:r>
              <w:rPr>
                <w:noProof/>
                <w:sz w:val="22"/>
                <w:szCs w:val="22"/>
              </w:rPr>
              <w:drawing>
                <wp:anchor distT="0" distB="0" distL="114300" distR="114300" simplePos="0" relativeHeight="251658240" behindDoc="0" locked="0" layoutInCell="1" allowOverlap="1">
                  <wp:simplePos x="0" y="0"/>
                  <wp:positionH relativeFrom="column">
                    <wp:posOffset>-38735</wp:posOffset>
                  </wp:positionH>
                  <wp:positionV relativeFrom="paragraph">
                    <wp:posOffset>189230</wp:posOffset>
                  </wp:positionV>
                  <wp:extent cx="760730" cy="335280"/>
                  <wp:effectExtent l="19050" t="0" r="1270" b="0"/>
                  <wp:wrapNone/>
                  <wp:docPr id="20" name="Picture 0" descr="Adriana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driana_signature.png"/>
                          <pic:cNvPicPr>
                            <a:picLocks noChangeAspect="1" noChangeArrowheads="1"/>
                          </pic:cNvPicPr>
                        </pic:nvPicPr>
                        <pic:blipFill>
                          <a:blip r:embed="rId14" cstate="print"/>
                          <a:srcRect/>
                          <a:stretch>
                            <a:fillRect/>
                          </a:stretch>
                        </pic:blipFill>
                        <pic:spPr bwMode="auto">
                          <a:xfrm>
                            <a:off x="0" y="0"/>
                            <a:ext cx="760730" cy="335280"/>
                          </a:xfrm>
                          <a:prstGeom prst="rect">
                            <a:avLst/>
                          </a:prstGeom>
                          <a:noFill/>
                          <a:ln w="9525">
                            <a:noFill/>
                            <a:miter lim="800000"/>
                            <a:headEnd/>
                            <a:tailEnd/>
                          </a:ln>
                        </pic:spPr>
                      </pic:pic>
                    </a:graphicData>
                  </a:graphic>
                </wp:anchor>
              </w:drawing>
            </w:r>
          </w:p>
        </w:tc>
        <w:tc>
          <w:tcPr>
            <w:tcW w:w="1260" w:type="dxa"/>
            <w:vAlign w:val="center"/>
          </w:tcPr>
          <w:p w:rsidR="00AE49B5" w:rsidRPr="006B6241" w:rsidRDefault="00E24780" w:rsidP="005E6B18">
            <w:pPr>
              <w:jc w:val="center"/>
              <w:rPr>
                <w:sz w:val="22"/>
                <w:szCs w:val="22"/>
              </w:rPr>
            </w:pPr>
            <w:r w:rsidRPr="006B6241">
              <w:rPr>
                <w:sz w:val="22"/>
                <w:szCs w:val="22"/>
              </w:rPr>
              <w:t>April 4, 2013</w:t>
            </w:r>
          </w:p>
        </w:tc>
        <w:tc>
          <w:tcPr>
            <w:tcW w:w="2105" w:type="dxa"/>
            <w:vAlign w:val="center"/>
          </w:tcPr>
          <w:p w:rsidR="00AE49B5" w:rsidRPr="006B6241" w:rsidRDefault="005E6B18" w:rsidP="005E6B18">
            <w:pPr>
              <w:jc w:val="center"/>
              <w:rPr>
                <w:sz w:val="22"/>
                <w:szCs w:val="22"/>
              </w:rPr>
            </w:pPr>
            <w:r w:rsidRPr="006B6241">
              <w:rPr>
                <w:sz w:val="22"/>
                <w:szCs w:val="22"/>
              </w:rPr>
              <w:t>Manuel L. Soriano</w:t>
            </w:r>
          </w:p>
          <w:p w:rsidR="005E6B18" w:rsidRPr="006B6241" w:rsidRDefault="005E6B18" w:rsidP="005E6B18">
            <w:pPr>
              <w:jc w:val="center"/>
              <w:rPr>
                <w:sz w:val="22"/>
                <w:szCs w:val="22"/>
              </w:rPr>
            </w:pPr>
            <w:r w:rsidRPr="006B6241">
              <w:rPr>
                <w:sz w:val="22"/>
                <w:szCs w:val="22"/>
              </w:rPr>
              <w:t>Sr. Tech. Advisor</w:t>
            </w:r>
          </w:p>
          <w:p w:rsidR="005E6B18" w:rsidRPr="006B6241" w:rsidRDefault="005E6B18" w:rsidP="005E6B18">
            <w:pPr>
              <w:jc w:val="center"/>
              <w:rPr>
                <w:sz w:val="22"/>
                <w:szCs w:val="22"/>
              </w:rPr>
            </w:pPr>
            <w:r w:rsidRPr="006B6241">
              <w:rPr>
                <w:sz w:val="22"/>
                <w:szCs w:val="22"/>
              </w:rPr>
              <w:t>Energy &amp; Climate Change</w:t>
            </w:r>
          </w:p>
        </w:tc>
        <w:tc>
          <w:tcPr>
            <w:tcW w:w="1328" w:type="dxa"/>
            <w:vAlign w:val="center"/>
          </w:tcPr>
          <w:p w:rsidR="00AE49B5" w:rsidRPr="006B6241" w:rsidRDefault="005E6B18" w:rsidP="005E6B18">
            <w:pPr>
              <w:jc w:val="center"/>
              <w:rPr>
                <w:sz w:val="22"/>
                <w:szCs w:val="22"/>
              </w:rPr>
            </w:pPr>
            <w:r w:rsidRPr="006B6241">
              <w:rPr>
                <w:sz w:val="22"/>
                <w:szCs w:val="22"/>
              </w:rPr>
              <w:t>+66-2-3049100 Ext 2720</w:t>
            </w:r>
          </w:p>
        </w:tc>
        <w:tc>
          <w:tcPr>
            <w:tcW w:w="1967" w:type="dxa"/>
            <w:vAlign w:val="center"/>
          </w:tcPr>
          <w:p w:rsidR="00AE49B5" w:rsidRPr="00CB5099" w:rsidRDefault="005E6B18" w:rsidP="005E6B18">
            <w:pPr>
              <w:jc w:val="center"/>
              <w:rPr>
                <w:sz w:val="22"/>
                <w:szCs w:val="22"/>
              </w:rPr>
            </w:pPr>
            <w:r w:rsidRPr="006B6241">
              <w:rPr>
                <w:sz w:val="22"/>
                <w:szCs w:val="22"/>
              </w:rPr>
              <w:t>manuel.soriano@undp.org</w:t>
            </w:r>
          </w:p>
        </w:tc>
      </w:tr>
    </w:tbl>
    <w:p w:rsidR="00AE49B5" w:rsidRPr="00CB5099" w:rsidRDefault="00AE49B5" w:rsidP="008228CC">
      <w:pPr>
        <w:ind w:right="1200"/>
        <w:rPr>
          <w:vanish/>
          <w:sz w:val="22"/>
          <w:szCs w:val="22"/>
        </w:rPr>
      </w:pPr>
    </w:p>
    <w:p w:rsidR="00AE49B5" w:rsidRPr="00CB5099" w:rsidRDefault="00AE49B5" w:rsidP="008228CC">
      <w:pPr>
        <w:pStyle w:val="Footer"/>
        <w:tabs>
          <w:tab w:val="clear" w:pos="4320"/>
          <w:tab w:val="clear" w:pos="8640"/>
        </w:tabs>
        <w:ind w:left="-90"/>
        <w:rPr>
          <w:vanish/>
          <w:sz w:val="20"/>
          <w:szCs w:val="20"/>
        </w:rPr>
      </w:pPr>
    </w:p>
    <w:sectPr w:rsidR="00AE49B5" w:rsidRPr="00CB5099" w:rsidSect="00DC472C">
      <w:type w:val="continuous"/>
      <w:pgSz w:w="12240" w:h="15840" w:code="1"/>
      <w:pgMar w:top="1152" w:right="1080" w:bottom="1152" w:left="1800" w:header="72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386" w:rsidRDefault="000C2386">
      <w:r>
        <w:separator/>
      </w:r>
    </w:p>
  </w:endnote>
  <w:endnote w:type="continuationSeparator" w:id="0">
    <w:p w:rsidR="000C2386" w:rsidRDefault="000C23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B8F" w:rsidRDefault="001267E5" w:rsidP="0099128C">
    <w:pPr>
      <w:pStyle w:val="Footer"/>
      <w:framePr w:wrap="around" w:vAnchor="text" w:hAnchor="margin" w:xAlign="right" w:y="1"/>
      <w:rPr>
        <w:rStyle w:val="PageNumber"/>
      </w:rPr>
    </w:pPr>
    <w:r>
      <w:rPr>
        <w:rStyle w:val="PageNumber"/>
      </w:rPr>
      <w:fldChar w:fldCharType="begin"/>
    </w:r>
    <w:r w:rsidR="00462B8F">
      <w:rPr>
        <w:rStyle w:val="PageNumber"/>
      </w:rPr>
      <w:instrText xml:space="preserve">PAGE  </w:instrText>
    </w:r>
    <w:r>
      <w:rPr>
        <w:rStyle w:val="PageNumber"/>
      </w:rPr>
      <w:fldChar w:fldCharType="end"/>
    </w:r>
  </w:p>
  <w:p w:rsidR="00462B8F" w:rsidRDefault="00462B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B8F" w:rsidRDefault="001267E5" w:rsidP="0099128C">
    <w:pPr>
      <w:pStyle w:val="Footer"/>
      <w:framePr w:wrap="around" w:vAnchor="text" w:hAnchor="margin" w:xAlign="right" w:y="1"/>
      <w:rPr>
        <w:rStyle w:val="PageNumber"/>
        <w:sz w:val="20"/>
      </w:rPr>
    </w:pPr>
    <w:r>
      <w:rPr>
        <w:rStyle w:val="PageNumber"/>
        <w:sz w:val="20"/>
      </w:rPr>
      <w:fldChar w:fldCharType="begin"/>
    </w:r>
    <w:r w:rsidR="00462B8F">
      <w:rPr>
        <w:rStyle w:val="PageNumber"/>
        <w:sz w:val="20"/>
      </w:rPr>
      <w:instrText xml:space="preserve">PAGE  </w:instrText>
    </w:r>
    <w:r>
      <w:rPr>
        <w:rStyle w:val="PageNumber"/>
        <w:sz w:val="20"/>
      </w:rPr>
      <w:fldChar w:fldCharType="separate"/>
    </w:r>
    <w:r w:rsidR="00E376B9">
      <w:rPr>
        <w:rStyle w:val="PageNumber"/>
        <w:noProof/>
        <w:sz w:val="20"/>
      </w:rPr>
      <w:t>1</w:t>
    </w:r>
    <w:r>
      <w:rPr>
        <w:rStyle w:val="PageNumber"/>
        <w:sz w:val="20"/>
      </w:rPr>
      <w:fldChar w:fldCharType="end"/>
    </w:r>
  </w:p>
  <w:p w:rsidR="00462B8F" w:rsidRDefault="00462B8F" w:rsidP="002A0791">
    <w:pPr>
      <w:pStyle w:val="Footer"/>
      <w:ind w:left="-540" w:right="360"/>
      <w:rPr>
        <w:color w:val="999999"/>
        <w:sz w:val="16"/>
      </w:rPr>
    </w:pPr>
    <w:r>
      <w:rPr>
        <w:color w:val="999999"/>
        <w:sz w:val="16"/>
      </w:rPr>
      <w:t xml:space="preserve">                      </w:t>
    </w:r>
  </w:p>
  <w:p w:rsidR="00462B8F" w:rsidRPr="00462B8F" w:rsidRDefault="00462B8F" w:rsidP="00A63AFB">
    <w:pPr>
      <w:pStyle w:val="Footer"/>
      <w:ind w:left="-540"/>
      <w:rPr>
        <w:color w:val="999999"/>
        <w:sz w:val="16"/>
      </w:rPr>
    </w:pPr>
    <w:r>
      <w:rPr>
        <w:color w:val="999999"/>
        <w:sz w:val="16"/>
      </w:rPr>
      <w:t>GEF-5 PIF Template-December</w:t>
    </w:r>
    <w:r>
      <w:rPr>
        <w:b/>
        <w:color w:val="999999"/>
        <w:sz w:val="16"/>
      </w:rPr>
      <w:t xml:space="preserve"> </w:t>
    </w:r>
    <w:r w:rsidR="00585087">
      <w:rPr>
        <w:b/>
        <w:color w:val="999999"/>
        <w:sz w:val="16"/>
      </w:rPr>
      <w:t>27</w:t>
    </w:r>
    <w:r w:rsidR="00037D23">
      <w:rPr>
        <w:b/>
        <w:color w:val="999999"/>
        <w:sz w:val="16"/>
      </w:rPr>
      <w:t xml:space="preserve">, </w:t>
    </w:r>
    <w:r>
      <w:rPr>
        <w:b/>
        <w:color w:val="999999"/>
        <w:sz w:val="16"/>
      </w:rPr>
      <w:t>2012</w:t>
    </w:r>
  </w:p>
  <w:p w:rsidR="00462B8F" w:rsidRDefault="00462B8F" w:rsidP="00A63AFB">
    <w:pPr>
      <w:pStyle w:val="Footer"/>
      <w:ind w:left="-540"/>
    </w:pPr>
  </w:p>
  <w:p w:rsidR="00462B8F" w:rsidRDefault="00462B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386" w:rsidRDefault="000C2386">
      <w:r>
        <w:separator/>
      </w:r>
    </w:p>
  </w:footnote>
  <w:footnote w:type="continuationSeparator" w:id="0">
    <w:p w:rsidR="000C2386" w:rsidRDefault="000C2386">
      <w:r>
        <w:continuationSeparator/>
      </w:r>
    </w:p>
  </w:footnote>
  <w:footnote w:id="1">
    <w:p w:rsidR="00FF5774" w:rsidRDefault="00FF5774">
      <w:pPr>
        <w:pStyle w:val="FootnoteText"/>
      </w:pPr>
      <w:r>
        <w:rPr>
          <w:rStyle w:val="FootnoteReference"/>
        </w:rPr>
        <w:footnoteRef/>
      </w:r>
      <w:r>
        <w:t xml:space="preserve"> </w:t>
      </w:r>
      <w:r w:rsidRPr="00B6558B">
        <w:rPr>
          <w:color w:val="000000"/>
          <w:sz w:val="16"/>
          <w:szCs w:val="16"/>
        </w:rPr>
        <w:t>Project ID number will be assigned by GEFSEC</w:t>
      </w:r>
      <w:r w:rsidRPr="00B6558B">
        <w:rPr>
          <w:color w:val="000000"/>
          <w:sz w:val="18"/>
          <w:szCs w:val="18"/>
        </w:rPr>
        <w:t>.</w:t>
      </w:r>
    </w:p>
  </w:footnote>
  <w:footnote w:id="2">
    <w:p w:rsidR="00FF5774" w:rsidRDefault="00FF5774">
      <w:pPr>
        <w:pStyle w:val="FootnoteText"/>
      </w:pPr>
      <w:r>
        <w:rPr>
          <w:rStyle w:val="FootnoteReference"/>
        </w:rPr>
        <w:footnoteRef/>
      </w:r>
      <w:r>
        <w:t xml:space="preserve"> </w:t>
      </w:r>
      <w:r w:rsidRPr="00B6558B">
        <w:rPr>
          <w:sz w:val="18"/>
          <w:szCs w:val="18"/>
        </w:rPr>
        <w:t xml:space="preserve">Refer to the reference attached on the </w:t>
      </w:r>
      <w:hyperlink r:id="rId1" w:history="1">
        <w:r w:rsidRPr="00B6558B">
          <w:rPr>
            <w:rStyle w:val="Hyperlink"/>
            <w:sz w:val="18"/>
            <w:szCs w:val="18"/>
          </w:rPr>
          <w:t>Focal Area Results Framework</w:t>
        </w:r>
      </w:hyperlink>
      <w:r w:rsidRPr="00B6558B">
        <w:rPr>
          <w:sz w:val="18"/>
          <w:szCs w:val="18"/>
        </w:rPr>
        <w:t xml:space="preserve"> when completing Table A.</w:t>
      </w:r>
    </w:p>
  </w:footnote>
  <w:footnote w:id="3">
    <w:p w:rsidR="00FA2181" w:rsidRPr="000F6BC6" w:rsidRDefault="00FA2181" w:rsidP="00FA2181">
      <w:pPr>
        <w:pStyle w:val="FootnoteText"/>
        <w:rPr>
          <w:sz w:val="18"/>
          <w:szCs w:val="16"/>
        </w:rPr>
      </w:pPr>
      <w:r w:rsidRPr="000F6BC6">
        <w:rPr>
          <w:rStyle w:val="FootnoteReference"/>
          <w:sz w:val="18"/>
          <w:szCs w:val="16"/>
        </w:rPr>
        <w:footnoteRef/>
      </w:r>
      <w:r w:rsidRPr="000F6BC6">
        <w:rPr>
          <w:sz w:val="18"/>
          <w:szCs w:val="16"/>
        </w:rPr>
        <w:t xml:space="preserve"> Supply chain management practices and strategies that reduce the environmental and energy footprint of freight distribution</w:t>
      </w:r>
      <w:r>
        <w:rPr>
          <w:sz w:val="18"/>
          <w:szCs w:val="16"/>
        </w:rPr>
        <w:t xml:space="preserve">, and focuses </w:t>
      </w:r>
      <w:r w:rsidRPr="000F6BC6">
        <w:rPr>
          <w:sz w:val="18"/>
          <w:szCs w:val="16"/>
        </w:rPr>
        <w:t xml:space="preserve">on material handling, waste management, packaging and </w:t>
      </w:r>
      <w:r>
        <w:rPr>
          <w:sz w:val="18"/>
          <w:szCs w:val="16"/>
        </w:rPr>
        <w:t xml:space="preserve">physical distribution (i.e., freight </w:t>
      </w:r>
      <w:r w:rsidRPr="000F6BC6">
        <w:rPr>
          <w:sz w:val="18"/>
          <w:szCs w:val="16"/>
        </w:rPr>
        <w:t>transport</w:t>
      </w:r>
      <w:r>
        <w:rPr>
          <w:sz w:val="18"/>
          <w:szCs w:val="16"/>
        </w:rPr>
        <w:t>)</w:t>
      </w:r>
      <w:r w:rsidRPr="000F6BC6">
        <w:rPr>
          <w:sz w:val="18"/>
          <w:szCs w:val="16"/>
        </w:rPr>
        <w:t>.</w:t>
      </w:r>
    </w:p>
  </w:footnote>
  <w:footnote w:id="4">
    <w:p w:rsidR="00FF5774" w:rsidRDefault="00FF5774">
      <w:pPr>
        <w:pStyle w:val="FootnoteText"/>
      </w:pPr>
      <w:r w:rsidRPr="00FF5774">
        <w:rPr>
          <w:rStyle w:val="FootnoteReference"/>
          <w:sz w:val="18"/>
        </w:rPr>
        <w:footnoteRef/>
      </w:r>
      <w:r w:rsidRPr="00FF5774">
        <w:rPr>
          <w:sz w:val="18"/>
        </w:rPr>
        <w:t xml:space="preserve"> TA includes capacity building, and research and development</w:t>
      </w:r>
    </w:p>
  </w:footnote>
  <w:footnote w:id="5">
    <w:p w:rsidR="00BC717F" w:rsidRDefault="00BC717F">
      <w:pPr>
        <w:pStyle w:val="FootnoteText"/>
      </w:pPr>
      <w:r>
        <w:rPr>
          <w:rStyle w:val="FootnoteReference"/>
        </w:rPr>
        <w:footnoteRef/>
      </w:r>
      <w:r>
        <w:t xml:space="preserve"> Potentially covering materials and facilities management and physical distribution for the government and logistics industry</w:t>
      </w:r>
    </w:p>
  </w:footnote>
  <w:footnote w:id="6">
    <w:p w:rsidR="00BC717F" w:rsidRDefault="00BC717F">
      <w:pPr>
        <w:pStyle w:val="FootnoteText"/>
      </w:pPr>
      <w:r>
        <w:rPr>
          <w:rStyle w:val="FootnoteReference"/>
        </w:rPr>
        <w:footnoteRef/>
      </w:r>
      <w:r>
        <w:t xml:space="preserve"> </w:t>
      </w:r>
      <w:r w:rsidRPr="00B6558B">
        <w:t>To be calculated as percent of subtotal.</w:t>
      </w:r>
    </w:p>
  </w:footnote>
  <w:footnote w:id="7">
    <w:p w:rsidR="00462B8F" w:rsidRPr="008228CC" w:rsidRDefault="00462B8F" w:rsidP="008228CC">
      <w:pPr>
        <w:pStyle w:val="Footer"/>
        <w:rPr>
          <w:sz w:val="18"/>
          <w:szCs w:val="18"/>
        </w:rPr>
      </w:pPr>
      <w:r w:rsidRPr="008228CC">
        <w:rPr>
          <w:rStyle w:val="FootnoteReference"/>
          <w:sz w:val="18"/>
          <w:szCs w:val="18"/>
        </w:rPr>
        <w:footnoteRef/>
      </w:r>
      <w:r w:rsidRPr="008228CC">
        <w:rPr>
          <w:sz w:val="18"/>
          <w:szCs w:val="18"/>
        </w:rPr>
        <w:t xml:space="preserve">  On an exceptional basis, PPG amount may differ upon detailed discussion and justification with the GEFSEC.</w:t>
      </w:r>
    </w:p>
  </w:footnote>
  <w:footnote w:id="8">
    <w:p w:rsidR="00585087" w:rsidRPr="008228CC" w:rsidRDefault="00585087" w:rsidP="008228CC">
      <w:pPr>
        <w:pStyle w:val="FootnoteText"/>
        <w:rPr>
          <w:sz w:val="18"/>
          <w:szCs w:val="18"/>
        </w:rPr>
      </w:pPr>
      <w:r w:rsidRPr="008228CC">
        <w:rPr>
          <w:rStyle w:val="FootnoteReference"/>
          <w:sz w:val="18"/>
          <w:szCs w:val="18"/>
        </w:rPr>
        <w:footnoteRef/>
      </w:r>
      <w:r w:rsidRPr="008228CC">
        <w:rPr>
          <w:sz w:val="18"/>
          <w:szCs w:val="18"/>
        </w:rPr>
        <w:t xml:space="preserve">   PPG fee percentage follows the percentage of the GEF Project Grant amount requested.</w:t>
      </w:r>
    </w:p>
  </w:footnote>
  <w:footnote w:id="9">
    <w:p w:rsidR="002F617F" w:rsidRDefault="002F617F" w:rsidP="002F617F">
      <w:pPr>
        <w:pStyle w:val="FootnoteText"/>
      </w:pPr>
      <w:r w:rsidRPr="002F617F">
        <w:rPr>
          <w:rStyle w:val="FootnoteReference"/>
          <w:sz w:val="18"/>
        </w:rPr>
        <w:footnoteRef/>
      </w:r>
      <w:r w:rsidRPr="002F617F">
        <w:rPr>
          <w:sz w:val="18"/>
        </w:rPr>
        <w:t xml:space="preserve"> </w:t>
      </w:r>
      <w:r>
        <w:rPr>
          <w:sz w:val="18"/>
        </w:rPr>
        <w:t xml:space="preserve">From various </w:t>
      </w:r>
      <w:r w:rsidRPr="002F617F">
        <w:rPr>
          <w:sz w:val="18"/>
        </w:rPr>
        <w:t>news articles in the Green Freight website (</w:t>
      </w:r>
      <w:hyperlink r:id="rId2" w:history="1">
        <w:r w:rsidRPr="00D6443B">
          <w:rPr>
            <w:rStyle w:val="Hyperlink"/>
            <w:sz w:val="18"/>
          </w:rPr>
          <w:t>http://www.greenfreightandlogistics.org/</w:t>
        </w:r>
      </w:hyperlink>
      <w:r w:rsidRPr="002F617F">
        <w:rPr>
          <w:sz w:val="18"/>
        </w:rPr>
        <w:t>)</w:t>
      </w:r>
      <w:r w:rsidR="00094734">
        <w:rPr>
          <w:sz w:val="18"/>
        </w:rPr>
        <w:t>;</w:t>
      </w:r>
      <w:r>
        <w:rPr>
          <w:sz w:val="18"/>
        </w:rPr>
        <w:t xml:space="preserve"> </w:t>
      </w:r>
      <w:r w:rsidRPr="002F617F">
        <w:rPr>
          <w:sz w:val="18"/>
        </w:rPr>
        <w:t>CAI-Asia China Office</w:t>
      </w:r>
      <w:r>
        <w:rPr>
          <w:sz w:val="18"/>
        </w:rPr>
        <w:t xml:space="preserve">, </w:t>
      </w:r>
      <w:r w:rsidRPr="002F617F">
        <w:rPr>
          <w:sz w:val="18"/>
        </w:rPr>
        <w:t xml:space="preserve">901A, </w:t>
      </w:r>
      <w:proofErr w:type="spellStart"/>
      <w:r w:rsidRPr="002F617F">
        <w:rPr>
          <w:sz w:val="18"/>
        </w:rPr>
        <w:t>Reignwood</w:t>
      </w:r>
      <w:proofErr w:type="spellEnd"/>
      <w:r w:rsidRPr="002F617F">
        <w:rPr>
          <w:sz w:val="18"/>
        </w:rPr>
        <w:t xml:space="preserve"> Building</w:t>
      </w:r>
      <w:r>
        <w:rPr>
          <w:sz w:val="18"/>
        </w:rPr>
        <w:t xml:space="preserve">, </w:t>
      </w:r>
      <w:r w:rsidRPr="002F617F">
        <w:rPr>
          <w:sz w:val="18"/>
        </w:rPr>
        <w:t xml:space="preserve">No.8 </w:t>
      </w:r>
      <w:proofErr w:type="spellStart"/>
      <w:r w:rsidR="000565C7" w:rsidRPr="002F617F">
        <w:rPr>
          <w:sz w:val="18"/>
        </w:rPr>
        <w:t>YongAn</w:t>
      </w:r>
      <w:proofErr w:type="spellEnd"/>
      <w:r w:rsidR="000565C7">
        <w:rPr>
          <w:sz w:val="18"/>
        </w:rPr>
        <w:t xml:space="preserve"> </w:t>
      </w:r>
      <w:proofErr w:type="spellStart"/>
      <w:r w:rsidR="000565C7" w:rsidRPr="002F617F">
        <w:rPr>
          <w:sz w:val="18"/>
        </w:rPr>
        <w:t>DongLi</w:t>
      </w:r>
      <w:proofErr w:type="spellEnd"/>
      <w:r>
        <w:rPr>
          <w:sz w:val="18"/>
        </w:rPr>
        <w:t xml:space="preserve">, </w:t>
      </w:r>
      <w:proofErr w:type="spellStart"/>
      <w:r w:rsidRPr="002F617F">
        <w:rPr>
          <w:sz w:val="18"/>
        </w:rPr>
        <w:t>Jianguomenwai</w:t>
      </w:r>
      <w:proofErr w:type="spellEnd"/>
      <w:r w:rsidRPr="002F617F">
        <w:rPr>
          <w:sz w:val="18"/>
        </w:rPr>
        <w:t xml:space="preserve"> Avenue</w:t>
      </w:r>
      <w:r>
        <w:rPr>
          <w:sz w:val="18"/>
        </w:rPr>
        <w:t xml:space="preserve">, </w:t>
      </w:r>
      <w:r w:rsidRPr="002F617F">
        <w:rPr>
          <w:sz w:val="18"/>
        </w:rPr>
        <w:t>Beijing 100022 China</w:t>
      </w:r>
      <w:r w:rsidR="00094734">
        <w:rPr>
          <w:sz w:val="18"/>
        </w:rPr>
        <w:t>;</w:t>
      </w:r>
      <w:r>
        <w:rPr>
          <w:sz w:val="18"/>
        </w:rPr>
        <w:t xml:space="preserve"> </w:t>
      </w:r>
      <w:hyperlink r:id="rId3" w:history="1">
        <w:r w:rsidR="00094734" w:rsidRPr="00D6443B">
          <w:rPr>
            <w:rStyle w:val="Hyperlink"/>
            <w:sz w:val="18"/>
          </w:rPr>
          <w:t>cpo@cai-asia.org</w:t>
        </w:r>
      </w:hyperlink>
      <w:r w:rsidR="00094734">
        <w:rPr>
          <w:sz w:val="18"/>
        </w:rPr>
        <w:t xml:space="preserve">. </w:t>
      </w:r>
      <w:r w:rsidR="000565C7">
        <w:rPr>
          <w:sz w:val="18"/>
        </w:rPr>
        <w:t xml:space="preserve">One of the reasons cited is the operations of </w:t>
      </w:r>
      <w:r w:rsidR="000565C7" w:rsidRPr="00094734">
        <w:rPr>
          <w:sz w:val="18"/>
        </w:rPr>
        <w:t>inefficient and imbalanced transport networks</w:t>
      </w:r>
      <w:r w:rsidR="000565C7">
        <w:rPr>
          <w:sz w:val="18"/>
        </w:rPr>
        <w:t xml:space="preserve"> that do not make use of </w:t>
      </w:r>
      <w:r w:rsidR="000565C7" w:rsidRPr="00094734">
        <w:rPr>
          <w:sz w:val="18"/>
        </w:rPr>
        <w:t>trans-regional alliances to help improve supply chain coordination</w:t>
      </w:r>
      <w:r w:rsidR="000565C7">
        <w:rPr>
          <w:sz w:val="18"/>
        </w:rPr>
        <w:t>, and o</w:t>
      </w:r>
      <w:r w:rsidR="000565C7" w:rsidRPr="00094734">
        <w:rPr>
          <w:sz w:val="18"/>
        </w:rPr>
        <w:t>ffer more integrated services, including returnable packaging and multi</w:t>
      </w:r>
      <w:r w:rsidR="000565C7">
        <w:rPr>
          <w:sz w:val="18"/>
        </w:rPr>
        <w:t>-</w:t>
      </w:r>
      <w:r w:rsidR="000565C7" w:rsidRPr="00094734">
        <w:rPr>
          <w:sz w:val="18"/>
        </w:rPr>
        <w:t>modal transport.</w:t>
      </w:r>
    </w:p>
  </w:footnote>
  <w:footnote w:id="10">
    <w:p w:rsidR="004A5269" w:rsidRDefault="004A5269" w:rsidP="004A5269">
      <w:pPr>
        <w:pStyle w:val="FootnoteText"/>
      </w:pPr>
      <w:r>
        <w:rPr>
          <w:rStyle w:val="FootnoteReference"/>
          <w:sz w:val="18"/>
        </w:rPr>
        <w:footnoteRef/>
      </w:r>
      <w:r>
        <w:rPr>
          <w:sz w:val="18"/>
        </w:rPr>
        <w:t xml:space="preserve"> Physical distribution (freight transport) accounts for typically 50% of the overall cost. Bulk of this cost is for energy use. The next big cost item is inventory carrying (which cover warehousing, cold storage, packaging, waste recycling/reuse), and much of this is for energy used in these material management logistics activities. Higher energy consumption from these 2 major logistics activities translates to higher GHG emissions from the logistics industry.</w:t>
      </w:r>
    </w:p>
  </w:footnote>
  <w:footnote w:id="11">
    <w:p w:rsidR="002F617F" w:rsidRPr="002F617F" w:rsidRDefault="002F617F">
      <w:pPr>
        <w:pStyle w:val="FootnoteText"/>
        <w:rPr>
          <w:sz w:val="18"/>
        </w:rPr>
      </w:pPr>
      <w:r w:rsidRPr="002F617F">
        <w:rPr>
          <w:rStyle w:val="FootnoteReference"/>
          <w:sz w:val="18"/>
        </w:rPr>
        <w:footnoteRef/>
      </w:r>
      <w:r w:rsidRPr="002F617F">
        <w:rPr>
          <w:sz w:val="18"/>
        </w:rPr>
        <w:t xml:space="preserve"> </w:t>
      </w:r>
      <w:r>
        <w:rPr>
          <w:sz w:val="18"/>
        </w:rPr>
        <w:t>This can comprise of p</w:t>
      </w:r>
      <w:r w:rsidRPr="002F617F">
        <w:rPr>
          <w:sz w:val="18"/>
        </w:rPr>
        <w:t xml:space="preserve">rivate </w:t>
      </w:r>
      <w:r>
        <w:rPr>
          <w:sz w:val="18"/>
        </w:rPr>
        <w:t>freight transport c</w:t>
      </w:r>
      <w:r w:rsidRPr="002F617F">
        <w:rPr>
          <w:sz w:val="18"/>
        </w:rPr>
        <w:t xml:space="preserve">ompanies </w:t>
      </w:r>
      <w:r>
        <w:rPr>
          <w:sz w:val="18"/>
        </w:rPr>
        <w:t xml:space="preserve">that employ advance logistic tracking and monitoring </w:t>
      </w:r>
      <w:r w:rsidRPr="002F617F">
        <w:rPr>
          <w:sz w:val="18"/>
        </w:rPr>
        <w:t>technologies</w:t>
      </w:r>
      <w:r w:rsidR="000565C7">
        <w:rPr>
          <w:sz w:val="18"/>
        </w:rPr>
        <w:t xml:space="preserve"> that can serve the product (raw materials and finished goods) transport of various industrial companies</w:t>
      </w:r>
      <w:r>
        <w:rPr>
          <w:sz w:val="18"/>
        </w:rPr>
        <w:t>.</w:t>
      </w:r>
      <w:r w:rsidR="000565C7">
        <w:rPr>
          <w:sz w:val="18"/>
        </w:rPr>
        <w:t xml:space="preserve"> </w:t>
      </w:r>
      <w:r w:rsidR="00D00368">
        <w:rPr>
          <w:sz w:val="18"/>
        </w:rPr>
        <w:t>This can contribute to ensuring that trucks are optimally used during both off-bound and in-bound legs of the trip, thereby significantly reducing instances of empty loads.</w:t>
      </w:r>
    </w:p>
  </w:footnote>
  <w:footnote w:id="12">
    <w:p w:rsidR="004323EA" w:rsidRDefault="004323EA">
      <w:pPr>
        <w:pStyle w:val="FootnoteText"/>
      </w:pPr>
      <w:r w:rsidRPr="006B6241">
        <w:rPr>
          <w:rStyle w:val="FootnoteReference"/>
          <w:sz w:val="18"/>
        </w:rPr>
        <w:footnoteRef/>
      </w:r>
      <w:r w:rsidRPr="006B6241">
        <w:rPr>
          <w:sz w:val="18"/>
        </w:rPr>
        <w:t xml:space="preserve"> This research work will produce a compendium of various energy conservation, energy efficiency and environment conserving measures, techniques, and practices that have been developed and implemented in various countries. Such measures, techniques and practices shall be in the materials management and physical distribution operations in the logistics industry in various</w:t>
      </w:r>
      <w:r w:rsidR="005D0F72" w:rsidRPr="006B6241">
        <w:rPr>
          <w:sz w:val="18"/>
        </w:rPr>
        <w:t xml:space="preserve"> countries that have significant trade relations with China,</w:t>
      </w:r>
      <w:r w:rsidRPr="006B6241">
        <w:rPr>
          <w:sz w:val="18"/>
        </w:rPr>
        <w:t xml:space="preserve"> </w:t>
      </w:r>
      <w:r w:rsidR="005D0F72" w:rsidRPr="006B6241">
        <w:rPr>
          <w:sz w:val="18"/>
        </w:rPr>
        <w:t xml:space="preserve">particularly developing </w:t>
      </w:r>
      <w:r w:rsidRPr="006B6241">
        <w:rPr>
          <w:sz w:val="18"/>
        </w:rPr>
        <w:t>countries</w:t>
      </w:r>
      <w:r w:rsidR="005D0F72" w:rsidRPr="006B6241">
        <w:rPr>
          <w:sz w:val="18"/>
        </w:rPr>
        <w:t xml:space="preserve"> whose economic growth is similar to the country</w:t>
      </w:r>
      <w:r w:rsidRPr="006B6241">
        <w:rPr>
          <w:sz w:val="18"/>
        </w:rPr>
        <w:t xml:space="preserve">. Among the information that will be covered </w:t>
      </w:r>
      <w:r w:rsidR="005D0F72" w:rsidRPr="006B6241">
        <w:rPr>
          <w:sz w:val="18"/>
        </w:rPr>
        <w:t>include</w:t>
      </w:r>
      <w:r w:rsidRPr="006B6241">
        <w:rPr>
          <w:sz w:val="18"/>
        </w:rPr>
        <w:t xml:space="preserve">: (a) </w:t>
      </w:r>
      <w:r w:rsidR="005D0F72" w:rsidRPr="006B6241">
        <w:rPr>
          <w:sz w:val="18"/>
        </w:rPr>
        <w:t xml:space="preserve">green logistics </w:t>
      </w:r>
      <w:r w:rsidR="00A66BCA" w:rsidRPr="006B6241">
        <w:rPr>
          <w:sz w:val="18"/>
        </w:rPr>
        <w:t xml:space="preserve">technology or process descriptions, </w:t>
      </w:r>
      <w:r w:rsidRPr="006B6241">
        <w:rPr>
          <w:sz w:val="18"/>
        </w:rPr>
        <w:t>specific energy consumption</w:t>
      </w:r>
      <w:r w:rsidR="00A66BCA" w:rsidRPr="006B6241">
        <w:rPr>
          <w:sz w:val="18"/>
        </w:rPr>
        <w:t xml:space="preserve"> of such technologies/processes, investments costs involved, energy utilization and cost </w:t>
      </w:r>
      <w:r w:rsidRPr="006B6241">
        <w:rPr>
          <w:sz w:val="18"/>
        </w:rPr>
        <w:t>performances</w:t>
      </w:r>
      <w:r w:rsidR="00A66BCA" w:rsidRPr="006B6241">
        <w:rPr>
          <w:sz w:val="18"/>
        </w:rPr>
        <w:t>, economic/financial performance, specific support policies and regulations, lessons learned (successful, less successful, and bad), etc. This is for the purpose of guiding the policy makers in coming up with the necessary policy and institutional frameworks that will support the implementation of green logistics systems.</w:t>
      </w:r>
      <w:r w:rsidR="00A66BCA">
        <w:rPr>
          <w:sz w:val="18"/>
        </w:rPr>
        <w:t xml:space="preserve"> </w:t>
      </w:r>
      <w:r>
        <w:rPr>
          <w:sz w:val="18"/>
        </w:rPr>
        <w:t xml:space="preserve"> </w:t>
      </w:r>
      <w:r w:rsidRPr="004323EA">
        <w:rPr>
          <w:sz w:val="18"/>
        </w:rPr>
        <w:t xml:space="preserve"> </w:t>
      </w:r>
    </w:p>
  </w:footnote>
  <w:footnote w:id="13">
    <w:p w:rsidR="00C91944" w:rsidRPr="00C91944" w:rsidRDefault="00C91944" w:rsidP="00C91944">
      <w:pPr>
        <w:pStyle w:val="FootnoteText"/>
        <w:rPr>
          <w:sz w:val="18"/>
        </w:rPr>
      </w:pPr>
      <w:r w:rsidRPr="00C91944">
        <w:rPr>
          <w:rStyle w:val="FootnoteReference"/>
          <w:sz w:val="18"/>
        </w:rPr>
        <w:footnoteRef/>
      </w:r>
      <w:r w:rsidRPr="00C91944">
        <w:rPr>
          <w:sz w:val="18"/>
        </w:rPr>
        <w:t xml:space="preserve"> </w:t>
      </w:r>
      <w:r>
        <w:rPr>
          <w:sz w:val="18"/>
        </w:rPr>
        <w:t xml:space="preserve">This will be in coordination with the various stakeholders of the logistics and freight transport industries in cooperation with the provincial </w:t>
      </w:r>
      <w:r w:rsidRPr="00C91944">
        <w:rPr>
          <w:sz w:val="18"/>
        </w:rPr>
        <w:t>Development Reform Commission</w:t>
      </w:r>
      <w:r>
        <w:rPr>
          <w:sz w:val="18"/>
        </w:rPr>
        <w:t>s</w:t>
      </w:r>
      <w:r w:rsidRPr="00C91944">
        <w:rPr>
          <w:sz w:val="18"/>
        </w:rPr>
        <w:t xml:space="preserve"> </w:t>
      </w:r>
      <w:r>
        <w:rPr>
          <w:sz w:val="18"/>
        </w:rPr>
        <w:t>and where necessary also with the National Development Reform Commission (NDRC).</w:t>
      </w:r>
      <w:r w:rsidR="00430868">
        <w:rPr>
          <w:sz w:val="18"/>
        </w:rPr>
        <w:t xml:space="preserve"> </w:t>
      </w:r>
    </w:p>
    <w:p w:rsidR="00C91944" w:rsidRDefault="00C91944" w:rsidP="00C91944">
      <w:pPr>
        <w:pStyle w:val="FootnoteText"/>
      </w:pPr>
      <w:r w:rsidRPr="00C91944">
        <w:rPr>
          <w:sz w:val="18"/>
        </w:rPr>
        <w:t>.</w:t>
      </w:r>
    </w:p>
  </w:footnote>
  <w:footnote w:id="14">
    <w:p w:rsidR="00DA3EAF" w:rsidRDefault="00DA3EAF">
      <w:pPr>
        <w:pStyle w:val="FootnoteText"/>
      </w:pPr>
      <w:r w:rsidRPr="006B6241">
        <w:rPr>
          <w:rStyle w:val="FootnoteReference"/>
          <w:sz w:val="18"/>
        </w:rPr>
        <w:footnoteRef/>
      </w:r>
      <w:r w:rsidRPr="006B6241">
        <w:rPr>
          <w:sz w:val="18"/>
        </w:rPr>
        <w:t xml:space="preserve"> This will also include the performance of research on case studies of international best practices in green logistics in developed countries, as well as using the lessons-learned from the demonstrations. The focus of the case studies of international best practices in green logistics that can be emulated in China, and </w:t>
      </w:r>
      <w:r w:rsidR="005D0F72" w:rsidRPr="006B6241">
        <w:rPr>
          <w:sz w:val="18"/>
        </w:rPr>
        <w:t xml:space="preserve">is </w:t>
      </w:r>
      <w:r w:rsidRPr="006B6241">
        <w:rPr>
          <w:sz w:val="18"/>
        </w:rPr>
        <w:t>mainly for capacity development purposes.</w:t>
      </w:r>
      <w:r w:rsidR="005D0F72" w:rsidRPr="006B6241">
        <w:rPr>
          <w:sz w:val="18"/>
        </w:rPr>
        <w:t xml:space="preserve"> </w:t>
      </w:r>
      <w:r w:rsidR="00293530" w:rsidRPr="006B6241">
        <w:rPr>
          <w:sz w:val="18"/>
        </w:rPr>
        <w:t xml:space="preserve">These may include, among others the best practices in terms of sustainability, mobility, livability, global competiveness, efficiency (process/procedures), cost effectiveness, environmental friendliness, congestion alleviation, safety and security, energy conservation and energy efficiency, labor requirements and social impacts. </w:t>
      </w:r>
      <w:r w:rsidR="006278B9" w:rsidRPr="006B6241">
        <w:rPr>
          <w:sz w:val="18"/>
        </w:rPr>
        <w:t>These case studies will supplement the technical guidance document and web-based tools on green logistics that will be developed and disseminated to Chinese LSPs.</w:t>
      </w:r>
      <w:r w:rsidR="006278B9">
        <w:rPr>
          <w:sz w:val="18"/>
        </w:rPr>
        <w:t xml:space="preserve">  </w:t>
      </w:r>
    </w:p>
  </w:footnote>
  <w:footnote w:id="15">
    <w:p w:rsidR="00281E4C" w:rsidRDefault="00281E4C">
      <w:pPr>
        <w:pStyle w:val="FootnoteText"/>
      </w:pPr>
      <w:r w:rsidRPr="00281E4C">
        <w:rPr>
          <w:rStyle w:val="FootnoteReference"/>
          <w:sz w:val="18"/>
        </w:rPr>
        <w:footnoteRef/>
      </w:r>
      <w:r w:rsidRPr="00281E4C">
        <w:rPr>
          <w:sz w:val="18"/>
        </w:rPr>
        <w:t xml:space="preserve"> Th</w:t>
      </w:r>
      <w:r>
        <w:rPr>
          <w:sz w:val="18"/>
        </w:rPr>
        <w:t xml:space="preserve">e approximate </w:t>
      </w:r>
      <w:r w:rsidRPr="00281E4C">
        <w:rPr>
          <w:sz w:val="18"/>
        </w:rPr>
        <w:t>br</w:t>
      </w:r>
      <w:r>
        <w:rPr>
          <w:sz w:val="18"/>
        </w:rPr>
        <w:t xml:space="preserve">eakdown of CO2 emissions is </w:t>
      </w:r>
      <w:r w:rsidRPr="00281E4C">
        <w:rPr>
          <w:sz w:val="18"/>
        </w:rPr>
        <w:t xml:space="preserve">as follows: (a) 42.6% from large-sized trucks @ 31.9 </w:t>
      </w:r>
      <w:proofErr w:type="spellStart"/>
      <w:r w:rsidRPr="00281E4C">
        <w:rPr>
          <w:sz w:val="18"/>
        </w:rPr>
        <w:t>lits</w:t>
      </w:r>
      <w:proofErr w:type="spellEnd"/>
      <w:r w:rsidRPr="00281E4C">
        <w:rPr>
          <w:sz w:val="18"/>
        </w:rPr>
        <w:t xml:space="preserve">/100 </w:t>
      </w:r>
      <w:proofErr w:type="spellStart"/>
      <w:r w:rsidRPr="00281E4C">
        <w:rPr>
          <w:sz w:val="18"/>
        </w:rPr>
        <w:t>kms</w:t>
      </w:r>
      <w:proofErr w:type="spellEnd"/>
      <w:r w:rsidRPr="00281E4C">
        <w:rPr>
          <w:sz w:val="18"/>
        </w:rPr>
        <w:t xml:space="preserve"> (average 63,451 </w:t>
      </w:r>
      <w:proofErr w:type="spellStart"/>
      <w:r w:rsidRPr="00281E4C">
        <w:rPr>
          <w:sz w:val="18"/>
        </w:rPr>
        <w:t>kms</w:t>
      </w:r>
      <w:proofErr w:type="spellEnd"/>
      <w:r w:rsidRPr="00281E4C">
        <w:rPr>
          <w:sz w:val="18"/>
        </w:rPr>
        <w:t xml:space="preserve">/truck/yr); (b) 10.9% from medium-sized trucks @ 25.5 </w:t>
      </w:r>
      <w:proofErr w:type="spellStart"/>
      <w:r w:rsidRPr="00281E4C">
        <w:rPr>
          <w:sz w:val="18"/>
        </w:rPr>
        <w:t>lits</w:t>
      </w:r>
      <w:proofErr w:type="spellEnd"/>
      <w:r w:rsidRPr="00281E4C">
        <w:rPr>
          <w:sz w:val="18"/>
        </w:rPr>
        <w:t xml:space="preserve">/100 </w:t>
      </w:r>
      <w:proofErr w:type="spellStart"/>
      <w:r w:rsidRPr="00281E4C">
        <w:rPr>
          <w:sz w:val="18"/>
        </w:rPr>
        <w:t>kms</w:t>
      </w:r>
      <w:proofErr w:type="spellEnd"/>
      <w:r w:rsidRPr="00281E4C">
        <w:rPr>
          <w:sz w:val="18"/>
        </w:rPr>
        <w:t xml:space="preserve"> (average 64,953 </w:t>
      </w:r>
      <w:proofErr w:type="spellStart"/>
      <w:r w:rsidRPr="00281E4C">
        <w:rPr>
          <w:sz w:val="18"/>
        </w:rPr>
        <w:t>kms</w:t>
      </w:r>
      <w:proofErr w:type="spellEnd"/>
      <w:r w:rsidRPr="00281E4C">
        <w:rPr>
          <w:sz w:val="18"/>
        </w:rPr>
        <w:t xml:space="preserve">/truck/yr); and, (c) 46.5% from small-sized trucks @ 13.5 </w:t>
      </w:r>
      <w:proofErr w:type="spellStart"/>
      <w:r w:rsidRPr="00281E4C">
        <w:rPr>
          <w:sz w:val="18"/>
        </w:rPr>
        <w:t>lits</w:t>
      </w:r>
      <w:proofErr w:type="spellEnd"/>
      <w:r w:rsidRPr="00281E4C">
        <w:rPr>
          <w:sz w:val="18"/>
        </w:rPr>
        <w:t xml:space="preserve">/100 </w:t>
      </w:r>
      <w:proofErr w:type="spellStart"/>
      <w:r w:rsidRPr="00281E4C">
        <w:rPr>
          <w:sz w:val="18"/>
        </w:rPr>
        <w:t>kms</w:t>
      </w:r>
      <w:proofErr w:type="spellEnd"/>
      <w:r w:rsidRPr="00281E4C">
        <w:rPr>
          <w:sz w:val="18"/>
        </w:rPr>
        <w:t xml:space="preserve"> (average 40,947 </w:t>
      </w:r>
      <w:proofErr w:type="spellStart"/>
      <w:r w:rsidRPr="00281E4C">
        <w:rPr>
          <w:sz w:val="18"/>
        </w:rPr>
        <w:t>kms</w:t>
      </w:r>
      <w:proofErr w:type="spellEnd"/>
      <w:r w:rsidRPr="00281E4C">
        <w:rPr>
          <w:sz w:val="18"/>
        </w:rPr>
        <w:t xml:space="preserve">/truck/yr). Fuel is automotive diesel oil (2.67 </w:t>
      </w:r>
      <w:proofErr w:type="spellStart"/>
      <w:r w:rsidRPr="00281E4C">
        <w:rPr>
          <w:sz w:val="18"/>
        </w:rPr>
        <w:t>kgs</w:t>
      </w:r>
      <w:proofErr w:type="spellEnd"/>
      <w:r w:rsidRPr="00281E4C">
        <w:rPr>
          <w:sz w:val="18"/>
        </w:rPr>
        <w:t xml:space="preserve"> CO2/lit).</w:t>
      </w:r>
      <w:r>
        <w:rPr>
          <w:sz w:val="18"/>
        </w:rPr>
        <w:t xml:space="preserve"> Total truck population in Zhejiang Province as of 2012 is 794,381 comprising of </w:t>
      </w:r>
      <w:r w:rsidR="007A05E4">
        <w:rPr>
          <w:sz w:val="18"/>
        </w:rPr>
        <w:t xml:space="preserve">149,522 </w:t>
      </w:r>
      <w:r>
        <w:rPr>
          <w:sz w:val="18"/>
        </w:rPr>
        <w:t>large-sized trucks</w:t>
      </w:r>
      <w:r w:rsidR="007A05E4">
        <w:rPr>
          <w:sz w:val="18"/>
        </w:rPr>
        <w:t>;</w:t>
      </w:r>
      <w:r>
        <w:rPr>
          <w:sz w:val="18"/>
        </w:rPr>
        <w:t xml:space="preserve"> </w:t>
      </w:r>
      <w:r w:rsidR="007A05E4">
        <w:rPr>
          <w:sz w:val="18"/>
        </w:rPr>
        <w:t xml:space="preserve">46,836 </w:t>
      </w:r>
      <w:r>
        <w:rPr>
          <w:sz w:val="18"/>
        </w:rPr>
        <w:t>medium-sized trucks</w:t>
      </w:r>
      <w:r w:rsidR="007A05E4">
        <w:rPr>
          <w:sz w:val="18"/>
        </w:rPr>
        <w:t>;</w:t>
      </w:r>
      <w:r>
        <w:rPr>
          <w:sz w:val="18"/>
        </w:rPr>
        <w:t xml:space="preserve"> and</w:t>
      </w:r>
      <w:r w:rsidR="007A05E4">
        <w:rPr>
          <w:sz w:val="18"/>
        </w:rPr>
        <w:t>,</w:t>
      </w:r>
      <w:r>
        <w:rPr>
          <w:sz w:val="18"/>
        </w:rPr>
        <w:t xml:space="preserve"> </w:t>
      </w:r>
      <w:r w:rsidR="007A05E4">
        <w:rPr>
          <w:sz w:val="18"/>
        </w:rPr>
        <w:t xml:space="preserve">598,023 </w:t>
      </w:r>
      <w:r>
        <w:rPr>
          <w:sz w:val="18"/>
        </w:rPr>
        <w:t>small-sized trucks.</w:t>
      </w:r>
    </w:p>
  </w:footnote>
  <w:footnote w:id="16">
    <w:p w:rsidR="00F422DC" w:rsidRDefault="00F422DC">
      <w:pPr>
        <w:pStyle w:val="FootnoteText"/>
      </w:pPr>
      <w:r w:rsidRPr="006B6241">
        <w:rPr>
          <w:rStyle w:val="FootnoteReference"/>
          <w:sz w:val="18"/>
        </w:rPr>
        <w:footnoteRef/>
      </w:r>
      <w:r w:rsidRPr="006B6241">
        <w:rPr>
          <w:sz w:val="18"/>
        </w:rPr>
        <w:t xml:space="preserve"> The Zhejiang Provincial DRC, which is under the NDRC</w:t>
      </w:r>
      <w:r w:rsidR="00252A00" w:rsidRPr="006B6241">
        <w:rPr>
          <w:sz w:val="18"/>
        </w:rPr>
        <w:t>,</w:t>
      </w:r>
      <w:r w:rsidRPr="006B6241">
        <w:rPr>
          <w:sz w:val="18"/>
        </w:rPr>
        <w:t xml:space="preserve"> is the executing agency for this project. Through its direct linkage with the NDRC, the successful results of the various interventions (particularly the demonstrations), as well as the supporting frameworks, policies and regulations that will be developed and established under the project, as well as whatever best practices that will be generated and lessons learned from the project can be easily shared with other provinces. The NDRC, while not directly involved in the project, will facilitate potential application and replication of the green logistics technologies/techniques and practices that will be promoted under the project.</w:t>
      </w:r>
    </w:p>
  </w:footnote>
  <w:footnote w:id="17">
    <w:p w:rsidR="00F422DC" w:rsidRPr="00F422DC" w:rsidRDefault="00F422DC">
      <w:pPr>
        <w:pStyle w:val="FootnoteText"/>
        <w:rPr>
          <w:sz w:val="18"/>
          <w:szCs w:val="18"/>
        </w:rPr>
      </w:pPr>
      <w:r w:rsidRPr="00F422DC">
        <w:rPr>
          <w:rStyle w:val="FootnoteReference"/>
          <w:sz w:val="18"/>
          <w:szCs w:val="18"/>
        </w:rPr>
        <w:footnoteRef/>
      </w:r>
      <w:r w:rsidRPr="00F422DC">
        <w:rPr>
          <w:sz w:val="18"/>
          <w:szCs w:val="18"/>
        </w:rPr>
        <w:t xml:space="preserve"> This is to curb the high energy consumptions and high GHG emissions from energy consuming industries, such as the logistics industry. This will involve reasonably controlling the total energy consumption and enhancing the energy use management in industry, construction, transportation, public institutions, urban and rural construction as well as consumption sectors; enhancing energy conservation management of major energy consumers; enabling enterprises take up energy-saving and low-carbon actions.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0D8"/>
    <w:multiLevelType w:val="hybridMultilevel"/>
    <w:tmpl w:val="2606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635DB"/>
    <w:multiLevelType w:val="hybridMultilevel"/>
    <w:tmpl w:val="8B409598"/>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23502"/>
    <w:multiLevelType w:val="hybridMultilevel"/>
    <w:tmpl w:val="89FAD2A8"/>
    <w:lvl w:ilvl="0" w:tplc="6A24784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F705A"/>
    <w:multiLevelType w:val="hybridMultilevel"/>
    <w:tmpl w:val="EDE02A6C"/>
    <w:lvl w:ilvl="0" w:tplc="D8946898">
      <w:start w:val="2"/>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134F7"/>
    <w:multiLevelType w:val="hybridMultilevel"/>
    <w:tmpl w:val="63F8A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407AEC"/>
    <w:multiLevelType w:val="hybridMultilevel"/>
    <w:tmpl w:val="FCD663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0B5D1F45"/>
    <w:multiLevelType w:val="hybridMultilevel"/>
    <w:tmpl w:val="E3EED1B2"/>
    <w:lvl w:ilvl="0" w:tplc="43C2EDC0">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37DE4"/>
    <w:multiLevelType w:val="hybridMultilevel"/>
    <w:tmpl w:val="CC84A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B13835"/>
    <w:multiLevelType w:val="hybridMultilevel"/>
    <w:tmpl w:val="072EB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C14D3F"/>
    <w:multiLevelType w:val="hybridMultilevel"/>
    <w:tmpl w:val="BE425E4C"/>
    <w:lvl w:ilvl="0" w:tplc="21DA1A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EDB1F61"/>
    <w:multiLevelType w:val="multilevel"/>
    <w:tmpl w:val="FD36B2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2946E8E"/>
    <w:multiLevelType w:val="hybridMultilevel"/>
    <w:tmpl w:val="507E4F7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3">
    <w:nsid w:val="12E45DA1"/>
    <w:multiLevelType w:val="hybridMultilevel"/>
    <w:tmpl w:val="4C6E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43A113C"/>
    <w:multiLevelType w:val="hybridMultilevel"/>
    <w:tmpl w:val="A83484DC"/>
    <w:lvl w:ilvl="0" w:tplc="04090001">
      <w:start w:val="1"/>
      <w:numFmt w:val="bullet"/>
      <w:lvlText w:val=""/>
      <w:lvlJc w:val="left"/>
      <w:pPr>
        <w:ind w:left="720" w:hanging="360"/>
      </w:pPr>
      <w:rPr>
        <w:rFonts w:ascii="Symbol" w:hAnsi="Symbol" w:hint="default"/>
      </w:rPr>
    </w:lvl>
    <w:lvl w:ilvl="1" w:tplc="04090003">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51B1E"/>
    <w:multiLevelType w:val="hybridMultilevel"/>
    <w:tmpl w:val="F86E4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CA60A4"/>
    <w:multiLevelType w:val="hybridMultilevel"/>
    <w:tmpl w:val="8CB8144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354F5CBC"/>
    <w:multiLevelType w:val="hybridMultilevel"/>
    <w:tmpl w:val="D408CF3E"/>
    <w:lvl w:ilvl="0" w:tplc="2EF4B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05F67"/>
    <w:multiLevelType w:val="hybridMultilevel"/>
    <w:tmpl w:val="DA84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64305"/>
    <w:multiLevelType w:val="hybridMultilevel"/>
    <w:tmpl w:val="F1642F2E"/>
    <w:lvl w:ilvl="0" w:tplc="9BC0A3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820E35"/>
    <w:multiLevelType w:val="hybridMultilevel"/>
    <w:tmpl w:val="E59412CA"/>
    <w:lvl w:ilvl="0" w:tplc="13E82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8F2AC0"/>
    <w:multiLevelType w:val="hybridMultilevel"/>
    <w:tmpl w:val="9B1E5E1C"/>
    <w:lvl w:ilvl="0" w:tplc="E498345C">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nsid w:val="473E6ABD"/>
    <w:multiLevelType w:val="hybridMultilevel"/>
    <w:tmpl w:val="6F6A9A2C"/>
    <w:lvl w:ilvl="0" w:tplc="8CC28700">
      <w:start w:val="1"/>
      <w:numFmt w:val="upperLetter"/>
      <w:lvlText w:val="%1."/>
      <w:lvlJc w:val="left"/>
      <w:pPr>
        <w:ind w:left="-180" w:hanging="360"/>
      </w:pPr>
      <w:rPr>
        <w:rFonts w:hint="default"/>
        <w:sz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nsid w:val="4D562ADA"/>
    <w:multiLevelType w:val="hybridMultilevel"/>
    <w:tmpl w:val="AC28F7A8"/>
    <w:lvl w:ilvl="0" w:tplc="0409000B">
      <w:start w:val="3"/>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55D634AC"/>
    <w:multiLevelType w:val="hybridMultilevel"/>
    <w:tmpl w:val="CB6227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7E24244"/>
    <w:multiLevelType w:val="hybridMultilevel"/>
    <w:tmpl w:val="D67A824A"/>
    <w:lvl w:ilvl="0" w:tplc="A6326BF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B1F0871"/>
    <w:multiLevelType w:val="hybridMultilevel"/>
    <w:tmpl w:val="A4303BA6"/>
    <w:lvl w:ilvl="0" w:tplc="04090015">
      <w:start w:val="1"/>
      <w:numFmt w:val="bullet"/>
      <w:lvlText w:val=""/>
      <w:lvlJc w:val="left"/>
      <w:pPr>
        <w:tabs>
          <w:tab w:val="num" w:pos="360"/>
        </w:tabs>
        <w:ind w:left="360" w:hanging="360"/>
      </w:pPr>
      <w:rPr>
        <w:rFonts w:ascii="Symbol" w:hAnsi="Symbol" w:hint="default"/>
        <w:sz w:val="20"/>
      </w:rPr>
    </w:lvl>
    <w:lvl w:ilvl="1" w:tplc="04090019" w:tentative="1">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7">
    <w:nsid w:val="5DCB0398"/>
    <w:multiLevelType w:val="hybridMultilevel"/>
    <w:tmpl w:val="D4B6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EC339C"/>
    <w:multiLevelType w:val="hybridMultilevel"/>
    <w:tmpl w:val="0F9AC870"/>
    <w:lvl w:ilvl="0" w:tplc="EA3EE1E0">
      <w:start w:val="2"/>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6F6A1C"/>
    <w:multiLevelType w:val="hybridMultilevel"/>
    <w:tmpl w:val="05D06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AB853E1"/>
    <w:multiLevelType w:val="hybridMultilevel"/>
    <w:tmpl w:val="561CC2E4"/>
    <w:lvl w:ilvl="0" w:tplc="FFFFFFFF">
      <w:start w:val="1"/>
      <w:numFmt w:val="upp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6DBD41ED"/>
    <w:multiLevelType w:val="hybridMultilevel"/>
    <w:tmpl w:val="AA029BA8"/>
    <w:lvl w:ilvl="0" w:tplc="04090015">
      <w:start w:val="1"/>
      <w:numFmt w:val="bullet"/>
      <w:lvlText w:val=""/>
      <w:lvlJc w:val="left"/>
      <w:pPr>
        <w:ind w:left="780" w:hanging="360"/>
      </w:pPr>
      <w:rPr>
        <w:rFonts w:ascii="Symbol" w:hAnsi="Symbol" w:hint="default"/>
      </w:rPr>
    </w:lvl>
    <w:lvl w:ilvl="1" w:tplc="04090019" w:tentative="1">
      <w:start w:val="1"/>
      <w:numFmt w:val="bullet"/>
      <w:lvlText w:val="o"/>
      <w:lvlJc w:val="left"/>
      <w:pPr>
        <w:ind w:left="1500" w:hanging="360"/>
      </w:pPr>
      <w:rPr>
        <w:rFonts w:ascii="Courier New" w:hAnsi="Courier New" w:cs="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cs="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cs="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32">
    <w:nsid w:val="719F2242"/>
    <w:multiLevelType w:val="hybridMultilevel"/>
    <w:tmpl w:val="DA78A7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0D1A5D"/>
    <w:multiLevelType w:val="hybridMultilevel"/>
    <w:tmpl w:val="3A28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AE03E8"/>
    <w:multiLevelType w:val="hybridMultilevel"/>
    <w:tmpl w:val="36525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CCD05D7"/>
    <w:multiLevelType w:val="hybridMultilevel"/>
    <w:tmpl w:val="568492CE"/>
    <w:lvl w:ilvl="0" w:tplc="A6326BF8">
      <w:start w:val="1"/>
      <w:numFmt w:val="bullet"/>
      <w:lvlText w:val=""/>
      <w:lvlJc w:val="left"/>
      <w:pPr>
        <w:ind w:left="-9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hint="default"/>
      </w:rPr>
    </w:lvl>
  </w:abstractNum>
  <w:num w:numId="1">
    <w:abstractNumId w:val="30"/>
  </w:num>
  <w:num w:numId="2">
    <w:abstractNumId w:val="1"/>
  </w:num>
  <w:num w:numId="3">
    <w:abstractNumId w:val="9"/>
  </w:num>
  <w:num w:numId="4">
    <w:abstractNumId w:val="26"/>
  </w:num>
  <w:num w:numId="5">
    <w:abstractNumId w:val="11"/>
  </w:num>
  <w:num w:numId="6">
    <w:abstractNumId w:val="14"/>
  </w:num>
  <w:num w:numId="7">
    <w:abstractNumId w:val="12"/>
  </w:num>
  <w:num w:numId="8">
    <w:abstractNumId w:val="5"/>
  </w:num>
  <w:num w:numId="9">
    <w:abstractNumId w:val="34"/>
  </w:num>
  <w:num w:numId="10">
    <w:abstractNumId w:val="2"/>
  </w:num>
  <w:num w:numId="11">
    <w:abstractNumId w:val="13"/>
  </w:num>
  <w:num w:numId="12">
    <w:abstractNumId w:val="7"/>
  </w:num>
  <w:num w:numId="13">
    <w:abstractNumId w:val="6"/>
  </w:num>
  <w:num w:numId="14">
    <w:abstractNumId w:val="23"/>
  </w:num>
  <w:num w:numId="15">
    <w:abstractNumId w:val="32"/>
  </w:num>
  <w:num w:numId="16">
    <w:abstractNumId w:val="17"/>
  </w:num>
  <w:num w:numId="17">
    <w:abstractNumId w:val="18"/>
  </w:num>
  <w:num w:numId="18">
    <w:abstractNumId w:val="31"/>
  </w:num>
  <w:num w:numId="19">
    <w:abstractNumId w:val="33"/>
  </w:num>
  <w:num w:numId="20">
    <w:abstractNumId w:val="10"/>
  </w:num>
  <w:num w:numId="21">
    <w:abstractNumId w:val="16"/>
  </w:num>
  <w:num w:numId="22">
    <w:abstractNumId w:val="28"/>
  </w:num>
  <w:num w:numId="23">
    <w:abstractNumId w:val="3"/>
  </w:num>
  <w:num w:numId="24">
    <w:abstractNumId w:val="20"/>
  </w:num>
  <w:num w:numId="25">
    <w:abstractNumId w:val="4"/>
  </w:num>
  <w:num w:numId="26">
    <w:abstractNumId w:val="21"/>
  </w:num>
  <w:num w:numId="27">
    <w:abstractNumId w:val="22"/>
  </w:num>
  <w:num w:numId="28">
    <w:abstractNumId w:val="21"/>
  </w:num>
  <w:num w:numId="29">
    <w:abstractNumId w:val="21"/>
  </w:num>
  <w:num w:numId="30">
    <w:abstractNumId w:val="19"/>
  </w:num>
  <w:num w:numId="31">
    <w:abstractNumId w:val="29"/>
  </w:num>
  <w:num w:numId="32">
    <w:abstractNumId w:val="27"/>
  </w:num>
  <w:num w:numId="33">
    <w:abstractNumId w:val="8"/>
  </w:num>
  <w:num w:numId="34">
    <w:abstractNumId w:val="15"/>
  </w:num>
  <w:num w:numId="35">
    <w:abstractNumId w:val="0"/>
  </w:num>
  <w:num w:numId="36">
    <w:abstractNumId w:val="25"/>
  </w:num>
  <w:num w:numId="37">
    <w:abstractNumId w:val="24"/>
  </w:num>
  <w:num w:numId="38">
    <w:abstractNumId w:val="3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20"/>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useFELayout/>
  </w:compat>
  <w:rsids>
    <w:rsidRoot w:val="004C6CA1"/>
    <w:rsid w:val="0000045B"/>
    <w:rsid w:val="000011A5"/>
    <w:rsid w:val="0000153B"/>
    <w:rsid w:val="00001540"/>
    <w:rsid w:val="0000198C"/>
    <w:rsid w:val="00001C88"/>
    <w:rsid w:val="000038F8"/>
    <w:rsid w:val="000053EF"/>
    <w:rsid w:val="00006983"/>
    <w:rsid w:val="00007E9E"/>
    <w:rsid w:val="000100BF"/>
    <w:rsid w:val="000101C3"/>
    <w:rsid w:val="000108DE"/>
    <w:rsid w:val="0001179E"/>
    <w:rsid w:val="00011ECA"/>
    <w:rsid w:val="00012ABB"/>
    <w:rsid w:val="00014177"/>
    <w:rsid w:val="000142F3"/>
    <w:rsid w:val="00016155"/>
    <w:rsid w:val="000172AF"/>
    <w:rsid w:val="00017D5A"/>
    <w:rsid w:val="00020C48"/>
    <w:rsid w:val="00020CDE"/>
    <w:rsid w:val="00021667"/>
    <w:rsid w:val="000241CA"/>
    <w:rsid w:val="00024610"/>
    <w:rsid w:val="00025112"/>
    <w:rsid w:val="00026FDD"/>
    <w:rsid w:val="00027012"/>
    <w:rsid w:val="00031BC5"/>
    <w:rsid w:val="000324A1"/>
    <w:rsid w:val="00032601"/>
    <w:rsid w:val="00032E0B"/>
    <w:rsid w:val="00033A4B"/>
    <w:rsid w:val="00034739"/>
    <w:rsid w:val="0003477D"/>
    <w:rsid w:val="0003527B"/>
    <w:rsid w:val="00035D06"/>
    <w:rsid w:val="00037D23"/>
    <w:rsid w:val="00040D76"/>
    <w:rsid w:val="00041A99"/>
    <w:rsid w:val="00041C32"/>
    <w:rsid w:val="00043899"/>
    <w:rsid w:val="00043CC3"/>
    <w:rsid w:val="0004518F"/>
    <w:rsid w:val="00050786"/>
    <w:rsid w:val="00054155"/>
    <w:rsid w:val="00055213"/>
    <w:rsid w:val="00055727"/>
    <w:rsid w:val="000559CB"/>
    <w:rsid w:val="000565C7"/>
    <w:rsid w:val="00061D0D"/>
    <w:rsid w:val="00061D1D"/>
    <w:rsid w:val="000627B3"/>
    <w:rsid w:val="00062EF1"/>
    <w:rsid w:val="000630F5"/>
    <w:rsid w:val="00063935"/>
    <w:rsid w:val="00064ABC"/>
    <w:rsid w:val="00065585"/>
    <w:rsid w:val="00065775"/>
    <w:rsid w:val="000657C9"/>
    <w:rsid w:val="000659BF"/>
    <w:rsid w:val="000660E4"/>
    <w:rsid w:val="0006752B"/>
    <w:rsid w:val="00067679"/>
    <w:rsid w:val="00070BB2"/>
    <w:rsid w:val="00071249"/>
    <w:rsid w:val="000712E7"/>
    <w:rsid w:val="00071F92"/>
    <w:rsid w:val="000738DC"/>
    <w:rsid w:val="00076BED"/>
    <w:rsid w:val="00076FCB"/>
    <w:rsid w:val="00080092"/>
    <w:rsid w:val="00081258"/>
    <w:rsid w:val="00081C7F"/>
    <w:rsid w:val="0008339D"/>
    <w:rsid w:val="000833C9"/>
    <w:rsid w:val="00084D5A"/>
    <w:rsid w:val="000859A9"/>
    <w:rsid w:val="00087AFE"/>
    <w:rsid w:val="00090ABB"/>
    <w:rsid w:val="00091470"/>
    <w:rsid w:val="00091CC9"/>
    <w:rsid w:val="00091E89"/>
    <w:rsid w:val="00091EC1"/>
    <w:rsid w:val="000927F8"/>
    <w:rsid w:val="0009289B"/>
    <w:rsid w:val="00092D44"/>
    <w:rsid w:val="00094734"/>
    <w:rsid w:val="0009489C"/>
    <w:rsid w:val="00094950"/>
    <w:rsid w:val="00095B57"/>
    <w:rsid w:val="000961E1"/>
    <w:rsid w:val="0009631C"/>
    <w:rsid w:val="0009716D"/>
    <w:rsid w:val="00097611"/>
    <w:rsid w:val="00097715"/>
    <w:rsid w:val="00097FDB"/>
    <w:rsid w:val="000A075B"/>
    <w:rsid w:val="000A0C80"/>
    <w:rsid w:val="000A133D"/>
    <w:rsid w:val="000A1456"/>
    <w:rsid w:val="000A1BC8"/>
    <w:rsid w:val="000A24E2"/>
    <w:rsid w:val="000A32EC"/>
    <w:rsid w:val="000A3EEE"/>
    <w:rsid w:val="000A4BA2"/>
    <w:rsid w:val="000A5E53"/>
    <w:rsid w:val="000A69D0"/>
    <w:rsid w:val="000A6A78"/>
    <w:rsid w:val="000A6C92"/>
    <w:rsid w:val="000A6C97"/>
    <w:rsid w:val="000A7217"/>
    <w:rsid w:val="000B01AE"/>
    <w:rsid w:val="000B0DD8"/>
    <w:rsid w:val="000B1255"/>
    <w:rsid w:val="000B13C8"/>
    <w:rsid w:val="000B1C04"/>
    <w:rsid w:val="000B1EF6"/>
    <w:rsid w:val="000B2094"/>
    <w:rsid w:val="000B22DF"/>
    <w:rsid w:val="000B308D"/>
    <w:rsid w:val="000B4123"/>
    <w:rsid w:val="000B464E"/>
    <w:rsid w:val="000B4CD3"/>
    <w:rsid w:val="000B5618"/>
    <w:rsid w:val="000B62E1"/>
    <w:rsid w:val="000B6878"/>
    <w:rsid w:val="000B7C74"/>
    <w:rsid w:val="000B7D2E"/>
    <w:rsid w:val="000C0B1A"/>
    <w:rsid w:val="000C19AB"/>
    <w:rsid w:val="000C2386"/>
    <w:rsid w:val="000C2D8F"/>
    <w:rsid w:val="000C48B9"/>
    <w:rsid w:val="000C5EBD"/>
    <w:rsid w:val="000C779A"/>
    <w:rsid w:val="000C7928"/>
    <w:rsid w:val="000D0356"/>
    <w:rsid w:val="000D04D5"/>
    <w:rsid w:val="000D0D55"/>
    <w:rsid w:val="000D42C4"/>
    <w:rsid w:val="000D4925"/>
    <w:rsid w:val="000D73A1"/>
    <w:rsid w:val="000E109F"/>
    <w:rsid w:val="000E1926"/>
    <w:rsid w:val="000E358B"/>
    <w:rsid w:val="000E35C5"/>
    <w:rsid w:val="000E419D"/>
    <w:rsid w:val="000E58F5"/>
    <w:rsid w:val="000E5F99"/>
    <w:rsid w:val="000E617E"/>
    <w:rsid w:val="000E625C"/>
    <w:rsid w:val="000E79F7"/>
    <w:rsid w:val="000F0242"/>
    <w:rsid w:val="000F36DE"/>
    <w:rsid w:val="000F52DF"/>
    <w:rsid w:val="000F71B0"/>
    <w:rsid w:val="00103620"/>
    <w:rsid w:val="00103647"/>
    <w:rsid w:val="00104656"/>
    <w:rsid w:val="00106305"/>
    <w:rsid w:val="00106891"/>
    <w:rsid w:val="00107376"/>
    <w:rsid w:val="00110314"/>
    <w:rsid w:val="00110321"/>
    <w:rsid w:val="00112A0E"/>
    <w:rsid w:val="00112DE3"/>
    <w:rsid w:val="00112E4B"/>
    <w:rsid w:val="001132D4"/>
    <w:rsid w:val="001144D8"/>
    <w:rsid w:val="00114689"/>
    <w:rsid w:val="00114D2A"/>
    <w:rsid w:val="00115A6E"/>
    <w:rsid w:val="00115E61"/>
    <w:rsid w:val="00116514"/>
    <w:rsid w:val="001179A3"/>
    <w:rsid w:val="001179BD"/>
    <w:rsid w:val="001200FA"/>
    <w:rsid w:val="0012189E"/>
    <w:rsid w:val="00123223"/>
    <w:rsid w:val="00123F12"/>
    <w:rsid w:val="00124E06"/>
    <w:rsid w:val="0012641D"/>
    <w:rsid w:val="001267E5"/>
    <w:rsid w:val="00127D2D"/>
    <w:rsid w:val="00130F18"/>
    <w:rsid w:val="00131073"/>
    <w:rsid w:val="00132707"/>
    <w:rsid w:val="001336BE"/>
    <w:rsid w:val="00134477"/>
    <w:rsid w:val="001351B8"/>
    <w:rsid w:val="00135456"/>
    <w:rsid w:val="001365E8"/>
    <w:rsid w:val="0013767F"/>
    <w:rsid w:val="00140549"/>
    <w:rsid w:val="0014092F"/>
    <w:rsid w:val="00141E2A"/>
    <w:rsid w:val="00142B7C"/>
    <w:rsid w:val="00143997"/>
    <w:rsid w:val="001457E7"/>
    <w:rsid w:val="00145F51"/>
    <w:rsid w:val="001469A4"/>
    <w:rsid w:val="00150F18"/>
    <w:rsid w:val="00151844"/>
    <w:rsid w:val="00152098"/>
    <w:rsid w:val="00153C62"/>
    <w:rsid w:val="00154A18"/>
    <w:rsid w:val="00155DA7"/>
    <w:rsid w:val="00156962"/>
    <w:rsid w:val="00156FDD"/>
    <w:rsid w:val="00161EF2"/>
    <w:rsid w:val="00163831"/>
    <w:rsid w:val="0016500E"/>
    <w:rsid w:val="001657B9"/>
    <w:rsid w:val="001658CB"/>
    <w:rsid w:val="001677EF"/>
    <w:rsid w:val="00167A53"/>
    <w:rsid w:val="0017027C"/>
    <w:rsid w:val="00170E90"/>
    <w:rsid w:val="00174075"/>
    <w:rsid w:val="00175A71"/>
    <w:rsid w:val="00177611"/>
    <w:rsid w:val="00180144"/>
    <w:rsid w:val="0018053B"/>
    <w:rsid w:val="00181537"/>
    <w:rsid w:val="00183E2F"/>
    <w:rsid w:val="00184354"/>
    <w:rsid w:val="00184A13"/>
    <w:rsid w:val="00185235"/>
    <w:rsid w:val="001852A3"/>
    <w:rsid w:val="00186780"/>
    <w:rsid w:val="001876E4"/>
    <w:rsid w:val="0019020F"/>
    <w:rsid w:val="00191A84"/>
    <w:rsid w:val="001921B5"/>
    <w:rsid w:val="001923DE"/>
    <w:rsid w:val="0019324D"/>
    <w:rsid w:val="00193EB4"/>
    <w:rsid w:val="001940D6"/>
    <w:rsid w:val="001943C6"/>
    <w:rsid w:val="001943EE"/>
    <w:rsid w:val="0019499C"/>
    <w:rsid w:val="0019510D"/>
    <w:rsid w:val="001969D0"/>
    <w:rsid w:val="001A014C"/>
    <w:rsid w:val="001A030A"/>
    <w:rsid w:val="001A04CA"/>
    <w:rsid w:val="001A1BFC"/>
    <w:rsid w:val="001A34A9"/>
    <w:rsid w:val="001A4067"/>
    <w:rsid w:val="001A45FC"/>
    <w:rsid w:val="001A74A8"/>
    <w:rsid w:val="001B0D15"/>
    <w:rsid w:val="001B1128"/>
    <w:rsid w:val="001B14C4"/>
    <w:rsid w:val="001B1FC5"/>
    <w:rsid w:val="001B2DDD"/>
    <w:rsid w:val="001B3E2C"/>
    <w:rsid w:val="001B5262"/>
    <w:rsid w:val="001B572F"/>
    <w:rsid w:val="001B662B"/>
    <w:rsid w:val="001B69B0"/>
    <w:rsid w:val="001B69DE"/>
    <w:rsid w:val="001B70F1"/>
    <w:rsid w:val="001B73C9"/>
    <w:rsid w:val="001C1A9C"/>
    <w:rsid w:val="001C278E"/>
    <w:rsid w:val="001C2826"/>
    <w:rsid w:val="001C2F56"/>
    <w:rsid w:val="001C3EDE"/>
    <w:rsid w:val="001C445E"/>
    <w:rsid w:val="001C7CDE"/>
    <w:rsid w:val="001D0E90"/>
    <w:rsid w:val="001D1305"/>
    <w:rsid w:val="001D1862"/>
    <w:rsid w:val="001D24A3"/>
    <w:rsid w:val="001D38AA"/>
    <w:rsid w:val="001D55A0"/>
    <w:rsid w:val="001D7BBA"/>
    <w:rsid w:val="001D7E14"/>
    <w:rsid w:val="001E045F"/>
    <w:rsid w:val="001E0565"/>
    <w:rsid w:val="001E0CDA"/>
    <w:rsid w:val="001F1C3F"/>
    <w:rsid w:val="001F1EAD"/>
    <w:rsid w:val="001F1EEC"/>
    <w:rsid w:val="001F277D"/>
    <w:rsid w:val="001F386A"/>
    <w:rsid w:val="001F414C"/>
    <w:rsid w:val="001F4963"/>
    <w:rsid w:val="001F617B"/>
    <w:rsid w:val="001F7A4C"/>
    <w:rsid w:val="00200130"/>
    <w:rsid w:val="00200DDE"/>
    <w:rsid w:val="002013BE"/>
    <w:rsid w:val="00201D1B"/>
    <w:rsid w:val="00201EA7"/>
    <w:rsid w:val="00203041"/>
    <w:rsid w:val="00203A9D"/>
    <w:rsid w:val="00203C24"/>
    <w:rsid w:val="002049D3"/>
    <w:rsid w:val="00204DC7"/>
    <w:rsid w:val="00204F11"/>
    <w:rsid w:val="0020502C"/>
    <w:rsid w:val="00205736"/>
    <w:rsid w:val="0020632F"/>
    <w:rsid w:val="0020759B"/>
    <w:rsid w:val="00207C03"/>
    <w:rsid w:val="002104F4"/>
    <w:rsid w:val="00210F68"/>
    <w:rsid w:val="0021270E"/>
    <w:rsid w:val="00215060"/>
    <w:rsid w:val="00215B4E"/>
    <w:rsid w:val="0021618B"/>
    <w:rsid w:val="00216CFB"/>
    <w:rsid w:val="00217F7D"/>
    <w:rsid w:val="00220B82"/>
    <w:rsid w:val="002211BC"/>
    <w:rsid w:val="002226AF"/>
    <w:rsid w:val="002228D1"/>
    <w:rsid w:val="0022401E"/>
    <w:rsid w:val="00224133"/>
    <w:rsid w:val="002248DE"/>
    <w:rsid w:val="00224F9C"/>
    <w:rsid w:val="00225811"/>
    <w:rsid w:val="0022762C"/>
    <w:rsid w:val="002302DB"/>
    <w:rsid w:val="00230BB9"/>
    <w:rsid w:val="002314DB"/>
    <w:rsid w:val="00232231"/>
    <w:rsid w:val="00232C90"/>
    <w:rsid w:val="002334D6"/>
    <w:rsid w:val="00234529"/>
    <w:rsid w:val="00237430"/>
    <w:rsid w:val="00240596"/>
    <w:rsid w:val="0024138C"/>
    <w:rsid w:val="0024330F"/>
    <w:rsid w:val="002438BA"/>
    <w:rsid w:val="00244600"/>
    <w:rsid w:val="0024473E"/>
    <w:rsid w:val="00245088"/>
    <w:rsid w:val="00247909"/>
    <w:rsid w:val="00247EFB"/>
    <w:rsid w:val="002509E3"/>
    <w:rsid w:val="00250D8D"/>
    <w:rsid w:val="00251DC7"/>
    <w:rsid w:val="00252A00"/>
    <w:rsid w:val="002530AE"/>
    <w:rsid w:val="002543E8"/>
    <w:rsid w:val="00254D36"/>
    <w:rsid w:val="00254F6B"/>
    <w:rsid w:val="002551D4"/>
    <w:rsid w:val="00256C9B"/>
    <w:rsid w:val="00261B00"/>
    <w:rsid w:val="00262CF6"/>
    <w:rsid w:val="002636EC"/>
    <w:rsid w:val="00263BBA"/>
    <w:rsid w:val="00264387"/>
    <w:rsid w:val="002644DF"/>
    <w:rsid w:val="00265B92"/>
    <w:rsid w:val="00267329"/>
    <w:rsid w:val="00267833"/>
    <w:rsid w:val="00267BD6"/>
    <w:rsid w:val="0027046B"/>
    <w:rsid w:val="002717BE"/>
    <w:rsid w:val="00271893"/>
    <w:rsid w:val="00272C8A"/>
    <w:rsid w:val="002730AC"/>
    <w:rsid w:val="00274766"/>
    <w:rsid w:val="00275A94"/>
    <w:rsid w:val="00276415"/>
    <w:rsid w:val="00276471"/>
    <w:rsid w:val="00277C15"/>
    <w:rsid w:val="00280AE2"/>
    <w:rsid w:val="00281982"/>
    <w:rsid w:val="00281E4C"/>
    <w:rsid w:val="00282BC7"/>
    <w:rsid w:val="00283BED"/>
    <w:rsid w:val="00284770"/>
    <w:rsid w:val="002849B4"/>
    <w:rsid w:val="0028513D"/>
    <w:rsid w:val="00286C45"/>
    <w:rsid w:val="00287065"/>
    <w:rsid w:val="002900CA"/>
    <w:rsid w:val="00292090"/>
    <w:rsid w:val="002920EE"/>
    <w:rsid w:val="00293284"/>
    <w:rsid w:val="00293530"/>
    <w:rsid w:val="00293AAA"/>
    <w:rsid w:val="00293CEB"/>
    <w:rsid w:val="0029432E"/>
    <w:rsid w:val="0029499F"/>
    <w:rsid w:val="00295789"/>
    <w:rsid w:val="00295E6E"/>
    <w:rsid w:val="002962BB"/>
    <w:rsid w:val="0029675C"/>
    <w:rsid w:val="0029797B"/>
    <w:rsid w:val="002A0791"/>
    <w:rsid w:val="002A2235"/>
    <w:rsid w:val="002A2250"/>
    <w:rsid w:val="002A31DD"/>
    <w:rsid w:val="002A3753"/>
    <w:rsid w:val="002A449F"/>
    <w:rsid w:val="002A4694"/>
    <w:rsid w:val="002A4D23"/>
    <w:rsid w:val="002A5151"/>
    <w:rsid w:val="002A52B5"/>
    <w:rsid w:val="002A587A"/>
    <w:rsid w:val="002A5AC2"/>
    <w:rsid w:val="002B04E5"/>
    <w:rsid w:val="002B1AD1"/>
    <w:rsid w:val="002B1D5E"/>
    <w:rsid w:val="002B2398"/>
    <w:rsid w:val="002B2976"/>
    <w:rsid w:val="002B38BA"/>
    <w:rsid w:val="002B433C"/>
    <w:rsid w:val="002B4393"/>
    <w:rsid w:val="002B5C2C"/>
    <w:rsid w:val="002B6319"/>
    <w:rsid w:val="002B6944"/>
    <w:rsid w:val="002B77BC"/>
    <w:rsid w:val="002C265E"/>
    <w:rsid w:val="002C2E66"/>
    <w:rsid w:val="002C542E"/>
    <w:rsid w:val="002C7CB5"/>
    <w:rsid w:val="002C7CD7"/>
    <w:rsid w:val="002C7D5B"/>
    <w:rsid w:val="002D16DB"/>
    <w:rsid w:val="002D3871"/>
    <w:rsid w:val="002D3D8F"/>
    <w:rsid w:val="002D481E"/>
    <w:rsid w:val="002D5C47"/>
    <w:rsid w:val="002D6444"/>
    <w:rsid w:val="002D650A"/>
    <w:rsid w:val="002D7463"/>
    <w:rsid w:val="002E10D0"/>
    <w:rsid w:val="002E29F2"/>
    <w:rsid w:val="002E308E"/>
    <w:rsid w:val="002E3577"/>
    <w:rsid w:val="002E3C76"/>
    <w:rsid w:val="002E655B"/>
    <w:rsid w:val="002E7BDF"/>
    <w:rsid w:val="002F0425"/>
    <w:rsid w:val="002F1560"/>
    <w:rsid w:val="002F1637"/>
    <w:rsid w:val="002F4670"/>
    <w:rsid w:val="002F4E2D"/>
    <w:rsid w:val="002F5BEB"/>
    <w:rsid w:val="002F617F"/>
    <w:rsid w:val="002F763B"/>
    <w:rsid w:val="003039C6"/>
    <w:rsid w:val="00303EF2"/>
    <w:rsid w:val="0030453C"/>
    <w:rsid w:val="0030698B"/>
    <w:rsid w:val="00310039"/>
    <w:rsid w:val="00310827"/>
    <w:rsid w:val="00310F1C"/>
    <w:rsid w:val="0031228A"/>
    <w:rsid w:val="00312C74"/>
    <w:rsid w:val="00314E1D"/>
    <w:rsid w:val="00315A71"/>
    <w:rsid w:val="00317000"/>
    <w:rsid w:val="0031707C"/>
    <w:rsid w:val="003172BD"/>
    <w:rsid w:val="00317451"/>
    <w:rsid w:val="0032028D"/>
    <w:rsid w:val="00320368"/>
    <w:rsid w:val="0032217B"/>
    <w:rsid w:val="003228F9"/>
    <w:rsid w:val="00323B74"/>
    <w:rsid w:val="003241E6"/>
    <w:rsid w:val="00324743"/>
    <w:rsid w:val="0032484B"/>
    <w:rsid w:val="003249F0"/>
    <w:rsid w:val="00324FA0"/>
    <w:rsid w:val="00325F61"/>
    <w:rsid w:val="00326D58"/>
    <w:rsid w:val="003271FE"/>
    <w:rsid w:val="003315C9"/>
    <w:rsid w:val="0033164E"/>
    <w:rsid w:val="00333824"/>
    <w:rsid w:val="003354B1"/>
    <w:rsid w:val="00335E05"/>
    <w:rsid w:val="00336A88"/>
    <w:rsid w:val="00336D6B"/>
    <w:rsid w:val="003374DC"/>
    <w:rsid w:val="00340288"/>
    <w:rsid w:val="00340691"/>
    <w:rsid w:val="003406E0"/>
    <w:rsid w:val="00340D27"/>
    <w:rsid w:val="00343D48"/>
    <w:rsid w:val="00344CA2"/>
    <w:rsid w:val="00346104"/>
    <w:rsid w:val="00346366"/>
    <w:rsid w:val="00346B78"/>
    <w:rsid w:val="00347390"/>
    <w:rsid w:val="00350AFB"/>
    <w:rsid w:val="00351470"/>
    <w:rsid w:val="003556F1"/>
    <w:rsid w:val="00355A9B"/>
    <w:rsid w:val="00361006"/>
    <w:rsid w:val="00361478"/>
    <w:rsid w:val="00361A25"/>
    <w:rsid w:val="003636EF"/>
    <w:rsid w:val="00363D66"/>
    <w:rsid w:val="00364E0A"/>
    <w:rsid w:val="00365280"/>
    <w:rsid w:val="0036580D"/>
    <w:rsid w:val="003671E6"/>
    <w:rsid w:val="00367962"/>
    <w:rsid w:val="0037055E"/>
    <w:rsid w:val="003729CF"/>
    <w:rsid w:val="00372EC0"/>
    <w:rsid w:val="00374934"/>
    <w:rsid w:val="00375D58"/>
    <w:rsid w:val="00376D23"/>
    <w:rsid w:val="00377370"/>
    <w:rsid w:val="003775AD"/>
    <w:rsid w:val="00377621"/>
    <w:rsid w:val="003778F2"/>
    <w:rsid w:val="003800CC"/>
    <w:rsid w:val="003809F8"/>
    <w:rsid w:val="00381093"/>
    <w:rsid w:val="0038128C"/>
    <w:rsid w:val="003821D5"/>
    <w:rsid w:val="003827C0"/>
    <w:rsid w:val="00383222"/>
    <w:rsid w:val="00383C1A"/>
    <w:rsid w:val="00383D04"/>
    <w:rsid w:val="00384866"/>
    <w:rsid w:val="00384F9C"/>
    <w:rsid w:val="00386E59"/>
    <w:rsid w:val="003908B5"/>
    <w:rsid w:val="00390BDF"/>
    <w:rsid w:val="00391A97"/>
    <w:rsid w:val="00392306"/>
    <w:rsid w:val="003924C7"/>
    <w:rsid w:val="00392920"/>
    <w:rsid w:val="00395BCE"/>
    <w:rsid w:val="00396F81"/>
    <w:rsid w:val="00397253"/>
    <w:rsid w:val="00397353"/>
    <w:rsid w:val="0039738E"/>
    <w:rsid w:val="00397B60"/>
    <w:rsid w:val="003A1506"/>
    <w:rsid w:val="003A1D1E"/>
    <w:rsid w:val="003A1FEC"/>
    <w:rsid w:val="003A27C9"/>
    <w:rsid w:val="003A567C"/>
    <w:rsid w:val="003A6C37"/>
    <w:rsid w:val="003B0494"/>
    <w:rsid w:val="003B1A9B"/>
    <w:rsid w:val="003B21C5"/>
    <w:rsid w:val="003B223B"/>
    <w:rsid w:val="003B2293"/>
    <w:rsid w:val="003B2899"/>
    <w:rsid w:val="003B520D"/>
    <w:rsid w:val="003B74F5"/>
    <w:rsid w:val="003C0353"/>
    <w:rsid w:val="003C0595"/>
    <w:rsid w:val="003C07BC"/>
    <w:rsid w:val="003C34B6"/>
    <w:rsid w:val="003C34EA"/>
    <w:rsid w:val="003C496A"/>
    <w:rsid w:val="003C5CA7"/>
    <w:rsid w:val="003C616C"/>
    <w:rsid w:val="003C68B7"/>
    <w:rsid w:val="003C7C0C"/>
    <w:rsid w:val="003D1351"/>
    <w:rsid w:val="003D1786"/>
    <w:rsid w:val="003D33B2"/>
    <w:rsid w:val="003E0DE4"/>
    <w:rsid w:val="003E3096"/>
    <w:rsid w:val="003E48CF"/>
    <w:rsid w:val="003E4DA3"/>
    <w:rsid w:val="003E5221"/>
    <w:rsid w:val="003E7EE1"/>
    <w:rsid w:val="003F224C"/>
    <w:rsid w:val="003F33AB"/>
    <w:rsid w:val="003F5625"/>
    <w:rsid w:val="003F56C2"/>
    <w:rsid w:val="003F5B3E"/>
    <w:rsid w:val="003F6206"/>
    <w:rsid w:val="003F65A6"/>
    <w:rsid w:val="003F768D"/>
    <w:rsid w:val="00400574"/>
    <w:rsid w:val="004014D6"/>
    <w:rsid w:val="00402723"/>
    <w:rsid w:val="004028CA"/>
    <w:rsid w:val="004029ED"/>
    <w:rsid w:val="00402C74"/>
    <w:rsid w:val="0040350B"/>
    <w:rsid w:val="00404F0D"/>
    <w:rsid w:val="00405612"/>
    <w:rsid w:val="004065E6"/>
    <w:rsid w:val="004076B4"/>
    <w:rsid w:val="00407952"/>
    <w:rsid w:val="00411E9B"/>
    <w:rsid w:val="004120C4"/>
    <w:rsid w:val="0041297E"/>
    <w:rsid w:val="00412D31"/>
    <w:rsid w:val="004141B2"/>
    <w:rsid w:val="004142A0"/>
    <w:rsid w:val="0041507F"/>
    <w:rsid w:val="004156F1"/>
    <w:rsid w:val="00415ABA"/>
    <w:rsid w:val="00416E0C"/>
    <w:rsid w:val="00417919"/>
    <w:rsid w:val="004200AA"/>
    <w:rsid w:val="004220A4"/>
    <w:rsid w:val="00422A6D"/>
    <w:rsid w:val="004235F7"/>
    <w:rsid w:val="00424167"/>
    <w:rsid w:val="00424741"/>
    <w:rsid w:val="004263C3"/>
    <w:rsid w:val="00427236"/>
    <w:rsid w:val="00430868"/>
    <w:rsid w:val="00430BEC"/>
    <w:rsid w:val="004312D0"/>
    <w:rsid w:val="004323EA"/>
    <w:rsid w:val="0043307D"/>
    <w:rsid w:val="00435793"/>
    <w:rsid w:val="00436277"/>
    <w:rsid w:val="00436409"/>
    <w:rsid w:val="00436AF0"/>
    <w:rsid w:val="00440BA2"/>
    <w:rsid w:val="004413DE"/>
    <w:rsid w:val="004416C4"/>
    <w:rsid w:val="004417FF"/>
    <w:rsid w:val="00442A7E"/>
    <w:rsid w:val="004438FD"/>
    <w:rsid w:val="00444531"/>
    <w:rsid w:val="0044454E"/>
    <w:rsid w:val="00444B7E"/>
    <w:rsid w:val="00444DFB"/>
    <w:rsid w:val="00445880"/>
    <w:rsid w:val="00446780"/>
    <w:rsid w:val="00447502"/>
    <w:rsid w:val="00447A32"/>
    <w:rsid w:val="00447C0E"/>
    <w:rsid w:val="00447FEA"/>
    <w:rsid w:val="00450F12"/>
    <w:rsid w:val="00451ED0"/>
    <w:rsid w:val="0045425B"/>
    <w:rsid w:val="00454655"/>
    <w:rsid w:val="0045535D"/>
    <w:rsid w:val="0045763F"/>
    <w:rsid w:val="00457D40"/>
    <w:rsid w:val="004600C5"/>
    <w:rsid w:val="0046179D"/>
    <w:rsid w:val="004625D6"/>
    <w:rsid w:val="00462B8F"/>
    <w:rsid w:val="00462D93"/>
    <w:rsid w:val="004645DB"/>
    <w:rsid w:val="00464674"/>
    <w:rsid w:val="00464ACA"/>
    <w:rsid w:val="004650A5"/>
    <w:rsid w:val="0046542A"/>
    <w:rsid w:val="00465C6D"/>
    <w:rsid w:val="00466EB8"/>
    <w:rsid w:val="00467036"/>
    <w:rsid w:val="00467A1E"/>
    <w:rsid w:val="00467DC6"/>
    <w:rsid w:val="00470B26"/>
    <w:rsid w:val="0047186B"/>
    <w:rsid w:val="00471FD4"/>
    <w:rsid w:val="00472058"/>
    <w:rsid w:val="00474D00"/>
    <w:rsid w:val="004762AA"/>
    <w:rsid w:val="0047692D"/>
    <w:rsid w:val="00480B77"/>
    <w:rsid w:val="00481A63"/>
    <w:rsid w:val="0048289B"/>
    <w:rsid w:val="00483607"/>
    <w:rsid w:val="00483FE7"/>
    <w:rsid w:val="0048628B"/>
    <w:rsid w:val="004863E3"/>
    <w:rsid w:val="00487E30"/>
    <w:rsid w:val="0049206E"/>
    <w:rsid w:val="00492B63"/>
    <w:rsid w:val="00493D48"/>
    <w:rsid w:val="00494041"/>
    <w:rsid w:val="00494761"/>
    <w:rsid w:val="00495103"/>
    <w:rsid w:val="00495BD7"/>
    <w:rsid w:val="004965F1"/>
    <w:rsid w:val="004975CF"/>
    <w:rsid w:val="004A104F"/>
    <w:rsid w:val="004A25B1"/>
    <w:rsid w:val="004A29BF"/>
    <w:rsid w:val="004A2E01"/>
    <w:rsid w:val="004A3414"/>
    <w:rsid w:val="004A3FAF"/>
    <w:rsid w:val="004A4781"/>
    <w:rsid w:val="004A5269"/>
    <w:rsid w:val="004A53FD"/>
    <w:rsid w:val="004A5E4B"/>
    <w:rsid w:val="004A629C"/>
    <w:rsid w:val="004A7549"/>
    <w:rsid w:val="004B0811"/>
    <w:rsid w:val="004B3C89"/>
    <w:rsid w:val="004B4403"/>
    <w:rsid w:val="004B4A8B"/>
    <w:rsid w:val="004B5942"/>
    <w:rsid w:val="004B7C4C"/>
    <w:rsid w:val="004C0408"/>
    <w:rsid w:val="004C05FF"/>
    <w:rsid w:val="004C3FCD"/>
    <w:rsid w:val="004C60C5"/>
    <w:rsid w:val="004C6CA1"/>
    <w:rsid w:val="004C78F6"/>
    <w:rsid w:val="004D13C3"/>
    <w:rsid w:val="004D21E4"/>
    <w:rsid w:val="004D68F3"/>
    <w:rsid w:val="004D6F16"/>
    <w:rsid w:val="004D796F"/>
    <w:rsid w:val="004E04B9"/>
    <w:rsid w:val="004E05CE"/>
    <w:rsid w:val="004E1130"/>
    <w:rsid w:val="004E137E"/>
    <w:rsid w:val="004E3AD3"/>
    <w:rsid w:val="004E597E"/>
    <w:rsid w:val="004E623F"/>
    <w:rsid w:val="004E661A"/>
    <w:rsid w:val="004E67B6"/>
    <w:rsid w:val="004E77FC"/>
    <w:rsid w:val="004E78C4"/>
    <w:rsid w:val="004E792D"/>
    <w:rsid w:val="004F083C"/>
    <w:rsid w:val="004F08BD"/>
    <w:rsid w:val="004F579C"/>
    <w:rsid w:val="004F5E04"/>
    <w:rsid w:val="004F5F1C"/>
    <w:rsid w:val="004F7043"/>
    <w:rsid w:val="00500846"/>
    <w:rsid w:val="00501697"/>
    <w:rsid w:val="00503CD5"/>
    <w:rsid w:val="00505203"/>
    <w:rsid w:val="00505B7F"/>
    <w:rsid w:val="00507172"/>
    <w:rsid w:val="00507642"/>
    <w:rsid w:val="00507BDE"/>
    <w:rsid w:val="0051223E"/>
    <w:rsid w:val="005122F5"/>
    <w:rsid w:val="00512C9E"/>
    <w:rsid w:val="00513F46"/>
    <w:rsid w:val="00514C9A"/>
    <w:rsid w:val="00516067"/>
    <w:rsid w:val="005161BC"/>
    <w:rsid w:val="00516A49"/>
    <w:rsid w:val="0052033A"/>
    <w:rsid w:val="00521EA0"/>
    <w:rsid w:val="00522213"/>
    <w:rsid w:val="00523282"/>
    <w:rsid w:val="0052349A"/>
    <w:rsid w:val="00525437"/>
    <w:rsid w:val="00525516"/>
    <w:rsid w:val="00525AEE"/>
    <w:rsid w:val="005264D2"/>
    <w:rsid w:val="00531C0F"/>
    <w:rsid w:val="005321FA"/>
    <w:rsid w:val="00534049"/>
    <w:rsid w:val="00534694"/>
    <w:rsid w:val="00534DF6"/>
    <w:rsid w:val="00535555"/>
    <w:rsid w:val="00537018"/>
    <w:rsid w:val="00537F89"/>
    <w:rsid w:val="00540739"/>
    <w:rsid w:val="00542F36"/>
    <w:rsid w:val="00544146"/>
    <w:rsid w:val="00545099"/>
    <w:rsid w:val="005465BC"/>
    <w:rsid w:val="0054665D"/>
    <w:rsid w:val="00547B7C"/>
    <w:rsid w:val="00550837"/>
    <w:rsid w:val="0055256E"/>
    <w:rsid w:val="00552656"/>
    <w:rsid w:val="005545D1"/>
    <w:rsid w:val="005549DB"/>
    <w:rsid w:val="0055647C"/>
    <w:rsid w:val="005569A6"/>
    <w:rsid w:val="00556E00"/>
    <w:rsid w:val="00557465"/>
    <w:rsid w:val="0055791D"/>
    <w:rsid w:val="0055792D"/>
    <w:rsid w:val="00557981"/>
    <w:rsid w:val="00557F6B"/>
    <w:rsid w:val="00561E41"/>
    <w:rsid w:val="00563435"/>
    <w:rsid w:val="00563945"/>
    <w:rsid w:val="00566269"/>
    <w:rsid w:val="00566539"/>
    <w:rsid w:val="00571737"/>
    <w:rsid w:val="00572D18"/>
    <w:rsid w:val="00572DB8"/>
    <w:rsid w:val="005731B9"/>
    <w:rsid w:val="00573D25"/>
    <w:rsid w:val="00574D55"/>
    <w:rsid w:val="005764D3"/>
    <w:rsid w:val="0057675C"/>
    <w:rsid w:val="005807B7"/>
    <w:rsid w:val="005822B1"/>
    <w:rsid w:val="00582659"/>
    <w:rsid w:val="00582820"/>
    <w:rsid w:val="0058418B"/>
    <w:rsid w:val="005846C1"/>
    <w:rsid w:val="00585087"/>
    <w:rsid w:val="0058667B"/>
    <w:rsid w:val="0058727C"/>
    <w:rsid w:val="005872A2"/>
    <w:rsid w:val="005879E8"/>
    <w:rsid w:val="00587FCE"/>
    <w:rsid w:val="005900B9"/>
    <w:rsid w:val="005903A0"/>
    <w:rsid w:val="00590F54"/>
    <w:rsid w:val="00590FEB"/>
    <w:rsid w:val="00592614"/>
    <w:rsid w:val="00592BEC"/>
    <w:rsid w:val="00592FF6"/>
    <w:rsid w:val="00593288"/>
    <w:rsid w:val="005957C1"/>
    <w:rsid w:val="00596A73"/>
    <w:rsid w:val="00596A7E"/>
    <w:rsid w:val="00596EA7"/>
    <w:rsid w:val="00597BE5"/>
    <w:rsid w:val="005A074C"/>
    <w:rsid w:val="005A231D"/>
    <w:rsid w:val="005A23B1"/>
    <w:rsid w:val="005A28D9"/>
    <w:rsid w:val="005A41F8"/>
    <w:rsid w:val="005A4AA1"/>
    <w:rsid w:val="005A4C7F"/>
    <w:rsid w:val="005A4F82"/>
    <w:rsid w:val="005A5179"/>
    <w:rsid w:val="005A5C6F"/>
    <w:rsid w:val="005A6198"/>
    <w:rsid w:val="005A6314"/>
    <w:rsid w:val="005B2925"/>
    <w:rsid w:val="005B2C6A"/>
    <w:rsid w:val="005B389E"/>
    <w:rsid w:val="005B40A8"/>
    <w:rsid w:val="005B4402"/>
    <w:rsid w:val="005B4838"/>
    <w:rsid w:val="005B49B1"/>
    <w:rsid w:val="005B5261"/>
    <w:rsid w:val="005B5C1D"/>
    <w:rsid w:val="005B6ABF"/>
    <w:rsid w:val="005C0EA8"/>
    <w:rsid w:val="005C139B"/>
    <w:rsid w:val="005C218F"/>
    <w:rsid w:val="005C39B0"/>
    <w:rsid w:val="005C3A9A"/>
    <w:rsid w:val="005C4AD9"/>
    <w:rsid w:val="005C516C"/>
    <w:rsid w:val="005C68B5"/>
    <w:rsid w:val="005C6BB1"/>
    <w:rsid w:val="005D0854"/>
    <w:rsid w:val="005D0EF3"/>
    <w:rsid w:val="005D0F72"/>
    <w:rsid w:val="005D1259"/>
    <w:rsid w:val="005D1351"/>
    <w:rsid w:val="005D28D6"/>
    <w:rsid w:val="005D2F10"/>
    <w:rsid w:val="005D3526"/>
    <w:rsid w:val="005D36A1"/>
    <w:rsid w:val="005D40E2"/>
    <w:rsid w:val="005D4AD5"/>
    <w:rsid w:val="005D4D4F"/>
    <w:rsid w:val="005D5071"/>
    <w:rsid w:val="005D55C1"/>
    <w:rsid w:val="005D62B8"/>
    <w:rsid w:val="005D718D"/>
    <w:rsid w:val="005E06C2"/>
    <w:rsid w:val="005E0E4C"/>
    <w:rsid w:val="005E130A"/>
    <w:rsid w:val="005E18F6"/>
    <w:rsid w:val="005E26F5"/>
    <w:rsid w:val="005E37C6"/>
    <w:rsid w:val="005E4B8E"/>
    <w:rsid w:val="005E6B18"/>
    <w:rsid w:val="005E727A"/>
    <w:rsid w:val="005E78C1"/>
    <w:rsid w:val="005E7A2F"/>
    <w:rsid w:val="005F0614"/>
    <w:rsid w:val="005F0692"/>
    <w:rsid w:val="005F175A"/>
    <w:rsid w:val="005F1E13"/>
    <w:rsid w:val="005F1FCB"/>
    <w:rsid w:val="005F2FB2"/>
    <w:rsid w:val="005F3531"/>
    <w:rsid w:val="005F43E8"/>
    <w:rsid w:val="005F6248"/>
    <w:rsid w:val="005F66BC"/>
    <w:rsid w:val="005F76DC"/>
    <w:rsid w:val="005F7E7D"/>
    <w:rsid w:val="00601340"/>
    <w:rsid w:val="0060223F"/>
    <w:rsid w:val="0060479A"/>
    <w:rsid w:val="006054D4"/>
    <w:rsid w:val="0061074F"/>
    <w:rsid w:val="00610EBF"/>
    <w:rsid w:val="00610ED9"/>
    <w:rsid w:val="00612862"/>
    <w:rsid w:val="00612DF4"/>
    <w:rsid w:val="0061382C"/>
    <w:rsid w:val="006140E2"/>
    <w:rsid w:val="00616D13"/>
    <w:rsid w:val="0062020B"/>
    <w:rsid w:val="0062067B"/>
    <w:rsid w:val="00622130"/>
    <w:rsid w:val="00623072"/>
    <w:rsid w:val="00623C0F"/>
    <w:rsid w:val="00623FE2"/>
    <w:rsid w:val="00624584"/>
    <w:rsid w:val="006250C0"/>
    <w:rsid w:val="00625235"/>
    <w:rsid w:val="0062632C"/>
    <w:rsid w:val="006265AC"/>
    <w:rsid w:val="006274B0"/>
    <w:rsid w:val="006278B9"/>
    <w:rsid w:val="006325BE"/>
    <w:rsid w:val="00633517"/>
    <w:rsid w:val="006336F7"/>
    <w:rsid w:val="00633D9E"/>
    <w:rsid w:val="00634ABD"/>
    <w:rsid w:val="00635622"/>
    <w:rsid w:val="00636B47"/>
    <w:rsid w:val="00637FAF"/>
    <w:rsid w:val="00640854"/>
    <w:rsid w:val="006416E3"/>
    <w:rsid w:val="006420FE"/>
    <w:rsid w:val="00642209"/>
    <w:rsid w:val="00642581"/>
    <w:rsid w:val="0064379A"/>
    <w:rsid w:val="0064621B"/>
    <w:rsid w:val="00646F87"/>
    <w:rsid w:val="00652044"/>
    <w:rsid w:val="00652C4D"/>
    <w:rsid w:val="00652EA7"/>
    <w:rsid w:val="0065308A"/>
    <w:rsid w:val="00653590"/>
    <w:rsid w:val="00655753"/>
    <w:rsid w:val="0065663E"/>
    <w:rsid w:val="00656F22"/>
    <w:rsid w:val="00657FF8"/>
    <w:rsid w:val="00660736"/>
    <w:rsid w:val="00661A08"/>
    <w:rsid w:val="00661A21"/>
    <w:rsid w:val="00661CAF"/>
    <w:rsid w:val="006627EE"/>
    <w:rsid w:val="00662C9D"/>
    <w:rsid w:val="00664919"/>
    <w:rsid w:val="00665FB2"/>
    <w:rsid w:val="00666CDA"/>
    <w:rsid w:val="00667450"/>
    <w:rsid w:val="0067056C"/>
    <w:rsid w:val="00671881"/>
    <w:rsid w:val="00673759"/>
    <w:rsid w:val="00674CF3"/>
    <w:rsid w:val="00674ED7"/>
    <w:rsid w:val="0067531C"/>
    <w:rsid w:val="00675F00"/>
    <w:rsid w:val="0067624F"/>
    <w:rsid w:val="006764D6"/>
    <w:rsid w:val="00676CD6"/>
    <w:rsid w:val="00676D98"/>
    <w:rsid w:val="00677176"/>
    <w:rsid w:val="00680850"/>
    <w:rsid w:val="00680AE4"/>
    <w:rsid w:val="00681BE0"/>
    <w:rsid w:val="00682E28"/>
    <w:rsid w:val="00684A86"/>
    <w:rsid w:val="00685FD2"/>
    <w:rsid w:val="0068675F"/>
    <w:rsid w:val="00686EB3"/>
    <w:rsid w:val="00687DAF"/>
    <w:rsid w:val="0069282A"/>
    <w:rsid w:val="006933DA"/>
    <w:rsid w:val="00693747"/>
    <w:rsid w:val="00694084"/>
    <w:rsid w:val="00697954"/>
    <w:rsid w:val="00697C32"/>
    <w:rsid w:val="006A16BA"/>
    <w:rsid w:val="006A1829"/>
    <w:rsid w:val="006A1BE2"/>
    <w:rsid w:val="006A28A6"/>
    <w:rsid w:val="006A2A46"/>
    <w:rsid w:val="006A5957"/>
    <w:rsid w:val="006A5C09"/>
    <w:rsid w:val="006A63ED"/>
    <w:rsid w:val="006B0A39"/>
    <w:rsid w:val="006B1249"/>
    <w:rsid w:val="006B2242"/>
    <w:rsid w:val="006B248A"/>
    <w:rsid w:val="006B306C"/>
    <w:rsid w:val="006B39F9"/>
    <w:rsid w:val="006B3A21"/>
    <w:rsid w:val="006B4E13"/>
    <w:rsid w:val="006B5E5D"/>
    <w:rsid w:val="006B5F0E"/>
    <w:rsid w:val="006B6241"/>
    <w:rsid w:val="006B6691"/>
    <w:rsid w:val="006B6900"/>
    <w:rsid w:val="006C0D7B"/>
    <w:rsid w:val="006C104E"/>
    <w:rsid w:val="006C1D01"/>
    <w:rsid w:val="006C2998"/>
    <w:rsid w:val="006C2E61"/>
    <w:rsid w:val="006C364A"/>
    <w:rsid w:val="006C386F"/>
    <w:rsid w:val="006C6314"/>
    <w:rsid w:val="006C6477"/>
    <w:rsid w:val="006C799B"/>
    <w:rsid w:val="006C7D50"/>
    <w:rsid w:val="006D0686"/>
    <w:rsid w:val="006D4E1C"/>
    <w:rsid w:val="006D4F35"/>
    <w:rsid w:val="006D52E0"/>
    <w:rsid w:val="006D5B1F"/>
    <w:rsid w:val="006D5CF5"/>
    <w:rsid w:val="006D6D89"/>
    <w:rsid w:val="006D7591"/>
    <w:rsid w:val="006D79E7"/>
    <w:rsid w:val="006E0132"/>
    <w:rsid w:val="006E0A3F"/>
    <w:rsid w:val="006E2ABA"/>
    <w:rsid w:val="006E35A4"/>
    <w:rsid w:val="006E3F90"/>
    <w:rsid w:val="006E45A5"/>
    <w:rsid w:val="006E5273"/>
    <w:rsid w:val="006E56D8"/>
    <w:rsid w:val="006E5923"/>
    <w:rsid w:val="006E7279"/>
    <w:rsid w:val="006F0879"/>
    <w:rsid w:val="006F0ADD"/>
    <w:rsid w:val="006F289E"/>
    <w:rsid w:val="006F3B05"/>
    <w:rsid w:val="006F4370"/>
    <w:rsid w:val="006F4677"/>
    <w:rsid w:val="006F5406"/>
    <w:rsid w:val="006F563A"/>
    <w:rsid w:val="006F5E41"/>
    <w:rsid w:val="006F6B2D"/>
    <w:rsid w:val="006F7C9B"/>
    <w:rsid w:val="007002F2"/>
    <w:rsid w:val="007007B8"/>
    <w:rsid w:val="00701127"/>
    <w:rsid w:val="007019C5"/>
    <w:rsid w:val="00701FF2"/>
    <w:rsid w:val="00704F3F"/>
    <w:rsid w:val="007065F9"/>
    <w:rsid w:val="00711499"/>
    <w:rsid w:val="0071197A"/>
    <w:rsid w:val="00712AAF"/>
    <w:rsid w:val="00712DBE"/>
    <w:rsid w:val="00713E90"/>
    <w:rsid w:val="0071440F"/>
    <w:rsid w:val="007149D3"/>
    <w:rsid w:val="00720E94"/>
    <w:rsid w:val="00721432"/>
    <w:rsid w:val="007228B4"/>
    <w:rsid w:val="007228C8"/>
    <w:rsid w:val="0072360F"/>
    <w:rsid w:val="00724354"/>
    <w:rsid w:val="00724E76"/>
    <w:rsid w:val="00725908"/>
    <w:rsid w:val="00725DE1"/>
    <w:rsid w:val="00727D50"/>
    <w:rsid w:val="0073061D"/>
    <w:rsid w:val="00730B2C"/>
    <w:rsid w:val="0073288D"/>
    <w:rsid w:val="00732B1A"/>
    <w:rsid w:val="0073366A"/>
    <w:rsid w:val="00733E9E"/>
    <w:rsid w:val="00734459"/>
    <w:rsid w:val="007368F8"/>
    <w:rsid w:val="007409FB"/>
    <w:rsid w:val="00740D88"/>
    <w:rsid w:val="00742AA3"/>
    <w:rsid w:val="007441D9"/>
    <w:rsid w:val="00744ACA"/>
    <w:rsid w:val="007454DC"/>
    <w:rsid w:val="007473A3"/>
    <w:rsid w:val="0074761D"/>
    <w:rsid w:val="00750B84"/>
    <w:rsid w:val="00751888"/>
    <w:rsid w:val="00751C24"/>
    <w:rsid w:val="007520F6"/>
    <w:rsid w:val="00754040"/>
    <w:rsid w:val="00754FB9"/>
    <w:rsid w:val="00755684"/>
    <w:rsid w:val="007567E6"/>
    <w:rsid w:val="00756EE9"/>
    <w:rsid w:val="007571BA"/>
    <w:rsid w:val="007572C6"/>
    <w:rsid w:val="00757EBA"/>
    <w:rsid w:val="00761E32"/>
    <w:rsid w:val="007625DF"/>
    <w:rsid w:val="00762CC8"/>
    <w:rsid w:val="007635DB"/>
    <w:rsid w:val="00763A94"/>
    <w:rsid w:val="00764818"/>
    <w:rsid w:val="00764E09"/>
    <w:rsid w:val="00764F86"/>
    <w:rsid w:val="00765372"/>
    <w:rsid w:val="007660FB"/>
    <w:rsid w:val="00767AA4"/>
    <w:rsid w:val="00767ACC"/>
    <w:rsid w:val="00767EF0"/>
    <w:rsid w:val="00773163"/>
    <w:rsid w:val="00775DDB"/>
    <w:rsid w:val="00776224"/>
    <w:rsid w:val="00776D1F"/>
    <w:rsid w:val="00777E54"/>
    <w:rsid w:val="007834D5"/>
    <w:rsid w:val="00785CAE"/>
    <w:rsid w:val="00785E78"/>
    <w:rsid w:val="00785FA8"/>
    <w:rsid w:val="0078672E"/>
    <w:rsid w:val="007869BC"/>
    <w:rsid w:val="007876F2"/>
    <w:rsid w:val="00790476"/>
    <w:rsid w:val="0079292A"/>
    <w:rsid w:val="00792A27"/>
    <w:rsid w:val="00795BF2"/>
    <w:rsid w:val="00796847"/>
    <w:rsid w:val="007969B8"/>
    <w:rsid w:val="00797438"/>
    <w:rsid w:val="007A05E4"/>
    <w:rsid w:val="007A189D"/>
    <w:rsid w:val="007A1EED"/>
    <w:rsid w:val="007A24F0"/>
    <w:rsid w:val="007A28A3"/>
    <w:rsid w:val="007A36DE"/>
    <w:rsid w:val="007A3798"/>
    <w:rsid w:val="007A38AA"/>
    <w:rsid w:val="007A3AA3"/>
    <w:rsid w:val="007A56CD"/>
    <w:rsid w:val="007A5D7E"/>
    <w:rsid w:val="007A624A"/>
    <w:rsid w:val="007A664B"/>
    <w:rsid w:val="007A678A"/>
    <w:rsid w:val="007A6A4D"/>
    <w:rsid w:val="007A7584"/>
    <w:rsid w:val="007A7B51"/>
    <w:rsid w:val="007B1190"/>
    <w:rsid w:val="007B3328"/>
    <w:rsid w:val="007B351D"/>
    <w:rsid w:val="007B5E5B"/>
    <w:rsid w:val="007B63D1"/>
    <w:rsid w:val="007C0AB9"/>
    <w:rsid w:val="007C0E50"/>
    <w:rsid w:val="007C107F"/>
    <w:rsid w:val="007C21CF"/>
    <w:rsid w:val="007C332B"/>
    <w:rsid w:val="007C3891"/>
    <w:rsid w:val="007C3D2C"/>
    <w:rsid w:val="007C3FE2"/>
    <w:rsid w:val="007C4FC4"/>
    <w:rsid w:val="007C5647"/>
    <w:rsid w:val="007C6B6A"/>
    <w:rsid w:val="007C6CF8"/>
    <w:rsid w:val="007C6DEE"/>
    <w:rsid w:val="007C76C9"/>
    <w:rsid w:val="007D04FF"/>
    <w:rsid w:val="007D090F"/>
    <w:rsid w:val="007D09B1"/>
    <w:rsid w:val="007D0BE9"/>
    <w:rsid w:val="007D0E7F"/>
    <w:rsid w:val="007D24FE"/>
    <w:rsid w:val="007D2C99"/>
    <w:rsid w:val="007D2EDF"/>
    <w:rsid w:val="007D3E3B"/>
    <w:rsid w:val="007D4792"/>
    <w:rsid w:val="007D48FB"/>
    <w:rsid w:val="007D56F2"/>
    <w:rsid w:val="007D58C7"/>
    <w:rsid w:val="007D5ACE"/>
    <w:rsid w:val="007D6D3D"/>
    <w:rsid w:val="007D71AA"/>
    <w:rsid w:val="007D775F"/>
    <w:rsid w:val="007D7BC5"/>
    <w:rsid w:val="007E1681"/>
    <w:rsid w:val="007E19AA"/>
    <w:rsid w:val="007E1ADA"/>
    <w:rsid w:val="007E2A78"/>
    <w:rsid w:val="007E3AFB"/>
    <w:rsid w:val="007E64A7"/>
    <w:rsid w:val="007E7412"/>
    <w:rsid w:val="007F1133"/>
    <w:rsid w:val="007F140C"/>
    <w:rsid w:val="007F189C"/>
    <w:rsid w:val="007F1C2E"/>
    <w:rsid w:val="007F20FA"/>
    <w:rsid w:val="007F218B"/>
    <w:rsid w:val="007F241B"/>
    <w:rsid w:val="007F359B"/>
    <w:rsid w:val="007F37DD"/>
    <w:rsid w:val="007F3A30"/>
    <w:rsid w:val="007F3EDA"/>
    <w:rsid w:val="007F44AA"/>
    <w:rsid w:val="007F4BE4"/>
    <w:rsid w:val="007F4E1D"/>
    <w:rsid w:val="007F6712"/>
    <w:rsid w:val="007F712D"/>
    <w:rsid w:val="007F7150"/>
    <w:rsid w:val="00800089"/>
    <w:rsid w:val="0080176C"/>
    <w:rsid w:val="00802572"/>
    <w:rsid w:val="008027F6"/>
    <w:rsid w:val="00803C38"/>
    <w:rsid w:val="0080462E"/>
    <w:rsid w:val="00806031"/>
    <w:rsid w:val="00806A23"/>
    <w:rsid w:val="00806A8E"/>
    <w:rsid w:val="00807489"/>
    <w:rsid w:val="008077B5"/>
    <w:rsid w:val="008105D1"/>
    <w:rsid w:val="0081281C"/>
    <w:rsid w:val="008146C7"/>
    <w:rsid w:val="0081474C"/>
    <w:rsid w:val="00814B1E"/>
    <w:rsid w:val="00817CCD"/>
    <w:rsid w:val="00820A88"/>
    <w:rsid w:val="00821391"/>
    <w:rsid w:val="008228CC"/>
    <w:rsid w:val="00822A4A"/>
    <w:rsid w:val="0082384B"/>
    <w:rsid w:val="00825554"/>
    <w:rsid w:val="00825ED2"/>
    <w:rsid w:val="00827ACC"/>
    <w:rsid w:val="00830122"/>
    <w:rsid w:val="008310A5"/>
    <w:rsid w:val="0083215E"/>
    <w:rsid w:val="0083219B"/>
    <w:rsid w:val="00832424"/>
    <w:rsid w:val="00834750"/>
    <w:rsid w:val="008348E5"/>
    <w:rsid w:val="00837BCD"/>
    <w:rsid w:val="008426EA"/>
    <w:rsid w:val="0084295F"/>
    <w:rsid w:val="00842C08"/>
    <w:rsid w:val="00844685"/>
    <w:rsid w:val="008449A4"/>
    <w:rsid w:val="00844B82"/>
    <w:rsid w:val="00844E9C"/>
    <w:rsid w:val="00847218"/>
    <w:rsid w:val="00847C7F"/>
    <w:rsid w:val="00850D3E"/>
    <w:rsid w:val="0085239D"/>
    <w:rsid w:val="00852F1A"/>
    <w:rsid w:val="008547E3"/>
    <w:rsid w:val="00855161"/>
    <w:rsid w:val="00860F7C"/>
    <w:rsid w:val="00862DA2"/>
    <w:rsid w:val="0086457B"/>
    <w:rsid w:val="00865080"/>
    <w:rsid w:val="00865C3D"/>
    <w:rsid w:val="008663A7"/>
    <w:rsid w:val="00866659"/>
    <w:rsid w:val="008667E7"/>
    <w:rsid w:val="00867B61"/>
    <w:rsid w:val="00870816"/>
    <w:rsid w:val="008723E7"/>
    <w:rsid w:val="008733A3"/>
    <w:rsid w:val="00873F6D"/>
    <w:rsid w:val="00875548"/>
    <w:rsid w:val="0087571B"/>
    <w:rsid w:val="0087599D"/>
    <w:rsid w:val="00876AEA"/>
    <w:rsid w:val="00876BC9"/>
    <w:rsid w:val="00877530"/>
    <w:rsid w:val="008809F2"/>
    <w:rsid w:val="00881A10"/>
    <w:rsid w:val="008823D9"/>
    <w:rsid w:val="0088484C"/>
    <w:rsid w:val="00884D52"/>
    <w:rsid w:val="00884EC0"/>
    <w:rsid w:val="008857BF"/>
    <w:rsid w:val="00885932"/>
    <w:rsid w:val="008865A7"/>
    <w:rsid w:val="00891870"/>
    <w:rsid w:val="00894F8D"/>
    <w:rsid w:val="00895F05"/>
    <w:rsid w:val="0089792E"/>
    <w:rsid w:val="00897FA4"/>
    <w:rsid w:val="008A0636"/>
    <w:rsid w:val="008A1857"/>
    <w:rsid w:val="008A2200"/>
    <w:rsid w:val="008A2536"/>
    <w:rsid w:val="008A31BC"/>
    <w:rsid w:val="008A3639"/>
    <w:rsid w:val="008A42AF"/>
    <w:rsid w:val="008A49C7"/>
    <w:rsid w:val="008A5AAD"/>
    <w:rsid w:val="008A661B"/>
    <w:rsid w:val="008B0D14"/>
    <w:rsid w:val="008B102A"/>
    <w:rsid w:val="008B19AA"/>
    <w:rsid w:val="008B2A37"/>
    <w:rsid w:val="008B320B"/>
    <w:rsid w:val="008B44BF"/>
    <w:rsid w:val="008B525D"/>
    <w:rsid w:val="008B55D1"/>
    <w:rsid w:val="008B5BA1"/>
    <w:rsid w:val="008B6820"/>
    <w:rsid w:val="008B69AD"/>
    <w:rsid w:val="008B70C2"/>
    <w:rsid w:val="008C0C34"/>
    <w:rsid w:val="008C0C80"/>
    <w:rsid w:val="008C0E64"/>
    <w:rsid w:val="008C4182"/>
    <w:rsid w:val="008C43B6"/>
    <w:rsid w:val="008C5053"/>
    <w:rsid w:val="008C5832"/>
    <w:rsid w:val="008C5E8D"/>
    <w:rsid w:val="008C642D"/>
    <w:rsid w:val="008D031B"/>
    <w:rsid w:val="008D0609"/>
    <w:rsid w:val="008D0D0A"/>
    <w:rsid w:val="008D0FFF"/>
    <w:rsid w:val="008D1036"/>
    <w:rsid w:val="008D121D"/>
    <w:rsid w:val="008D22D7"/>
    <w:rsid w:val="008D3AF6"/>
    <w:rsid w:val="008D463E"/>
    <w:rsid w:val="008D51F4"/>
    <w:rsid w:val="008D5BB3"/>
    <w:rsid w:val="008D5DE3"/>
    <w:rsid w:val="008D6064"/>
    <w:rsid w:val="008D652E"/>
    <w:rsid w:val="008D6AE7"/>
    <w:rsid w:val="008D767E"/>
    <w:rsid w:val="008E0F00"/>
    <w:rsid w:val="008E27F7"/>
    <w:rsid w:val="008E3729"/>
    <w:rsid w:val="008E5215"/>
    <w:rsid w:val="008E5612"/>
    <w:rsid w:val="008E5DD9"/>
    <w:rsid w:val="008E5F68"/>
    <w:rsid w:val="008E6532"/>
    <w:rsid w:val="008E6611"/>
    <w:rsid w:val="008F34B7"/>
    <w:rsid w:val="008F35E8"/>
    <w:rsid w:val="008F3ED8"/>
    <w:rsid w:val="008F3F7E"/>
    <w:rsid w:val="008F4C52"/>
    <w:rsid w:val="008F4DC0"/>
    <w:rsid w:val="008F5002"/>
    <w:rsid w:val="008F6AE7"/>
    <w:rsid w:val="008F78CC"/>
    <w:rsid w:val="008F7BAF"/>
    <w:rsid w:val="00900BD0"/>
    <w:rsid w:val="00901FA6"/>
    <w:rsid w:val="00902464"/>
    <w:rsid w:val="00904686"/>
    <w:rsid w:val="00904904"/>
    <w:rsid w:val="009064CF"/>
    <w:rsid w:val="00906E33"/>
    <w:rsid w:val="00907FFC"/>
    <w:rsid w:val="009104B8"/>
    <w:rsid w:val="00910B7C"/>
    <w:rsid w:val="009114AC"/>
    <w:rsid w:val="00911719"/>
    <w:rsid w:val="00912A69"/>
    <w:rsid w:val="009132E0"/>
    <w:rsid w:val="0091371E"/>
    <w:rsid w:val="00914ADA"/>
    <w:rsid w:val="00915086"/>
    <w:rsid w:val="00916611"/>
    <w:rsid w:val="0091703D"/>
    <w:rsid w:val="00917B86"/>
    <w:rsid w:val="00917DC9"/>
    <w:rsid w:val="00921F0F"/>
    <w:rsid w:val="009228BD"/>
    <w:rsid w:val="00923B76"/>
    <w:rsid w:val="00924120"/>
    <w:rsid w:val="00924156"/>
    <w:rsid w:val="009248BA"/>
    <w:rsid w:val="00924C8E"/>
    <w:rsid w:val="009250CE"/>
    <w:rsid w:val="00925723"/>
    <w:rsid w:val="00925DC7"/>
    <w:rsid w:val="00925E92"/>
    <w:rsid w:val="0092684A"/>
    <w:rsid w:val="009269C7"/>
    <w:rsid w:val="00930AAA"/>
    <w:rsid w:val="00930C60"/>
    <w:rsid w:val="00930EA6"/>
    <w:rsid w:val="00931CA6"/>
    <w:rsid w:val="00932203"/>
    <w:rsid w:val="00932B36"/>
    <w:rsid w:val="009338BF"/>
    <w:rsid w:val="00933919"/>
    <w:rsid w:val="00934037"/>
    <w:rsid w:val="0093463B"/>
    <w:rsid w:val="0093672A"/>
    <w:rsid w:val="00936BDE"/>
    <w:rsid w:val="00936DFE"/>
    <w:rsid w:val="00937030"/>
    <w:rsid w:val="00941FBD"/>
    <w:rsid w:val="009428BA"/>
    <w:rsid w:val="009430E3"/>
    <w:rsid w:val="009466E6"/>
    <w:rsid w:val="0095379B"/>
    <w:rsid w:val="009539D1"/>
    <w:rsid w:val="009543E8"/>
    <w:rsid w:val="00956008"/>
    <w:rsid w:val="0095762E"/>
    <w:rsid w:val="00957CCB"/>
    <w:rsid w:val="009608EA"/>
    <w:rsid w:val="00960B6D"/>
    <w:rsid w:val="00961ED9"/>
    <w:rsid w:val="00963A25"/>
    <w:rsid w:val="00965BFD"/>
    <w:rsid w:val="0096604C"/>
    <w:rsid w:val="009663C6"/>
    <w:rsid w:val="009671D4"/>
    <w:rsid w:val="00967FF5"/>
    <w:rsid w:val="00970A8A"/>
    <w:rsid w:val="00970FB1"/>
    <w:rsid w:val="00971DEC"/>
    <w:rsid w:val="009721FB"/>
    <w:rsid w:val="0097253D"/>
    <w:rsid w:val="00972689"/>
    <w:rsid w:val="00972962"/>
    <w:rsid w:val="00972C1A"/>
    <w:rsid w:val="0097325B"/>
    <w:rsid w:val="00973337"/>
    <w:rsid w:val="0097357F"/>
    <w:rsid w:val="00975233"/>
    <w:rsid w:val="00975445"/>
    <w:rsid w:val="00975CA0"/>
    <w:rsid w:val="00976401"/>
    <w:rsid w:val="0097796B"/>
    <w:rsid w:val="00977AFB"/>
    <w:rsid w:val="0098124E"/>
    <w:rsid w:val="009822C9"/>
    <w:rsid w:val="009828EC"/>
    <w:rsid w:val="00983F07"/>
    <w:rsid w:val="0098522A"/>
    <w:rsid w:val="00986440"/>
    <w:rsid w:val="0098782E"/>
    <w:rsid w:val="00990340"/>
    <w:rsid w:val="0099128C"/>
    <w:rsid w:val="00991571"/>
    <w:rsid w:val="009921B0"/>
    <w:rsid w:val="00992212"/>
    <w:rsid w:val="00993E14"/>
    <w:rsid w:val="00994A24"/>
    <w:rsid w:val="00995367"/>
    <w:rsid w:val="00995759"/>
    <w:rsid w:val="00995E0C"/>
    <w:rsid w:val="0099625E"/>
    <w:rsid w:val="00997553"/>
    <w:rsid w:val="009A0CEE"/>
    <w:rsid w:val="009A110E"/>
    <w:rsid w:val="009A1E2F"/>
    <w:rsid w:val="009A212B"/>
    <w:rsid w:val="009A2867"/>
    <w:rsid w:val="009A28E6"/>
    <w:rsid w:val="009A3D92"/>
    <w:rsid w:val="009A44BF"/>
    <w:rsid w:val="009A49BB"/>
    <w:rsid w:val="009A6DF6"/>
    <w:rsid w:val="009A70E0"/>
    <w:rsid w:val="009A7A7E"/>
    <w:rsid w:val="009B14C0"/>
    <w:rsid w:val="009B2791"/>
    <w:rsid w:val="009B32B0"/>
    <w:rsid w:val="009B4884"/>
    <w:rsid w:val="009B59EC"/>
    <w:rsid w:val="009B7F48"/>
    <w:rsid w:val="009C32CB"/>
    <w:rsid w:val="009C360D"/>
    <w:rsid w:val="009C5AB9"/>
    <w:rsid w:val="009D1CC5"/>
    <w:rsid w:val="009D3016"/>
    <w:rsid w:val="009D3C35"/>
    <w:rsid w:val="009D40EF"/>
    <w:rsid w:val="009D7160"/>
    <w:rsid w:val="009E0148"/>
    <w:rsid w:val="009E1399"/>
    <w:rsid w:val="009E2CC6"/>
    <w:rsid w:val="009E2DB5"/>
    <w:rsid w:val="009E379D"/>
    <w:rsid w:val="009E4F49"/>
    <w:rsid w:val="009E6E14"/>
    <w:rsid w:val="009E7799"/>
    <w:rsid w:val="009F063F"/>
    <w:rsid w:val="009F09B7"/>
    <w:rsid w:val="009F0DBC"/>
    <w:rsid w:val="009F1DF4"/>
    <w:rsid w:val="009F2052"/>
    <w:rsid w:val="009F2208"/>
    <w:rsid w:val="009F483C"/>
    <w:rsid w:val="009F4F6B"/>
    <w:rsid w:val="009F6415"/>
    <w:rsid w:val="00A00119"/>
    <w:rsid w:val="00A01E1E"/>
    <w:rsid w:val="00A0225F"/>
    <w:rsid w:val="00A02555"/>
    <w:rsid w:val="00A03086"/>
    <w:rsid w:val="00A06841"/>
    <w:rsid w:val="00A1213D"/>
    <w:rsid w:val="00A15943"/>
    <w:rsid w:val="00A15FAF"/>
    <w:rsid w:val="00A2033C"/>
    <w:rsid w:val="00A21BDC"/>
    <w:rsid w:val="00A22008"/>
    <w:rsid w:val="00A224EA"/>
    <w:rsid w:val="00A237F8"/>
    <w:rsid w:val="00A23EBC"/>
    <w:rsid w:val="00A23F98"/>
    <w:rsid w:val="00A24DBD"/>
    <w:rsid w:val="00A2524F"/>
    <w:rsid w:val="00A25998"/>
    <w:rsid w:val="00A25F41"/>
    <w:rsid w:val="00A25FED"/>
    <w:rsid w:val="00A2611C"/>
    <w:rsid w:val="00A27291"/>
    <w:rsid w:val="00A27470"/>
    <w:rsid w:val="00A27762"/>
    <w:rsid w:val="00A3062B"/>
    <w:rsid w:val="00A30A17"/>
    <w:rsid w:val="00A327FB"/>
    <w:rsid w:val="00A33CA4"/>
    <w:rsid w:val="00A3643A"/>
    <w:rsid w:val="00A370B6"/>
    <w:rsid w:val="00A409A0"/>
    <w:rsid w:val="00A41A2B"/>
    <w:rsid w:val="00A43608"/>
    <w:rsid w:val="00A44849"/>
    <w:rsid w:val="00A45F37"/>
    <w:rsid w:val="00A50E7A"/>
    <w:rsid w:val="00A52D41"/>
    <w:rsid w:val="00A52E71"/>
    <w:rsid w:val="00A53705"/>
    <w:rsid w:val="00A53E70"/>
    <w:rsid w:val="00A541C7"/>
    <w:rsid w:val="00A5459E"/>
    <w:rsid w:val="00A56558"/>
    <w:rsid w:val="00A56CA6"/>
    <w:rsid w:val="00A570FA"/>
    <w:rsid w:val="00A57165"/>
    <w:rsid w:val="00A578F0"/>
    <w:rsid w:val="00A57E34"/>
    <w:rsid w:val="00A615E0"/>
    <w:rsid w:val="00A623CD"/>
    <w:rsid w:val="00A63AFB"/>
    <w:rsid w:val="00A63DF4"/>
    <w:rsid w:val="00A64C3D"/>
    <w:rsid w:val="00A64E8C"/>
    <w:rsid w:val="00A65125"/>
    <w:rsid w:val="00A6533B"/>
    <w:rsid w:val="00A65A36"/>
    <w:rsid w:val="00A666AF"/>
    <w:rsid w:val="00A66BCA"/>
    <w:rsid w:val="00A66FB6"/>
    <w:rsid w:val="00A67B4B"/>
    <w:rsid w:val="00A71D4A"/>
    <w:rsid w:val="00A71E87"/>
    <w:rsid w:val="00A71FCF"/>
    <w:rsid w:val="00A72A37"/>
    <w:rsid w:val="00A72E72"/>
    <w:rsid w:val="00A73916"/>
    <w:rsid w:val="00A74CB7"/>
    <w:rsid w:val="00A76043"/>
    <w:rsid w:val="00A77112"/>
    <w:rsid w:val="00A8173F"/>
    <w:rsid w:val="00A81C95"/>
    <w:rsid w:val="00A8267D"/>
    <w:rsid w:val="00A82BF0"/>
    <w:rsid w:val="00A82DDF"/>
    <w:rsid w:val="00A84269"/>
    <w:rsid w:val="00A84441"/>
    <w:rsid w:val="00A851CA"/>
    <w:rsid w:val="00A859D1"/>
    <w:rsid w:val="00A85A3A"/>
    <w:rsid w:val="00A85D4B"/>
    <w:rsid w:val="00A86BAC"/>
    <w:rsid w:val="00A86F97"/>
    <w:rsid w:val="00A87739"/>
    <w:rsid w:val="00A87965"/>
    <w:rsid w:val="00A87B55"/>
    <w:rsid w:val="00A92EB6"/>
    <w:rsid w:val="00A9358D"/>
    <w:rsid w:val="00A9411B"/>
    <w:rsid w:val="00A94474"/>
    <w:rsid w:val="00A94BA0"/>
    <w:rsid w:val="00A94D3B"/>
    <w:rsid w:val="00A97F39"/>
    <w:rsid w:val="00AA0E94"/>
    <w:rsid w:val="00AA1908"/>
    <w:rsid w:val="00AA2722"/>
    <w:rsid w:val="00AA4375"/>
    <w:rsid w:val="00AA4DC1"/>
    <w:rsid w:val="00AA6D6D"/>
    <w:rsid w:val="00AA7D40"/>
    <w:rsid w:val="00AA7DC1"/>
    <w:rsid w:val="00AB044F"/>
    <w:rsid w:val="00AB0D79"/>
    <w:rsid w:val="00AB1C64"/>
    <w:rsid w:val="00AB6758"/>
    <w:rsid w:val="00AB70D4"/>
    <w:rsid w:val="00AC0A68"/>
    <w:rsid w:val="00AC0E71"/>
    <w:rsid w:val="00AC1625"/>
    <w:rsid w:val="00AC1C21"/>
    <w:rsid w:val="00AC2EDD"/>
    <w:rsid w:val="00AC4972"/>
    <w:rsid w:val="00AC4D77"/>
    <w:rsid w:val="00AC4E23"/>
    <w:rsid w:val="00AC697E"/>
    <w:rsid w:val="00AC7092"/>
    <w:rsid w:val="00AC79AD"/>
    <w:rsid w:val="00AD0049"/>
    <w:rsid w:val="00AD27E8"/>
    <w:rsid w:val="00AD4061"/>
    <w:rsid w:val="00AD410D"/>
    <w:rsid w:val="00AD52B5"/>
    <w:rsid w:val="00AD5FFD"/>
    <w:rsid w:val="00AD7EB8"/>
    <w:rsid w:val="00AE02CE"/>
    <w:rsid w:val="00AE0D05"/>
    <w:rsid w:val="00AE1102"/>
    <w:rsid w:val="00AE1978"/>
    <w:rsid w:val="00AE2044"/>
    <w:rsid w:val="00AE2A3A"/>
    <w:rsid w:val="00AE2B24"/>
    <w:rsid w:val="00AE357D"/>
    <w:rsid w:val="00AE42BF"/>
    <w:rsid w:val="00AE49B5"/>
    <w:rsid w:val="00AE4D3C"/>
    <w:rsid w:val="00AE644C"/>
    <w:rsid w:val="00AE69A2"/>
    <w:rsid w:val="00AE6B9D"/>
    <w:rsid w:val="00AE7039"/>
    <w:rsid w:val="00AF02AE"/>
    <w:rsid w:val="00AF116D"/>
    <w:rsid w:val="00AF16F7"/>
    <w:rsid w:val="00AF2F78"/>
    <w:rsid w:val="00AF44B5"/>
    <w:rsid w:val="00AF69FD"/>
    <w:rsid w:val="00AF6A90"/>
    <w:rsid w:val="00AF6CF4"/>
    <w:rsid w:val="00AF71D7"/>
    <w:rsid w:val="00AF725A"/>
    <w:rsid w:val="00B00DB5"/>
    <w:rsid w:val="00B013AC"/>
    <w:rsid w:val="00B01593"/>
    <w:rsid w:val="00B0183B"/>
    <w:rsid w:val="00B02B5C"/>
    <w:rsid w:val="00B031B3"/>
    <w:rsid w:val="00B0394E"/>
    <w:rsid w:val="00B042DE"/>
    <w:rsid w:val="00B04575"/>
    <w:rsid w:val="00B04B5B"/>
    <w:rsid w:val="00B052A8"/>
    <w:rsid w:val="00B06DDC"/>
    <w:rsid w:val="00B11612"/>
    <w:rsid w:val="00B1332F"/>
    <w:rsid w:val="00B1687E"/>
    <w:rsid w:val="00B172B7"/>
    <w:rsid w:val="00B17BCB"/>
    <w:rsid w:val="00B2005E"/>
    <w:rsid w:val="00B20579"/>
    <w:rsid w:val="00B2253A"/>
    <w:rsid w:val="00B22A09"/>
    <w:rsid w:val="00B22AB7"/>
    <w:rsid w:val="00B22FA4"/>
    <w:rsid w:val="00B24FA2"/>
    <w:rsid w:val="00B26423"/>
    <w:rsid w:val="00B26710"/>
    <w:rsid w:val="00B30025"/>
    <w:rsid w:val="00B32867"/>
    <w:rsid w:val="00B3480C"/>
    <w:rsid w:val="00B35801"/>
    <w:rsid w:val="00B35969"/>
    <w:rsid w:val="00B36328"/>
    <w:rsid w:val="00B36C53"/>
    <w:rsid w:val="00B378EF"/>
    <w:rsid w:val="00B37F68"/>
    <w:rsid w:val="00B40FB1"/>
    <w:rsid w:val="00B413C4"/>
    <w:rsid w:val="00B42D37"/>
    <w:rsid w:val="00B435D0"/>
    <w:rsid w:val="00B43FE4"/>
    <w:rsid w:val="00B4404C"/>
    <w:rsid w:val="00B441C6"/>
    <w:rsid w:val="00B44F82"/>
    <w:rsid w:val="00B4512F"/>
    <w:rsid w:val="00B47490"/>
    <w:rsid w:val="00B5339C"/>
    <w:rsid w:val="00B53724"/>
    <w:rsid w:val="00B53DA7"/>
    <w:rsid w:val="00B5486A"/>
    <w:rsid w:val="00B55C29"/>
    <w:rsid w:val="00B55FF4"/>
    <w:rsid w:val="00B5671B"/>
    <w:rsid w:val="00B575E0"/>
    <w:rsid w:val="00B577FF"/>
    <w:rsid w:val="00B619D5"/>
    <w:rsid w:val="00B63177"/>
    <w:rsid w:val="00B6558B"/>
    <w:rsid w:val="00B6659B"/>
    <w:rsid w:val="00B66D20"/>
    <w:rsid w:val="00B67A88"/>
    <w:rsid w:val="00B70018"/>
    <w:rsid w:val="00B7095D"/>
    <w:rsid w:val="00B711BF"/>
    <w:rsid w:val="00B71277"/>
    <w:rsid w:val="00B72640"/>
    <w:rsid w:val="00B73817"/>
    <w:rsid w:val="00B738D7"/>
    <w:rsid w:val="00B743C3"/>
    <w:rsid w:val="00B744BA"/>
    <w:rsid w:val="00B75E52"/>
    <w:rsid w:val="00B76E74"/>
    <w:rsid w:val="00B81645"/>
    <w:rsid w:val="00B82244"/>
    <w:rsid w:val="00B82E94"/>
    <w:rsid w:val="00B83AA8"/>
    <w:rsid w:val="00B84AF2"/>
    <w:rsid w:val="00B860DA"/>
    <w:rsid w:val="00B87FDD"/>
    <w:rsid w:val="00B90D36"/>
    <w:rsid w:val="00B91E23"/>
    <w:rsid w:val="00B91F13"/>
    <w:rsid w:val="00B9294E"/>
    <w:rsid w:val="00B93A9B"/>
    <w:rsid w:val="00B95A6E"/>
    <w:rsid w:val="00B95CFF"/>
    <w:rsid w:val="00B95DB6"/>
    <w:rsid w:val="00B97395"/>
    <w:rsid w:val="00BA138F"/>
    <w:rsid w:val="00BA2BD0"/>
    <w:rsid w:val="00BA3072"/>
    <w:rsid w:val="00BA4829"/>
    <w:rsid w:val="00BA48D1"/>
    <w:rsid w:val="00BA4C93"/>
    <w:rsid w:val="00BA7B86"/>
    <w:rsid w:val="00BB22B6"/>
    <w:rsid w:val="00BB2BCE"/>
    <w:rsid w:val="00BB649D"/>
    <w:rsid w:val="00BB6525"/>
    <w:rsid w:val="00BB7093"/>
    <w:rsid w:val="00BB70D2"/>
    <w:rsid w:val="00BC0E1C"/>
    <w:rsid w:val="00BC12B7"/>
    <w:rsid w:val="00BC12DE"/>
    <w:rsid w:val="00BC1ADF"/>
    <w:rsid w:val="00BC20C3"/>
    <w:rsid w:val="00BC22BA"/>
    <w:rsid w:val="00BC472A"/>
    <w:rsid w:val="00BC61B4"/>
    <w:rsid w:val="00BC61EF"/>
    <w:rsid w:val="00BC6B72"/>
    <w:rsid w:val="00BC717F"/>
    <w:rsid w:val="00BD1640"/>
    <w:rsid w:val="00BD1A2B"/>
    <w:rsid w:val="00BD3813"/>
    <w:rsid w:val="00BD533D"/>
    <w:rsid w:val="00BD5EF2"/>
    <w:rsid w:val="00BD606D"/>
    <w:rsid w:val="00BD610E"/>
    <w:rsid w:val="00BD6700"/>
    <w:rsid w:val="00BD68F0"/>
    <w:rsid w:val="00BD708B"/>
    <w:rsid w:val="00BD7EF2"/>
    <w:rsid w:val="00BD7FA7"/>
    <w:rsid w:val="00BE1748"/>
    <w:rsid w:val="00BE2035"/>
    <w:rsid w:val="00BE269C"/>
    <w:rsid w:val="00BE26EC"/>
    <w:rsid w:val="00BE37FC"/>
    <w:rsid w:val="00BE4F08"/>
    <w:rsid w:val="00BE58A0"/>
    <w:rsid w:val="00BE65F6"/>
    <w:rsid w:val="00BF0AAA"/>
    <w:rsid w:val="00BF0DF6"/>
    <w:rsid w:val="00BF16B2"/>
    <w:rsid w:val="00BF22C3"/>
    <w:rsid w:val="00BF4450"/>
    <w:rsid w:val="00BF501C"/>
    <w:rsid w:val="00BF50EC"/>
    <w:rsid w:val="00BF6378"/>
    <w:rsid w:val="00C04D01"/>
    <w:rsid w:val="00C05108"/>
    <w:rsid w:val="00C05581"/>
    <w:rsid w:val="00C05EEA"/>
    <w:rsid w:val="00C06411"/>
    <w:rsid w:val="00C077AC"/>
    <w:rsid w:val="00C14407"/>
    <w:rsid w:val="00C16DC0"/>
    <w:rsid w:val="00C17232"/>
    <w:rsid w:val="00C20DC8"/>
    <w:rsid w:val="00C21572"/>
    <w:rsid w:val="00C228B1"/>
    <w:rsid w:val="00C23751"/>
    <w:rsid w:val="00C23927"/>
    <w:rsid w:val="00C25516"/>
    <w:rsid w:val="00C2656E"/>
    <w:rsid w:val="00C2665D"/>
    <w:rsid w:val="00C26BFA"/>
    <w:rsid w:val="00C27865"/>
    <w:rsid w:val="00C27871"/>
    <w:rsid w:val="00C27ADC"/>
    <w:rsid w:val="00C27D86"/>
    <w:rsid w:val="00C304CF"/>
    <w:rsid w:val="00C30758"/>
    <w:rsid w:val="00C320F4"/>
    <w:rsid w:val="00C3268F"/>
    <w:rsid w:val="00C32A9E"/>
    <w:rsid w:val="00C344CA"/>
    <w:rsid w:val="00C34672"/>
    <w:rsid w:val="00C34BF5"/>
    <w:rsid w:val="00C34F1F"/>
    <w:rsid w:val="00C35BD0"/>
    <w:rsid w:val="00C36266"/>
    <w:rsid w:val="00C3642C"/>
    <w:rsid w:val="00C36EE9"/>
    <w:rsid w:val="00C37298"/>
    <w:rsid w:val="00C37573"/>
    <w:rsid w:val="00C422F6"/>
    <w:rsid w:val="00C424DA"/>
    <w:rsid w:val="00C4286B"/>
    <w:rsid w:val="00C43CB4"/>
    <w:rsid w:val="00C44429"/>
    <w:rsid w:val="00C44ADD"/>
    <w:rsid w:val="00C4589E"/>
    <w:rsid w:val="00C45A8E"/>
    <w:rsid w:val="00C45FD9"/>
    <w:rsid w:val="00C46C38"/>
    <w:rsid w:val="00C4752D"/>
    <w:rsid w:val="00C5060C"/>
    <w:rsid w:val="00C50BB2"/>
    <w:rsid w:val="00C51B4B"/>
    <w:rsid w:val="00C51F6D"/>
    <w:rsid w:val="00C5255D"/>
    <w:rsid w:val="00C54032"/>
    <w:rsid w:val="00C54AFD"/>
    <w:rsid w:val="00C55798"/>
    <w:rsid w:val="00C55B30"/>
    <w:rsid w:val="00C55EB2"/>
    <w:rsid w:val="00C56BB4"/>
    <w:rsid w:val="00C57820"/>
    <w:rsid w:val="00C5790E"/>
    <w:rsid w:val="00C57EDE"/>
    <w:rsid w:val="00C61E8A"/>
    <w:rsid w:val="00C62377"/>
    <w:rsid w:val="00C6311F"/>
    <w:rsid w:val="00C63134"/>
    <w:rsid w:val="00C63AB5"/>
    <w:rsid w:val="00C64466"/>
    <w:rsid w:val="00C6460B"/>
    <w:rsid w:val="00C64A2C"/>
    <w:rsid w:val="00C64E4C"/>
    <w:rsid w:val="00C65790"/>
    <w:rsid w:val="00C66795"/>
    <w:rsid w:val="00C70402"/>
    <w:rsid w:val="00C71166"/>
    <w:rsid w:val="00C71E1E"/>
    <w:rsid w:val="00C73AA0"/>
    <w:rsid w:val="00C74257"/>
    <w:rsid w:val="00C7494B"/>
    <w:rsid w:val="00C76A34"/>
    <w:rsid w:val="00C77C0E"/>
    <w:rsid w:val="00C77EDA"/>
    <w:rsid w:val="00C8157E"/>
    <w:rsid w:val="00C81B8F"/>
    <w:rsid w:val="00C81E2B"/>
    <w:rsid w:val="00C830BD"/>
    <w:rsid w:val="00C835F1"/>
    <w:rsid w:val="00C83D3E"/>
    <w:rsid w:val="00C83EE5"/>
    <w:rsid w:val="00C84062"/>
    <w:rsid w:val="00C8408F"/>
    <w:rsid w:val="00C84F67"/>
    <w:rsid w:val="00C85148"/>
    <w:rsid w:val="00C85C0A"/>
    <w:rsid w:val="00C85F99"/>
    <w:rsid w:val="00C87CBA"/>
    <w:rsid w:val="00C87E8F"/>
    <w:rsid w:val="00C90084"/>
    <w:rsid w:val="00C91944"/>
    <w:rsid w:val="00C91A54"/>
    <w:rsid w:val="00C92A01"/>
    <w:rsid w:val="00C92A9B"/>
    <w:rsid w:val="00C934CC"/>
    <w:rsid w:val="00C9393D"/>
    <w:rsid w:val="00C94444"/>
    <w:rsid w:val="00C95EEF"/>
    <w:rsid w:val="00C964D8"/>
    <w:rsid w:val="00C97373"/>
    <w:rsid w:val="00CA0CE9"/>
    <w:rsid w:val="00CA0ECA"/>
    <w:rsid w:val="00CA1F3E"/>
    <w:rsid w:val="00CA2A61"/>
    <w:rsid w:val="00CA3929"/>
    <w:rsid w:val="00CA4061"/>
    <w:rsid w:val="00CA5199"/>
    <w:rsid w:val="00CA5475"/>
    <w:rsid w:val="00CA6343"/>
    <w:rsid w:val="00CB3DD7"/>
    <w:rsid w:val="00CB3EDD"/>
    <w:rsid w:val="00CB5099"/>
    <w:rsid w:val="00CB53FD"/>
    <w:rsid w:val="00CB5E4D"/>
    <w:rsid w:val="00CB615E"/>
    <w:rsid w:val="00CB662F"/>
    <w:rsid w:val="00CB6C08"/>
    <w:rsid w:val="00CB6D21"/>
    <w:rsid w:val="00CB7A35"/>
    <w:rsid w:val="00CC1488"/>
    <w:rsid w:val="00CC17E1"/>
    <w:rsid w:val="00CC1C77"/>
    <w:rsid w:val="00CC4002"/>
    <w:rsid w:val="00CC50FE"/>
    <w:rsid w:val="00CC679F"/>
    <w:rsid w:val="00CD005B"/>
    <w:rsid w:val="00CD063F"/>
    <w:rsid w:val="00CD0C2B"/>
    <w:rsid w:val="00CD0D46"/>
    <w:rsid w:val="00CD1195"/>
    <w:rsid w:val="00CD14F3"/>
    <w:rsid w:val="00CD1913"/>
    <w:rsid w:val="00CD1D94"/>
    <w:rsid w:val="00CD21EA"/>
    <w:rsid w:val="00CD2D38"/>
    <w:rsid w:val="00CD3836"/>
    <w:rsid w:val="00CD4121"/>
    <w:rsid w:val="00CD4C0A"/>
    <w:rsid w:val="00CD5E66"/>
    <w:rsid w:val="00CD6901"/>
    <w:rsid w:val="00CD6B66"/>
    <w:rsid w:val="00CE00A7"/>
    <w:rsid w:val="00CE016C"/>
    <w:rsid w:val="00CE029F"/>
    <w:rsid w:val="00CE218A"/>
    <w:rsid w:val="00CE2BD7"/>
    <w:rsid w:val="00CE3142"/>
    <w:rsid w:val="00CE3A32"/>
    <w:rsid w:val="00CE3D5C"/>
    <w:rsid w:val="00CE5512"/>
    <w:rsid w:val="00CE6748"/>
    <w:rsid w:val="00CE7114"/>
    <w:rsid w:val="00CF1260"/>
    <w:rsid w:val="00CF2DE0"/>
    <w:rsid w:val="00CF32B7"/>
    <w:rsid w:val="00CF3D71"/>
    <w:rsid w:val="00CF4260"/>
    <w:rsid w:val="00CF7E9B"/>
    <w:rsid w:val="00D0012A"/>
    <w:rsid w:val="00D00368"/>
    <w:rsid w:val="00D01E17"/>
    <w:rsid w:val="00D0223C"/>
    <w:rsid w:val="00D0375D"/>
    <w:rsid w:val="00D043BA"/>
    <w:rsid w:val="00D045C1"/>
    <w:rsid w:val="00D046DC"/>
    <w:rsid w:val="00D05270"/>
    <w:rsid w:val="00D07C54"/>
    <w:rsid w:val="00D11058"/>
    <w:rsid w:val="00D12BEE"/>
    <w:rsid w:val="00D12CEA"/>
    <w:rsid w:val="00D12F84"/>
    <w:rsid w:val="00D12FB0"/>
    <w:rsid w:val="00D131DD"/>
    <w:rsid w:val="00D13AF0"/>
    <w:rsid w:val="00D13FDC"/>
    <w:rsid w:val="00D13FF6"/>
    <w:rsid w:val="00D14142"/>
    <w:rsid w:val="00D1451F"/>
    <w:rsid w:val="00D15033"/>
    <w:rsid w:val="00D1516A"/>
    <w:rsid w:val="00D1667F"/>
    <w:rsid w:val="00D166DA"/>
    <w:rsid w:val="00D17FBD"/>
    <w:rsid w:val="00D219EA"/>
    <w:rsid w:val="00D22B9E"/>
    <w:rsid w:val="00D23AB0"/>
    <w:rsid w:val="00D3023A"/>
    <w:rsid w:val="00D30810"/>
    <w:rsid w:val="00D30B00"/>
    <w:rsid w:val="00D33133"/>
    <w:rsid w:val="00D336FE"/>
    <w:rsid w:val="00D337D1"/>
    <w:rsid w:val="00D33B9D"/>
    <w:rsid w:val="00D33C22"/>
    <w:rsid w:val="00D355D0"/>
    <w:rsid w:val="00D3631F"/>
    <w:rsid w:val="00D36EE8"/>
    <w:rsid w:val="00D36F7A"/>
    <w:rsid w:val="00D37D9E"/>
    <w:rsid w:val="00D40A33"/>
    <w:rsid w:val="00D422A0"/>
    <w:rsid w:val="00D428B1"/>
    <w:rsid w:val="00D42AEE"/>
    <w:rsid w:val="00D4434F"/>
    <w:rsid w:val="00D44717"/>
    <w:rsid w:val="00D44BA1"/>
    <w:rsid w:val="00D45B86"/>
    <w:rsid w:val="00D466A9"/>
    <w:rsid w:val="00D5048E"/>
    <w:rsid w:val="00D507B5"/>
    <w:rsid w:val="00D5095C"/>
    <w:rsid w:val="00D50BF9"/>
    <w:rsid w:val="00D50E53"/>
    <w:rsid w:val="00D513CB"/>
    <w:rsid w:val="00D51428"/>
    <w:rsid w:val="00D56400"/>
    <w:rsid w:val="00D622A8"/>
    <w:rsid w:val="00D661A2"/>
    <w:rsid w:val="00D67967"/>
    <w:rsid w:val="00D70834"/>
    <w:rsid w:val="00D70F99"/>
    <w:rsid w:val="00D71EA8"/>
    <w:rsid w:val="00D75374"/>
    <w:rsid w:val="00D754EC"/>
    <w:rsid w:val="00D76AF5"/>
    <w:rsid w:val="00D76C7E"/>
    <w:rsid w:val="00D77A17"/>
    <w:rsid w:val="00D8120D"/>
    <w:rsid w:val="00D817BC"/>
    <w:rsid w:val="00D81F3E"/>
    <w:rsid w:val="00D826E9"/>
    <w:rsid w:val="00D82BB0"/>
    <w:rsid w:val="00D83892"/>
    <w:rsid w:val="00D8433E"/>
    <w:rsid w:val="00D84D74"/>
    <w:rsid w:val="00D8663C"/>
    <w:rsid w:val="00D90DBC"/>
    <w:rsid w:val="00D914DF"/>
    <w:rsid w:val="00D91CE7"/>
    <w:rsid w:val="00D93622"/>
    <w:rsid w:val="00D93863"/>
    <w:rsid w:val="00D945F0"/>
    <w:rsid w:val="00D95761"/>
    <w:rsid w:val="00D958D0"/>
    <w:rsid w:val="00D96383"/>
    <w:rsid w:val="00D966C6"/>
    <w:rsid w:val="00D9746B"/>
    <w:rsid w:val="00DA072B"/>
    <w:rsid w:val="00DA09B2"/>
    <w:rsid w:val="00DA0E22"/>
    <w:rsid w:val="00DA3055"/>
    <w:rsid w:val="00DA39C0"/>
    <w:rsid w:val="00DA3EAF"/>
    <w:rsid w:val="00DA5559"/>
    <w:rsid w:val="00DA5A95"/>
    <w:rsid w:val="00DA5E35"/>
    <w:rsid w:val="00DA650B"/>
    <w:rsid w:val="00DA6F57"/>
    <w:rsid w:val="00DB038F"/>
    <w:rsid w:val="00DB2140"/>
    <w:rsid w:val="00DB3C6F"/>
    <w:rsid w:val="00DB4446"/>
    <w:rsid w:val="00DB4B00"/>
    <w:rsid w:val="00DB4C73"/>
    <w:rsid w:val="00DB5A89"/>
    <w:rsid w:val="00DB68ED"/>
    <w:rsid w:val="00DB6C92"/>
    <w:rsid w:val="00DB71C1"/>
    <w:rsid w:val="00DB78CB"/>
    <w:rsid w:val="00DC14E1"/>
    <w:rsid w:val="00DC1A13"/>
    <w:rsid w:val="00DC1D91"/>
    <w:rsid w:val="00DC223C"/>
    <w:rsid w:val="00DC472C"/>
    <w:rsid w:val="00DC5A58"/>
    <w:rsid w:val="00DC5FF4"/>
    <w:rsid w:val="00DC646A"/>
    <w:rsid w:val="00DC6CEC"/>
    <w:rsid w:val="00DC6E36"/>
    <w:rsid w:val="00DC7F13"/>
    <w:rsid w:val="00DD1205"/>
    <w:rsid w:val="00DD1629"/>
    <w:rsid w:val="00DD2C3C"/>
    <w:rsid w:val="00DD34A2"/>
    <w:rsid w:val="00DD666F"/>
    <w:rsid w:val="00DD6A0B"/>
    <w:rsid w:val="00DE0791"/>
    <w:rsid w:val="00DE191C"/>
    <w:rsid w:val="00DE25E3"/>
    <w:rsid w:val="00DE498E"/>
    <w:rsid w:val="00DE4A38"/>
    <w:rsid w:val="00DE7BCD"/>
    <w:rsid w:val="00DF1384"/>
    <w:rsid w:val="00DF241B"/>
    <w:rsid w:val="00E00846"/>
    <w:rsid w:val="00E0352F"/>
    <w:rsid w:val="00E03908"/>
    <w:rsid w:val="00E03A03"/>
    <w:rsid w:val="00E040AD"/>
    <w:rsid w:val="00E04360"/>
    <w:rsid w:val="00E04BC6"/>
    <w:rsid w:val="00E04E39"/>
    <w:rsid w:val="00E05243"/>
    <w:rsid w:val="00E052DF"/>
    <w:rsid w:val="00E056AF"/>
    <w:rsid w:val="00E05DA4"/>
    <w:rsid w:val="00E061B0"/>
    <w:rsid w:val="00E0641A"/>
    <w:rsid w:val="00E0787E"/>
    <w:rsid w:val="00E07981"/>
    <w:rsid w:val="00E07B55"/>
    <w:rsid w:val="00E107E8"/>
    <w:rsid w:val="00E10BDD"/>
    <w:rsid w:val="00E10BF2"/>
    <w:rsid w:val="00E10D29"/>
    <w:rsid w:val="00E11C0B"/>
    <w:rsid w:val="00E1295C"/>
    <w:rsid w:val="00E1333C"/>
    <w:rsid w:val="00E13DAF"/>
    <w:rsid w:val="00E15097"/>
    <w:rsid w:val="00E15ACA"/>
    <w:rsid w:val="00E16042"/>
    <w:rsid w:val="00E2088C"/>
    <w:rsid w:val="00E20A7C"/>
    <w:rsid w:val="00E20AF9"/>
    <w:rsid w:val="00E210A2"/>
    <w:rsid w:val="00E22284"/>
    <w:rsid w:val="00E2283F"/>
    <w:rsid w:val="00E239AA"/>
    <w:rsid w:val="00E24780"/>
    <w:rsid w:val="00E25F82"/>
    <w:rsid w:val="00E3061D"/>
    <w:rsid w:val="00E312C9"/>
    <w:rsid w:val="00E31442"/>
    <w:rsid w:val="00E31B0D"/>
    <w:rsid w:val="00E33F19"/>
    <w:rsid w:val="00E3401D"/>
    <w:rsid w:val="00E3406D"/>
    <w:rsid w:val="00E3416A"/>
    <w:rsid w:val="00E34CC0"/>
    <w:rsid w:val="00E34D6A"/>
    <w:rsid w:val="00E36572"/>
    <w:rsid w:val="00E376B9"/>
    <w:rsid w:val="00E37FA6"/>
    <w:rsid w:val="00E4287F"/>
    <w:rsid w:val="00E47079"/>
    <w:rsid w:val="00E514B7"/>
    <w:rsid w:val="00E51A3E"/>
    <w:rsid w:val="00E51A9E"/>
    <w:rsid w:val="00E51B99"/>
    <w:rsid w:val="00E524A8"/>
    <w:rsid w:val="00E540D0"/>
    <w:rsid w:val="00E543CA"/>
    <w:rsid w:val="00E5457C"/>
    <w:rsid w:val="00E54AE1"/>
    <w:rsid w:val="00E56548"/>
    <w:rsid w:val="00E60A11"/>
    <w:rsid w:val="00E61F27"/>
    <w:rsid w:val="00E6205C"/>
    <w:rsid w:val="00E625CE"/>
    <w:rsid w:val="00E6292A"/>
    <w:rsid w:val="00E62FD4"/>
    <w:rsid w:val="00E633AB"/>
    <w:rsid w:val="00E66EE2"/>
    <w:rsid w:val="00E70075"/>
    <w:rsid w:val="00E7012F"/>
    <w:rsid w:val="00E70E55"/>
    <w:rsid w:val="00E71EDD"/>
    <w:rsid w:val="00E72289"/>
    <w:rsid w:val="00E727B6"/>
    <w:rsid w:val="00E73E9E"/>
    <w:rsid w:val="00E740A8"/>
    <w:rsid w:val="00E7604E"/>
    <w:rsid w:val="00E76C2A"/>
    <w:rsid w:val="00E77A48"/>
    <w:rsid w:val="00E80DF8"/>
    <w:rsid w:val="00E822F8"/>
    <w:rsid w:val="00E83E87"/>
    <w:rsid w:val="00E86D80"/>
    <w:rsid w:val="00E8731B"/>
    <w:rsid w:val="00E879C0"/>
    <w:rsid w:val="00E9042A"/>
    <w:rsid w:val="00E90826"/>
    <w:rsid w:val="00E90ECC"/>
    <w:rsid w:val="00E911A5"/>
    <w:rsid w:val="00E91E25"/>
    <w:rsid w:val="00E92996"/>
    <w:rsid w:val="00E94E05"/>
    <w:rsid w:val="00E95AF9"/>
    <w:rsid w:val="00E95B20"/>
    <w:rsid w:val="00E961F4"/>
    <w:rsid w:val="00E96208"/>
    <w:rsid w:val="00E9726B"/>
    <w:rsid w:val="00EA05D7"/>
    <w:rsid w:val="00EA1504"/>
    <w:rsid w:val="00EA47C8"/>
    <w:rsid w:val="00EA497B"/>
    <w:rsid w:val="00EA4EF0"/>
    <w:rsid w:val="00EA5617"/>
    <w:rsid w:val="00EA56B0"/>
    <w:rsid w:val="00EA60F8"/>
    <w:rsid w:val="00EA64E9"/>
    <w:rsid w:val="00EA7854"/>
    <w:rsid w:val="00EA7EB1"/>
    <w:rsid w:val="00EB068A"/>
    <w:rsid w:val="00EB21CE"/>
    <w:rsid w:val="00EB46D0"/>
    <w:rsid w:val="00EB4D88"/>
    <w:rsid w:val="00EB5C1C"/>
    <w:rsid w:val="00EB7162"/>
    <w:rsid w:val="00EC16BD"/>
    <w:rsid w:val="00EC3345"/>
    <w:rsid w:val="00EC478D"/>
    <w:rsid w:val="00EC5431"/>
    <w:rsid w:val="00EC5630"/>
    <w:rsid w:val="00EC7082"/>
    <w:rsid w:val="00ED030A"/>
    <w:rsid w:val="00ED0726"/>
    <w:rsid w:val="00ED0EFF"/>
    <w:rsid w:val="00ED0F57"/>
    <w:rsid w:val="00ED16C6"/>
    <w:rsid w:val="00ED38C6"/>
    <w:rsid w:val="00ED3EF7"/>
    <w:rsid w:val="00ED49F1"/>
    <w:rsid w:val="00ED4D58"/>
    <w:rsid w:val="00EE01F3"/>
    <w:rsid w:val="00EE05FC"/>
    <w:rsid w:val="00EE19C6"/>
    <w:rsid w:val="00EE490A"/>
    <w:rsid w:val="00EE5008"/>
    <w:rsid w:val="00EE7189"/>
    <w:rsid w:val="00EE7CBA"/>
    <w:rsid w:val="00EF0414"/>
    <w:rsid w:val="00EF0AC1"/>
    <w:rsid w:val="00EF156A"/>
    <w:rsid w:val="00EF1B71"/>
    <w:rsid w:val="00EF3744"/>
    <w:rsid w:val="00EF3DDD"/>
    <w:rsid w:val="00EF4ECA"/>
    <w:rsid w:val="00EF76CA"/>
    <w:rsid w:val="00F00747"/>
    <w:rsid w:val="00F01B20"/>
    <w:rsid w:val="00F03891"/>
    <w:rsid w:val="00F043AE"/>
    <w:rsid w:val="00F05A05"/>
    <w:rsid w:val="00F07254"/>
    <w:rsid w:val="00F11660"/>
    <w:rsid w:val="00F119C8"/>
    <w:rsid w:val="00F12E33"/>
    <w:rsid w:val="00F12FE8"/>
    <w:rsid w:val="00F13FC9"/>
    <w:rsid w:val="00F150F4"/>
    <w:rsid w:val="00F15103"/>
    <w:rsid w:val="00F15836"/>
    <w:rsid w:val="00F1599C"/>
    <w:rsid w:val="00F160F0"/>
    <w:rsid w:val="00F16527"/>
    <w:rsid w:val="00F17D3C"/>
    <w:rsid w:val="00F20B77"/>
    <w:rsid w:val="00F20BEA"/>
    <w:rsid w:val="00F2106B"/>
    <w:rsid w:val="00F2176F"/>
    <w:rsid w:val="00F21B59"/>
    <w:rsid w:val="00F22034"/>
    <w:rsid w:val="00F22704"/>
    <w:rsid w:val="00F244FA"/>
    <w:rsid w:val="00F2526B"/>
    <w:rsid w:val="00F2676D"/>
    <w:rsid w:val="00F27B6F"/>
    <w:rsid w:val="00F31730"/>
    <w:rsid w:val="00F3219D"/>
    <w:rsid w:val="00F32F03"/>
    <w:rsid w:val="00F339D9"/>
    <w:rsid w:val="00F347F5"/>
    <w:rsid w:val="00F34AA7"/>
    <w:rsid w:val="00F34CD7"/>
    <w:rsid w:val="00F34F5B"/>
    <w:rsid w:val="00F35374"/>
    <w:rsid w:val="00F35A64"/>
    <w:rsid w:val="00F35D87"/>
    <w:rsid w:val="00F3635A"/>
    <w:rsid w:val="00F37187"/>
    <w:rsid w:val="00F37320"/>
    <w:rsid w:val="00F37B91"/>
    <w:rsid w:val="00F37E49"/>
    <w:rsid w:val="00F40D7A"/>
    <w:rsid w:val="00F42186"/>
    <w:rsid w:val="00F422DC"/>
    <w:rsid w:val="00F46543"/>
    <w:rsid w:val="00F465F1"/>
    <w:rsid w:val="00F4668F"/>
    <w:rsid w:val="00F46850"/>
    <w:rsid w:val="00F46C05"/>
    <w:rsid w:val="00F5023F"/>
    <w:rsid w:val="00F52D8A"/>
    <w:rsid w:val="00F53760"/>
    <w:rsid w:val="00F54AA9"/>
    <w:rsid w:val="00F619C0"/>
    <w:rsid w:val="00F64159"/>
    <w:rsid w:val="00F64BD5"/>
    <w:rsid w:val="00F657A6"/>
    <w:rsid w:val="00F65E56"/>
    <w:rsid w:val="00F678BC"/>
    <w:rsid w:val="00F67B6E"/>
    <w:rsid w:val="00F67F32"/>
    <w:rsid w:val="00F702BB"/>
    <w:rsid w:val="00F706C0"/>
    <w:rsid w:val="00F70DBA"/>
    <w:rsid w:val="00F71B2A"/>
    <w:rsid w:val="00F72827"/>
    <w:rsid w:val="00F7283C"/>
    <w:rsid w:val="00F72C43"/>
    <w:rsid w:val="00F745D5"/>
    <w:rsid w:val="00F74C93"/>
    <w:rsid w:val="00F7566A"/>
    <w:rsid w:val="00F76A94"/>
    <w:rsid w:val="00F77D76"/>
    <w:rsid w:val="00F839E9"/>
    <w:rsid w:val="00F8401D"/>
    <w:rsid w:val="00F850D9"/>
    <w:rsid w:val="00F857BA"/>
    <w:rsid w:val="00F8732F"/>
    <w:rsid w:val="00F90D61"/>
    <w:rsid w:val="00F90DF9"/>
    <w:rsid w:val="00F917B4"/>
    <w:rsid w:val="00F91DD9"/>
    <w:rsid w:val="00F9219A"/>
    <w:rsid w:val="00F94B90"/>
    <w:rsid w:val="00F94E5C"/>
    <w:rsid w:val="00F958C2"/>
    <w:rsid w:val="00F958FC"/>
    <w:rsid w:val="00FA07E9"/>
    <w:rsid w:val="00FA12AA"/>
    <w:rsid w:val="00FA1B11"/>
    <w:rsid w:val="00FA2153"/>
    <w:rsid w:val="00FA2181"/>
    <w:rsid w:val="00FA34A6"/>
    <w:rsid w:val="00FA361F"/>
    <w:rsid w:val="00FA4259"/>
    <w:rsid w:val="00FA48C4"/>
    <w:rsid w:val="00FA4EB7"/>
    <w:rsid w:val="00FB114A"/>
    <w:rsid w:val="00FB3E53"/>
    <w:rsid w:val="00FB4E23"/>
    <w:rsid w:val="00FB586B"/>
    <w:rsid w:val="00FB58B6"/>
    <w:rsid w:val="00FB72A0"/>
    <w:rsid w:val="00FC024A"/>
    <w:rsid w:val="00FC0B4F"/>
    <w:rsid w:val="00FC11A3"/>
    <w:rsid w:val="00FC7C2D"/>
    <w:rsid w:val="00FD07F0"/>
    <w:rsid w:val="00FD1586"/>
    <w:rsid w:val="00FD40F3"/>
    <w:rsid w:val="00FD42D8"/>
    <w:rsid w:val="00FD481A"/>
    <w:rsid w:val="00FD56E5"/>
    <w:rsid w:val="00FD68AC"/>
    <w:rsid w:val="00FD758C"/>
    <w:rsid w:val="00FE0503"/>
    <w:rsid w:val="00FE0C96"/>
    <w:rsid w:val="00FE0EF3"/>
    <w:rsid w:val="00FE1E98"/>
    <w:rsid w:val="00FE285D"/>
    <w:rsid w:val="00FE3412"/>
    <w:rsid w:val="00FE3D63"/>
    <w:rsid w:val="00FE5B38"/>
    <w:rsid w:val="00FE5B91"/>
    <w:rsid w:val="00FE658C"/>
    <w:rsid w:val="00FE6C16"/>
    <w:rsid w:val="00FE71DB"/>
    <w:rsid w:val="00FE7CB3"/>
    <w:rsid w:val="00FE7F3D"/>
    <w:rsid w:val="00FF036F"/>
    <w:rsid w:val="00FF1004"/>
    <w:rsid w:val="00FF1D38"/>
    <w:rsid w:val="00FF2633"/>
    <w:rsid w:val="00FF3B3C"/>
    <w:rsid w:val="00FF5774"/>
    <w:rsid w:val="00FF5FB0"/>
    <w:rsid w:val="00FF60CE"/>
    <w:rsid w:val="00FF61B3"/>
    <w:rsid w:val="00FF7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7E5"/>
    <w:rPr>
      <w:sz w:val="24"/>
      <w:szCs w:val="24"/>
    </w:rPr>
  </w:style>
  <w:style w:type="paragraph" w:styleId="Heading1">
    <w:name w:val="heading 1"/>
    <w:basedOn w:val="Normal"/>
    <w:next w:val="Normal"/>
    <w:qFormat/>
    <w:rsid w:val="001267E5"/>
    <w:pPr>
      <w:keepNext/>
      <w:outlineLvl w:val="0"/>
    </w:pPr>
    <w:rPr>
      <w:b/>
      <w:bCs/>
      <w:u w:val="single"/>
    </w:rPr>
  </w:style>
  <w:style w:type="paragraph" w:styleId="Heading2">
    <w:name w:val="heading 2"/>
    <w:basedOn w:val="Normal"/>
    <w:next w:val="Normal"/>
    <w:link w:val="Heading2Char"/>
    <w:qFormat/>
    <w:rsid w:val="001267E5"/>
    <w:pPr>
      <w:keepNext/>
      <w:outlineLvl w:val="1"/>
    </w:pPr>
    <w:rPr>
      <w:i/>
      <w:iCs/>
    </w:rPr>
  </w:style>
  <w:style w:type="paragraph" w:styleId="Heading3">
    <w:name w:val="heading 3"/>
    <w:basedOn w:val="Normal"/>
    <w:next w:val="Normal"/>
    <w:qFormat/>
    <w:rsid w:val="001267E5"/>
    <w:pPr>
      <w:keepNext/>
      <w:outlineLvl w:val="2"/>
    </w:pPr>
    <w:rPr>
      <w:b/>
      <w:bCs/>
    </w:rPr>
  </w:style>
  <w:style w:type="paragraph" w:styleId="Heading4">
    <w:name w:val="heading 4"/>
    <w:basedOn w:val="Normal"/>
    <w:next w:val="Normal"/>
    <w:qFormat/>
    <w:rsid w:val="001267E5"/>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1267E5"/>
    <w:pPr>
      <w:keepNext/>
      <w:ind w:left="720"/>
      <w:outlineLvl w:val="4"/>
    </w:pPr>
    <w:rPr>
      <w:b/>
      <w:bCs/>
    </w:rPr>
  </w:style>
  <w:style w:type="paragraph" w:styleId="Heading6">
    <w:name w:val="heading 6"/>
    <w:basedOn w:val="Normal"/>
    <w:next w:val="Normal"/>
    <w:qFormat/>
    <w:rsid w:val="001267E5"/>
    <w:pPr>
      <w:keepNext/>
      <w:ind w:left="360"/>
      <w:outlineLvl w:val="5"/>
    </w:pPr>
    <w:rPr>
      <w:b/>
      <w:bCs/>
      <w:smallCaps/>
    </w:rPr>
  </w:style>
  <w:style w:type="paragraph" w:styleId="Heading7">
    <w:name w:val="heading 7"/>
    <w:basedOn w:val="Normal"/>
    <w:next w:val="Normal"/>
    <w:qFormat/>
    <w:rsid w:val="001267E5"/>
    <w:pPr>
      <w:keepNext/>
      <w:outlineLvl w:val="6"/>
    </w:pPr>
    <w:rPr>
      <w:b/>
      <w:bCs/>
      <w:sz w:val="20"/>
    </w:rPr>
  </w:style>
  <w:style w:type="paragraph" w:styleId="Heading8">
    <w:name w:val="heading 8"/>
    <w:basedOn w:val="Normal"/>
    <w:next w:val="Normal"/>
    <w:qFormat/>
    <w:rsid w:val="001267E5"/>
    <w:pPr>
      <w:keepNext/>
      <w:jc w:val="center"/>
      <w:outlineLvl w:val="7"/>
    </w:pPr>
    <w:rPr>
      <w:b/>
      <w:bCs/>
      <w:sz w:val="20"/>
    </w:rPr>
  </w:style>
  <w:style w:type="paragraph" w:styleId="Heading9">
    <w:name w:val="heading 9"/>
    <w:basedOn w:val="Normal"/>
    <w:next w:val="Normal"/>
    <w:qFormat/>
    <w:rsid w:val="001267E5"/>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67E5"/>
    <w:pPr>
      <w:tabs>
        <w:tab w:val="center" w:pos="4320"/>
        <w:tab w:val="right" w:pos="8640"/>
      </w:tabs>
    </w:pPr>
  </w:style>
  <w:style w:type="character" w:styleId="PageNumber">
    <w:name w:val="page number"/>
    <w:basedOn w:val="DefaultParagraphFont"/>
    <w:uiPriority w:val="99"/>
    <w:rsid w:val="001267E5"/>
  </w:style>
  <w:style w:type="paragraph" w:styleId="Header">
    <w:name w:val="header"/>
    <w:basedOn w:val="Normal"/>
    <w:link w:val="HeaderChar"/>
    <w:uiPriority w:val="99"/>
    <w:rsid w:val="001267E5"/>
    <w:pPr>
      <w:tabs>
        <w:tab w:val="center" w:pos="4320"/>
        <w:tab w:val="right" w:pos="8640"/>
      </w:tabs>
    </w:pPr>
  </w:style>
  <w:style w:type="paragraph" w:styleId="BodyText">
    <w:name w:val="Body Text"/>
    <w:basedOn w:val="Normal"/>
    <w:rsid w:val="001267E5"/>
    <w:pPr>
      <w:framePr w:w="3801" w:h="5761" w:hSpace="180" w:wrap="around" w:vAnchor="text" w:hAnchor="page" w:x="6961" w:y="1165"/>
    </w:pPr>
    <w:rPr>
      <w:sz w:val="20"/>
    </w:rPr>
  </w:style>
  <w:style w:type="paragraph" w:styleId="Caption">
    <w:name w:val="caption"/>
    <w:basedOn w:val="Normal"/>
    <w:next w:val="Normal"/>
    <w:uiPriority w:val="99"/>
    <w:qFormat/>
    <w:rsid w:val="001267E5"/>
    <w:rPr>
      <w:rFonts w:ascii="Times New Roman Bold" w:hAnsi="Times New Roman Bold"/>
      <w:b/>
      <w:bCs/>
      <w:caps/>
    </w:rPr>
  </w:style>
  <w:style w:type="paragraph" w:styleId="BodyText2">
    <w:name w:val="Body Text 2"/>
    <w:basedOn w:val="Normal"/>
    <w:rsid w:val="001267E5"/>
    <w:rPr>
      <w:b/>
      <w:bCs/>
      <w:smallCaps/>
    </w:rPr>
  </w:style>
  <w:style w:type="paragraph" w:customStyle="1" w:styleId="Outline">
    <w:name w:val="Outline"/>
    <w:basedOn w:val="Normal"/>
    <w:rsid w:val="001267E5"/>
    <w:pPr>
      <w:spacing w:before="240"/>
    </w:pPr>
    <w:rPr>
      <w:kern w:val="28"/>
      <w:szCs w:val="20"/>
    </w:rPr>
  </w:style>
  <w:style w:type="paragraph" w:styleId="BodyTextIndent2">
    <w:name w:val="Body Text Indent 2"/>
    <w:basedOn w:val="Normal"/>
    <w:rsid w:val="001267E5"/>
    <w:pPr>
      <w:ind w:left="360"/>
    </w:pPr>
    <w:rPr>
      <w:i/>
      <w:iCs/>
      <w:sz w:val="22"/>
    </w:rPr>
  </w:style>
  <w:style w:type="character" w:styleId="Hyperlink">
    <w:name w:val="Hyperlink"/>
    <w:rsid w:val="001267E5"/>
    <w:rPr>
      <w:color w:val="0000FF"/>
      <w:u w:val="single"/>
    </w:rPr>
  </w:style>
  <w:style w:type="paragraph" w:styleId="BodyTextIndent">
    <w:name w:val="Body Text Indent"/>
    <w:basedOn w:val="Normal"/>
    <w:rsid w:val="001267E5"/>
    <w:pPr>
      <w:spacing w:after="80"/>
      <w:ind w:left="1080"/>
      <w:jc w:val="both"/>
    </w:pPr>
  </w:style>
  <w:style w:type="paragraph" w:styleId="BodyTextIndent3">
    <w:name w:val="Body Text Indent 3"/>
    <w:basedOn w:val="Normal"/>
    <w:rsid w:val="001267E5"/>
    <w:pPr>
      <w:ind w:left="540"/>
    </w:pPr>
  </w:style>
  <w:style w:type="paragraph" w:styleId="BalloonText">
    <w:name w:val="Balloon Text"/>
    <w:basedOn w:val="Normal"/>
    <w:link w:val="BalloonTextChar"/>
    <w:uiPriority w:val="99"/>
    <w:semiHidden/>
    <w:rsid w:val="00E95B20"/>
    <w:rPr>
      <w:rFonts w:ascii="Tahoma" w:hAnsi="Tahoma"/>
      <w:sz w:val="16"/>
      <w:szCs w:val="16"/>
    </w:rPr>
  </w:style>
  <w:style w:type="table" w:styleId="TableGrid">
    <w:name w:val="Table Grid"/>
    <w:basedOn w:val="TableNormal"/>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
    <w:basedOn w:val="Normal"/>
    <w:link w:val="FootnoteTextChar"/>
    <w:uiPriority w:val="99"/>
    <w:rsid w:val="00F94B90"/>
    <w:rPr>
      <w:sz w:val="20"/>
      <w:szCs w:val="20"/>
    </w:rPr>
  </w:style>
  <w:style w:type="character" w:styleId="FootnoteReference">
    <w:name w:val="footnote reference"/>
    <w:aliases w:val="16 Point,Superscript 6 Point"/>
    <w:uiPriority w:val="99"/>
    <w:rsid w:val="00F94B90"/>
    <w:rPr>
      <w:vertAlign w:val="superscript"/>
    </w:rPr>
  </w:style>
  <w:style w:type="character" w:styleId="FollowedHyperlink">
    <w:name w:val="FollowedHyperlink"/>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5"/>
      </w:numPr>
      <w:spacing w:before="120" w:after="240"/>
      <w:ind w:left="0" w:firstLine="0"/>
      <w:outlineLvl w:val="1"/>
    </w:pPr>
    <w:rPr>
      <w:color w:val="000000"/>
    </w:rPr>
  </w:style>
  <w:style w:type="character" w:customStyle="1" w:styleId="FootnoteTextChar">
    <w:name w:val="Footnote Text Char"/>
    <w:aliases w:val="Geneva 9 Char,Font: Geneva 9 Char,Boston 10 Char,f Char"/>
    <w:basedOn w:val="DefaultParagraphFont"/>
    <w:link w:val="FootnoteText"/>
    <w:uiPriority w:val="99"/>
    <w:locked/>
    <w:rsid w:val="00110321"/>
  </w:style>
  <w:style w:type="character" w:customStyle="1" w:styleId="FooterChar">
    <w:name w:val="Footer Char"/>
    <w:link w:val="Footer"/>
    <w:uiPriority w:val="99"/>
    <w:locked/>
    <w:rsid w:val="00110321"/>
    <w:rPr>
      <w:sz w:val="24"/>
      <w:szCs w:val="24"/>
    </w:rPr>
  </w:style>
  <w:style w:type="character" w:customStyle="1" w:styleId="HeaderChar">
    <w:name w:val="Header Char"/>
    <w:link w:val="Header"/>
    <w:uiPriority w:val="99"/>
    <w:locked/>
    <w:rsid w:val="00110321"/>
    <w:rPr>
      <w:sz w:val="24"/>
      <w:szCs w:val="24"/>
    </w:rPr>
  </w:style>
  <w:style w:type="paragraph" w:styleId="TOC1">
    <w:name w:val="toc 1"/>
    <w:basedOn w:val="Normal"/>
    <w:next w:val="Normal"/>
    <w:autoRedefine/>
    <w:uiPriority w:val="99"/>
    <w:rsid w:val="007B5E5B"/>
    <w:pPr>
      <w:tabs>
        <w:tab w:val="right" w:leader="dot" w:pos="9638"/>
      </w:tabs>
      <w:ind w:left="3600"/>
      <w:jc w:val="right"/>
    </w:pPr>
    <w:rPr>
      <w:b/>
      <w:caps/>
      <w:noProof/>
      <w:sz w:val="22"/>
      <w:szCs w:val="22"/>
    </w:rPr>
  </w:style>
  <w:style w:type="paragraph" w:styleId="ListParagraph">
    <w:name w:val="List Paragraph"/>
    <w:basedOn w:val="Normal"/>
    <w:autoRedefine/>
    <w:uiPriority w:val="34"/>
    <w:qFormat/>
    <w:rsid w:val="00642209"/>
    <w:pPr>
      <w:contextualSpacing/>
    </w:pPr>
    <w:rPr>
      <w:sz w:val="22"/>
      <w:szCs w:val="18"/>
      <w:lang w:val="en-GB"/>
    </w:rPr>
  </w:style>
  <w:style w:type="character" w:customStyle="1" w:styleId="MainParanoChapterChar">
    <w:name w:val="Main Para no Chapter # Char"/>
    <w:link w:val="MainParanoChapter"/>
    <w:uiPriority w:val="99"/>
    <w:locked/>
    <w:rsid w:val="00110321"/>
    <w:rPr>
      <w:color w:val="000000"/>
      <w:sz w:val="24"/>
      <w:szCs w:val="24"/>
    </w:rPr>
  </w:style>
  <w:style w:type="paragraph" w:styleId="NoSpacing">
    <w:name w:val="No Spacing"/>
    <w:uiPriority w:val="1"/>
    <w:qFormat/>
    <w:rsid w:val="00110321"/>
    <w:rPr>
      <w:rFonts w:ascii="Calibri" w:hAnsi="Calibri"/>
      <w:sz w:val="22"/>
      <w:szCs w:val="22"/>
    </w:rPr>
  </w:style>
  <w:style w:type="character" w:customStyle="1" w:styleId="Heading2Char">
    <w:name w:val="Heading 2 Char"/>
    <w:link w:val="Heading2"/>
    <w:rsid w:val="00E7604E"/>
    <w:rPr>
      <w:i/>
      <w:iCs/>
      <w:sz w:val="24"/>
      <w:szCs w:val="24"/>
    </w:rPr>
  </w:style>
  <w:style w:type="character" w:styleId="CommentReference">
    <w:name w:val="annotation reference"/>
    <w:rsid w:val="00E7604E"/>
    <w:rPr>
      <w:sz w:val="16"/>
      <w:szCs w:val="16"/>
    </w:rPr>
  </w:style>
  <w:style w:type="paragraph" w:styleId="CommentText">
    <w:name w:val="annotation text"/>
    <w:basedOn w:val="Normal"/>
    <w:link w:val="CommentTextChar"/>
    <w:rsid w:val="00E7604E"/>
    <w:rPr>
      <w:sz w:val="20"/>
      <w:szCs w:val="20"/>
    </w:rPr>
  </w:style>
  <w:style w:type="character" w:customStyle="1" w:styleId="CommentTextChar">
    <w:name w:val="Comment Text Char"/>
    <w:basedOn w:val="DefaultParagraphFont"/>
    <w:link w:val="CommentText"/>
    <w:rsid w:val="00E7604E"/>
  </w:style>
  <w:style w:type="paragraph" w:styleId="CommentSubject">
    <w:name w:val="annotation subject"/>
    <w:basedOn w:val="CommentText"/>
    <w:next w:val="CommentText"/>
    <w:link w:val="CommentSubjectChar"/>
    <w:rsid w:val="00E7604E"/>
    <w:rPr>
      <w:b/>
      <w:bCs/>
    </w:rPr>
  </w:style>
  <w:style w:type="character" w:customStyle="1" w:styleId="CommentSubjectChar">
    <w:name w:val="Comment Subject Char"/>
    <w:link w:val="CommentSubject"/>
    <w:rsid w:val="00E7604E"/>
    <w:rPr>
      <w:b/>
      <w:bCs/>
    </w:rPr>
  </w:style>
  <w:style w:type="character" w:customStyle="1" w:styleId="BalloonTextChar">
    <w:name w:val="Balloon Text Char"/>
    <w:link w:val="BalloonText"/>
    <w:uiPriority w:val="99"/>
    <w:semiHidden/>
    <w:rsid w:val="003729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252573">
      <w:bodyDiv w:val="1"/>
      <w:marLeft w:val="0"/>
      <w:marRight w:val="0"/>
      <w:marTop w:val="0"/>
      <w:marBottom w:val="0"/>
      <w:divBdr>
        <w:top w:val="none" w:sz="0" w:space="0" w:color="auto"/>
        <w:left w:val="none" w:sz="0" w:space="0" w:color="auto"/>
        <w:bottom w:val="none" w:sz="0" w:space="0" w:color="auto"/>
        <w:right w:val="none" w:sz="0" w:space="0" w:color="auto"/>
      </w:divBdr>
    </w:div>
    <w:div w:id="420681239">
      <w:bodyDiv w:val="1"/>
      <w:marLeft w:val="0"/>
      <w:marRight w:val="0"/>
      <w:marTop w:val="0"/>
      <w:marBottom w:val="0"/>
      <w:divBdr>
        <w:top w:val="none" w:sz="0" w:space="0" w:color="auto"/>
        <w:left w:val="none" w:sz="0" w:space="0" w:color="auto"/>
        <w:bottom w:val="none" w:sz="0" w:space="0" w:color="auto"/>
        <w:right w:val="none" w:sz="0" w:space="0" w:color="auto"/>
      </w:divBdr>
    </w:div>
    <w:div w:id="707337192">
      <w:bodyDiv w:val="1"/>
      <w:marLeft w:val="0"/>
      <w:marRight w:val="0"/>
      <w:marTop w:val="0"/>
      <w:marBottom w:val="0"/>
      <w:divBdr>
        <w:top w:val="none" w:sz="0" w:space="0" w:color="auto"/>
        <w:left w:val="none" w:sz="0" w:space="0" w:color="auto"/>
        <w:bottom w:val="none" w:sz="0" w:space="0" w:color="auto"/>
        <w:right w:val="none" w:sz="0" w:space="0" w:color="auto"/>
      </w:divBdr>
    </w:div>
    <w:div w:id="901720358">
      <w:bodyDiv w:val="1"/>
      <w:marLeft w:val="0"/>
      <w:marRight w:val="0"/>
      <w:marTop w:val="0"/>
      <w:marBottom w:val="0"/>
      <w:divBdr>
        <w:top w:val="none" w:sz="0" w:space="0" w:color="auto"/>
        <w:left w:val="none" w:sz="0" w:space="0" w:color="auto"/>
        <w:bottom w:val="none" w:sz="0" w:space="0" w:color="auto"/>
        <w:right w:val="none" w:sz="0" w:space="0" w:color="auto"/>
      </w:divBdr>
    </w:div>
    <w:div w:id="16086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gef.org/gef/home"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fweb.org/Documents/Council_Documents/GEF_C21/C.20.6.Rev.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egef.org/gef/sites/thegef.org/files/documents/document/GEF5-Template%20Reference%20Guide%209-14-10rev11-18-2010.doc"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cpo@cai-asia.org" TargetMode="External"/><Relationship Id="rId2" Type="http://schemas.openxmlformats.org/officeDocument/2006/relationships/hyperlink" Target="http://www.greenfreightandlogistics.org/" TargetMode="External"/><Relationship Id="rId1" Type="http://schemas.openxmlformats.org/officeDocument/2006/relationships/hyperlink" Target="http://www.thegef.org/gef/sites/thegef.org/files/documents/document/GEF5-Template%20Reference%20Guide%209-14-10rev11-18-20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RAMON\Forms\Project%20Executive%20Summar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07846-CB06-4898-BF67-E8A9EDE61680}">
  <ds:schemaRefs>
    <ds:schemaRef ds:uri="http://schemas.openxmlformats.org/officeDocument/2006/bibliography"/>
  </ds:schemaRefs>
</ds:datastoreItem>
</file>

<file path=customXml/itemProps2.xml><?xml version="1.0" encoding="utf-8"?>
<ds:datastoreItem xmlns:ds="http://schemas.openxmlformats.org/officeDocument/2006/customXml" ds:itemID="{8785037D-2921-4401-A3EE-9A702DAD0BF2}"/>
</file>

<file path=customXml/itemProps3.xml><?xml version="1.0" encoding="utf-8"?>
<ds:datastoreItem xmlns:ds="http://schemas.openxmlformats.org/officeDocument/2006/customXml" ds:itemID="{8A3A179C-C45E-4684-ABAD-24A605EE7F13}"/>
</file>

<file path=customXml/itemProps4.xml><?xml version="1.0" encoding="utf-8"?>
<ds:datastoreItem xmlns:ds="http://schemas.openxmlformats.org/officeDocument/2006/customXml" ds:itemID="{DD6D94C5-71C3-4902-B067-BFEFC2B0E7C8}"/>
</file>

<file path=docProps/app.xml><?xml version="1.0" encoding="utf-8"?>
<Properties xmlns="http://schemas.openxmlformats.org/officeDocument/2006/extended-properties" xmlns:vt="http://schemas.openxmlformats.org/officeDocument/2006/docPropsVTypes">
  <Template>Project Executive Summary Template</Template>
  <TotalTime>0</TotalTime>
  <Pages>16</Pages>
  <Words>7508</Words>
  <Characters>42798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CPR PREMCI PIF</vt:lpstr>
    </vt:vector>
  </TitlesOfParts>
  <Company>World Bank Group</Company>
  <LinksUpToDate>false</LinksUpToDate>
  <CharactersWithSpaces>50206</CharactersWithSpaces>
  <SharedDoc>false</SharedDoc>
  <HLinks>
    <vt:vector size="36" baseType="variant">
      <vt:variant>
        <vt:i4>2556011</vt:i4>
      </vt:variant>
      <vt:variant>
        <vt:i4>10</vt:i4>
      </vt:variant>
      <vt:variant>
        <vt:i4>0</vt:i4>
      </vt:variant>
      <vt:variant>
        <vt:i4>5</vt:i4>
      </vt:variant>
      <vt:variant>
        <vt:lpwstr>http://gefweb.org/Documents/Council_Documents/GEF_C21/C.20.6.Rev.1.pdf</vt:lpwstr>
      </vt:variant>
      <vt:variant>
        <vt:lpwstr/>
      </vt:variant>
      <vt:variant>
        <vt:i4>6357090</vt:i4>
      </vt:variant>
      <vt:variant>
        <vt:i4>7</vt:i4>
      </vt:variant>
      <vt:variant>
        <vt:i4>0</vt:i4>
      </vt:variant>
      <vt:variant>
        <vt:i4>5</vt:i4>
      </vt:variant>
      <vt:variant>
        <vt:lpwstr>http://www.thegef.org/gef/sites/thegef.org/files/documents/document/GEF5-Template Reference Guide 9-14-10rev11-18-2010.doc</vt:lpwstr>
      </vt:variant>
      <vt:variant>
        <vt:lpwstr/>
      </vt:variant>
      <vt:variant>
        <vt:i4>7077941</vt:i4>
      </vt:variant>
      <vt:variant>
        <vt:i4>0</vt:i4>
      </vt:variant>
      <vt:variant>
        <vt:i4>0</vt:i4>
      </vt:variant>
      <vt:variant>
        <vt:i4>5</vt:i4>
      </vt:variant>
      <vt:variant>
        <vt:lpwstr>http://www.thegef.org/gef/home</vt:lpwstr>
      </vt:variant>
      <vt:variant>
        <vt:lpwstr/>
      </vt:variant>
      <vt:variant>
        <vt:i4>3145803</vt:i4>
      </vt:variant>
      <vt:variant>
        <vt:i4>6</vt:i4>
      </vt:variant>
      <vt:variant>
        <vt:i4>0</vt:i4>
      </vt:variant>
      <vt:variant>
        <vt:i4>5</vt:i4>
      </vt:variant>
      <vt:variant>
        <vt:lpwstr>mailto:cpo@cai-asia.org</vt:lpwstr>
      </vt:variant>
      <vt:variant>
        <vt:lpwstr/>
      </vt:variant>
      <vt:variant>
        <vt:i4>5439571</vt:i4>
      </vt:variant>
      <vt:variant>
        <vt:i4>3</vt:i4>
      </vt:variant>
      <vt:variant>
        <vt:i4>0</vt:i4>
      </vt:variant>
      <vt:variant>
        <vt:i4>5</vt:i4>
      </vt:variant>
      <vt:variant>
        <vt:lpwstr>http://www.greenfreightandlogistics.org/</vt:lpwstr>
      </vt:variant>
      <vt:variant>
        <vt:lpwstr/>
      </vt:variant>
      <vt:variant>
        <vt:i4>6357090</vt:i4>
      </vt:variant>
      <vt:variant>
        <vt:i4>0</vt:i4>
      </vt:variant>
      <vt:variant>
        <vt:i4>0</vt:i4>
      </vt:variant>
      <vt:variant>
        <vt:i4>5</vt:i4>
      </vt:variant>
      <vt:variant>
        <vt:lpwstr>http://www.thegef.org/gef/sites/thegef.org/files/documents/document/GEF5-Template Reference Guide 9-14-10rev11-18-2010.doc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 PREMCI PIF</dc:title>
  <dc:creator>Noel L. Soriano</dc:creator>
  <cp:lastModifiedBy>lucia.hagerova</cp:lastModifiedBy>
  <cp:revision>3</cp:revision>
  <cp:lastPrinted>2013-02-21T13:43:00Z</cp:lastPrinted>
  <dcterms:created xsi:type="dcterms:W3CDTF">2013-08-28T09:05:00Z</dcterms:created>
  <dcterms:modified xsi:type="dcterms:W3CDTF">2013-08-28T09:14:00Z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210833878</vt:i4>
  </property>
  <property fmtid="{D5CDD505-2E9C-101B-9397-08002B2CF9AE}" pid="3" name="ContentTypeId">
    <vt:lpwstr>0x01010078FD0EB9EC318C41BC3215F8FE928E39</vt:lpwstr>
  </property>
</Properties>
</file>