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er4.xml" ContentType="application/vnd.openxmlformats-officedocument.wordprocessingml.footer+xml"/>
  <Override PartName="/word/footnotes.xml" ContentType="application/vnd.openxmlformats-officedocument.wordprocessingml.footnotes+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3BEDB" w14:textId="77777777" w:rsidR="00D018BF" w:rsidRPr="00AD76AF" w:rsidRDefault="00D018BF" w:rsidP="00D018BF">
      <w:pPr>
        <w:jc w:val="center"/>
        <w:rPr>
          <w:sz w:val="32"/>
        </w:rPr>
      </w:pPr>
      <w:r w:rsidRPr="00AD76AF">
        <w:rPr>
          <w:noProof/>
          <w:lang w:eastAsia="en-GB"/>
        </w:rPr>
        <w:drawing>
          <wp:inline distT="0" distB="0" distL="0" distR="0" wp14:anchorId="3BE2ACE6" wp14:editId="020FD5B7">
            <wp:extent cx="1511301" cy="9048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0"/>
                    <a:stretch>
                      <a:fillRect/>
                    </a:stretch>
                  </pic:blipFill>
                  <pic:spPr>
                    <a:xfrm>
                      <a:off x="0" y="0"/>
                      <a:ext cx="1513688" cy="906304"/>
                    </a:xfrm>
                    <a:prstGeom prst="rect">
                      <a:avLst/>
                    </a:prstGeom>
                  </pic:spPr>
                </pic:pic>
              </a:graphicData>
            </a:graphic>
          </wp:inline>
        </w:drawing>
      </w:r>
    </w:p>
    <w:p w14:paraId="241D7C5A" w14:textId="77777777" w:rsidR="00D018BF" w:rsidRPr="00AD76AF" w:rsidRDefault="00D018BF" w:rsidP="00D018BF">
      <w:pPr>
        <w:jc w:val="center"/>
        <w:rPr>
          <w:sz w:val="32"/>
        </w:rPr>
      </w:pPr>
    </w:p>
    <w:p w14:paraId="1A38434B" w14:textId="77777777" w:rsidR="00D018BF" w:rsidRPr="00AD76AF" w:rsidRDefault="00D018BF" w:rsidP="00D018BF">
      <w:pPr>
        <w:jc w:val="center"/>
        <w:rPr>
          <w:sz w:val="32"/>
        </w:rPr>
      </w:pPr>
    </w:p>
    <w:p w14:paraId="7B7A495E" w14:textId="18ED3EFF" w:rsidR="00D018BF" w:rsidRPr="00AD76AF" w:rsidRDefault="00BB7176" w:rsidP="00D018BF">
      <w:pPr>
        <w:jc w:val="center"/>
        <w:rPr>
          <w:b/>
          <w:sz w:val="32"/>
        </w:rPr>
      </w:pPr>
      <w:r w:rsidRPr="00AD76AF">
        <w:rPr>
          <w:b/>
          <w:sz w:val="32"/>
        </w:rPr>
        <w:t xml:space="preserve">GEF </w:t>
      </w:r>
      <w:r w:rsidR="00EF0C3F" w:rsidRPr="00AD76AF">
        <w:rPr>
          <w:b/>
          <w:sz w:val="32"/>
        </w:rPr>
        <w:t>Project Implementation Report (PIR)</w:t>
      </w:r>
    </w:p>
    <w:p w14:paraId="1D5D9309" w14:textId="77777777" w:rsidR="00E50339" w:rsidRPr="00AD76AF" w:rsidRDefault="00E50339" w:rsidP="00D018BF">
      <w:pPr>
        <w:jc w:val="center"/>
        <w:rPr>
          <w:b/>
          <w:sz w:val="32"/>
        </w:rPr>
      </w:pPr>
    </w:p>
    <w:p w14:paraId="29DE8BB9" w14:textId="77777777" w:rsidR="00E50339" w:rsidRPr="00AD76AF" w:rsidRDefault="00E50339" w:rsidP="00D018BF">
      <w:pPr>
        <w:jc w:val="center"/>
        <w:rPr>
          <w:b/>
          <w:sz w:val="32"/>
        </w:rPr>
      </w:pPr>
    </w:p>
    <w:p w14:paraId="59A30EAC" w14:textId="77777777" w:rsidR="00625D85" w:rsidRPr="00AD76AF" w:rsidRDefault="00625D85" w:rsidP="00D018BF">
      <w:pPr>
        <w:jc w:val="center"/>
        <w:rPr>
          <w:b/>
          <w:sz w:val="32"/>
        </w:rPr>
      </w:pPr>
      <w:r w:rsidRPr="00AD76AF">
        <w:rPr>
          <w:b/>
          <w:sz w:val="32"/>
        </w:rPr>
        <w:t xml:space="preserve">Europe and Central Asia - Finance and </w:t>
      </w:r>
      <w:bookmarkStart w:id="0" w:name="_GoBack"/>
      <w:bookmarkEnd w:id="0"/>
      <w:r w:rsidRPr="00AD76AF">
        <w:rPr>
          <w:b/>
          <w:sz w:val="32"/>
        </w:rPr>
        <w:t>Technology Transfer Centre for Climate Change (FINTECC) (4956)</w:t>
      </w:r>
    </w:p>
    <w:p w14:paraId="5F76CDD9" w14:textId="77777777" w:rsidR="00625D85" w:rsidRPr="00AD76AF" w:rsidRDefault="00625D85" w:rsidP="00D018BF">
      <w:pPr>
        <w:jc w:val="center"/>
        <w:rPr>
          <w:i/>
          <w:sz w:val="28"/>
        </w:rPr>
      </w:pPr>
    </w:p>
    <w:p w14:paraId="6BC3F737" w14:textId="77777777" w:rsidR="00CF52D3" w:rsidRPr="00AD76AF" w:rsidRDefault="00CF52D3" w:rsidP="00CF52D3">
      <w:pPr>
        <w:tabs>
          <w:tab w:val="left" w:pos="3291"/>
        </w:tabs>
        <w:rPr>
          <w:b/>
          <w:sz w:val="24"/>
        </w:rPr>
      </w:pPr>
    </w:p>
    <w:p w14:paraId="57EFDCB5" w14:textId="77777777" w:rsidR="00A226FF" w:rsidRPr="00AD76AF" w:rsidRDefault="00A226FF" w:rsidP="00CF52D3">
      <w:pPr>
        <w:tabs>
          <w:tab w:val="left" w:pos="3291"/>
        </w:tabs>
      </w:pPr>
    </w:p>
    <w:p w14:paraId="27F302F7" w14:textId="77777777" w:rsidR="00FE3288" w:rsidRPr="00AD76AF" w:rsidRDefault="00FE3288" w:rsidP="00FB4CD9">
      <w:pPr>
        <w:pStyle w:val="Heading1"/>
      </w:pPr>
    </w:p>
    <w:p w14:paraId="30C59732" w14:textId="77777777" w:rsidR="00FE3288" w:rsidRPr="00AD76AF" w:rsidRDefault="00FE3288" w:rsidP="00FE3288"/>
    <w:p w14:paraId="27462E5C" w14:textId="77777777" w:rsidR="00FE3288" w:rsidRPr="00AD76AF" w:rsidRDefault="00FE3288" w:rsidP="00FE3288"/>
    <w:p w14:paraId="4A6D470E" w14:textId="77777777" w:rsidR="00FE3288" w:rsidRPr="00AD76AF" w:rsidRDefault="00FE3288" w:rsidP="00FE3288"/>
    <w:p w14:paraId="5D4BB070" w14:textId="77777777" w:rsidR="00FE3288" w:rsidRPr="00AD76AF" w:rsidRDefault="00FE3288" w:rsidP="00FE3288"/>
    <w:p w14:paraId="3BBC960C" w14:textId="77777777" w:rsidR="00FE3288" w:rsidRPr="00AD76AF" w:rsidRDefault="00FE3288" w:rsidP="00FE3288"/>
    <w:p w14:paraId="079D49C5" w14:textId="77777777" w:rsidR="00FE3288" w:rsidRPr="00AD76AF" w:rsidRDefault="00FE3288" w:rsidP="00187B10">
      <w:pPr>
        <w:pStyle w:val="NormalWeb"/>
        <w:spacing w:beforeLines="0" w:afterLines="0"/>
        <w:jc w:val="center"/>
        <w:rPr>
          <w:rFonts w:asciiTheme="minorHAnsi" w:eastAsiaTheme="minorHAnsi" w:hAnsiTheme="minorHAnsi" w:cstheme="minorBidi"/>
          <w:b/>
          <w:sz w:val="40"/>
          <w:szCs w:val="22"/>
          <w:lang w:val="en-GB"/>
        </w:rPr>
      </w:pPr>
      <w:r w:rsidRPr="00AD76AF">
        <w:rPr>
          <w:rFonts w:asciiTheme="minorHAnsi" w:eastAsiaTheme="minorHAnsi" w:hAnsiTheme="minorHAnsi" w:cstheme="minorBidi"/>
          <w:b/>
          <w:sz w:val="40"/>
          <w:szCs w:val="22"/>
          <w:lang w:val="en-GB"/>
        </w:rPr>
        <w:t>GEF FY 2019</w:t>
      </w:r>
    </w:p>
    <w:p w14:paraId="4F0EC7A6" w14:textId="799A9011" w:rsidR="00FC3409" w:rsidRDefault="00FE3288" w:rsidP="00187B10">
      <w:pPr>
        <w:pStyle w:val="NormalWeb"/>
        <w:spacing w:beforeLines="0" w:afterLines="0"/>
        <w:jc w:val="center"/>
        <w:rPr>
          <w:rFonts w:asciiTheme="minorHAnsi" w:eastAsiaTheme="minorHAnsi" w:hAnsiTheme="minorHAnsi" w:cstheme="minorBidi"/>
          <w:b/>
          <w:sz w:val="36"/>
          <w:szCs w:val="22"/>
          <w:lang w:val="en-GB"/>
        </w:rPr>
      </w:pPr>
      <w:r w:rsidRPr="00AD76AF">
        <w:rPr>
          <w:rFonts w:asciiTheme="minorHAnsi" w:eastAsiaTheme="minorHAnsi" w:hAnsiTheme="minorHAnsi" w:cstheme="minorBidi"/>
          <w:b/>
          <w:sz w:val="36"/>
          <w:szCs w:val="22"/>
          <w:lang w:val="en-GB"/>
        </w:rPr>
        <w:t>1 July 2018 – 30 June 2019</w:t>
      </w:r>
    </w:p>
    <w:p w14:paraId="3995D064" w14:textId="43685BAD" w:rsidR="00FC3409" w:rsidRDefault="00FC3409" w:rsidP="00FC3409"/>
    <w:p w14:paraId="1591E367" w14:textId="1D05DCD3" w:rsidR="00FC3409" w:rsidRDefault="00FC3409" w:rsidP="00FC3409">
      <w:pPr>
        <w:tabs>
          <w:tab w:val="left" w:pos="2007"/>
        </w:tabs>
      </w:pPr>
      <w:r>
        <w:tab/>
      </w:r>
    </w:p>
    <w:p w14:paraId="22BDF60E" w14:textId="6C953D24" w:rsidR="00FC3409" w:rsidRDefault="00FC3409" w:rsidP="00FC3409"/>
    <w:p w14:paraId="345787EA" w14:textId="77777777" w:rsidR="004571A9" w:rsidRPr="00FC3409" w:rsidRDefault="004571A9" w:rsidP="00FC3409">
      <w:pPr>
        <w:sectPr w:rsidR="004571A9" w:rsidRPr="00FC340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sdt>
      <w:sdtPr>
        <w:rPr>
          <w:rFonts w:asciiTheme="minorHAnsi" w:eastAsiaTheme="minorEastAsia" w:hAnsiTheme="minorHAnsi" w:cstheme="minorBidi"/>
          <w:b w:val="0"/>
          <w:bCs w:val="0"/>
          <w:color w:val="auto"/>
          <w:sz w:val="18"/>
          <w:szCs w:val="18"/>
          <w:lang w:val="en-GB" w:eastAsia="en-US"/>
        </w:rPr>
        <w:id w:val="1136914909"/>
        <w:docPartObj>
          <w:docPartGallery w:val="Table of Contents"/>
          <w:docPartUnique/>
        </w:docPartObj>
      </w:sdtPr>
      <w:sdtEndPr>
        <w:rPr>
          <w:rFonts w:eastAsiaTheme="minorHAnsi"/>
        </w:rPr>
      </w:sdtEndPr>
      <w:sdtContent>
        <w:p w14:paraId="5E4203D3" w14:textId="77777777" w:rsidR="00FE3288" w:rsidRPr="00AD76AF" w:rsidRDefault="00FE3288" w:rsidP="00FE3288">
          <w:pPr>
            <w:pStyle w:val="TOCHeading"/>
            <w:rPr>
              <w:sz w:val="24"/>
              <w:szCs w:val="18"/>
            </w:rPr>
          </w:pPr>
          <w:r w:rsidRPr="00AD76AF">
            <w:rPr>
              <w:sz w:val="24"/>
              <w:szCs w:val="18"/>
            </w:rPr>
            <w:t>Table of Contents</w:t>
          </w:r>
        </w:p>
        <w:p w14:paraId="259992F1" w14:textId="77777777" w:rsidR="00FE3288" w:rsidRPr="00AD76AF" w:rsidRDefault="00FE3288" w:rsidP="00FE3288">
          <w:pPr>
            <w:pStyle w:val="TOC1"/>
            <w:rPr>
              <w:b/>
              <w:bCs/>
              <w:szCs w:val="20"/>
            </w:rPr>
          </w:pPr>
          <w:r w:rsidRPr="00AD76AF">
            <w:rPr>
              <w:b/>
              <w:szCs w:val="20"/>
            </w:rPr>
            <w:t xml:space="preserve">Section 1: </w:t>
          </w:r>
          <w:r w:rsidRPr="00AD76AF">
            <w:rPr>
              <w:szCs w:val="20"/>
            </w:rPr>
            <w:t>Overview – Key Project Information / Data</w:t>
          </w:r>
          <w:r w:rsidRPr="00AD76AF">
            <w:rPr>
              <w:b/>
              <w:szCs w:val="20"/>
            </w:rPr>
            <w:t xml:space="preserve"> </w:t>
          </w:r>
        </w:p>
        <w:p w14:paraId="0FA6E080" w14:textId="77777777" w:rsidR="00FE3288" w:rsidRPr="00AD76AF" w:rsidRDefault="00FE3288" w:rsidP="00FE3288">
          <w:pPr>
            <w:pStyle w:val="TOC1"/>
            <w:rPr>
              <w:bCs/>
              <w:szCs w:val="20"/>
            </w:rPr>
          </w:pPr>
          <w:r w:rsidRPr="00AD76AF">
            <w:rPr>
              <w:b/>
              <w:szCs w:val="20"/>
            </w:rPr>
            <w:t xml:space="preserve">Section 2: </w:t>
          </w:r>
          <w:r w:rsidRPr="00AD76AF">
            <w:rPr>
              <w:szCs w:val="20"/>
            </w:rPr>
            <w:t>Information on progress, challenges and outcomes on project implementation activities</w:t>
          </w:r>
        </w:p>
        <w:p w14:paraId="0FFF43C7" w14:textId="77777777" w:rsidR="00FE3288" w:rsidRPr="00AD76AF" w:rsidRDefault="00FE3288" w:rsidP="00FE3288">
          <w:pPr>
            <w:pStyle w:val="TOC1"/>
            <w:rPr>
              <w:szCs w:val="20"/>
            </w:rPr>
          </w:pPr>
          <w:r w:rsidRPr="00AD76AF">
            <w:rPr>
              <w:b/>
              <w:szCs w:val="20"/>
            </w:rPr>
            <w:t xml:space="preserve">Section 3: </w:t>
          </w:r>
          <w:r w:rsidRPr="00AD76AF">
            <w:rPr>
              <w:szCs w:val="20"/>
            </w:rPr>
            <w:t>Information on progress, challenges and outcomes on stakeholder engagement</w:t>
          </w:r>
          <w:r w:rsidRPr="00AD76AF">
            <w:rPr>
              <w:b/>
              <w:szCs w:val="20"/>
            </w:rPr>
            <w:t xml:space="preserve"> </w:t>
          </w:r>
        </w:p>
        <w:p w14:paraId="4ED7E263" w14:textId="77777777" w:rsidR="00FE3288" w:rsidRPr="00AD76AF" w:rsidRDefault="00FE3288" w:rsidP="00FE3288">
          <w:pPr>
            <w:pStyle w:val="TOC1"/>
            <w:rPr>
              <w:szCs w:val="20"/>
            </w:rPr>
          </w:pPr>
          <w:r w:rsidRPr="00AD76AF">
            <w:rPr>
              <w:b/>
              <w:szCs w:val="20"/>
            </w:rPr>
            <w:t xml:space="preserve">Section 4: </w:t>
          </w:r>
          <w:r w:rsidRPr="00AD76AF">
            <w:rPr>
              <w:szCs w:val="20"/>
            </w:rPr>
            <w:t>Information on Progress on gender-responsive measures as documented at CEO Endorsement/Approval in the gender action plan or equivalent</w:t>
          </w:r>
          <w:r w:rsidRPr="00AD76AF">
            <w:rPr>
              <w:b/>
              <w:szCs w:val="20"/>
            </w:rPr>
            <w:t xml:space="preserve"> </w:t>
          </w:r>
        </w:p>
        <w:p w14:paraId="4B14D98A" w14:textId="77777777" w:rsidR="00FE3288" w:rsidRPr="00AD76AF" w:rsidRDefault="00FE3288" w:rsidP="00FE3288">
          <w:pPr>
            <w:pStyle w:val="TOC1"/>
            <w:rPr>
              <w:b/>
              <w:bCs/>
              <w:szCs w:val="20"/>
            </w:rPr>
          </w:pPr>
          <w:r w:rsidRPr="00AD76AF">
            <w:rPr>
              <w:b/>
              <w:szCs w:val="20"/>
            </w:rPr>
            <w:t xml:space="preserve">Section 5: </w:t>
          </w:r>
          <w:r w:rsidRPr="00AD76AF">
            <w:rPr>
              <w:szCs w:val="20"/>
            </w:rPr>
            <w:t>Knowledge activities / products (when applicable), as outlined in knowledge management approved at CEO Endorsement / Approval</w:t>
          </w:r>
          <w:r w:rsidRPr="00AD76AF">
            <w:rPr>
              <w:b/>
              <w:szCs w:val="20"/>
            </w:rPr>
            <w:t xml:space="preserve"> </w:t>
          </w:r>
        </w:p>
        <w:p w14:paraId="79EA5A59" w14:textId="77777777" w:rsidR="00FE3288" w:rsidRPr="00AD76AF" w:rsidRDefault="00FE3288" w:rsidP="00FE3288">
          <w:pPr>
            <w:pStyle w:val="TOC1"/>
            <w:rPr>
              <w:b/>
              <w:bCs/>
              <w:szCs w:val="20"/>
            </w:rPr>
          </w:pPr>
          <w:r w:rsidRPr="00AD76AF">
            <w:rPr>
              <w:b/>
              <w:szCs w:val="20"/>
            </w:rPr>
            <w:t xml:space="preserve">Section 6: </w:t>
          </w:r>
          <w:r w:rsidRPr="00AD76AF">
            <w:rPr>
              <w:szCs w:val="20"/>
            </w:rPr>
            <w:t>Information on Environmental and Social Safeguards</w:t>
          </w:r>
          <w:r w:rsidRPr="00AD76AF">
            <w:rPr>
              <w:b/>
              <w:szCs w:val="20"/>
            </w:rPr>
            <w:t xml:space="preserve"> </w:t>
          </w:r>
        </w:p>
        <w:p w14:paraId="2E98F2A8" w14:textId="77777777" w:rsidR="00FE3288" w:rsidRDefault="00FE3288" w:rsidP="00FE3288">
          <w:pPr>
            <w:rPr>
              <w:szCs w:val="20"/>
            </w:rPr>
          </w:pPr>
          <w:r w:rsidRPr="00AD76AF">
            <w:rPr>
              <w:b/>
              <w:szCs w:val="20"/>
            </w:rPr>
            <w:t xml:space="preserve">Section 7: </w:t>
          </w:r>
          <w:r w:rsidRPr="00AD76AF">
            <w:rPr>
              <w:szCs w:val="20"/>
            </w:rPr>
            <w:t>Suggested corre</w:t>
          </w:r>
          <w:r w:rsidR="00A226FF" w:rsidRPr="00AD76AF">
            <w:rPr>
              <w:szCs w:val="20"/>
            </w:rPr>
            <w:t xml:space="preserve">ctive actions </w:t>
          </w:r>
        </w:p>
        <w:p w14:paraId="3CA1E748" w14:textId="0D76450E" w:rsidR="00FE3288" w:rsidRPr="005C3229" w:rsidRDefault="00C807B3" w:rsidP="005C3229">
          <w:pPr>
            <w:rPr>
              <w:b/>
              <w:bCs/>
              <w:sz w:val="20"/>
              <w:szCs w:val="18"/>
            </w:rPr>
          </w:pPr>
          <w:r>
            <w:rPr>
              <w:b/>
              <w:szCs w:val="20"/>
            </w:rPr>
            <w:t>Annexes</w:t>
          </w:r>
        </w:p>
      </w:sdtContent>
    </w:sdt>
    <w:p w14:paraId="2A327D3D" w14:textId="77777777" w:rsidR="00FE3288" w:rsidRPr="00AD76AF" w:rsidRDefault="00FE3288" w:rsidP="00FE3288"/>
    <w:p w14:paraId="6DFB5CF5" w14:textId="77777777" w:rsidR="00FE3288" w:rsidRPr="00AD76AF" w:rsidRDefault="00FE3288" w:rsidP="00FE3288"/>
    <w:p w14:paraId="5F2A0E00" w14:textId="77777777" w:rsidR="00FE3288" w:rsidRPr="00AD76AF" w:rsidRDefault="00FE3288" w:rsidP="00FE3288"/>
    <w:p w14:paraId="6B67FE86" w14:textId="77777777" w:rsidR="00B15B97" w:rsidRPr="00AD76AF" w:rsidRDefault="00B15B97" w:rsidP="00FE3288">
      <w:pPr>
        <w:sectPr w:rsidR="00B15B97" w:rsidRPr="00AD76AF">
          <w:footerReference w:type="default" r:id="rId17"/>
          <w:pgSz w:w="11906" w:h="16838"/>
          <w:pgMar w:top="1440" w:right="1440" w:bottom="1440" w:left="1440" w:header="708" w:footer="708" w:gutter="0"/>
          <w:cols w:space="708"/>
          <w:docGrid w:linePitch="360"/>
        </w:sectPr>
      </w:pPr>
    </w:p>
    <w:p w14:paraId="0F9C436F" w14:textId="77777777" w:rsidR="00F8555E" w:rsidRPr="00AD76AF" w:rsidRDefault="00F8555E" w:rsidP="00897FE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2060"/>
        <w:tabs>
          <w:tab w:val="left" w:pos="3291"/>
        </w:tabs>
        <w:spacing w:after="0"/>
        <w:rPr>
          <w:b/>
        </w:rPr>
      </w:pPr>
      <w:r w:rsidRPr="00AD76AF">
        <w:rPr>
          <w:b/>
        </w:rPr>
        <w:lastRenderedPageBreak/>
        <w:t xml:space="preserve">Section 1: </w:t>
      </w:r>
      <w:r w:rsidR="003C2036" w:rsidRPr="00AD76AF">
        <w:rPr>
          <w:b/>
        </w:rPr>
        <w:t xml:space="preserve">Overview - </w:t>
      </w:r>
      <w:r w:rsidRPr="00AD76AF">
        <w:rPr>
          <w:b/>
        </w:rPr>
        <w:t>Basic Review and Project Information</w:t>
      </w:r>
    </w:p>
    <w:tbl>
      <w:tblPr>
        <w:tblStyle w:val="TableGrid"/>
        <w:tblW w:w="0" w:type="auto"/>
        <w:tblLook w:val="04A0" w:firstRow="1" w:lastRow="0" w:firstColumn="1" w:lastColumn="0" w:noHBand="0" w:noVBand="1"/>
      </w:tblPr>
      <w:tblGrid>
        <w:gridCol w:w="9180"/>
      </w:tblGrid>
      <w:tr w:rsidR="00DF5E74" w:rsidRPr="00AD76AF" w14:paraId="7BAD2B02" w14:textId="77777777" w:rsidTr="00FC3409">
        <w:tc>
          <w:tcPr>
            <w:tcW w:w="9180" w:type="dxa"/>
            <w:shd w:val="clear" w:color="auto" w:fill="F2F2F2" w:themeFill="background1" w:themeFillShade="F2"/>
          </w:tcPr>
          <w:p w14:paraId="7AE699F4" w14:textId="63A1E7A8" w:rsidR="00DF5E74" w:rsidRPr="00AD76AF" w:rsidRDefault="00DF5E74" w:rsidP="00197683">
            <w:pPr>
              <w:rPr>
                <w:b/>
                <w:color w:val="000000" w:themeColor="text1"/>
                <w:sz w:val="20"/>
                <w:szCs w:val="20"/>
              </w:rPr>
            </w:pPr>
            <w:r w:rsidRPr="00AD76AF">
              <w:rPr>
                <w:b/>
                <w:color w:val="000000" w:themeColor="text1"/>
                <w:sz w:val="20"/>
                <w:szCs w:val="20"/>
              </w:rPr>
              <w:t xml:space="preserve">Project Name &amp; GEF ID: </w:t>
            </w:r>
            <w:r w:rsidRPr="00AD76AF">
              <w:rPr>
                <w:sz w:val="20"/>
                <w:szCs w:val="20"/>
              </w:rPr>
              <w:t>Europe and Central Asia - Finance and Technology Transfer Centre for Climate Change (FINTECC) (4956)</w:t>
            </w:r>
          </w:p>
        </w:tc>
      </w:tr>
      <w:tr w:rsidR="00DF5E74" w:rsidRPr="00AD76AF" w14:paraId="7A6AEFDA" w14:textId="77777777" w:rsidTr="00197683">
        <w:tc>
          <w:tcPr>
            <w:tcW w:w="9180" w:type="dxa"/>
          </w:tcPr>
          <w:p w14:paraId="3D57F838" w14:textId="2500CD70" w:rsidR="00DF5E74" w:rsidRPr="00AD76AF" w:rsidRDefault="00DF5E74" w:rsidP="00197683">
            <w:pPr>
              <w:rPr>
                <w:color w:val="000000" w:themeColor="text1"/>
                <w:sz w:val="20"/>
                <w:szCs w:val="20"/>
              </w:rPr>
            </w:pPr>
            <w:r w:rsidRPr="00AD76AF">
              <w:rPr>
                <w:b/>
                <w:color w:val="000000" w:themeColor="text1"/>
                <w:sz w:val="20"/>
                <w:szCs w:val="20"/>
              </w:rPr>
              <w:t xml:space="preserve">Country: </w:t>
            </w:r>
            <w:r w:rsidRPr="00AD76AF">
              <w:rPr>
                <w:sz w:val="20"/>
                <w:szCs w:val="20"/>
              </w:rPr>
              <w:t>Regional / Europe and Central Asia</w:t>
            </w:r>
          </w:p>
          <w:p w14:paraId="72DA45FF" w14:textId="66205E61" w:rsidR="00DF5E74" w:rsidRPr="00AD76AF" w:rsidRDefault="00DF5E74" w:rsidP="00197683">
            <w:pPr>
              <w:rPr>
                <w:color w:val="000000" w:themeColor="text1"/>
                <w:sz w:val="20"/>
                <w:szCs w:val="20"/>
              </w:rPr>
            </w:pPr>
            <w:r w:rsidRPr="00AD76AF">
              <w:rPr>
                <w:b/>
                <w:color w:val="000000" w:themeColor="text1"/>
                <w:sz w:val="20"/>
                <w:szCs w:val="20"/>
              </w:rPr>
              <w:t xml:space="preserve">Focal Area 1: </w:t>
            </w:r>
            <w:r w:rsidRPr="00AD76AF">
              <w:rPr>
                <w:sz w:val="20"/>
                <w:szCs w:val="20"/>
              </w:rPr>
              <w:t>Climate Change (mitigation)</w:t>
            </w:r>
          </w:p>
          <w:p w14:paraId="3ABC36AE" w14:textId="1F148709" w:rsidR="00DF5E74" w:rsidRPr="00AD76AF" w:rsidRDefault="00DF5E74" w:rsidP="00197683">
            <w:pPr>
              <w:rPr>
                <w:color w:val="000000" w:themeColor="text1"/>
                <w:sz w:val="20"/>
                <w:szCs w:val="20"/>
              </w:rPr>
            </w:pPr>
            <w:r w:rsidRPr="00AD76AF">
              <w:rPr>
                <w:b/>
                <w:color w:val="000000" w:themeColor="text1"/>
                <w:sz w:val="20"/>
                <w:szCs w:val="20"/>
              </w:rPr>
              <w:t xml:space="preserve">Focal Area 2: </w:t>
            </w:r>
            <w:r w:rsidR="009658C9" w:rsidRPr="00AD76AF">
              <w:rPr>
                <w:sz w:val="20"/>
                <w:szCs w:val="20"/>
              </w:rPr>
              <w:t xml:space="preserve">Climate Change </w:t>
            </w:r>
            <w:r w:rsidR="009658C9">
              <w:rPr>
                <w:sz w:val="20"/>
                <w:szCs w:val="20"/>
              </w:rPr>
              <w:t>(</w:t>
            </w:r>
            <w:r w:rsidR="009658C9" w:rsidRPr="00AD76AF">
              <w:rPr>
                <w:sz w:val="20"/>
                <w:szCs w:val="20"/>
              </w:rPr>
              <w:t>adaptation)</w:t>
            </w:r>
          </w:p>
          <w:p w14:paraId="618A9264" w14:textId="77777777" w:rsidR="00DF5E74" w:rsidRPr="00AD76AF" w:rsidRDefault="00DF5E74" w:rsidP="00197683">
            <w:pPr>
              <w:rPr>
                <w:color w:val="000000" w:themeColor="text1"/>
                <w:sz w:val="20"/>
                <w:szCs w:val="20"/>
              </w:rPr>
            </w:pPr>
          </w:p>
          <w:p w14:paraId="1C1EF6B9" w14:textId="7ADE87DF" w:rsidR="00DF5E74" w:rsidRPr="00AD76AF" w:rsidRDefault="00DF5E74" w:rsidP="00197683">
            <w:pPr>
              <w:rPr>
                <w:color w:val="000000" w:themeColor="text1"/>
                <w:sz w:val="20"/>
                <w:szCs w:val="20"/>
              </w:rPr>
            </w:pPr>
            <w:r w:rsidRPr="00AD76AF">
              <w:rPr>
                <w:b/>
                <w:color w:val="000000" w:themeColor="text1"/>
                <w:sz w:val="20"/>
                <w:szCs w:val="20"/>
              </w:rPr>
              <w:t xml:space="preserve">Project Implementation Status: </w:t>
            </w:r>
            <w:sdt>
              <w:sdtPr>
                <w:rPr>
                  <w:color w:val="000000" w:themeColor="text1"/>
                  <w:sz w:val="20"/>
                  <w:szCs w:val="20"/>
                </w:rPr>
                <w:id w:val="-845938150"/>
                <w:dropDownList>
                  <w:listItem w:value="Choose an item."/>
                  <w:listItem w:displayText="Not Yet Started" w:value="Not Yet Started"/>
                  <w:listItem w:displayText="Less Than 1 Year Implementation" w:value="Less Than 1 Year Implementation"/>
                  <w:listItem w:displayText="1st PIR" w:value="1st PIR"/>
                  <w:listItem w:displayText="2nd PIR" w:value="2nd PIR"/>
                  <w:listItem w:displayText="3rd PIR" w:value="3rd PIR"/>
                  <w:listItem w:displayText="4th PIR" w:value="4th PIR"/>
                  <w:listItem w:displayText="5th PIR" w:value="5th PIR"/>
                  <w:listItem w:displayText="6th PIR" w:value="6th PIR"/>
                  <w:listItem w:displayText="7th PIR" w:value="7th PIR"/>
                  <w:listItem w:displayText="8th PIR" w:value="8th PIR"/>
                  <w:listItem w:displayText="9th PIR" w:value="9th PIR"/>
                  <w:listItem w:displayText="10th PIR" w:value="10th PIR"/>
                  <w:listItem w:displayText="11th PIR" w:value="11th PIR"/>
                  <w:listItem w:displayText="12th PIR" w:value="12th PIR"/>
                  <w:listItem w:displayText="13th PIR" w:value="13th PIR"/>
                  <w:listItem w:displayText="14th PIR" w:value="14th PIR"/>
                  <w:listItem w:displayText="15th PIR" w:value="15th PIR"/>
                  <w:listItem w:displayText="Final PIR" w:value="Final PIR"/>
                </w:dropDownList>
              </w:sdtPr>
              <w:sdtEndPr/>
              <w:sdtContent>
                <w:r w:rsidR="00D26892">
                  <w:rPr>
                    <w:color w:val="000000" w:themeColor="text1"/>
                    <w:sz w:val="20"/>
                    <w:szCs w:val="20"/>
                  </w:rPr>
                  <w:t>4th PIR</w:t>
                </w:r>
              </w:sdtContent>
            </w:sdt>
          </w:p>
          <w:p w14:paraId="6AEBDC5D" w14:textId="77777777" w:rsidR="00DF5E74" w:rsidRPr="00AD76AF" w:rsidRDefault="00DF5E74" w:rsidP="00197683">
            <w:pPr>
              <w:rPr>
                <w:color w:val="000000" w:themeColor="text1"/>
                <w:sz w:val="20"/>
                <w:szCs w:val="20"/>
              </w:rPr>
            </w:pPr>
            <w:r w:rsidRPr="00AD76AF">
              <w:rPr>
                <w:b/>
                <w:color w:val="000000" w:themeColor="text1"/>
                <w:sz w:val="20"/>
                <w:szCs w:val="20"/>
              </w:rPr>
              <w:t xml:space="preserve">PIR Fiscal Year: </w:t>
            </w:r>
            <w:r w:rsidRPr="00AD76AF">
              <w:rPr>
                <w:color w:val="000000" w:themeColor="text1"/>
                <w:sz w:val="20"/>
                <w:szCs w:val="20"/>
              </w:rPr>
              <w:t>FY 19 (01 July 2018 – 30 June 2019)</w:t>
            </w:r>
          </w:p>
          <w:p w14:paraId="7571CEB9" w14:textId="77777777" w:rsidR="00DF5E74" w:rsidRPr="00AD76AF" w:rsidRDefault="00DF5E74" w:rsidP="00197683">
            <w:pPr>
              <w:rPr>
                <w:color w:val="000000" w:themeColor="text1"/>
                <w:sz w:val="20"/>
                <w:szCs w:val="20"/>
              </w:rPr>
            </w:pPr>
          </w:p>
          <w:p w14:paraId="6FB7D8F1" w14:textId="04E4F65E" w:rsidR="00DF5E74" w:rsidRPr="00AD76AF" w:rsidRDefault="00DF5E74" w:rsidP="00197683">
            <w:pPr>
              <w:tabs>
                <w:tab w:val="right" w:pos="4405"/>
              </w:tabs>
              <w:rPr>
                <w:color w:val="000000" w:themeColor="text1"/>
                <w:sz w:val="20"/>
                <w:szCs w:val="20"/>
              </w:rPr>
            </w:pPr>
            <w:r w:rsidRPr="00AD76AF">
              <w:rPr>
                <w:b/>
                <w:color w:val="000000" w:themeColor="text1"/>
                <w:sz w:val="20"/>
                <w:szCs w:val="20"/>
              </w:rPr>
              <w:t xml:space="preserve">Development Objective  Rating: </w:t>
            </w:r>
            <w:sdt>
              <w:sdtPr>
                <w:rPr>
                  <w:rStyle w:val="Style1"/>
                  <w:color w:val="000000" w:themeColor="text1"/>
                  <w:sz w:val="20"/>
                  <w:szCs w:val="20"/>
                </w:rPr>
                <w:id w:val="-175654634"/>
                <w:dropDownList>
                  <w:listItem w:value="Choose an item."/>
                  <w:listItem w:displayText="Highly Satisfactory" w:value="Highly Satisfactory"/>
                  <w:listItem w:displayText="Satisfactory" w:value="Satisfactory"/>
                  <w:listItem w:displayText="Marginally Satisfactory" w:value="Marginally Satisfactory"/>
                  <w:listItem w:displayText="Marginally Unsatisfactory" w:value="Marginally Unsatisfactory"/>
                  <w:listItem w:displayText="Unsatisfactory" w:value="Unsatisfactory"/>
                  <w:listItem w:displayText="Highly Unsatisfactory" w:value="Highly Unsatisfactory"/>
                  <w:listItem w:displayText="Not Rated" w:value="Not Rated"/>
                  <w:listItem w:displayText="Unknown" w:value="Unknown"/>
                </w:dropDownList>
              </w:sdtPr>
              <w:sdtEndPr>
                <w:rPr>
                  <w:rStyle w:val="DefaultParagraphFont"/>
                </w:rPr>
              </w:sdtEndPr>
              <w:sdtContent>
                <w:r w:rsidR="008C05BC">
                  <w:rPr>
                    <w:rStyle w:val="Style1"/>
                    <w:color w:val="000000" w:themeColor="text1"/>
                    <w:sz w:val="20"/>
                    <w:szCs w:val="20"/>
                  </w:rPr>
                  <w:t>Satisfactory</w:t>
                </w:r>
              </w:sdtContent>
            </w:sdt>
            <w:r w:rsidRPr="00AD76AF">
              <w:rPr>
                <w:color w:val="000000" w:themeColor="text1"/>
                <w:sz w:val="20"/>
                <w:szCs w:val="20"/>
              </w:rPr>
              <w:tab/>
            </w:r>
          </w:p>
          <w:p w14:paraId="60FD34D3" w14:textId="382BDA4B" w:rsidR="00DF5E74" w:rsidRPr="00AD76AF" w:rsidRDefault="00DF5E74" w:rsidP="00197683">
            <w:pPr>
              <w:tabs>
                <w:tab w:val="right" w:pos="4405"/>
              </w:tabs>
              <w:rPr>
                <w:color w:val="000000" w:themeColor="text1"/>
                <w:sz w:val="20"/>
                <w:szCs w:val="20"/>
              </w:rPr>
            </w:pPr>
            <w:r w:rsidRPr="00AD76AF">
              <w:rPr>
                <w:b/>
                <w:color w:val="000000" w:themeColor="text1"/>
                <w:sz w:val="20"/>
                <w:szCs w:val="20"/>
              </w:rPr>
              <w:t xml:space="preserve">Implementation Progress Rating: </w:t>
            </w:r>
            <w:sdt>
              <w:sdtPr>
                <w:rPr>
                  <w:color w:val="000000" w:themeColor="text1"/>
                  <w:sz w:val="20"/>
                  <w:szCs w:val="20"/>
                </w:rPr>
                <w:id w:val="-701639761"/>
                <w:dropDownList>
                  <w:listItem w:value="Choose an item."/>
                  <w:listItem w:displayText="Highly Satisfactory" w:value="Highly Satisfactory"/>
                  <w:listItem w:displayText="Satisfactory" w:value="Satisfactory"/>
                  <w:listItem w:displayText="Marginally Satisfactory" w:value="Marginally Satisfactory"/>
                  <w:listItem w:displayText="Marginally Unsatisfactory" w:value="Marginally Unsatisfactory"/>
                  <w:listItem w:displayText="Unsatisfactory" w:value="Unsatisfactory"/>
                  <w:listItem w:displayText="Highly Unsatisfactory" w:value="Highly Unsatisfactory"/>
                  <w:listItem w:displayText="Not Rated" w:value="Not Rated"/>
                  <w:listItem w:displayText="Unknown" w:value="Unknown"/>
                </w:dropDownList>
              </w:sdtPr>
              <w:sdtEndPr/>
              <w:sdtContent>
                <w:r w:rsidR="00D26892">
                  <w:rPr>
                    <w:color w:val="000000" w:themeColor="text1"/>
                    <w:sz w:val="20"/>
                    <w:szCs w:val="20"/>
                  </w:rPr>
                  <w:t>Satisfactory</w:t>
                </w:r>
              </w:sdtContent>
            </w:sdt>
          </w:p>
          <w:p w14:paraId="6CE07810" w14:textId="3CC3B129" w:rsidR="00DF5E74" w:rsidRPr="00AD76AF" w:rsidRDefault="00DF5E74" w:rsidP="00197683">
            <w:pPr>
              <w:rPr>
                <w:color w:val="C0504D" w:themeColor="accent2"/>
                <w:sz w:val="20"/>
                <w:szCs w:val="20"/>
              </w:rPr>
            </w:pPr>
            <w:r w:rsidRPr="00AD76AF">
              <w:rPr>
                <w:b/>
                <w:color w:val="000000" w:themeColor="text1"/>
                <w:sz w:val="20"/>
                <w:szCs w:val="20"/>
              </w:rPr>
              <w:t xml:space="preserve">Risk Rating: </w:t>
            </w:r>
            <w:sdt>
              <w:sdtPr>
                <w:rPr>
                  <w:color w:val="000000" w:themeColor="text1"/>
                  <w:sz w:val="20"/>
                  <w:szCs w:val="20"/>
                </w:rPr>
                <w:id w:val="1336572812"/>
                <w:dropDownList>
                  <w:listItem w:value="Choose an item."/>
                  <w:listItem w:displayText="High Risk" w:value="High Risk"/>
                  <w:listItem w:displayText="Substantial Risk" w:value="Substantial Risk"/>
                  <w:listItem w:displayText="Moderate Risk" w:value="Moderate Risk"/>
                  <w:listItem w:displayText="Low Risk" w:value="Low Risk"/>
                </w:dropDownList>
              </w:sdtPr>
              <w:sdtEndPr/>
              <w:sdtContent>
                <w:r w:rsidR="00D26892">
                  <w:rPr>
                    <w:color w:val="000000" w:themeColor="text1"/>
                    <w:sz w:val="20"/>
                    <w:szCs w:val="20"/>
                  </w:rPr>
                  <w:t>Low Risk</w:t>
                </w:r>
              </w:sdtContent>
            </w:sdt>
          </w:p>
        </w:tc>
      </w:tr>
      <w:tr w:rsidR="00DF5E74" w:rsidRPr="00AD76AF" w14:paraId="5557FF3D" w14:textId="77777777" w:rsidTr="00197683">
        <w:tc>
          <w:tcPr>
            <w:tcW w:w="9180" w:type="dxa"/>
          </w:tcPr>
          <w:p w14:paraId="73806991" w14:textId="70B0E3CA" w:rsidR="00DF5E74" w:rsidRPr="00AD76AF" w:rsidRDefault="00DF5E74" w:rsidP="00197683">
            <w:pPr>
              <w:rPr>
                <w:color w:val="000000" w:themeColor="text1"/>
                <w:sz w:val="20"/>
                <w:szCs w:val="20"/>
              </w:rPr>
            </w:pPr>
            <w:r w:rsidRPr="00AD76AF">
              <w:rPr>
                <w:b/>
                <w:color w:val="000000" w:themeColor="text1"/>
                <w:sz w:val="20"/>
                <w:szCs w:val="20"/>
              </w:rPr>
              <w:t xml:space="preserve">CEO Endorsement Date: </w:t>
            </w:r>
            <w:r w:rsidR="00BC246A">
              <w:rPr>
                <w:color w:val="000000" w:themeColor="text1"/>
                <w:sz w:val="20"/>
                <w:szCs w:val="20"/>
              </w:rPr>
              <w:t>01 July</w:t>
            </w:r>
            <w:r w:rsidR="00685055" w:rsidRPr="00AD76AF">
              <w:rPr>
                <w:color w:val="000000" w:themeColor="text1"/>
                <w:sz w:val="20"/>
                <w:szCs w:val="20"/>
              </w:rPr>
              <w:t xml:space="preserve"> 2013</w:t>
            </w:r>
          </w:p>
          <w:p w14:paraId="205EC4C2" w14:textId="07953DC9" w:rsidR="00DF5E74" w:rsidRPr="00AD76AF" w:rsidRDefault="00DF5E74" w:rsidP="00197683">
            <w:pPr>
              <w:rPr>
                <w:color w:val="000000" w:themeColor="text1"/>
                <w:sz w:val="20"/>
                <w:szCs w:val="20"/>
              </w:rPr>
            </w:pPr>
            <w:r w:rsidRPr="00AD76AF">
              <w:rPr>
                <w:b/>
                <w:color w:val="000000" w:themeColor="text1"/>
                <w:sz w:val="20"/>
                <w:szCs w:val="20"/>
              </w:rPr>
              <w:t xml:space="preserve">Project Start Date: </w:t>
            </w:r>
            <w:r w:rsidRPr="00AD76AF">
              <w:rPr>
                <w:color w:val="000000"/>
                <w:sz w:val="20"/>
                <w:szCs w:val="20"/>
              </w:rPr>
              <w:t>15 December 2013</w:t>
            </w:r>
          </w:p>
          <w:p w14:paraId="17F1A07F" w14:textId="2BA6F0D2" w:rsidR="00091C6F" w:rsidRPr="00AD76AF" w:rsidRDefault="00DF5E74" w:rsidP="00197683">
            <w:pPr>
              <w:rPr>
                <w:color w:val="000000"/>
                <w:sz w:val="20"/>
                <w:szCs w:val="20"/>
              </w:rPr>
            </w:pPr>
            <w:r w:rsidRPr="00AD76AF">
              <w:rPr>
                <w:b/>
                <w:color w:val="000000" w:themeColor="text1"/>
                <w:sz w:val="20"/>
                <w:szCs w:val="20"/>
              </w:rPr>
              <w:t xml:space="preserve">First Disbursement Date: </w:t>
            </w:r>
            <w:r w:rsidRPr="00AD76AF">
              <w:rPr>
                <w:color w:val="000000"/>
                <w:sz w:val="20"/>
                <w:szCs w:val="20"/>
              </w:rPr>
              <w:t>10 July 2014</w:t>
            </w:r>
          </w:p>
          <w:p w14:paraId="49EB94FC" w14:textId="77777777" w:rsidR="00DF5E74" w:rsidRPr="00AD76AF" w:rsidRDefault="00DF5E74" w:rsidP="00197683">
            <w:pPr>
              <w:rPr>
                <w:color w:val="000000" w:themeColor="text1"/>
                <w:sz w:val="20"/>
                <w:szCs w:val="20"/>
              </w:rPr>
            </w:pPr>
          </w:p>
          <w:p w14:paraId="6DBF637B" w14:textId="77777777" w:rsidR="00DF5E74" w:rsidRPr="00AD76AF" w:rsidRDefault="00DF5E74" w:rsidP="00197683">
            <w:pPr>
              <w:rPr>
                <w:color w:val="000000" w:themeColor="text1"/>
                <w:sz w:val="20"/>
                <w:szCs w:val="20"/>
              </w:rPr>
            </w:pPr>
            <w:r w:rsidRPr="00AD76AF">
              <w:rPr>
                <w:b/>
                <w:color w:val="000000" w:themeColor="text1"/>
                <w:sz w:val="20"/>
                <w:szCs w:val="20"/>
              </w:rPr>
              <w:t xml:space="preserve">Actual Mid-Term Review Date: </w:t>
            </w:r>
            <w:r w:rsidRPr="00AD76AF">
              <w:rPr>
                <w:color w:val="000000" w:themeColor="text1"/>
                <w:sz w:val="20"/>
                <w:szCs w:val="20"/>
              </w:rPr>
              <w:t>6 June 2017</w:t>
            </w:r>
          </w:p>
          <w:p w14:paraId="12877D9D" w14:textId="77777777" w:rsidR="002B3840" w:rsidRDefault="002B3840" w:rsidP="002B3840">
            <w:pPr>
              <w:rPr>
                <w:b/>
                <w:color w:val="000000" w:themeColor="text1"/>
                <w:sz w:val="20"/>
                <w:szCs w:val="20"/>
              </w:rPr>
            </w:pPr>
          </w:p>
          <w:p w14:paraId="1A573C0B" w14:textId="77777777" w:rsidR="002B3840" w:rsidRPr="00AD76AF" w:rsidRDefault="002B3840" w:rsidP="002B3840">
            <w:pPr>
              <w:rPr>
                <w:color w:val="000000" w:themeColor="text1"/>
                <w:sz w:val="20"/>
                <w:szCs w:val="20"/>
              </w:rPr>
            </w:pPr>
            <w:r w:rsidRPr="00AD76AF">
              <w:rPr>
                <w:b/>
                <w:color w:val="000000" w:themeColor="text1"/>
                <w:sz w:val="20"/>
                <w:szCs w:val="20"/>
              </w:rPr>
              <w:t xml:space="preserve">Original Expected Closing Date: </w:t>
            </w:r>
            <w:r w:rsidRPr="00AD76AF">
              <w:rPr>
                <w:color w:val="000000"/>
                <w:sz w:val="20"/>
                <w:szCs w:val="20"/>
              </w:rPr>
              <w:t>15 June 2016</w:t>
            </w:r>
            <w:r>
              <w:rPr>
                <w:rStyle w:val="FootnoteReference"/>
                <w:color w:val="000000"/>
                <w:sz w:val="20"/>
                <w:szCs w:val="20"/>
              </w:rPr>
              <w:footnoteReference w:id="1"/>
            </w:r>
          </w:p>
          <w:p w14:paraId="200FD47B" w14:textId="1FA71ECE" w:rsidR="002B3840" w:rsidRDefault="002B3840" w:rsidP="002B3840">
            <w:pPr>
              <w:rPr>
                <w:b/>
                <w:color w:val="000000" w:themeColor="text1"/>
                <w:sz w:val="20"/>
                <w:szCs w:val="20"/>
              </w:rPr>
            </w:pPr>
            <w:r w:rsidRPr="00AD76AF">
              <w:rPr>
                <w:b/>
                <w:color w:val="000000" w:themeColor="text1"/>
                <w:sz w:val="20"/>
                <w:szCs w:val="20"/>
              </w:rPr>
              <w:t xml:space="preserve">Revised Expected Closing Date: </w:t>
            </w:r>
            <w:r w:rsidRPr="00AD76AF">
              <w:rPr>
                <w:color w:val="000000" w:themeColor="text1"/>
                <w:sz w:val="20"/>
                <w:szCs w:val="20"/>
              </w:rPr>
              <w:t>31 December 2021</w:t>
            </w:r>
          </w:p>
          <w:p w14:paraId="62586104" w14:textId="77777777" w:rsidR="00DF5E74" w:rsidRPr="00AD76AF" w:rsidRDefault="00DF5E74" w:rsidP="00197683">
            <w:pPr>
              <w:rPr>
                <w:color w:val="000000" w:themeColor="text1"/>
                <w:sz w:val="20"/>
                <w:szCs w:val="20"/>
              </w:rPr>
            </w:pPr>
            <w:r w:rsidRPr="00AD76AF">
              <w:rPr>
                <w:b/>
                <w:color w:val="000000" w:themeColor="text1"/>
                <w:sz w:val="20"/>
                <w:szCs w:val="20"/>
              </w:rPr>
              <w:t xml:space="preserve">Expected Date of the Terminal Evaluation: </w:t>
            </w:r>
            <w:r w:rsidRPr="00AD76AF">
              <w:rPr>
                <w:color w:val="000000" w:themeColor="text1"/>
                <w:sz w:val="20"/>
                <w:szCs w:val="20"/>
              </w:rPr>
              <w:t>31 December 2021</w:t>
            </w:r>
          </w:p>
          <w:p w14:paraId="738EAF8A" w14:textId="77777777" w:rsidR="00DF5E74" w:rsidRPr="00AD76AF" w:rsidRDefault="00DF5E74" w:rsidP="00197683">
            <w:pPr>
              <w:rPr>
                <w:color w:val="000000" w:themeColor="text1"/>
                <w:sz w:val="20"/>
                <w:szCs w:val="20"/>
              </w:rPr>
            </w:pPr>
            <w:r w:rsidRPr="00AD76AF">
              <w:rPr>
                <w:b/>
                <w:color w:val="000000" w:themeColor="text1"/>
                <w:sz w:val="20"/>
                <w:szCs w:val="20"/>
              </w:rPr>
              <w:t xml:space="preserve">Expected Financial Closure: </w:t>
            </w:r>
            <w:r w:rsidRPr="00AD76AF">
              <w:rPr>
                <w:color w:val="000000" w:themeColor="text1"/>
                <w:sz w:val="20"/>
                <w:szCs w:val="20"/>
              </w:rPr>
              <w:t>30 June 2022</w:t>
            </w:r>
          </w:p>
          <w:p w14:paraId="4287230A" w14:textId="152DFB56" w:rsidR="00DF5E74" w:rsidRPr="00AD76AF" w:rsidRDefault="00DF5E74" w:rsidP="00197683">
            <w:pPr>
              <w:tabs>
                <w:tab w:val="right" w:pos="4405"/>
              </w:tabs>
              <w:rPr>
                <w:b/>
                <w:color w:val="000000" w:themeColor="text1"/>
                <w:sz w:val="20"/>
                <w:szCs w:val="20"/>
              </w:rPr>
            </w:pPr>
          </w:p>
        </w:tc>
      </w:tr>
      <w:tr w:rsidR="00DF5E74" w:rsidRPr="00AD76AF" w14:paraId="75ADAA25" w14:textId="77777777" w:rsidTr="00197683">
        <w:tc>
          <w:tcPr>
            <w:tcW w:w="9180" w:type="dxa"/>
          </w:tcPr>
          <w:p w14:paraId="2BE7A160" w14:textId="46F4766F" w:rsidR="00DF5E74" w:rsidRPr="00AD76AF" w:rsidRDefault="00DF5E74" w:rsidP="00197683">
            <w:pPr>
              <w:rPr>
                <w:i/>
                <w:color w:val="000000" w:themeColor="text1"/>
                <w:sz w:val="20"/>
                <w:szCs w:val="20"/>
              </w:rPr>
            </w:pPr>
            <w:r w:rsidRPr="00AD76AF">
              <w:rPr>
                <w:b/>
                <w:color w:val="000000" w:themeColor="text1"/>
                <w:sz w:val="20"/>
                <w:szCs w:val="20"/>
              </w:rPr>
              <w:t xml:space="preserve">GEF Funding: </w:t>
            </w:r>
            <w:r w:rsidRPr="00AD76AF">
              <w:rPr>
                <w:color w:val="000000" w:themeColor="text1"/>
                <w:sz w:val="20"/>
                <w:szCs w:val="20"/>
              </w:rPr>
              <w:t>$</w:t>
            </w:r>
            <w:r w:rsidR="004321AF" w:rsidRPr="00AD76AF">
              <w:rPr>
                <w:i/>
                <w:sz w:val="20"/>
                <w:szCs w:val="20"/>
              </w:rPr>
              <w:t xml:space="preserve">10,909,091 </w:t>
            </w:r>
            <w:r w:rsidR="004321AF" w:rsidRPr="00AD76AF">
              <w:rPr>
                <w:rStyle w:val="FootnoteReference"/>
                <w:i/>
                <w:sz w:val="20"/>
                <w:szCs w:val="20"/>
              </w:rPr>
              <w:footnoteReference w:id="2"/>
            </w:r>
          </w:p>
          <w:p w14:paraId="7026AE06" w14:textId="3403D635" w:rsidR="00DF5E74" w:rsidRPr="00AD76AF" w:rsidRDefault="00DF5E74" w:rsidP="00197683">
            <w:pPr>
              <w:rPr>
                <w:color w:val="000000" w:themeColor="text1"/>
                <w:sz w:val="20"/>
                <w:szCs w:val="20"/>
              </w:rPr>
            </w:pPr>
            <w:r w:rsidRPr="00AD76AF">
              <w:rPr>
                <w:b/>
                <w:color w:val="000000" w:themeColor="text1"/>
                <w:sz w:val="20"/>
                <w:szCs w:val="20"/>
              </w:rPr>
              <w:t xml:space="preserve">GEF Funds Disbursed – cumulative: </w:t>
            </w:r>
            <w:r w:rsidR="004321AF" w:rsidRPr="00AD76AF">
              <w:rPr>
                <w:i/>
                <w:sz w:val="20"/>
                <w:szCs w:val="20"/>
              </w:rPr>
              <w:t>$3,080,000</w:t>
            </w:r>
          </w:p>
          <w:p w14:paraId="16EF0754" w14:textId="68526C78" w:rsidR="00DF5E74" w:rsidRPr="00AD76AF" w:rsidRDefault="00DF5E74" w:rsidP="00197683">
            <w:pPr>
              <w:rPr>
                <w:i/>
                <w:color w:val="000000" w:themeColor="text1"/>
                <w:sz w:val="20"/>
                <w:szCs w:val="20"/>
              </w:rPr>
            </w:pPr>
            <w:r w:rsidRPr="00AD76AF">
              <w:rPr>
                <w:b/>
                <w:color w:val="000000" w:themeColor="text1"/>
                <w:sz w:val="20"/>
                <w:szCs w:val="20"/>
              </w:rPr>
              <w:t xml:space="preserve">GEF Funds Disbursed – reporting Period: </w:t>
            </w:r>
            <w:r w:rsidR="004321AF" w:rsidRPr="00AD76AF">
              <w:rPr>
                <w:i/>
                <w:sz w:val="20"/>
                <w:szCs w:val="20"/>
              </w:rPr>
              <w:t>$</w:t>
            </w:r>
            <w:r w:rsidR="004321AF" w:rsidRPr="00AD76AF">
              <w:rPr>
                <w:sz w:val="20"/>
                <w:szCs w:val="20"/>
              </w:rPr>
              <w:t xml:space="preserve">1,250,000 </w:t>
            </w:r>
          </w:p>
          <w:p w14:paraId="6AF8F19D" w14:textId="46319601" w:rsidR="00DF5E74" w:rsidRPr="00AD76AF" w:rsidRDefault="00DF5E74" w:rsidP="00197683">
            <w:pPr>
              <w:rPr>
                <w:sz w:val="20"/>
                <w:szCs w:val="20"/>
              </w:rPr>
            </w:pPr>
            <w:r w:rsidRPr="00AD76AF">
              <w:rPr>
                <w:b/>
                <w:color w:val="000000" w:themeColor="text1"/>
                <w:sz w:val="20"/>
                <w:szCs w:val="20"/>
              </w:rPr>
              <w:t>GEF Funds Committed</w:t>
            </w:r>
            <w:r w:rsidR="004321AF" w:rsidRPr="00AD76AF">
              <w:rPr>
                <w:b/>
                <w:sz w:val="20"/>
                <w:szCs w:val="20"/>
              </w:rPr>
              <w:t xml:space="preserve"> </w:t>
            </w:r>
            <w:r w:rsidRPr="00AD76AF">
              <w:rPr>
                <w:b/>
                <w:color w:val="000000" w:themeColor="text1"/>
                <w:sz w:val="20"/>
                <w:szCs w:val="20"/>
              </w:rPr>
              <w:t xml:space="preserve"> – cumulative: </w:t>
            </w:r>
            <w:r w:rsidR="004321AF" w:rsidRPr="00AD76AF">
              <w:rPr>
                <w:sz w:val="20"/>
                <w:szCs w:val="20"/>
              </w:rPr>
              <w:t xml:space="preserve">$3,370,000 </w:t>
            </w:r>
          </w:p>
          <w:p w14:paraId="5F5D8500" w14:textId="6F984D5F" w:rsidR="00F5266F" w:rsidRPr="00AD76AF" w:rsidRDefault="00F5266F" w:rsidP="00197683">
            <w:pPr>
              <w:rPr>
                <w:b/>
                <w:color w:val="000000" w:themeColor="text1"/>
                <w:sz w:val="20"/>
                <w:szCs w:val="20"/>
              </w:rPr>
            </w:pPr>
            <w:r w:rsidRPr="00AD76AF">
              <w:rPr>
                <w:b/>
                <w:sz w:val="20"/>
                <w:szCs w:val="20"/>
              </w:rPr>
              <w:t>GEF Funds Total Disbursed + Committed</w:t>
            </w:r>
            <w:r w:rsidRPr="00AD76AF">
              <w:rPr>
                <w:rStyle w:val="FootnoteReference"/>
                <w:b/>
                <w:sz w:val="20"/>
                <w:szCs w:val="20"/>
              </w:rPr>
              <w:footnoteReference w:id="3"/>
            </w:r>
            <w:r w:rsidRPr="00AD76AF">
              <w:rPr>
                <w:b/>
                <w:sz w:val="20"/>
                <w:szCs w:val="20"/>
              </w:rPr>
              <w:t xml:space="preserve">: </w:t>
            </w:r>
            <w:r w:rsidRPr="00AD76AF">
              <w:rPr>
                <w:sz w:val="20"/>
                <w:szCs w:val="20"/>
              </w:rPr>
              <w:t>$6,440,000</w:t>
            </w:r>
          </w:p>
          <w:p w14:paraId="75075089" w14:textId="77777777" w:rsidR="00DF5E74" w:rsidRPr="00AD76AF" w:rsidRDefault="00DF5E74" w:rsidP="00197683">
            <w:pPr>
              <w:rPr>
                <w:color w:val="000000" w:themeColor="text1"/>
                <w:sz w:val="20"/>
                <w:szCs w:val="20"/>
              </w:rPr>
            </w:pPr>
          </w:p>
          <w:p w14:paraId="34A98218" w14:textId="7CB5E3F9" w:rsidR="00DF5E74" w:rsidRPr="00AD76AF" w:rsidRDefault="00DF5E74" w:rsidP="00197683">
            <w:pPr>
              <w:rPr>
                <w:i/>
                <w:color w:val="000000" w:themeColor="text1"/>
                <w:sz w:val="20"/>
                <w:szCs w:val="20"/>
              </w:rPr>
            </w:pPr>
            <w:r w:rsidRPr="00AD76AF">
              <w:rPr>
                <w:b/>
                <w:color w:val="000000" w:themeColor="text1"/>
                <w:sz w:val="20"/>
                <w:szCs w:val="20"/>
              </w:rPr>
              <w:t xml:space="preserve">Original Expected Co-Financing: </w:t>
            </w:r>
            <w:r w:rsidR="004321AF" w:rsidRPr="00AD76AF">
              <w:rPr>
                <w:i/>
                <w:sz w:val="20"/>
                <w:szCs w:val="20"/>
              </w:rPr>
              <w:t>$77,010,000</w:t>
            </w:r>
          </w:p>
          <w:p w14:paraId="65F0A2F7" w14:textId="77777777" w:rsidR="00DF5E74" w:rsidRPr="00AD76AF" w:rsidRDefault="00DF5E74" w:rsidP="00197683">
            <w:pPr>
              <w:rPr>
                <w:i/>
                <w:color w:val="000000" w:themeColor="text1"/>
                <w:sz w:val="20"/>
                <w:szCs w:val="20"/>
              </w:rPr>
            </w:pPr>
            <w:r w:rsidRPr="00AD76AF">
              <w:rPr>
                <w:b/>
                <w:color w:val="000000" w:themeColor="text1"/>
                <w:sz w:val="20"/>
                <w:szCs w:val="20"/>
              </w:rPr>
              <w:t>Co-Financing Cumulative:</w:t>
            </w:r>
            <w:r w:rsidRPr="00AD76AF">
              <w:rPr>
                <w:i/>
                <w:color w:val="000000" w:themeColor="text1"/>
                <w:sz w:val="20"/>
                <w:szCs w:val="20"/>
              </w:rPr>
              <w:t xml:space="preserve"> TBD</w:t>
            </w:r>
          </w:p>
          <w:p w14:paraId="5BA8CC2C" w14:textId="220A0954" w:rsidR="00DF5E74" w:rsidRPr="00AD76AF" w:rsidRDefault="00DF5E74" w:rsidP="00197683">
            <w:pPr>
              <w:rPr>
                <w:i/>
                <w:color w:val="000000" w:themeColor="text1"/>
                <w:sz w:val="20"/>
                <w:szCs w:val="20"/>
              </w:rPr>
            </w:pPr>
            <w:r w:rsidRPr="00AD76AF">
              <w:rPr>
                <w:b/>
                <w:color w:val="000000" w:themeColor="text1"/>
                <w:sz w:val="20"/>
                <w:szCs w:val="20"/>
              </w:rPr>
              <w:t xml:space="preserve">Co-Financing at Midterm – cumulative: </w:t>
            </w:r>
            <w:r w:rsidR="004321AF" w:rsidRPr="00AD76AF">
              <w:rPr>
                <w:i/>
                <w:sz w:val="20"/>
                <w:szCs w:val="20"/>
              </w:rPr>
              <w:t>$</w:t>
            </w:r>
            <w:r w:rsidR="004321AF" w:rsidRPr="00AD76AF">
              <w:rPr>
                <w:rFonts w:cs="Arial"/>
                <w:sz w:val="20"/>
                <w:szCs w:val="20"/>
              </w:rPr>
              <w:t>46,400,000</w:t>
            </w:r>
            <w:r w:rsidR="00C35731">
              <w:rPr>
                <w:rStyle w:val="FootnoteReference"/>
                <w:rFonts w:cs="Arial"/>
                <w:sz w:val="20"/>
                <w:szCs w:val="20"/>
              </w:rPr>
              <w:footnoteReference w:id="4"/>
            </w:r>
          </w:p>
        </w:tc>
      </w:tr>
    </w:tbl>
    <w:p w14:paraId="3B8C8A85" w14:textId="77777777" w:rsidR="00DF5E74" w:rsidRPr="00AD76AF" w:rsidRDefault="00DF5E74" w:rsidP="00072A76">
      <w:pPr>
        <w:rPr>
          <w:b/>
        </w:rPr>
      </w:pPr>
    </w:p>
    <w:p w14:paraId="19AAE8CF" w14:textId="3A1C6D42" w:rsidR="00DF5E74" w:rsidRPr="00AD76AF" w:rsidRDefault="00DF5E74" w:rsidP="00072A76">
      <w:pPr>
        <w:rPr>
          <w:b/>
        </w:rPr>
      </w:pPr>
    </w:p>
    <w:p w14:paraId="4CB21488" w14:textId="77777777" w:rsidR="00DF5E74" w:rsidRPr="00AD76AF" w:rsidRDefault="00DF5E74" w:rsidP="00072A76">
      <w:pPr>
        <w:rPr>
          <w:b/>
        </w:rPr>
      </w:pPr>
    </w:p>
    <w:p w14:paraId="275E4A8D" w14:textId="77777777" w:rsidR="00FE3288" w:rsidRPr="00AD76AF" w:rsidRDefault="00FE3288" w:rsidP="0023744A">
      <w:pPr>
        <w:rPr>
          <w:b/>
        </w:rPr>
      </w:pPr>
    </w:p>
    <w:p w14:paraId="3DF295CD" w14:textId="77777777" w:rsidR="00091C6F" w:rsidRPr="00AD76AF" w:rsidRDefault="00091C6F" w:rsidP="0023744A">
      <w:pPr>
        <w:rPr>
          <w:b/>
        </w:rPr>
        <w:sectPr w:rsidR="00091C6F" w:rsidRPr="00AD76AF" w:rsidSect="00695402">
          <w:footerReference w:type="default" r:id="rId18"/>
          <w:pgSz w:w="11906" w:h="16838"/>
          <w:pgMar w:top="1135" w:right="1440" w:bottom="1440" w:left="1440" w:header="708" w:footer="708" w:gutter="0"/>
          <w:pgNumType w:start="1"/>
          <w:cols w:space="708"/>
          <w:docGrid w:linePitch="360"/>
        </w:sectPr>
      </w:pPr>
    </w:p>
    <w:tbl>
      <w:tblPr>
        <w:tblStyle w:val="TableGrid"/>
        <w:tblW w:w="9322" w:type="dxa"/>
        <w:tblLook w:val="04A0" w:firstRow="1" w:lastRow="0" w:firstColumn="1" w:lastColumn="0" w:noHBand="0" w:noVBand="1"/>
      </w:tblPr>
      <w:tblGrid>
        <w:gridCol w:w="9322"/>
      </w:tblGrid>
      <w:tr w:rsidR="00623BF6" w:rsidRPr="00AD76AF" w14:paraId="16E7AB48" w14:textId="77777777" w:rsidTr="00623BF6">
        <w:tc>
          <w:tcPr>
            <w:tcW w:w="9322" w:type="dxa"/>
            <w:shd w:val="clear" w:color="auto" w:fill="0070C0"/>
          </w:tcPr>
          <w:p w14:paraId="596F1E3B" w14:textId="77777777" w:rsidR="00623BF6" w:rsidRPr="00AD76AF" w:rsidRDefault="00623BF6" w:rsidP="00623BF6">
            <w:pPr>
              <w:rPr>
                <w:b/>
              </w:rPr>
            </w:pPr>
            <w:r w:rsidRPr="00AD76AF">
              <w:rPr>
                <w:b/>
                <w:color w:val="FFFFFF" w:themeColor="background1"/>
              </w:rPr>
              <w:lastRenderedPageBreak/>
              <w:t>Summary of Project Objectives, Components and Activities</w:t>
            </w:r>
          </w:p>
        </w:tc>
      </w:tr>
      <w:tr w:rsidR="00623BF6" w:rsidRPr="00AD76AF" w14:paraId="359D5363" w14:textId="77777777" w:rsidTr="00623BF6">
        <w:trPr>
          <w:trHeight w:val="509"/>
        </w:trPr>
        <w:tc>
          <w:tcPr>
            <w:tcW w:w="9322" w:type="dxa"/>
          </w:tcPr>
          <w:p w14:paraId="50A2A792" w14:textId="49899885" w:rsidR="00623BF6" w:rsidRPr="00AD76AF" w:rsidRDefault="00623BF6" w:rsidP="00623BF6">
            <w:pPr>
              <w:spacing w:after="120"/>
              <w:rPr>
                <w:rFonts w:cs="Arial"/>
                <w:sz w:val="20"/>
                <w:szCs w:val="20"/>
              </w:rPr>
            </w:pPr>
            <w:r w:rsidRPr="00AD76AF">
              <w:rPr>
                <w:b/>
                <w:color w:val="000000" w:themeColor="text1"/>
                <w:sz w:val="20"/>
                <w:szCs w:val="20"/>
              </w:rPr>
              <w:t>Objective</w:t>
            </w:r>
            <w:r w:rsidRPr="00AD76AF">
              <w:rPr>
                <w:color w:val="000000" w:themeColor="text1"/>
                <w:sz w:val="20"/>
                <w:szCs w:val="20"/>
              </w:rPr>
              <w:t xml:space="preserve">: The </w:t>
            </w:r>
            <w:r w:rsidR="00C807B3">
              <w:rPr>
                <w:color w:val="000000" w:themeColor="text1"/>
                <w:sz w:val="20"/>
                <w:szCs w:val="20"/>
              </w:rPr>
              <w:t>Project</w:t>
            </w:r>
            <w:r w:rsidRPr="00AD76AF">
              <w:rPr>
                <w:color w:val="000000" w:themeColor="text1"/>
                <w:sz w:val="20"/>
                <w:szCs w:val="20"/>
              </w:rPr>
              <w:t xml:space="preserve"> aims to accelerate investments in climate change mitigation and adaptation technologies in the EBRD’s countries of operations. </w:t>
            </w:r>
          </w:p>
          <w:p w14:paraId="1E2B861C" w14:textId="0FAB98ED" w:rsidR="00623BF6" w:rsidRPr="00AD76AF" w:rsidRDefault="00623BF6" w:rsidP="00AD76AF">
            <w:pPr>
              <w:spacing w:after="120"/>
              <w:rPr>
                <w:rFonts w:cs="Arial"/>
                <w:sz w:val="20"/>
                <w:szCs w:val="20"/>
              </w:rPr>
            </w:pPr>
            <w:r w:rsidRPr="00AD76AF">
              <w:rPr>
                <w:rFonts w:cs="Arial"/>
                <w:sz w:val="20"/>
                <w:szCs w:val="20"/>
              </w:rPr>
              <w:t>This includes the aim of embedding climate change considerations into the management p</w:t>
            </w:r>
            <w:r w:rsidR="00AD76AF" w:rsidRPr="00AD76AF">
              <w:rPr>
                <w:rFonts w:cs="Arial"/>
                <w:sz w:val="20"/>
                <w:szCs w:val="20"/>
              </w:rPr>
              <w:t>ractises of private businesses.</w:t>
            </w:r>
          </w:p>
          <w:p w14:paraId="06C4985F" w14:textId="77777777" w:rsidR="00623BF6" w:rsidRPr="00AD76AF" w:rsidRDefault="00623BF6" w:rsidP="00623BF6">
            <w:pPr>
              <w:rPr>
                <w:color w:val="000000" w:themeColor="text1"/>
                <w:sz w:val="20"/>
                <w:szCs w:val="20"/>
              </w:rPr>
            </w:pPr>
            <w:r w:rsidRPr="00AD76AF">
              <w:rPr>
                <w:color w:val="000000" w:themeColor="text1"/>
                <w:sz w:val="20"/>
                <w:szCs w:val="20"/>
              </w:rPr>
              <w:t xml:space="preserve">   </w:t>
            </w:r>
          </w:p>
          <w:p w14:paraId="3F1630D4" w14:textId="3EAD06C0" w:rsidR="00623BF6" w:rsidRPr="00AD76AF" w:rsidRDefault="00623BF6" w:rsidP="00623BF6">
            <w:pPr>
              <w:rPr>
                <w:color w:val="000000" w:themeColor="text1"/>
                <w:sz w:val="20"/>
                <w:szCs w:val="20"/>
              </w:rPr>
            </w:pPr>
            <w:r w:rsidRPr="00AD76AF">
              <w:rPr>
                <w:b/>
                <w:color w:val="000000" w:themeColor="text1"/>
                <w:sz w:val="20"/>
                <w:szCs w:val="20"/>
              </w:rPr>
              <w:t>Design</w:t>
            </w:r>
            <w:r w:rsidRPr="00AD76AF">
              <w:rPr>
                <w:color w:val="000000" w:themeColor="text1"/>
                <w:sz w:val="20"/>
                <w:szCs w:val="20"/>
              </w:rPr>
              <w:t xml:space="preserve">: The </w:t>
            </w:r>
            <w:r w:rsidR="00C807B3">
              <w:rPr>
                <w:color w:val="000000" w:themeColor="text1"/>
                <w:sz w:val="20"/>
                <w:szCs w:val="20"/>
              </w:rPr>
              <w:t>Project</w:t>
            </w:r>
            <w:r w:rsidRPr="00AD76AF">
              <w:rPr>
                <w:color w:val="000000" w:themeColor="text1"/>
                <w:sz w:val="20"/>
                <w:szCs w:val="20"/>
              </w:rPr>
              <w:t xml:space="preserve"> has been designed to have three components with balanced focus between mitigation and adaptation: </w:t>
            </w:r>
          </w:p>
          <w:p w14:paraId="515C1752" w14:textId="47CF7D5D" w:rsidR="00623BF6" w:rsidRPr="00AD76AF" w:rsidRDefault="00623BF6" w:rsidP="00623BF6">
            <w:pPr>
              <w:pStyle w:val="ListParagraph"/>
              <w:numPr>
                <w:ilvl w:val="0"/>
                <w:numId w:val="34"/>
              </w:numPr>
              <w:rPr>
                <w:color w:val="000000" w:themeColor="text1"/>
                <w:sz w:val="20"/>
                <w:szCs w:val="20"/>
              </w:rPr>
            </w:pPr>
            <w:r w:rsidRPr="00AD76AF">
              <w:rPr>
                <w:color w:val="000000" w:themeColor="text1"/>
                <w:sz w:val="20"/>
                <w:szCs w:val="20"/>
              </w:rPr>
              <w:t>Component 1: Regional</w:t>
            </w:r>
            <w:r w:rsidR="00BC246A">
              <w:rPr>
                <w:color w:val="000000" w:themeColor="text1"/>
                <w:sz w:val="20"/>
                <w:szCs w:val="20"/>
              </w:rPr>
              <w:t xml:space="preserve"> Technology Transfer Networks (</w:t>
            </w:r>
            <w:r w:rsidRPr="00AD76AF">
              <w:rPr>
                <w:color w:val="000000" w:themeColor="text1"/>
                <w:sz w:val="20"/>
                <w:szCs w:val="20"/>
              </w:rPr>
              <w:t>TA</w:t>
            </w:r>
            <w:r w:rsidR="00BC246A">
              <w:rPr>
                <w:color w:val="000000" w:themeColor="text1"/>
                <w:sz w:val="20"/>
                <w:szCs w:val="20"/>
              </w:rPr>
              <w:t>)</w:t>
            </w:r>
            <w:r w:rsidRPr="00AD76AF">
              <w:rPr>
                <w:color w:val="000000" w:themeColor="text1"/>
                <w:sz w:val="20"/>
                <w:szCs w:val="20"/>
              </w:rPr>
              <w:t>;</w:t>
            </w:r>
          </w:p>
          <w:p w14:paraId="54F78A9E" w14:textId="31185F4C" w:rsidR="00623BF6" w:rsidRPr="00AD76AF" w:rsidRDefault="00623BF6" w:rsidP="00623BF6">
            <w:pPr>
              <w:pStyle w:val="ListParagraph"/>
              <w:numPr>
                <w:ilvl w:val="0"/>
                <w:numId w:val="34"/>
              </w:numPr>
              <w:rPr>
                <w:color w:val="000000" w:themeColor="text1"/>
                <w:sz w:val="20"/>
                <w:szCs w:val="20"/>
              </w:rPr>
            </w:pPr>
            <w:r w:rsidRPr="00AD76AF">
              <w:rPr>
                <w:color w:val="000000" w:themeColor="text1"/>
                <w:sz w:val="20"/>
                <w:szCs w:val="20"/>
              </w:rPr>
              <w:t xml:space="preserve">Component 2:  Technology </w:t>
            </w:r>
            <w:r w:rsidR="00BC246A">
              <w:rPr>
                <w:color w:val="000000" w:themeColor="text1"/>
                <w:sz w:val="20"/>
                <w:szCs w:val="20"/>
              </w:rPr>
              <w:t>transfer technical assistance (</w:t>
            </w:r>
            <w:r w:rsidRPr="00AD76AF">
              <w:rPr>
                <w:color w:val="000000" w:themeColor="text1"/>
                <w:sz w:val="20"/>
                <w:szCs w:val="20"/>
              </w:rPr>
              <w:t>TA</w:t>
            </w:r>
            <w:r w:rsidR="00BC246A">
              <w:rPr>
                <w:color w:val="000000" w:themeColor="text1"/>
                <w:sz w:val="20"/>
                <w:szCs w:val="20"/>
              </w:rPr>
              <w:t>)</w:t>
            </w:r>
            <w:r w:rsidRPr="00AD76AF">
              <w:rPr>
                <w:color w:val="000000" w:themeColor="text1"/>
                <w:sz w:val="20"/>
                <w:szCs w:val="20"/>
              </w:rPr>
              <w:t>;</w:t>
            </w:r>
          </w:p>
          <w:p w14:paraId="378DA378" w14:textId="5BDE220F" w:rsidR="00623BF6" w:rsidRPr="00AD76AF" w:rsidRDefault="00623BF6" w:rsidP="00623BF6">
            <w:pPr>
              <w:pStyle w:val="ListParagraph"/>
              <w:numPr>
                <w:ilvl w:val="0"/>
                <w:numId w:val="34"/>
              </w:numPr>
              <w:rPr>
                <w:color w:val="000000" w:themeColor="text1"/>
                <w:sz w:val="20"/>
                <w:szCs w:val="20"/>
              </w:rPr>
            </w:pPr>
            <w:r w:rsidRPr="00AD76AF">
              <w:rPr>
                <w:color w:val="000000" w:themeColor="text1"/>
                <w:sz w:val="20"/>
                <w:szCs w:val="20"/>
              </w:rPr>
              <w:t>Compon</w:t>
            </w:r>
            <w:r w:rsidR="00BC246A">
              <w:rPr>
                <w:color w:val="000000" w:themeColor="text1"/>
                <w:sz w:val="20"/>
                <w:szCs w:val="20"/>
              </w:rPr>
              <w:t>ent 3: two – Financing pilots (</w:t>
            </w:r>
            <w:r w:rsidR="00BC246A" w:rsidRPr="00AD76AF">
              <w:rPr>
                <w:color w:val="000000" w:themeColor="text1"/>
                <w:sz w:val="20"/>
                <w:szCs w:val="20"/>
              </w:rPr>
              <w:t>Inv</w:t>
            </w:r>
            <w:r w:rsidR="00BC246A">
              <w:rPr>
                <w:color w:val="000000" w:themeColor="text1"/>
                <w:sz w:val="20"/>
                <w:szCs w:val="20"/>
              </w:rPr>
              <w:t>estments)</w:t>
            </w:r>
            <w:r w:rsidRPr="00AD76AF">
              <w:rPr>
                <w:color w:val="000000" w:themeColor="text1"/>
                <w:sz w:val="20"/>
                <w:szCs w:val="20"/>
              </w:rPr>
              <w:t xml:space="preserve">.  </w:t>
            </w:r>
          </w:p>
          <w:p w14:paraId="4FC504CA" w14:textId="77777777" w:rsidR="00623BF6" w:rsidRPr="00AD76AF" w:rsidRDefault="00623BF6" w:rsidP="00623BF6">
            <w:pPr>
              <w:rPr>
                <w:color w:val="000000" w:themeColor="text1"/>
                <w:sz w:val="20"/>
                <w:szCs w:val="20"/>
              </w:rPr>
            </w:pPr>
          </w:p>
          <w:p w14:paraId="54559D30" w14:textId="0EE8C4D3" w:rsidR="00623BF6" w:rsidRPr="00AD76AF" w:rsidRDefault="00623BF6" w:rsidP="00623BF6">
            <w:pPr>
              <w:rPr>
                <w:color w:val="000000" w:themeColor="text1"/>
                <w:sz w:val="20"/>
                <w:szCs w:val="20"/>
              </w:rPr>
            </w:pPr>
            <w:r w:rsidRPr="00AD76AF">
              <w:rPr>
                <w:color w:val="000000" w:themeColor="text1"/>
                <w:sz w:val="20"/>
                <w:szCs w:val="20"/>
              </w:rPr>
              <w:t xml:space="preserve">The FINTECC </w:t>
            </w:r>
            <w:r w:rsidR="00C807B3">
              <w:rPr>
                <w:color w:val="000000" w:themeColor="text1"/>
                <w:sz w:val="20"/>
                <w:szCs w:val="20"/>
              </w:rPr>
              <w:t>Project</w:t>
            </w:r>
            <w:r w:rsidRPr="00AD76AF">
              <w:rPr>
                <w:color w:val="000000" w:themeColor="text1"/>
                <w:sz w:val="20"/>
                <w:szCs w:val="20"/>
              </w:rPr>
              <w:t xml:space="preserve"> applies a result based financing mechanism, whereby funds are disbursed to beneficiaries upon delivery of results. Funds are therefore allocated / committed to companies upfront but only disbursed at a later stage. </w:t>
            </w:r>
          </w:p>
          <w:p w14:paraId="737C122D" w14:textId="77777777" w:rsidR="00623BF6" w:rsidRPr="00AD76AF" w:rsidRDefault="00623BF6" w:rsidP="00623BF6">
            <w:pPr>
              <w:rPr>
                <w:sz w:val="20"/>
                <w:szCs w:val="20"/>
                <w:u w:val="single"/>
              </w:rPr>
            </w:pPr>
          </w:p>
          <w:p w14:paraId="79D23D15" w14:textId="12D39AA9" w:rsidR="00623BF6" w:rsidRPr="00AD76AF" w:rsidRDefault="00623BF6" w:rsidP="00623BF6">
            <w:pPr>
              <w:rPr>
                <w:color w:val="000000" w:themeColor="text1"/>
                <w:sz w:val="20"/>
                <w:szCs w:val="20"/>
              </w:rPr>
            </w:pPr>
            <w:r w:rsidRPr="00AD76AF">
              <w:rPr>
                <w:b/>
                <w:color w:val="000000" w:themeColor="text1"/>
                <w:sz w:val="20"/>
                <w:szCs w:val="20"/>
              </w:rPr>
              <w:t>Mid-term Review</w:t>
            </w:r>
            <w:r w:rsidRPr="00AD76AF">
              <w:rPr>
                <w:color w:val="000000" w:themeColor="text1"/>
                <w:sz w:val="20"/>
                <w:szCs w:val="20"/>
              </w:rPr>
              <w:t xml:space="preserve">: The project MTR was completed in June 2017, which </w:t>
            </w:r>
            <w:r w:rsidR="007C62BF">
              <w:rPr>
                <w:color w:val="000000" w:themeColor="text1"/>
                <w:sz w:val="20"/>
                <w:szCs w:val="20"/>
              </w:rPr>
              <w:t>amongst other</w:t>
            </w:r>
            <w:r w:rsidRPr="00AD76AF">
              <w:rPr>
                <w:color w:val="000000" w:themeColor="text1"/>
                <w:sz w:val="20"/>
                <w:szCs w:val="20"/>
              </w:rPr>
              <w:t xml:space="preserve"> recommended amendments to the design of the project and results framework, to adapt to the current circumstances and increase the </w:t>
            </w:r>
            <w:r w:rsidR="00C807B3">
              <w:rPr>
                <w:color w:val="000000" w:themeColor="text1"/>
                <w:sz w:val="20"/>
                <w:szCs w:val="20"/>
              </w:rPr>
              <w:t>Project</w:t>
            </w:r>
            <w:r w:rsidRPr="00AD76AF">
              <w:rPr>
                <w:color w:val="000000" w:themeColor="text1"/>
                <w:sz w:val="20"/>
                <w:szCs w:val="20"/>
              </w:rPr>
              <w:t xml:space="preserve"> impacts. These included revising some result framework targets to more measurable ones, assessing impact of technology transfer networks through surveys of their members, reassessment of adaptation targets.</w:t>
            </w:r>
          </w:p>
          <w:p w14:paraId="117E4EAF" w14:textId="77777777" w:rsidR="00623BF6" w:rsidRPr="00AD76AF" w:rsidRDefault="00623BF6" w:rsidP="00623BF6">
            <w:pPr>
              <w:rPr>
                <w:sz w:val="20"/>
                <w:u w:val="single"/>
              </w:rPr>
            </w:pPr>
          </w:p>
        </w:tc>
      </w:tr>
    </w:tbl>
    <w:p w14:paraId="019ACF89" w14:textId="77777777" w:rsidR="00D05D1C" w:rsidRPr="00AD76AF" w:rsidRDefault="00D05D1C">
      <w:pPr>
        <w:rPr>
          <w:b/>
        </w:rPr>
      </w:pPr>
      <w:r w:rsidRPr="00AD76AF">
        <w:rPr>
          <w:b/>
        </w:rPr>
        <w:br w:type="page"/>
      </w:r>
    </w:p>
    <w:p w14:paraId="39DB4872" w14:textId="20052CF7" w:rsidR="00E80505" w:rsidRPr="00AD76AF" w:rsidRDefault="002E7742" w:rsidP="00617A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2060"/>
        <w:spacing w:after="0"/>
        <w:rPr>
          <w:b/>
        </w:rPr>
      </w:pPr>
      <w:r w:rsidRPr="00AD76AF">
        <w:rPr>
          <w:b/>
        </w:rPr>
        <w:lastRenderedPageBreak/>
        <w:t xml:space="preserve">Section 2: Information on </w:t>
      </w:r>
      <w:r w:rsidR="00BE1456" w:rsidRPr="00AD76AF">
        <w:rPr>
          <w:b/>
        </w:rPr>
        <w:t>progress</w:t>
      </w:r>
      <w:r w:rsidRPr="00AD76AF">
        <w:rPr>
          <w:b/>
        </w:rPr>
        <w:t>, challenges and outcomes on project implementation activities</w:t>
      </w:r>
    </w:p>
    <w:tbl>
      <w:tblPr>
        <w:tblStyle w:val="TableGrid"/>
        <w:tblW w:w="0" w:type="auto"/>
        <w:tblLook w:val="04A0" w:firstRow="1" w:lastRow="0" w:firstColumn="1" w:lastColumn="0" w:noHBand="0" w:noVBand="1"/>
      </w:tblPr>
      <w:tblGrid>
        <w:gridCol w:w="9242"/>
      </w:tblGrid>
      <w:tr w:rsidR="002E7742" w:rsidRPr="00AD76AF" w14:paraId="70CF3E41" w14:textId="77777777" w:rsidTr="00D87BF3">
        <w:tc>
          <w:tcPr>
            <w:tcW w:w="9242" w:type="dxa"/>
            <w:shd w:val="clear" w:color="auto" w:fill="0070C0"/>
          </w:tcPr>
          <w:p w14:paraId="2C771E39" w14:textId="77777777" w:rsidR="002E7742" w:rsidRPr="00AD76AF" w:rsidRDefault="002E7742" w:rsidP="002E7742">
            <w:pPr>
              <w:rPr>
                <w:b/>
              </w:rPr>
            </w:pPr>
            <w:r w:rsidRPr="00AD76AF">
              <w:rPr>
                <w:b/>
                <w:color w:val="FFFFFF" w:themeColor="background1"/>
              </w:rPr>
              <w:t>2.1 Progress on Implementation Activities</w:t>
            </w:r>
          </w:p>
        </w:tc>
      </w:tr>
      <w:tr w:rsidR="00D87BF3" w:rsidRPr="00AD76AF" w14:paraId="134DB007" w14:textId="77777777" w:rsidTr="005D71D0">
        <w:trPr>
          <w:trHeight w:val="509"/>
        </w:trPr>
        <w:tc>
          <w:tcPr>
            <w:tcW w:w="9242" w:type="dxa"/>
          </w:tcPr>
          <w:p w14:paraId="0F470078" w14:textId="5ECC19B0" w:rsidR="00536A92" w:rsidRPr="00AD76AF" w:rsidRDefault="00AF5D62" w:rsidP="00536A92">
            <w:pPr>
              <w:spacing w:after="120"/>
              <w:rPr>
                <w:rFonts w:cs="Arial"/>
                <w:sz w:val="20"/>
                <w:szCs w:val="20"/>
              </w:rPr>
            </w:pPr>
            <w:r w:rsidRPr="00AD76AF">
              <w:rPr>
                <w:rFonts w:cs="Arial"/>
                <w:b/>
                <w:sz w:val="20"/>
                <w:szCs w:val="20"/>
              </w:rPr>
              <w:t>Overall p</w:t>
            </w:r>
            <w:r w:rsidR="003F53D2" w:rsidRPr="00AD76AF">
              <w:rPr>
                <w:rFonts w:cs="Arial"/>
                <w:b/>
                <w:sz w:val="20"/>
                <w:szCs w:val="20"/>
              </w:rPr>
              <w:t>rogress:</w:t>
            </w:r>
            <w:r w:rsidRPr="00AD76AF">
              <w:rPr>
                <w:rFonts w:cs="Arial"/>
                <w:b/>
                <w:sz w:val="20"/>
                <w:szCs w:val="20"/>
              </w:rPr>
              <w:t xml:space="preserve"> </w:t>
            </w:r>
            <w:r w:rsidR="00536A92" w:rsidRPr="00AD76AF">
              <w:rPr>
                <w:rFonts w:cs="Arial"/>
                <w:sz w:val="20"/>
                <w:szCs w:val="20"/>
              </w:rPr>
              <w:t xml:space="preserve">The FINTECC </w:t>
            </w:r>
            <w:r w:rsidR="00C807B3">
              <w:rPr>
                <w:rFonts w:cs="Arial"/>
                <w:sz w:val="20"/>
                <w:szCs w:val="20"/>
              </w:rPr>
              <w:t>Project</w:t>
            </w:r>
            <w:r w:rsidR="00536A92" w:rsidRPr="00AD76AF">
              <w:rPr>
                <w:rFonts w:cs="Arial"/>
                <w:sz w:val="20"/>
                <w:szCs w:val="20"/>
              </w:rPr>
              <w:t xml:space="preserve"> is a well-known facility in the region where it is operational. </w:t>
            </w:r>
            <w:r w:rsidRPr="00AD76AF">
              <w:rPr>
                <w:rFonts w:cs="Arial"/>
                <w:sz w:val="20"/>
                <w:szCs w:val="20"/>
              </w:rPr>
              <w:t>EBRD b</w:t>
            </w:r>
            <w:r w:rsidR="00103A56" w:rsidRPr="00AD76AF">
              <w:rPr>
                <w:rFonts w:cs="Arial"/>
                <w:sz w:val="20"/>
                <w:szCs w:val="20"/>
              </w:rPr>
              <w:t xml:space="preserve">ankers and clients know about the support that they can get and actively approach the EBRD to develop eligible projects. </w:t>
            </w:r>
            <w:r w:rsidR="0068509A" w:rsidRPr="00AD76AF">
              <w:rPr>
                <w:rFonts w:cs="Arial"/>
                <w:sz w:val="20"/>
                <w:szCs w:val="20"/>
              </w:rPr>
              <w:t xml:space="preserve">Around 65% of the investment grants have been </w:t>
            </w:r>
            <w:r w:rsidR="004E5C18" w:rsidRPr="00AD76AF">
              <w:rPr>
                <w:rFonts w:cs="Arial"/>
                <w:sz w:val="20"/>
                <w:szCs w:val="20"/>
              </w:rPr>
              <w:t>used (committed and disbursed)</w:t>
            </w:r>
            <w:r w:rsidR="0068509A" w:rsidRPr="00AD76AF">
              <w:rPr>
                <w:rFonts w:cs="Arial"/>
                <w:sz w:val="20"/>
                <w:szCs w:val="20"/>
              </w:rPr>
              <w:t xml:space="preserve"> so far across 25 projects, with demonstration effect happening across the</w:t>
            </w:r>
            <w:r w:rsidR="003F53D2" w:rsidRPr="00AD76AF">
              <w:rPr>
                <w:rFonts w:cs="Arial"/>
                <w:sz w:val="20"/>
                <w:szCs w:val="20"/>
              </w:rPr>
              <w:t xml:space="preserve"> entire</w:t>
            </w:r>
            <w:r w:rsidR="0068509A" w:rsidRPr="00AD76AF">
              <w:rPr>
                <w:rFonts w:cs="Arial"/>
                <w:sz w:val="20"/>
                <w:szCs w:val="20"/>
              </w:rPr>
              <w:t xml:space="preserve"> region where the </w:t>
            </w:r>
            <w:r w:rsidR="00C807B3">
              <w:rPr>
                <w:rFonts w:cs="Arial"/>
                <w:sz w:val="20"/>
                <w:szCs w:val="20"/>
              </w:rPr>
              <w:t>Project</w:t>
            </w:r>
            <w:r w:rsidR="0068509A" w:rsidRPr="00AD76AF">
              <w:rPr>
                <w:rFonts w:cs="Arial"/>
                <w:sz w:val="20"/>
                <w:szCs w:val="20"/>
              </w:rPr>
              <w:t xml:space="preserve"> is active.</w:t>
            </w:r>
            <w:r w:rsidRPr="00AD76AF">
              <w:rPr>
                <w:rFonts w:cs="Arial"/>
                <w:sz w:val="20"/>
                <w:szCs w:val="20"/>
              </w:rPr>
              <w:t xml:space="preserve"> The projects signed so far are expected to deliver around 305 tCO</w:t>
            </w:r>
            <w:r w:rsidRPr="00AD76AF">
              <w:rPr>
                <w:rFonts w:cs="Arial"/>
                <w:sz w:val="20"/>
                <w:szCs w:val="20"/>
                <w:vertAlign w:val="subscript"/>
              </w:rPr>
              <w:t>2</w:t>
            </w:r>
            <w:r w:rsidRPr="00AD76AF">
              <w:rPr>
                <w:rFonts w:cs="Arial"/>
                <w:sz w:val="20"/>
                <w:szCs w:val="20"/>
              </w:rPr>
              <w:t xml:space="preserve"> in lifetime GHG emission reductions, or </w:t>
            </w:r>
            <w:r w:rsidR="008C05BC">
              <w:rPr>
                <w:rFonts w:cs="Arial"/>
                <w:sz w:val="20"/>
                <w:szCs w:val="20"/>
              </w:rPr>
              <w:t>56</w:t>
            </w:r>
            <w:r w:rsidRPr="00AD76AF">
              <w:rPr>
                <w:rFonts w:cs="Arial"/>
                <w:sz w:val="20"/>
                <w:szCs w:val="20"/>
              </w:rPr>
              <w:t xml:space="preserve">% of the </w:t>
            </w:r>
            <w:r w:rsidR="00C807B3">
              <w:rPr>
                <w:rFonts w:cs="Arial"/>
                <w:sz w:val="20"/>
                <w:szCs w:val="20"/>
              </w:rPr>
              <w:t>Project</w:t>
            </w:r>
            <w:r w:rsidRPr="00AD76AF">
              <w:rPr>
                <w:rFonts w:cs="Arial"/>
                <w:sz w:val="20"/>
                <w:szCs w:val="20"/>
              </w:rPr>
              <w:t xml:space="preserve">’s overall mitigation objective.  </w:t>
            </w:r>
          </w:p>
          <w:p w14:paraId="7C2A0A09" w14:textId="77777777" w:rsidR="00AF5D62" w:rsidRPr="00AD76AF" w:rsidRDefault="00AF5D62" w:rsidP="00AF5D62">
            <w:pPr>
              <w:spacing w:after="120"/>
              <w:rPr>
                <w:rFonts w:cs="Arial"/>
                <w:sz w:val="20"/>
                <w:szCs w:val="20"/>
              </w:rPr>
            </w:pPr>
            <w:r w:rsidRPr="00AD76AF">
              <w:rPr>
                <w:rFonts w:cs="Arial"/>
                <w:b/>
                <w:sz w:val="20"/>
                <w:szCs w:val="20"/>
              </w:rPr>
              <w:t>Progress in the reporting period</w:t>
            </w:r>
            <w:r w:rsidRPr="00AD76AF">
              <w:rPr>
                <w:rFonts w:cs="Arial"/>
                <w:sz w:val="20"/>
                <w:szCs w:val="20"/>
              </w:rPr>
              <w:t xml:space="preserve">: </w:t>
            </w:r>
          </w:p>
          <w:p w14:paraId="31E9B91C" w14:textId="2F8FE439" w:rsidR="00536A92" w:rsidRPr="00AD76AF" w:rsidRDefault="00103A56" w:rsidP="00612E35">
            <w:pPr>
              <w:pStyle w:val="ListParagraph"/>
              <w:numPr>
                <w:ilvl w:val="0"/>
                <w:numId w:val="24"/>
              </w:numPr>
              <w:spacing w:after="120"/>
              <w:rPr>
                <w:rFonts w:cs="Arial"/>
                <w:sz w:val="20"/>
                <w:szCs w:val="20"/>
              </w:rPr>
            </w:pPr>
            <w:r w:rsidRPr="00AD76AF">
              <w:rPr>
                <w:rFonts w:cs="Arial"/>
                <w:sz w:val="20"/>
                <w:szCs w:val="20"/>
              </w:rPr>
              <w:t xml:space="preserve">A new priority </w:t>
            </w:r>
            <w:r w:rsidR="003F53D2" w:rsidRPr="00AD76AF">
              <w:rPr>
                <w:rFonts w:cs="Arial"/>
                <w:sz w:val="20"/>
                <w:szCs w:val="20"/>
              </w:rPr>
              <w:t xml:space="preserve">to support SMEs to uptake climate technologies </w:t>
            </w:r>
            <w:r w:rsidR="0068509A" w:rsidRPr="00AD76AF">
              <w:rPr>
                <w:rFonts w:cs="Arial"/>
                <w:sz w:val="20"/>
                <w:szCs w:val="20"/>
              </w:rPr>
              <w:t xml:space="preserve">emerged during the implementation of the FINTECC </w:t>
            </w:r>
            <w:r w:rsidR="00C807B3">
              <w:rPr>
                <w:rFonts w:cs="Arial"/>
                <w:sz w:val="20"/>
                <w:szCs w:val="20"/>
              </w:rPr>
              <w:t>Project</w:t>
            </w:r>
            <w:r w:rsidR="003F53D2" w:rsidRPr="00AD76AF">
              <w:rPr>
                <w:rFonts w:cs="Arial"/>
                <w:sz w:val="20"/>
                <w:szCs w:val="20"/>
              </w:rPr>
              <w:t>. SMEs</w:t>
            </w:r>
            <w:r w:rsidRPr="00AD76AF">
              <w:rPr>
                <w:rFonts w:cs="Arial"/>
                <w:sz w:val="20"/>
                <w:szCs w:val="20"/>
              </w:rPr>
              <w:t xml:space="preserve"> are largely present in the region where the FINTECC </w:t>
            </w:r>
            <w:r w:rsidR="00C807B3">
              <w:rPr>
                <w:rFonts w:cs="Arial"/>
                <w:sz w:val="20"/>
                <w:szCs w:val="20"/>
              </w:rPr>
              <w:t>Project</w:t>
            </w:r>
            <w:r w:rsidRPr="00AD76AF">
              <w:rPr>
                <w:rFonts w:cs="Arial"/>
                <w:sz w:val="20"/>
                <w:szCs w:val="20"/>
              </w:rPr>
              <w:t xml:space="preserve"> is active</w:t>
            </w:r>
            <w:r w:rsidR="003F53D2" w:rsidRPr="00AD76AF">
              <w:rPr>
                <w:rFonts w:cs="Arial"/>
                <w:sz w:val="20"/>
                <w:szCs w:val="20"/>
              </w:rPr>
              <w:t>, and have the potential to provide significant programmatic impact</w:t>
            </w:r>
            <w:r w:rsidRPr="00AD76AF">
              <w:rPr>
                <w:rFonts w:cs="Arial"/>
                <w:sz w:val="20"/>
                <w:szCs w:val="20"/>
              </w:rPr>
              <w:t>. Companies of small size face</w:t>
            </w:r>
            <w:r w:rsidR="003F53D2" w:rsidRPr="00AD76AF">
              <w:rPr>
                <w:rFonts w:cs="Arial"/>
                <w:sz w:val="20"/>
                <w:szCs w:val="20"/>
              </w:rPr>
              <w:t xml:space="preserve"> </w:t>
            </w:r>
            <w:r w:rsidRPr="00AD76AF">
              <w:rPr>
                <w:rFonts w:cs="Arial"/>
                <w:sz w:val="20"/>
                <w:szCs w:val="20"/>
              </w:rPr>
              <w:t>specific barriers in the adoption of climate technologies and need dedicated support different from the one that affect larger corporations. For this reason, the EBRD will pilot some transac</w:t>
            </w:r>
            <w:r w:rsidR="0068509A" w:rsidRPr="00AD76AF">
              <w:rPr>
                <w:rFonts w:cs="Arial"/>
                <w:sz w:val="20"/>
                <w:szCs w:val="20"/>
              </w:rPr>
              <w:t>tio</w:t>
            </w:r>
            <w:r w:rsidRPr="00AD76AF">
              <w:rPr>
                <w:rFonts w:cs="Arial"/>
                <w:sz w:val="20"/>
                <w:szCs w:val="20"/>
              </w:rPr>
              <w:t>n</w:t>
            </w:r>
            <w:r w:rsidR="0068509A" w:rsidRPr="00AD76AF">
              <w:rPr>
                <w:rFonts w:cs="Arial"/>
                <w:sz w:val="20"/>
                <w:szCs w:val="20"/>
              </w:rPr>
              <w:t>s with SMEs in which FINTECC grant support will be tailored considering specifically the barriers in place for SMEs and the</w:t>
            </w:r>
            <w:r w:rsidR="0076381F" w:rsidRPr="00AD76AF">
              <w:rPr>
                <w:rFonts w:cs="Arial"/>
                <w:sz w:val="20"/>
                <w:szCs w:val="20"/>
              </w:rPr>
              <w:t>ir capacity of innovate,</w:t>
            </w:r>
            <w:r w:rsidR="0068509A" w:rsidRPr="00AD76AF">
              <w:rPr>
                <w:rFonts w:cs="Arial"/>
                <w:sz w:val="20"/>
                <w:szCs w:val="20"/>
              </w:rPr>
              <w:t xml:space="preserve"> and will provide updates to the GEF in the next reporting period. </w:t>
            </w:r>
            <w:r w:rsidRPr="00AD76AF">
              <w:rPr>
                <w:rFonts w:cs="Arial"/>
                <w:sz w:val="20"/>
                <w:szCs w:val="20"/>
              </w:rPr>
              <w:t xml:space="preserve"> </w:t>
            </w:r>
          </w:p>
          <w:p w14:paraId="6E6F45E1" w14:textId="6E2DB77F" w:rsidR="00956155" w:rsidRPr="00AD76AF" w:rsidRDefault="00956155" w:rsidP="00612E35">
            <w:pPr>
              <w:pStyle w:val="ListParagraph"/>
              <w:numPr>
                <w:ilvl w:val="0"/>
                <w:numId w:val="24"/>
              </w:numPr>
              <w:spacing w:after="120"/>
              <w:rPr>
                <w:rFonts w:cs="Arial"/>
                <w:sz w:val="20"/>
                <w:szCs w:val="20"/>
              </w:rPr>
            </w:pPr>
            <w:r w:rsidRPr="00AD76AF">
              <w:rPr>
                <w:rFonts w:cs="Arial"/>
                <w:sz w:val="20"/>
                <w:szCs w:val="20"/>
              </w:rPr>
              <w:t xml:space="preserve">In addition, the </w:t>
            </w:r>
            <w:r w:rsidR="00AF5D62" w:rsidRPr="00AD76AF">
              <w:rPr>
                <w:rFonts w:cs="Arial"/>
                <w:sz w:val="20"/>
                <w:szCs w:val="20"/>
              </w:rPr>
              <w:t xml:space="preserve">EBRD </w:t>
            </w:r>
            <w:r w:rsidRPr="00AD76AF">
              <w:rPr>
                <w:rFonts w:cs="Arial"/>
                <w:sz w:val="20"/>
                <w:szCs w:val="20"/>
              </w:rPr>
              <w:t>is developing a market penetration methodology based on trade data. The methodology should allow to monitor the diffusion of green technologies over time</w:t>
            </w:r>
            <w:r w:rsidR="003F53D2" w:rsidRPr="00AD76AF">
              <w:rPr>
                <w:rFonts w:cs="Arial"/>
                <w:sz w:val="20"/>
                <w:szCs w:val="20"/>
              </w:rPr>
              <w:t>. This</w:t>
            </w:r>
            <w:r w:rsidRPr="00AD76AF">
              <w:rPr>
                <w:rFonts w:cs="Arial"/>
                <w:sz w:val="20"/>
                <w:szCs w:val="20"/>
              </w:rPr>
              <w:t xml:space="preserve"> is being tested in several countries. The pilot studies are </w:t>
            </w:r>
            <w:r w:rsidR="003F53D2" w:rsidRPr="00AD76AF">
              <w:rPr>
                <w:rFonts w:cs="Arial"/>
                <w:sz w:val="20"/>
                <w:szCs w:val="20"/>
              </w:rPr>
              <w:t xml:space="preserve">due to start </w:t>
            </w:r>
            <w:r w:rsidRPr="00AD76AF">
              <w:rPr>
                <w:rFonts w:cs="Arial"/>
                <w:sz w:val="20"/>
                <w:szCs w:val="20"/>
              </w:rPr>
              <w:t>in September 2019 and the EBRD will be able to report on them by next reporting period.</w:t>
            </w:r>
          </w:p>
          <w:p w14:paraId="3DD8B95B" w14:textId="77777777" w:rsidR="0062184F" w:rsidRPr="00AD76AF" w:rsidRDefault="0062184F" w:rsidP="0062184F">
            <w:pPr>
              <w:pStyle w:val="ListParagraph"/>
              <w:numPr>
                <w:ilvl w:val="0"/>
                <w:numId w:val="24"/>
              </w:numPr>
              <w:spacing w:after="120"/>
              <w:rPr>
                <w:rFonts w:cs="Arial"/>
                <w:sz w:val="20"/>
                <w:szCs w:val="20"/>
              </w:rPr>
            </w:pPr>
            <w:r w:rsidRPr="00AD76AF">
              <w:rPr>
                <w:rFonts w:cs="Arial"/>
                <w:sz w:val="20"/>
                <w:szCs w:val="20"/>
              </w:rPr>
              <w:t>In the current reporting period, $2.1m of</w:t>
            </w:r>
            <w:r w:rsidR="00B37137" w:rsidRPr="00AD76AF">
              <w:rPr>
                <w:rFonts w:cs="Arial"/>
                <w:sz w:val="20"/>
                <w:szCs w:val="20"/>
              </w:rPr>
              <w:t xml:space="preserve"> investment support was committed and disbursed</w:t>
            </w:r>
            <w:r w:rsidRPr="00AD76AF">
              <w:rPr>
                <w:rFonts w:cs="Arial"/>
                <w:sz w:val="20"/>
                <w:szCs w:val="20"/>
              </w:rPr>
              <w:t xml:space="preserve"> $150k of TA support using GEF funds. </w:t>
            </w:r>
          </w:p>
          <w:p w14:paraId="3E4BB233" w14:textId="3E331A6D" w:rsidR="00D87BF3" w:rsidRPr="00AD76AF" w:rsidRDefault="00536A92" w:rsidP="00612E35">
            <w:pPr>
              <w:pStyle w:val="ListParagraph"/>
              <w:numPr>
                <w:ilvl w:val="0"/>
                <w:numId w:val="24"/>
              </w:numPr>
              <w:spacing w:after="120"/>
              <w:rPr>
                <w:rFonts w:cs="Arial"/>
                <w:sz w:val="20"/>
                <w:szCs w:val="20"/>
              </w:rPr>
            </w:pPr>
            <w:r w:rsidRPr="00AD76AF">
              <w:rPr>
                <w:rFonts w:cs="Arial"/>
                <w:sz w:val="20"/>
                <w:szCs w:val="20"/>
              </w:rPr>
              <w:t xml:space="preserve">Given </w:t>
            </w:r>
            <w:r w:rsidR="00C807B3">
              <w:rPr>
                <w:rFonts w:cs="Arial"/>
                <w:sz w:val="20"/>
                <w:szCs w:val="20"/>
              </w:rPr>
              <w:t xml:space="preserve">the overall </w:t>
            </w:r>
            <w:r w:rsidRPr="00AD76AF">
              <w:rPr>
                <w:rFonts w:cs="Arial"/>
                <w:sz w:val="20"/>
                <w:szCs w:val="20"/>
              </w:rPr>
              <w:t>FINTECC success</w:t>
            </w:r>
            <w:r w:rsidR="00C807B3">
              <w:rPr>
                <w:rFonts w:cs="Arial"/>
                <w:sz w:val="20"/>
                <w:szCs w:val="20"/>
              </w:rPr>
              <w:t xml:space="preserve"> this year</w:t>
            </w:r>
            <w:r w:rsidRPr="00AD76AF">
              <w:rPr>
                <w:rFonts w:cs="Arial"/>
                <w:sz w:val="20"/>
                <w:szCs w:val="20"/>
              </w:rPr>
              <w:t xml:space="preserve">, in 2019 it has been possible to secure new donor funds from the European Union that will complement the existing GEF and SSF funding and allow the </w:t>
            </w:r>
            <w:r w:rsidR="00C807B3">
              <w:rPr>
                <w:rFonts w:cs="Arial"/>
                <w:sz w:val="20"/>
                <w:szCs w:val="20"/>
              </w:rPr>
              <w:t>Project</w:t>
            </w:r>
            <w:r w:rsidRPr="00AD76AF">
              <w:rPr>
                <w:rFonts w:cs="Arial"/>
                <w:sz w:val="20"/>
                <w:szCs w:val="20"/>
              </w:rPr>
              <w:t xml:space="preserve"> to extend its duration and focus.</w:t>
            </w:r>
            <w:r w:rsidR="0076381F" w:rsidRPr="00AD76AF">
              <w:rPr>
                <w:rFonts w:cs="Arial"/>
                <w:sz w:val="20"/>
                <w:szCs w:val="20"/>
              </w:rPr>
              <w:t xml:space="preserve"> Funds are expected to be active in 2020 and the EBRD will provide updates in next reporting period.</w:t>
            </w:r>
          </w:p>
          <w:p w14:paraId="790015B5" w14:textId="77777777" w:rsidR="00D87BF3" w:rsidRPr="00AD76AF" w:rsidRDefault="00D87BF3" w:rsidP="00701D9F">
            <w:pPr>
              <w:rPr>
                <w:b/>
                <w:i/>
                <w:sz w:val="20"/>
              </w:rPr>
            </w:pPr>
          </w:p>
        </w:tc>
      </w:tr>
    </w:tbl>
    <w:p w14:paraId="2666A5FB" w14:textId="77777777" w:rsidR="00B67E98" w:rsidRPr="00AD76AF" w:rsidRDefault="00B67E98" w:rsidP="002E7742">
      <w:pPr>
        <w:sectPr w:rsidR="00B67E98" w:rsidRPr="00AD76AF" w:rsidSect="00695402">
          <w:pgSz w:w="11906" w:h="16838"/>
          <w:pgMar w:top="1135" w:right="1440" w:bottom="1440" w:left="1440" w:header="708" w:footer="708" w:gutter="0"/>
          <w:pgNumType w:start="1"/>
          <w:cols w:space="708"/>
          <w:docGrid w:linePitch="360"/>
        </w:sectPr>
      </w:pPr>
    </w:p>
    <w:tbl>
      <w:tblPr>
        <w:tblStyle w:val="TableGrid"/>
        <w:tblW w:w="0" w:type="auto"/>
        <w:tblLook w:val="04A0" w:firstRow="1" w:lastRow="0" w:firstColumn="1" w:lastColumn="0" w:noHBand="0" w:noVBand="1"/>
      </w:tblPr>
      <w:tblGrid>
        <w:gridCol w:w="2310"/>
        <w:gridCol w:w="2311"/>
        <w:gridCol w:w="2310"/>
        <w:gridCol w:w="2311"/>
      </w:tblGrid>
      <w:tr w:rsidR="00513DFC" w:rsidRPr="00AD76AF" w14:paraId="00480474" w14:textId="77777777" w:rsidTr="005666C9">
        <w:tc>
          <w:tcPr>
            <w:tcW w:w="9242" w:type="dxa"/>
            <w:gridSpan w:val="4"/>
            <w:shd w:val="clear" w:color="auto" w:fill="0070C0"/>
          </w:tcPr>
          <w:p w14:paraId="4AFA52D1" w14:textId="77777777" w:rsidR="00513DFC" w:rsidRPr="00AD76AF" w:rsidRDefault="00513DFC" w:rsidP="005666C9">
            <w:pPr>
              <w:rPr>
                <w:b/>
              </w:rPr>
            </w:pPr>
            <w:r w:rsidRPr="00AD76AF">
              <w:rPr>
                <w:b/>
                <w:color w:val="FFFFFF" w:themeColor="background1"/>
              </w:rPr>
              <w:lastRenderedPageBreak/>
              <w:t>2.2 Outcomes of  Implementation</w:t>
            </w:r>
          </w:p>
        </w:tc>
      </w:tr>
      <w:tr w:rsidR="00513DFC" w:rsidRPr="00AD76AF" w14:paraId="6AC91020" w14:textId="77777777" w:rsidTr="005666C9">
        <w:tc>
          <w:tcPr>
            <w:tcW w:w="2310" w:type="dxa"/>
            <w:shd w:val="clear" w:color="auto" w:fill="F2F2F2" w:themeFill="background1" w:themeFillShade="F2"/>
            <w:vAlign w:val="center"/>
          </w:tcPr>
          <w:p w14:paraId="65DF9886" w14:textId="77777777" w:rsidR="00513DFC" w:rsidRPr="00AD76AF" w:rsidRDefault="00513DFC" w:rsidP="005666C9">
            <w:pPr>
              <w:rPr>
                <w:b/>
                <w:i/>
                <w:sz w:val="18"/>
                <w:szCs w:val="18"/>
              </w:rPr>
            </w:pPr>
            <w:r w:rsidRPr="00AD76AF">
              <w:rPr>
                <w:rFonts w:cs="Arial"/>
                <w:b/>
                <w:sz w:val="18"/>
                <w:szCs w:val="18"/>
              </w:rPr>
              <w:t>Current FY Development Objective (DO) Rating</w:t>
            </w:r>
          </w:p>
        </w:tc>
        <w:sdt>
          <w:sdtPr>
            <w:rPr>
              <w:color w:val="000000" w:themeColor="text1"/>
              <w:sz w:val="20"/>
            </w:rPr>
            <w:id w:val="-32957567"/>
            <w:dropDownList>
              <w:listItem w:value="Choose an item."/>
              <w:listItem w:displayText="Highly Satisfactory" w:value="Highly Satisfactory"/>
              <w:listItem w:displayText="Satisfactory" w:value="Satisfactory"/>
              <w:listItem w:displayText="Marginally Satisfactory" w:value="Marginally Satisfactory"/>
              <w:listItem w:displayText="Marginally Unsatisfactory" w:value="Marginally Unsatisfactory"/>
              <w:listItem w:displayText="Unsatisfactory" w:value="Unsatisfactory"/>
              <w:listItem w:displayText="Highly Unsatisfactory" w:value="Highly Unsatisfactory"/>
              <w:listItem w:displayText="Not Rated" w:value="Not Rated"/>
              <w:listItem w:displayText="Unknown" w:value="Unknown"/>
            </w:dropDownList>
          </w:sdtPr>
          <w:sdtEndPr/>
          <w:sdtContent>
            <w:tc>
              <w:tcPr>
                <w:tcW w:w="2311" w:type="dxa"/>
                <w:shd w:val="clear" w:color="auto" w:fill="FFFFFF" w:themeFill="background1"/>
              </w:tcPr>
              <w:p w14:paraId="4DEB4A56" w14:textId="57024EDA" w:rsidR="00513DFC" w:rsidRPr="00AD76AF" w:rsidRDefault="008C05BC" w:rsidP="005666C9">
                <w:pPr>
                  <w:rPr>
                    <w:i/>
                    <w:color w:val="000000" w:themeColor="text1"/>
                    <w:sz w:val="18"/>
                    <w:szCs w:val="18"/>
                  </w:rPr>
                </w:pPr>
                <w:r>
                  <w:rPr>
                    <w:color w:val="000000" w:themeColor="text1"/>
                    <w:sz w:val="20"/>
                  </w:rPr>
                  <w:t>Satisfactory</w:t>
                </w:r>
              </w:p>
            </w:tc>
          </w:sdtContent>
        </w:sdt>
        <w:tc>
          <w:tcPr>
            <w:tcW w:w="2310" w:type="dxa"/>
            <w:shd w:val="clear" w:color="auto" w:fill="F2F2F2" w:themeFill="background1" w:themeFillShade="F2"/>
            <w:vAlign w:val="center"/>
          </w:tcPr>
          <w:p w14:paraId="568F9E8E" w14:textId="77777777" w:rsidR="00530769" w:rsidRPr="00AD76AF" w:rsidRDefault="00513DFC" w:rsidP="005666C9">
            <w:pPr>
              <w:rPr>
                <w:rFonts w:cs="Arial"/>
                <w:b/>
                <w:sz w:val="18"/>
                <w:szCs w:val="18"/>
              </w:rPr>
            </w:pPr>
            <w:r w:rsidRPr="00AD76AF">
              <w:rPr>
                <w:rFonts w:cs="Arial"/>
                <w:b/>
                <w:sz w:val="18"/>
                <w:szCs w:val="18"/>
              </w:rPr>
              <w:t>Previous FY Development Objective (DO) Rating</w:t>
            </w:r>
          </w:p>
        </w:tc>
        <w:sdt>
          <w:sdtPr>
            <w:rPr>
              <w:sz w:val="20"/>
            </w:rPr>
            <w:id w:val="1691482002"/>
            <w:dropDownList>
              <w:listItem w:value="Choose an item."/>
              <w:listItem w:displayText="Highly Satisfactory" w:value="Highly Satisfactory"/>
              <w:listItem w:displayText="Satisfactory" w:value="Satisfactory"/>
              <w:listItem w:displayText="Marginally Satisfactory" w:value="Marginally Satisfactory"/>
              <w:listItem w:displayText="Marginally Unsatisfactory" w:value="Marginally Unsatisfactory"/>
              <w:listItem w:displayText="Unsatisfactory" w:value="Unsatisfactory"/>
              <w:listItem w:displayText="Highly Unsatisfactory" w:value="Highly Unsatisfactory"/>
              <w:listItem w:displayText="Not Rated" w:value="Not Rated"/>
              <w:listItem w:displayText="Unknown" w:value="Unknown"/>
            </w:dropDownList>
          </w:sdtPr>
          <w:sdtEndPr/>
          <w:sdtContent>
            <w:tc>
              <w:tcPr>
                <w:tcW w:w="2311" w:type="dxa"/>
                <w:shd w:val="clear" w:color="auto" w:fill="FFFFFF" w:themeFill="background1"/>
              </w:tcPr>
              <w:p w14:paraId="5EC29B34" w14:textId="77777777" w:rsidR="00513DFC" w:rsidRPr="00AD76AF" w:rsidRDefault="00D26892" w:rsidP="005666C9">
                <w:pPr>
                  <w:rPr>
                    <w:i/>
                    <w:sz w:val="20"/>
                  </w:rPr>
                </w:pPr>
                <w:r>
                  <w:rPr>
                    <w:sz w:val="20"/>
                  </w:rPr>
                  <w:t>Satisfactory</w:t>
                </w:r>
              </w:p>
            </w:tc>
          </w:sdtContent>
        </w:sdt>
      </w:tr>
      <w:tr w:rsidR="00513DFC" w:rsidRPr="00AD76AF" w14:paraId="232E4AF2" w14:textId="77777777" w:rsidTr="005666C9">
        <w:tc>
          <w:tcPr>
            <w:tcW w:w="2310" w:type="dxa"/>
            <w:shd w:val="clear" w:color="auto" w:fill="F2F2F2" w:themeFill="background1" w:themeFillShade="F2"/>
          </w:tcPr>
          <w:p w14:paraId="3E7C8D97" w14:textId="77777777" w:rsidR="00513DFC" w:rsidRPr="00AD76AF" w:rsidRDefault="00513DFC" w:rsidP="005666C9">
            <w:pPr>
              <w:rPr>
                <w:b/>
                <w:i/>
                <w:sz w:val="18"/>
                <w:szCs w:val="18"/>
              </w:rPr>
            </w:pPr>
            <w:r w:rsidRPr="00AD76AF">
              <w:rPr>
                <w:rFonts w:cs="Arial"/>
                <w:b/>
                <w:sz w:val="18"/>
                <w:szCs w:val="18"/>
              </w:rPr>
              <w:t>Current FY Implementation Progress (IP) Rating</w:t>
            </w:r>
          </w:p>
        </w:tc>
        <w:sdt>
          <w:sdtPr>
            <w:rPr>
              <w:color w:val="000000" w:themeColor="text1"/>
              <w:sz w:val="20"/>
            </w:rPr>
            <w:id w:val="306358230"/>
            <w:dropDownList>
              <w:listItem w:value="Choose an item."/>
              <w:listItem w:displayText="Highly Satisfactory" w:value="Highly Satisfactory"/>
              <w:listItem w:displayText="Satisfactory" w:value="Satisfactory"/>
              <w:listItem w:displayText="Marginally Satisfactory" w:value="Marginally Satisfactory"/>
              <w:listItem w:displayText="Marginally Unsatisfactory" w:value="Marginally Unsatisfactory"/>
              <w:listItem w:displayText="Unsatisfactory" w:value="Unsatisfactory"/>
              <w:listItem w:displayText="Highly Unsatisfactory" w:value="Highly Unsatisfactory"/>
              <w:listItem w:displayText="Not Rated" w:value="Not Rated"/>
              <w:listItem w:displayText="Unknown" w:value="Unknown"/>
            </w:dropDownList>
          </w:sdtPr>
          <w:sdtEndPr/>
          <w:sdtContent>
            <w:tc>
              <w:tcPr>
                <w:tcW w:w="2311" w:type="dxa"/>
                <w:shd w:val="clear" w:color="auto" w:fill="FFFFFF" w:themeFill="background1"/>
              </w:tcPr>
              <w:p w14:paraId="4B50BE55" w14:textId="77777777" w:rsidR="00513DFC" w:rsidRPr="00AD76AF" w:rsidRDefault="00D26892" w:rsidP="005666C9">
                <w:pPr>
                  <w:rPr>
                    <w:i/>
                    <w:color w:val="000000" w:themeColor="text1"/>
                    <w:sz w:val="18"/>
                    <w:szCs w:val="18"/>
                  </w:rPr>
                </w:pPr>
                <w:r>
                  <w:rPr>
                    <w:color w:val="000000" w:themeColor="text1"/>
                    <w:sz w:val="20"/>
                  </w:rPr>
                  <w:t>Satisfactory</w:t>
                </w:r>
              </w:p>
            </w:tc>
          </w:sdtContent>
        </w:sdt>
        <w:tc>
          <w:tcPr>
            <w:tcW w:w="2310" w:type="dxa"/>
            <w:shd w:val="clear" w:color="auto" w:fill="F2F2F2" w:themeFill="background1" w:themeFillShade="F2"/>
          </w:tcPr>
          <w:p w14:paraId="73A2B2F8" w14:textId="77777777" w:rsidR="00530769" w:rsidRPr="00AD76AF" w:rsidRDefault="00513DFC" w:rsidP="005666C9">
            <w:pPr>
              <w:rPr>
                <w:b/>
                <w:i/>
                <w:sz w:val="18"/>
                <w:szCs w:val="18"/>
              </w:rPr>
            </w:pPr>
            <w:r w:rsidRPr="00AD76AF">
              <w:rPr>
                <w:b/>
                <w:i/>
                <w:sz w:val="18"/>
                <w:szCs w:val="18"/>
              </w:rPr>
              <w:t>Previous FY Implementation Progress (IP) Rating</w:t>
            </w:r>
          </w:p>
        </w:tc>
        <w:sdt>
          <w:sdtPr>
            <w:rPr>
              <w:sz w:val="20"/>
            </w:rPr>
            <w:id w:val="789708749"/>
            <w:dropDownList>
              <w:listItem w:value="Choose an item."/>
              <w:listItem w:displayText="Highly Satisfactory" w:value="Highly Satisfactory"/>
              <w:listItem w:displayText="Satisfactory" w:value="Satisfactory"/>
              <w:listItem w:displayText="Marginally Satisfactory" w:value="Marginally Satisfactory"/>
              <w:listItem w:displayText="Marginally Unsatisfactory" w:value="Marginally Unsatisfactory"/>
              <w:listItem w:displayText="Unsatisfactory" w:value="Unsatisfactory"/>
              <w:listItem w:displayText="Highly Unsatisfactory" w:value="Highly Unsatisfactory"/>
              <w:listItem w:displayText="Not Rated" w:value="Not Rated"/>
              <w:listItem w:displayText="Unknown" w:value="Unknown"/>
            </w:dropDownList>
          </w:sdtPr>
          <w:sdtEndPr/>
          <w:sdtContent>
            <w:tc>
              <w:tcPr>
                <w:tcW w:w="2311" w:type="dxa"/>
                <w:shd w:val="clear" w:color="auto" w:fill="FFFFFF" w:themeFill="background1"/>
              </w:tcPr>
              <w:p w14:paraId="43B8CA1B" w14:textId="77777777" w:rsidR="00513DFC" w:rsidRPr="00AD76AF" w:rsidRDefault="00D26892" w:rsidP="005666C9">
                <w:pPr>
                  <w:rPr>
                    <w:i/>
                    <w:sz w:val="20"/>
                  </w:rPr>
                </w:pPr>
                <w:r>
                  <w:rPr>
                    <w:sz w:val="20"/>
                  </w:rPr>
                  <w:t>Satisfactory</w:t>
                </w:r>
              </w:p>
            </w:tc>
          </w:sdtContent>
        </w:sdt>
      </w:tr>
      <w:tr w:rsidR="00513DFC" w:rsidRPr="00AD76AF" w14:paraId="64C39801" w14:textId="77777777" w:rsidTr="005666C9">
        <w:tc>
          <w:tcPr>
            <w:tcW w:w="9242" w:type="dxa"/>
            <w:gridSpan w:val="4"/>
          </w:tcPr>
          <w:p w14:paraId="41FDF749" w14:textId="77777777" w:rsidR="00513DFC" w:rsidRPr="00AD76AF" w:rsidRDefault="00513DFC" w:rsidP="005666C9">
            <w:pPr>
              <w:rPr>
                <w:i/>
                <w:sz w:val="20"/>
              </w:rPr>
            </w:pPr>
          </w:p>
          <w:p w14:paraId="47048F66" w14:textId="77777777" w:rsidR="005666C9" w:rsidRPr="00AD76AF" w:rsidRDefault="005666C9" w:rsidP="005666C9">
            <w:pPr>
              <w:rPr>
                <w:b/>
                <w:i/>
                <w:sz w:val="20"/>
              </w:rPr>
            </w:pPr>
            <w:r w:rsidRPr="00AD76AF">
              <w:rPr>
                <w:b/>
                <w:i/>
                <w:sz w:val="20"/>
              </w:rPr>
              <w:t>Explanation of DO Rating:</w:t>
            </w:r>
          </w:p>
          <w:p w14:paraId="5E5DEE67" w14:textId="0E97D9D7" w:rsidR="005666C9" w:rsidRPr="00AD76AF" w:rsidRDefault="006542FC" w:rsidP="00BB7176">
            <w:pPr>
              <w:spacing w:after="120"/>
              <w:rPr>
                <w:rFonts w:cs="Arial"/>
                <w:sz w:val="20"/>
                <w:szCs w:val="20"/>
              </w:rPr>
            </w:pPr>
            <w:r w:rsidRPr="00AD76AF">
              <w:rPr>
                <w:rFonts w:cs="Arial"/>
                <w:sz w:val="20"/>
                <w:szCs w:val="20"/>
              </w:rPr>
              <w:t xml:space="preserve">The </w:t>
            </w:r>
            <w:r w:rsidR="00C807B3">
              <w:rPr>
                <w:rFonts w:cs="Arial"/>
                <w:sz w:val="20"/>
                <w:szCs w:val="20"/>
              </w:rPr>
              <w:t>Project</w:t>
            </w:r>
            <w:r w:rsidR="00C807B3" w:rsidRPr="00AD76AF">
              <w:rPr>
                <w:rFonts w:cs="Arial"/>
                <w:sz w:val="20"/>
                <w:szCs w:val="20"/>
              </w:rPr>
              <w:t xml:space="preserve"> </w:t>
            </w:r>
            <w:r w:rsidR="008E3FB7" w:rsidRPr="00AD76AF">
              <w:rPr>
                <w:rFonts w:cs="Arial"/>
                <w:sz w:val="20"/>
                <w:szCs w:val="20"/>
              </w:rPr>
              <w:t xml:space="preserve">has been progressing toward its </w:t>
            </w:r>
            <w:r w:rsidRPr="00AD76AF">
              <w:rPr>
                <w:rFonts w:cs="Arial"/>
                <w:sz w:val="20"/>
                <w:szCs w:val="20"/>
              </w:rPr>
              <w:t xml:space="preserve">objective </w:t>
            </w:r>
            <w:r w:rsidR="008E3FB7" w:rsidRPr="00AD76AF">
              <w:rPr>
                <w:rFonts w:cs="Arial"/>
                <w:sz w:val="20"/>
                <w:szCs w:val="20"/>
              </w:rPr>
              <w:t xml:space="preserve">of accelerating </w:t>
            </w:r>
            <w:r w:rsidRPr="00AD76AF">
              <w:rPr>
                <w:rFonts w:cs="Arial"/>
                <w:sz w:val="20"/>
                <w:szCs w:val="20"/>
              </w:rPr>
              <w:t>investments in climate change mitigation and adaptation technologies in EBRD’s Early Transition Countries (ETCs)</w:t>
            </w:r>
            <w:r w:rsidR="008E3FB7" w:rsidRPr="00AD76AF">
              <w:rPr>
                <w:rFonts w:cs="Arial"/>
                <w:sz w:val="20"/>
                <w:szCs w:val="20"/>
              </w:rPr>
              <w:t xml:space="preserve"> with </w:t>
            </w:r>
            <w:r w:rsidRPr="00AD76AF">
              <w:rPr>
                <w:rFonts w:cs="Arial"/>
                <w:sz w:val="20"/>
                <w:szCs w:val="20"/>
              </w:rPr>
              <w:t>2</w:t>
            </w:r>
            <w:r w:rsidR="00560FD8" w:rsidRPr="00AD76AF">
              <w:rPr>
                <w:rFonts w:cs="Arial"/>
                <w:sz w:val="20"/>
                <w:szCs w:val="20"/>
              </w:rPr>
              <w:t>5</w:t>
            </w:r>
            <w:r w:rsidRPr="00AD76AF">
              <w:rPr>
                <w:rFonts w:cs="Arial"/>
                <w:sz w:val="20"/>
                <w:szCs w:val="20"/>
              </w:rPr>
              <w:t xml:space="preserve"> investments </w:t>
            </w:r>
            <w:r w:rsidR="008E3FB7" w:rsidRPr="00AD76AF">
              <w:rPr>
                <w:rFonts w:cs="Arial"/>
                <w:sz w:val="20"/>
                <w:szCs w:val="20"/>
              </w:rPr>
              <w:t xml:space="preserve">supported </w:t>
            </w:r>
            <w:r w:rsidRPr="00AD76AF">
              <w:rPr>
                <w:rFonts w:cs="Arial"/>
                <w:sz w:val="20"/>
                <w:szCs w:val="20"/>
              </w:rPr>
              <w:t>as of end of the current reporting period</w:t>
            </w:r>
            <w:r w:rsidR="008E3FB7" w:rsidRPr="00AD76AF">
              <w:rPr>
                <w:rFonts w:cs="Arial"/>
                <w:sz w:val="20"/>
                <w:szCs w:val="20"/>
              </w:rPr>
              <w:t xml:space="preserve">; </w:t>
            </w:r>
            <w:r w:rsidRPr="00AD76AF">
              <w:rPr>
                <w:rFonts w:cs="Arial"/>
                <w:sz w:val="20"/>
                <w:szCs w:val="20"/>
              </w:rPr>
              <w:t xml:space="preserve">a significant proportion of businesses supported have embedded climate change considerations into management practices by installing Energy Management Systems and resource efficient technologies. </w:t>
            </w:r>
            <w:r w:rsidR="003F53D2" w:rsidRPr="00AD76AF">
              <w:rPr>
                <w:rFonts w:cs="Arial"/>
                <w:sz w:val="20"/>
                <w:szCs w:val="20"/>
              </w:rPr>
              <w:t>In addition, c</w:t>
            </w:r>
            <w:r w:rsidRPr="00AD76AF">
              <w:rPr>
                <w:rFonts w:cs="Arial"/>
                <w:sz w:val="20"/>
                <w:szCs w:val="20"/>
              </w:rPr>
              <w:t>ontinuous progress is being made in creating an enabling environment for climate technology transfer through policy dialogue and market assessment methodologies.</w:t>
            </w:r>
            <w:r w:rsidR="008E3FB7" w:rsidRPr="00AD76AF">
              <w:rPr>
                <w:rFonts w:cs="Arial"/>
                <w:sz w:val="20"/>
                <w:szCs w:val="20"/>
              </w:rPr>
              <w:t xml:space="preserve"> However, full achievement of the above objective, as measured by the extent of GHG emission reductions generated by the projects supported, </w:t>
            </w:r>
            <w:r w:rsidR="008C05BC">
              <w:rPr>
                <w:rFonts w:cs="Arial"/>
                <w:sz w:val="20"/>
                <w:szCs w:val="20"/>
              </w:rPr>
              <w:t>could</w:t>
            </w:r>
            <w:r w:rsidR="00391103" w:rsidRPr="00AD76AF">
              <w:rPr>
                <w:rFonts w:cs="Arial"/>
                <w:sz w:val="20"/>
                <w:szCs w:val="20"/>
              </w:rPr>
              <w:t xml:space="preserve"> be </w:t>
            </w:r>
            <w:r w:rsidR="008E3FB7" w:rsidRPr="00AD76AF">
              <w:rPr>
                <w:rFonts w:cs="Arial"/>
                <w:sz w:val="20"/>
                <w:szCs w:val="20"/>
              </w:rPr>
              <w:t>challenging</w:t>
            </w:r>
            <w:r w:rsidR="008C05BC">
              <w:rPr>
                <w:rFonts w:cs="Arial"/>
                <w:sz w:val="20"/>
                <w:szCs w:val="20"/>
              </w:rPr>
              <w:t xml:space="preserve"> and will continue to be tracked </w:t>
            </w:r>
            <w:r w:rsidR="00390F7C">
              <w:rPr>
                <w:rFonts w:cs="Arial"/>
                <w:sz w:val="20"/>
                <w:szCs w:val="20"/>
              </w:rPr>
              <w:t>closely</w:t>
            </w:r>
            <w:r w:rsidR="008E3FB7" w:rsidRPr="00AD76AF">
              <w:rPr>
                <w:rFonts w:cs="Arial"/>
                <w:sz w:val="20"/>
                <w:szCs w:val="20"/>
              </w:rPr>
              <w:t xml:space="preserve">: the 25 projects supported so far with 65% of GEF grant funding are expected to deliver around </w:t>
            </w:r>
            <w:r w:rsidR="00C807B3">
              <w:rPr>
                <w:rFonts w:cs="Arial"/>
                <w:sz w:val="20"/>
                <w:szCs w:val="20"/>
              </w:rPr>
              <w:t>56</w:t>
            </w:r>
            <w:r w:rsidR="008E3FB7" w:rsidRPr="00AD76AF">
              <w:rPr>
                <w:rFonts w:cs="Arial"/>
                <w:sz w:val="20"/>
                <w:szCs w:val="20"/>
              </w:rPr>
              <w:t>% of the overall mitigation target over 10-year lifetime. The</w:t>
            </w:r>
            <w:r w:rsidR="008C05BC">
              <w:rPr>
                <w:rFonts w:cs="Arial"/>
                <w:sz w:val="20"/>
                <w:szCs w:val="20"/>
              </w:rPr>
              <w:t xml:space="preserve"> slightly</w:t>
            </w:r>
            <w:r w:rsidR="008E3FB7" w:rsidRPr="00AD76AF">
              <w:rPr>
                <w:rFonts w:cs="Arial"/>
                <w:sz w:val="20"/>
                <w:szCs w:val="20"/>
              </w:rPr>
              <w:t xml:space="preserve"> lower than expected mitigation impact is likely to result from </w:t>
            </w:r>
            <w:r w:rsidR="00391103" w:rsidRPr="00AD76AF">
              <w:rPr>
                <w:rFonts w:cs="Arial"/>
                <w:sz w:val="20"/>
                <w:szCs w:val="20"/>
              </w:rPr>
              <w:t xml:space="preserve">the </w:t>
            </w:r>
            <w:r w:rsidRPr="00AD76AF">
              <w:rPr>
                <w:rFonts w:cs="Arial"/>
                <w:sz w:val="20"/>
                <w:szCs w:val="20"/>
              </w:rPr>
              <w:t xml:space="preserve">persistent adverse economic conditions in ETC countries, which have the highest potential for GHG reductions.  </w:t>
            </w:r>
            <w:r w:rsidR="00B67E98" w:rsidRPr="00AD76AF">
              <w:rPr>
                <w:rFonts w:cs="Arial"/>
                <w:sz w:val="20"/>
                <w:szCs w:val="20"/>
              </w:rPr>
              <w:t>In addition, progress towards adaptation objectives is difficult, despite efforts from the team.</w:t>
            </w:r>
            <w:r w:rsidR="00391103" w:rsidRPr="00AD76AF">
              <w:rPr>
                <w:rFonts w:cs="Arial"/>
                <w:sz w:val="20"/>
                <w:szCs w:val="20"/>
              </w:rPr>
              <w:t xml:space="preserve"> </w:t>
            </w:r>
          </w:p>
          <w:p w14:paraId="548FC061" w14:textId="77777777" w:rsidR="005666C9" w:rsidRPr="00AD76AF" w:rsidRDefault="005666C9" w:rsidP="005666C9">
            <w:pPr>
              <w:rPr>
                <w:b/>
                <w:i/>
                <w:sz w:val="20"/>
              </w:rPr>
            </w:pPr>
          </w:p>
          <w:p w14:paraId="29D436B6" w14:textId="77777777" w:rsidR="005666C9" w:rsidRPr="00AD76AF" w:rsidRDefault="005666C9" w:rsidP="005666C9">
            <w:pPr>
              <w:rPr>
                <w:b/>
                <w:i/>
                <w:sz w:val="20"/>
              </w:rPr>
            </w:pPr>
            <w:r w:rsidRPr="00AD76AF">
              <w:rPr>
                <w:b/>
                <w:i/>
                <w:sz w:val="20"/>
              </w:rPr>
              <w:t>Explanation of IP Rating:</w:t>
            </w:r>
          </w:p>
          <w:p w14:paraId="4D43A60E" w14:textId="6D713225" w:rsidR="006542FC" w:rsidRPr="00AD76AF" w:rsidRDefault="006542FC" w:rsidP="006542FC">
            <w:pPr>
              <w:spacing w:after="120"/>
              <w:rPr>
                <w:rFonts w:cs="Arial"/>
                <w:sz w:val="20"/>
                <w:szCs w:val="20"/>
              </w:rPr>
            </w:pPr>
            <w:r w:rsidRPr="00AD76AF">
              <w:rPr>
                <w:rFonts w:cs="Arial"/>
                <w:sz w:val="20"/>
                <w:szCs w:val="20"/>
              </w:rPr>
              <w:t xml:space="preserve">The </w:t>
            </w:r>
            <w:r w:rsidR="00C807B3">
              <w:rPr>
                <w:rFonts w:cs="Arial"/>
                <w:sz w:val="20"/>
                <w:szCs w:val="20"/>
              </w:rPr>
              <w:t>Project</w:t>
            </w:r>
            <w:r w:rsidR="00391103" w:rsidRPr="00AD76AF">
              <w:rPr>
                <w:rFonts w:cs="Arial"/>
                <w:sz w:val="20"/>
                <w:szCs w:val="20"/>
              </w:rPr>
              <w:t xml:space="preserve"> </w:t>
            </w:r>
            <w:r w:rsidRPr="00AD76AF">
              <w:rPr>
                <w:rFonts w:cs="Arial"/>
                <w:sz w:val="20"/>
                <w:szCs w:val="20"/>
              </w:rPr>
              <w:t>implementation progress rating is satisfactory with many of the output-level indicators either having been achieved or planned for achieve</w:t>
            </w:r>
            <w:r w:rsidR="003F53D2" w:rsidRPr="00AD76AF">
              <w:rPr>
                <w:rFonts w:cs="Arial"/>
                <w:sz w:val="20"/>
                <w:szCs w:val="20"/>
              </w:rPr>
              <w:t xml:space="preserve">ment within the </w:t>
            </w:r>
            <w:r w:rsidR="00C807B3">
              <w:rPr>
                <w:rFonts w:cs="Arial"/>
                <w:sz w:val="20"/>
                <w:szCs w:val="20"/>
              </w:rPr>
              <w:t>Project</w:t>
            </w:r>
            <w:r w:rsidR="00391103" w:rsidRPr="00AD76AF" w:rsidDel="00391103">
              <w:rPr>
                <w:rFonts w:cs="Arial"/>
                <w:sz w:val="20"/>
                <w:szCs w:val="20"/>
              </w:rPr>
              <w:t xml:space="preserve"> </w:t>
            </w:r>
            <w:r w:rsidR="003F53D2" w:rsidRPr="00AD76AF">
              <w:rPr>
                <w:rFonts w:cs="Arial"/>
                <w:sz w:val="20"/>
                <w:szCs w:val="20"/>
              </w:rPr>
              <w:t>lifetime</w:t>
            </w:r>
            <w:r w:rsidRPr="00AD76AF">
              <w:rPr>
                <w:rFonts w:cs="Arial"/>
                <w:sz w:val="20"/>
                <w:szCs w:val="20"/>
              </w:rPr>
              <w:t xml:space="preserve">. </w:t>
            </w:r>
          </w:p>
          <w:p w14:paraId="37463AEE" w14:textId="77777777" w:rsidR="00A70969" w:rsidRPr="00AD76AF" w:rsidRDefault="006542FC" w:rsidP="006542FC">
            <w:pPr>
              <w:pStyle w:val="ListParagraph"/>
              <w:numPr>
                <w:ilvl w:val="0"/>
                <w:numId w:val="29"/>
              </w:numPr>
              <w:spacing w:after="120"/>
              <w:rPr>
                <w:rFonts w:cs="Arial"/>
                <w:sz w:val="20"/>
                <w:szCs w:val="20"/>
              </w:rPr>
            </w:pPr>
            <w:r w:rsidRPr="00AD76AF">
              <w:rPr>
                <w:rFonts w:cs="Arial"/>
                <w:sz w:val="20"/>
                <w:szCs w:val="20"/>
              </w:rPr>
              <w:t xml:space="preserve">Achieving the target </w:t>
            </w:r>
            <w:r w:rsidR="003F53D2" w:rsidRPr="00AD76AF">
              <w:rPr>
                <w:rFonts w:cs="Arial"/>
                <w:sz w:val="20"/>
                <w:szCs w:val="20"/>
              </w:rPr>
              <w:t>for adaptation projects is proving</w:t>
            </w:r>
            <w:r w:rsidRPr="00AD76AF">
              <w:rPr>
                <w:rFonts w:cs="Arial"/>
                <w:sz w:val="20"/>
                <w:szCs w:val="20"/>
              </w:rPr>
              <w:t xml:space="preserve"> challenging</w:t>
            </w:r>
            <w:r w:rsidR="003F53D2" w:rsidRPr="00AD76AF">
              <w:rPr>
                <w:rFonts w:cs="Arial"/>
                <w:sz w:val="20"/>
                <w:szCs w:val="20"/>
              </w:rPr>
              <w:t>. Adaptation</w:t>
            </w:r>
            <w:r w:rsidRPr="00AD76AF">
              <w:rPr>
                <w:rFonts w:cs="Arial"/>
                <w:sz w:val="20"/>
                <w:szCs w:val="20"/>
              </w:rPr>
              <w:t xml:space="preserve"> investments </w:t>
            </w:r>
            <w:r w:rsidR="003F53D2" w:rsidRPr="00AD76AF">
              <w:rPr>
                <w:rFonts w:cs="Arial"/>
                <w:sz w:val="20"/>
                <w:szCs w:val="20"/>
              </w:rPr>
              <w:t xml:space="preserve">are </w:t>
            </w:r>
            <w:r w:rsidR="00435CF1" w:rsidRPr="00AD76AF">
              <w:rPr>
                <w:rFonts w:cs="Arial"/>
                <w:sz w:val="20"/>
                <w:szCs w:val="20"/>
              </w:rPr>
              <w:t>often focused</w:t>
            </w:r>
            <w:r w:rsidR="003F53D2" w:rsidRPr="00AD76AF">
              <w:rPr>
                <w:rFonts w:cs="Arial"/>
                <w:sz w:val="20"/>
                <w:szCs w:val="20"/>
              </w:rPr>
              <w:t xml:space="preserve"> on </w:t>
            </w:r>
            <w:r w:rsidRPr="00AD76AF">
              <w:rPr>
                <w:rFonts w:cs="Arial"/>
                <w:sz w:val="20"/>
                <w:szCs w:val="20"/>
              </w:rPr>
              <w:t>water savings</w:t>
            </w:r>
            <w:r w:rsidR="003F53D2" w:rsidRPr="00AD76AF">
              <w:rPr>
                <w:rFonts w:cs="Arial"/>
                <w:sz w:val="20"/>
                <w:szCs w:val="20"/>
              </w:rPr>
              <w:t xml:space="preserve">. However, </w:t>
            </w:r>
            <w:r w:rsidRPr="00AD76AF">
              <w:rPr>
                <w:rFonts w:cs="Arial"/>
                <w:sz w:val="20"/>
                <w:szCs w:val="20"/>
              </w:rPr>
              <w:t>water is</w:t>
            </w:r>
            <w:r w:rsidR="003F53D2" w:rsidRPr="00AD76AF">
              <w:rPr>
                <w:rFonts w:cs="Arial"/>
                <w:sz w:val="20"/>
                <w:szCs w:val="20"/>
              </w:rPr>
              <w:t xml:space="preserve"> commonly</w:t>
            </w:r>
            <w:r w:rsidRPr="00AD76AF">
              <w:rPr>
                <w:rFonts w:cs="Arial"/>
                <w:sz w:val="20"/>
                <w:szCs w:val="20"/>
              </w:rPr>
              <w:t xml:space="preserve"> under-priced in FINTECC countries and investments in water technology are </w:t>
            </w:r>
            <w:r w:rsidR="003F53D2" w:rsidRPr="00AD76AF">
              <w:rPr>
                <w:rFonts w:cs="Arial"/>
                <w:sz w:val="20"/>
                <w:szCs w:val="20"/>
              </w:rPr>
              <w:t xml:space="preserve">unfortunately </w:t>
            </w:r>
            <w:r w:rsidRPr="00AD76AF">
              <w:rPr>
                <w:rFonts w:cs="Arial"/>
                <w:sz w:val="20"/>
                <w:szCs w:val="20"/>
              </w:rPr>
              <w:t xml:space="preserve">not considered a priority. </w:t>
            </w:r>
          </w:p>
          <w:p w14:paraId="1C4FA01E" w14:textId="4A5E1F44" w:rsidR="00513DFC" w:rsidRPr="00AD76AF" w:rsidRDefault="006542FC" w:rsidP="006542FC">
            <w:pPr>
              <w:pStyle w:val="ListParagraph"/>
              <w:numPr>
                <w:ilvl w:val="0"/>
                <w:numId w:val="29"/>
              </w:numPr>
              <w:spacing w:after="120"/>
              <w:rPr>
                <w:rFonts w:cs="Arial"/>
                <w:sz w:val="20"/>
                <w:szCs w:val="20"/>
              </w:rPr>
            </w:pPr>
            <w:r w:rsidRPr="00AD76AF">
              <w:rPr>
                <w:rFonts w:cs="Arial"/>
                <w:sz w:val="20"/>
                <w:szCs w:val="20"/>
              </w:rPr>
              <w:t xml:space="preserve">EBRD continues to explore opportunities to address these systemic pricing issues in countries supported by the FINTECC </w:t>
            </w:r>
            <w:r w:rsidR="00C807B3">
              <w:rPr>
                <w:rFonts w:cs="Arial"/>
                <w:sz w:val="20"/>
                <w:szCs w:val="20"/>
              </w:rPr>
              <w:t>Project</w:t>
            </w:r>
            <w:r w:rsidRPr="00AD76AF">
              <w:rPr>
                <w:rFonts w:cs="Arial"/>
                <w:sz w:val="20"/>
                <w:szCs w:val="20"/>
              </w:rPr>
              <w:t>.</w:t>
            </w:r>
          </w:p>
          <w:p w14:paraId="35BE68B4" w14:textId="77777777" w:rsidR="00513DFC" w:rsidRPr="00AD76AF" w:rsidRDefault="00513DFC" w:rsidP="005666C9">
            <w:pPr>
              <w:rPr>
                <w:b/>
                <w:i/>
                <w:sz w:val="20"/>
              </w:rPr>
            </w:pPr>
          </w:p>
        </w:tc>
      </w:tr>
    </w:tbl>
    <w:p w14:paraId="3EAB5DAB" w14:textId="77777777" w:rsidR="005666C9" w:rsidRPr="00AD76AF" w:rsidRDefault="005666C9" w:rsidP="002E7742">
      <w:pPr>
        <w:sectPr w:rsidR="005666C9" w:rsidRPr="00AD76AF" w:rsidSect="00695402">
          <w:pgSz w:w="11906" w:h="16838"/>
          <w:pgMar w:top="1135" w:right="1440" w:bottom="1440" w:left="1440" w:header="708" w:footer="708" w:gutter="0"/>
          <w:pgNumType w:start="1"/>
          <w:cols w:space="708"/>
          <w:docGrid w:linePitch="360"/>
        </w:sectPr>
      </w:pPr>
    </w:p>
    <w:p w14:paraId="4F3533E6" w14:textId="77777777" w:rsidR="00513DFC" w:rsidRPr="00AD76AF" w:rsidRDefault="005666C9" w:rsidP="002F1C2B">
      <w:pPr>
        <w:shd w:val="clear" w:color="auto" w:fill="C6D9F1" w:themeFill="text2" w:themeFillTint="33"/>
        <w:rPr>
          <w:rFonts w:ascii="Arial" w:eastAsia="Cambria" w:hAnsi="Arial" w:cs="Arial"/>
          <w:b/>
          <w:iCs/>
          <w:color w:val="000000" w:themeColor="text1"/>
          <w:sz w:val="20"/>
          <w:szCs w:val="20"/>
        </w:rPr>
      </w:pPr>
      <w:r w:rsidRPr="00AD76AF">
        <w:rPr>
          <w:rFonts w:ascii="Arial" w:eastAsia="Cambria" w:hAnsi="Arial" w:cs="Arial"/>
          <w:b/>
          <w:iCs/>
          <w:color w:val="000000" w:themeColor="text1"/>
          <w:sz w:val="20"/>
          <w:szCs w:val="20"/>
        </w:rPr>
        <w:lastRenderedPageBreak/>
        <w:t xml:space="preserve">Project Results Framework </w:t>
      </w:r>
      <w:r w:rsidR="00236E57" w:rsidRPr="00AD76AF">
        <w:rPr>
          <w:rFonts w:ascii="Arial" w:eastAsia="Cambria" w:hAnsi="Arial" w:cs="Arial"/>
          <w:b/>
          <w:iCs/>
          <w:color w:val="000000" w:themeColor="text1"/>
          <w:sz w:val="20"/>
          <w:szCs w:val="20"/>
        </w:rPr>
        <w:t>(Table1: Outcomes and table 2: Ou</w:t>
      </w:r>
      <w:r w:rsidR="00812DDF" w:rsidRPr="00AD76AF">
        <w:rPr>
          <w:rFonts w:ascii="Arial" w:eastAsia="Cambria" w:hAnsi="Arial" w:cs="Arial"/>
          <w:b/>
          <w:iCs/>
          <w:color w:val="000000" w:themeColor="text1"/>
          <w:sz w:val="20"/>
          <w:szCs w:val="20"/>
        </w:rPr>
        <w:t>t</w:t>
      </w:r>
      <w:r w:rsidR="00236E57" w:rsidRPr="00AD76AF">
        <w:rPr>
          <w:rFonts w:ascii="Arial" w:eastAsia="Cambria" w:hAnsi="Arial" w:cs="Arial"/>
          <w:b/>
          <w:iCs/>
          <w:color w:val="000000" w:themeColor="text1"/>
          <w:sz w:val="20"/>
          <w:szCs w:val="20"/>
        </w:rPr>
        <w:t>puts)</w:t>
      </w:r>
    </w:p>
    <w:p w14:paraId="4714E309" w14:textId="77777777" w:rsidR="00236E57" w:rsidRPr="00AD76AF" w:rsidRDefault="00236E57" w:rsidP="002E7742">
      <w:pPr>
        <w:rPr>
          <w:b/>
          <w:color w:val="000000" w:themeColor="text1"/>
        </w:rPr>
      </w:pPr>
      <w:r w:rsidRPr="00AD76AF">
        <w:rPr>
          <w:rFonts w:ascii="Arial" w:eastAsia="Cambria" w:hAnsi="Arial" w:cs="Arial"/>
          <w:b/>
          <w:iCs/>
          <w:color w:val="000000" w:themeColor="text1"/>
          <w:sz w:val="20"/>
          <w:szCs w:val="20"/>
        </w:rPr>
        <w:t>Table 1: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976"/>
        <w:gridCol w:w="3119"/>
        <w:gridCol w:w="3969"/>
        <w:gridCol w:w="955"/>
      </w:tblGrid>
      <w:tr w:rsidR="003663DE" w:rsidRPr="00AD76AF" w14:paraId="3AACAFFD" w14:textId="77777777" w:rsidTr="00D55B3A">
        <w:trPr>
          <w:tblHeader/>
        </w:trPr>
        <w:tc>
          <w:tcPr>
            <w:tcW w:w="3369" w:type="dxa"/>
            <w:shd w:val="clear" w:color="auto" w:fill="002060"/>
            <w:vAlign w:val="center"/>
          </w:tcPr>
          <w:p w14:paraId="07569A01" w14:textId="77777777" w:rsidR="003663DE" w:rsidRPr="00AD76AF" w:rsidRDefault="003663DE" w:rsidP="003663DE">
            <w:pPr>
              <w:pStyle w:val="TableHeading"/>
              <w:rPr>
                <w:rFonts w:asciiTheme="minorHAnsi" w:hAnsiTheme="minorHAnsi" w:cs="Arial"/>
                <w:bCs/>
                <w:i w:val="0"/>
                <w:sz w:val="20"/>
              </w:rPr>
            </w:pPr>
            <w:r w:rsidRPr="00AD76AF">
              <w:rPr>
                <w:rFonts w:asciiTheme="minorHAnsi" w:hAnsiTheme="minorHAnsi" w:cs="Arial"/>
                <w:bCs/>
                <w:i w:val="0"/>
                <w:sz w:val="20"/>
              </w:rPr>
              <w:t>Project Strategy</w:t>
            </w:r>
          </w:p>
        </w:tc>
        <w:tc>
          <w:tcPr>
            <w:tcW w:w="2976" w:type="dxa"/>
            <w:shd w:val="clear" w:color="auto" w:fill="002060"/>
            <w:vAlign w:val="center"/>
          </w:tcPr>
          <w:p w14:paraId="205EC1A7" w14:textId="77777777" w:rsidR="003663DE" w:rsidRPr="00AD76AF" w:rsidRDefault="003663DE" w:rsidP="003663DE">
            <w:pPr>
              <w:pStyle w:val="TableHeading"/>
              <w:rPr>
                <w:rFonts w:asciiTheme="minorHAnsi" w:hAnsiTheme="minorHAnsi" w:cs="Arial"/>
                <w:bCs/>
                <w:i w:val="0"/>
                <w:sz w:val="20"/>
              </w:rPr>
            </w:pPr>
            <w:r w:rsidRPr="00AD76AF">
              <w:rPr>
                <w:rFonts w:asciiTheme="minorHAnsi" w:hAnsiTheme="minorHAnsi" w:cs="Arial"/>
                <w:bCs/>
                <w:i w:val="0"/>
                <w:sz w:val="20"/>
              </w:rPr>
              <w:t>Objectively Verifiable Indicators</w:t>
            </w:r>
          </w:p>
        </w:tc>
        <w:tc>
          <w:tcPr>
            <w:tcW w:w="3119" w:type="dxa"/>
            <w:shd w:val="clear" w:color="auto" w:fill="002060"/>
            <w:vAlign w:val="center"/>
          </w:tcPr>
          <w:p w14:paraId="6E37DA5D" w14:textId="77777777" w:rsidR="003663DE" w:rsidRPr="00AD76AF" w:rsidRDefault="003663DE" w:rsidP="003663DE">
            <w:pPr>
              <w:pStyle w:val="TableHeading"/>
              <w:rPr>
                <w:rFonts w:asciiTheme="minorHAnsi" w:hAnsiTheme="minorHAnsi" w:cs="Arial"/>
                <w:bCs/>
                <w:i w:val="0"/>
                <w:sz w:val="20"/>
              </w:rPr>
            </w:pPr>
            <w:r w:rsidRPr="00AD76AF">
              <w:rPr>
                <w:rFonts w:asciiTheme="minorHAnsi" w:hAnsiTheme="minorHAnsi" w:cs="Arial"/>
                <w:i w:val="0"/>
                <w:sz w:val="20"/>
              </w:rPr>
              <w:t>Target (End of project)</w:t>
            </w:r>
          </w:p>
        </w:tc>
        <w:tc>
          <w:tcPr>
            <w:tcW w:w="3969" w:type="dxa"/>
            <w:shd w:val="clear" w:color="auto" w:fill="002060"/>
            <w:vAlign w:val="center"/>
          </w:tcPr>
          <w:p w14:paraId="6FC1128D" w14:textId="77777777" w:rsidR="003663DE" w:rsidRPr="00AD76AF" w:rsidRDefault="003663DE" w:rsidP="00812DDF">
            <w:pPr>
              <w:pStyle w:val="TableHeading"/>
              <w:rPr>
                <w:rFonts w:asciiTheme="minorHAnsi" w:hAnsiTheme="minorHAnsi" w:cs="Arial"/>
                <w:i w:val="0"/>
                <w:sz w:val="20"/>
              </w:rPr>
            </w:pPr>
            <w:r w:rsidRPr="00AD76AF">
              <w:rPr>
                <w:rFonts w:asciiTheme="minorHAnsi" w:hAnsiTheme="minorHAnsi" w:cs="Arial"/>
                <w:i w:val="0"/>
                <w:sz w:val="20"/>
              </w:rPr>
              <w:t xml:space="preserve">Progress </w:t>
            </w:r>
          </w:p>
        </w:tc>
        <w:tc>
          <w:tcPr>
            <w:tcW w:w="955" w:type="dxa"/>
            <w:shd w:val="clear" w:color="auto" w:fill="002060"/>
            <w:vAlign w:val="center"/>
          </w:tcPr>
          <w:p w14:paraId="5CF1934C" w14:textId="77777777" w:rsidR="003663DE" w:rsidRPr="00AD76AF" w:rsidRDefault="003663DE" w:rsidP="003663DE">
            <w:pPr>
              <w:pStyle w:val="TableHeading"/>
              <w:rPr>
                <w:rFonts w:asciiTheme="minorHAnsi" w:hAnsiTheme="minorHAnsi" w:cs="Arial"/>
                <w:i w:val="0"/>
                <w:sz w:val="20"/>
              </w:rPr>
            </w:pPr>
            <w:r w:rsidRPr="00AD76AF">
              <w:rPr>
                <w:rFonts w:asciiTheme="minorHAnsi" w:hAnsiTheme="minorHAnsi" w:cs="Arial"/>
                <w:i w:val="0"/>
                <w:sz w:val="20"/>
              </w:rPr>
              <w:t>Rating</w:t>
            </w:r>
          </w:p>
        </w:tc>
      </w:tr>
      <w:tr w:rsidR="003663DE" w:rsidRPr="00AD76AF" w14:paraId="4A871F43" w14:textId="77777777" w:rsidTr="00D55B3A">
        <w:trPr>
          <w:trHeight w:val="227"/>
        </w:trPr>
        <w:tc>
          <w:tcPr>
            <w:tcW w:w="3369" w:type="dxa"/>
            <w:shd w:val="pct25" w:color="auto" w:fill="auto"/>
          </w:tcPr>
          <w:p w14:paraId="0DE84D89" w14:textId="77777777" w:rsidR="003663DE" w:rsidRPr="00AD76AF" w:rsidRDefault="003663DE" w:rsidP="003663DE">
            <w:pPr>
              <w:spacing w:after="0" w:line="240" w:lineRule="auto"/>
              <w:rPr>
                <w:rFonts w:cs="Arial"/>
                <w:b/>
                <w:sz w:val="20"/>
                <w:szCs w:val="20"/>
              </w:rPr>
            </w:pPr>
            <w:r w:rsidRPr="00AD76AF">
              <w:rPr>
                <w:rFonts w:cs="Arial"/>
                <w:b/>
                <w:sz w:val="20"/>
                <w:szCs w:val="20"/>
              </w:rPr>
              <w:t>Impact</w:t>
            </w:r>
          </w:p>
        </w:tc>
        <w:tc>
          <w:tcPr>
            <w:tcW w:w="2976" w:type="dxa"/>
            <w:shd w:val="pct25" w:color="auto" w:fill="auto"/>
          </w:tcPr>
          <w:p w14:paraId="23F34555" w14:textId="77777777" w:rsidR="003663DE" w:rsidRPr="00AD76AF" w:rsidRDefault="003663DE" w:rsidP="003663DE">
            <w:pPr>
              <w:spacing w:after="0" w:line="240" w:lineRule="auto"/>
              <w:rPr>
                <w:rFonts w:cs="Arial"/>
                <w:b/>
                <w:sz w:val="20"/>
                <w:szCs w:val="20"/>
              </w:rPr>
            </w:pPr>
          </w:p>
        </w:tc>
        <w:tc>
          <w:tcPr>
            <w:tcW w:w="3119" w:type="dxa"/>
            <w:shd w:val="pct25" w:color="auto" w:fill="auto"/>
          </w:tcPr>
          <w:p w14:paraId="46B78912" w14:textId="77777777" w:rsidR="003663DE" w:rsidRPr="00AD76AF" w:rsidRDefault="003663DE" w:rsidP="003663DE">
            <w:pPr>
              <w:spacing w:after="0" w:line="240" w:lineRule="auto"/>
              <w:rPr>
                <w:rFonts w:cs="Arial"/>
                <w:b/>
                <w:sz w:val="20"/>
                <w:szCs w:val="20"/>
              </w:rPr>
            </w:pPr>
          </w:p>
        </w:tc>
        <w:tc>
          <w:tcPr>
            <w:tcW w:w="3969" w:type="dxa"/>
            <w:shd w:val="pct25" w:color="auto" w:fill="auto"/>
          </w:tcPr>
          <w:p w14:paraId="0A12646A" w14:textId="77777777" w:rsidR="003663DE" w:rsidRPr="00AD76AF" w:rsidRDefault="003663DE" w:rsidP="003663DE">
            <w:pPr>
              <w:spacing w:after="0" w:line="240" w:lineRule="auto"/>
              <w:rPr>
                <w:rFonts w:cs="Arial"/>
                <w:b/>
                <w:sz w:val="20"/>
                <w:szCs w:val="20"/>
              </w:rPr>
            </w:pPr>
          </w:p>
        </w:tc>
        <w:tc>
          <w:tcPr>
            <w:tcW w:w="955" w:type="dxa"/>
            <w:shd w:val="pct25" w:color="auto" w:fill="auto"/>
          </w:tcPr>
          <w:p w14:paraId="7EA2E70F" w14:textId="77777777" w:rsidR="003663DE" w:rsidRPr="00AD76AF" w:rsidRDefault="003663DE" w:rsidP="003663DE">
            <w:pPr>
              <w:spacing w:after="0" w:line="240" w:lineRule="auto"/>
              <w:rPr>
                <w:rFonts w:cs="Arial"/>
                <w:b/>
                <w:sz w:val="20"/>
                <w:szCs w:val="20"/>
              </w:rPr>
            </w:pPr>
          </w:p>
        </w:tc>
      </w:tr>
      <w:tr w:rsidR="006542FC" w:rsidRPr="00AD76AF" w14:paraId="39FFBB1B" w14:textId="77777777" w:rsidTr="00D55B3A">
        <w:tc>
          <w:tcPr>
            <w:tcW w:w="3369" w:type="dxa"/>
            <w:shd w:val="clear" w:color="auto" w:fill="auto"/>
          </w:tcPr>
          <w:p w14:paraId="3CC72E13" w14:textId="77777777" w:rsidR="006542FC" w:rsidRPr="00AD76AF" w:rsidRDefault="006542FC" w:rsidP="003663DE">
            <w:pPr>
              <w:pStyle w:val="NormalWeb"/>
              <w:spacing w:beforeLines="0" w:afterLines="0"/>
              <w:rPr>
                <w:rFonts w:asciiTheme="minorHAnsi" w:hAnsiTheme="minorHAnsi" w:cs="Arial"/>
                <w:lang w:val="en-GB"/>
              </w:rPr>
            </w:pPr>
            <w:r w:rsidRPr="00AD76AF">
              <w:rPr>
                <w:rFonts w:asciiTheme="minorHAnsi" w:hAnsiTheme="minorHAnsi" w:cs="Arial"/>
                <w:b/>
                <w:i/>
                <w:lang w:val="en-GB"/>
              </w:rPr>
              <w:t>Project Goal:</w:t>
            </w:r>
            <w:r w:rsidRPr="00AD76AF">
              <w:rPr>
                <w:rFonts w:asciiTheme="minorHAnsi" w:hAnsiTheme="minorHAnsi" w:cs="Arial"/>
                <w:lang w:val="en-GB"/>
              </w:rPr>
              <w:t xml:space="preserve"> Reduction of GHG emissions in the EBRD countries of operation and reduced vulnerability to the adverse impacts of climate change, including variability, at local, national and regional level.</w:t>
            </w:r>
          </w:p>
        </w:tc>
        <w:tc>
          <w:tcPr>
            <w:tcW w:w="2976" w:type="dxa"/>
            <w:shd w:val="clear" w:color="auto" w:fill="auto"/>
          </w:tcPr>
          <w:p w14:paraId="403F557C" w14:textId="77777777" w:rsidR="006542FC" w:rsidRPr="00AD76AF" w:rsidRDefault="006542FC" w:rsidP="003663DE">
            <w:pPr>
              <w:spacing w:after="0" w:line="240" w:lineRule="auto"/>
              <w:rPr>
                <w:rFonts w:cs="Arial"/>
                <w:sz w:val="20"/>
                <w:szCs w:val="20"/>
              </w:rPr>
            </w:pPr>
            <w:r w:rsidRPr="00AD76AF">
              <w:rPr>
                <w:rFonts w:cs="Arial"/>
                <w:sz w:val="20"/>
                <w:szCs w:val="20"/>
              </w:rPr>
              <w:t>Direct GHG emission reductions.</w:t>
            </w:r>
          </w:p>
          <w:p w14:paraId="58BF53EE" w14:textId="77777777" w:rsidR="006542FC" w:rsidRPr="00AD76AF" w:rsidRDefault="006542FC" w:rsidP="003663DE">
            <w:pPr>
              <w:spacing w:after="0" w:line="240" w:lineRule="auto"/>
              <w:rPr>
                <w:rFonts w:cs="Arial"/>
                <w:sz w:val="20"/>
                <w:szCs w:val="20"/>
              </w:rPr>
            </w:pPr>
          </w:p>
        </w:tc>
        <w:tc>
          <w:tcPr>
            <w:tcW w:w="3119" w:type="dxa"/>
          </w:tcPr>
          <w:p w14:paraId="3F03C227" w14:textId="3AC3AF5F" w:rsidR="006542FC" w:rsidRPr="00AD76AF" w:rsidRDefault="00C807B3" w:rsidP="003663DE">
            <w:pPr>
              <w:spacing w:after="0" w:line="240" w:lineRule="auto"/>
              <w:rPr>
                <w:rFonts w:cs="Arial"/>
                <w:sz w:val="20"/>
                <w:szCs w:val="20"/>
              </w:rPr>
            </w:pPr>
            <w:r>
              <w:rPr>
                <w:rFonts w:cs="Arial"/>
                <w:sz w:val="20"/>
                <w:szCs w:val="20"/>
              </w:rPr>
              <w:t>540,000</w:t>
            </w:r>
            <w:r w:rsidR="006542FC" w:rsidRPr="00AD76AF">
              <w:rPr>
                <w:rFonts w:cs="Arial"/>
                <w:sz w:val="20"/>
                <w:szCs w:val="20"/>
              </w:rPr>
              <w:t xml:space="preserve">  tonnes CO</w:t>
            </w:r>
            <w:r w:rsidR="006542FC" w:rsidRPr="00AD76AF">
              <w:rPr>
                <w:rFonts w:cs="Arial"/>
                <w:sz w:val="20"/>
                <w:szCs w:val="20"/>
                <w:vertAlign w:val="subscript"/>
              </w:rPr>
              <w:t>2</w:t>
            </w:r>
            <w:r w:rsidR="006542FC" w:rsidRPr="00AD76AF">
              <w:rPr>
                <w:rFonts w:cs="Arial"/>
                <w:sz w:val="20"/>
                <w:szCs w:val="20"/>
              </w:rPr>
              <w:t>eq over 10 year equipment lifetimes</w:t>
            </w:r>
            <w:r>
              <w:rPr>
                <w:rStyle w:val="FootnoteReference"/>
                <w:rFonts w:cs="Arial"/>
                <w:sz w:val="20"/>
                <w:szCs w:val="20"/>
              </w:rPr>
              <w:footnoteReference w:id="5"/>
            </w:r>
          </w:p>
        </w:tc>
        <w:tc>
          <w:tcPr>
            <w:tcW w:w="3969" w:type="dxa"/>
          </w:tcPr>
          <w:p w14:paraId="0E3C3334" w14:textId="0A300220" w:rsidR="006542FC" w:rsidRPr="00AD76AF" w:rsidRDefault="006542FC" w:rsidP="00337F5F">
            <w:pPr>
              <w:rPr>
                <w:rFonts w:eastAsia="Times New Roman" w:cs="Arial"/>
                <w:iCs/>
                <w:sz w:val="20"/>
                <w:szCs w:val="20"/>
              </w:rPr>
            </w:pPr>
            <w:r w:rsidRPr="00AD76AF">
              <w:rPr>
                <w:rFonts w:cs="Arial"/>
                <w:sz w:val="20"/>
                <w:szCs w:val="20"/>
              </w:rPr>
              <w:t>As of end of current reporting period,</w:t>
            </w:r>
            <w:r w:rsidR="00391103" w:rsidRPr="00AD76AF">
              <w:rPr>
                <w:rFonts w:cs="Arial"/>
                <w:sz w:val="20"/>
                <w:szCs w:val="20"/>
              </w:rPr>
              <w:t xml:space="preserve"> 25</w:t>
            </w:r>
            <w:r w:rsidRPr="00AD76AF">
              <w:rPr>
                <w:rFonts w:cs="Arial"/>
                <w:sz w:val="20"/>
                <w:szCs w:val="20"/>
              </w:rPr>
              <w:t xml:space="preserve"> FINTECC projects signed so far, using GEF funding, are expected to achieve </w:t>
            </w:r>
            <w:r w:rsidR="0098127A" w:rsidRPr="00AD76AF">
              <w:rPr>
                <w:rFonts w:cs="Arial"/>
                <w:sz w:val="20"/>
                <w:szCs w:val="20"/>
              </w:rPr>
              <w:t>305</w:t>
            </w:r>
            <w:r w:rsidRPr="00AD76AF">
              <w:rPr>
                <w:rFonts w:cs="Arial"/>
                <w:sz w:val="20"/>
                <w:szCs w:val="20"/>
              </w:rPr>
              <w:t>,000 t CO2eq in direct GHG emission reductions over 10-year investment lifetime.</w:t>
            </w:r>
            <w:r w:rsidRPr="00AD76AF">
              <w:rPr>
                <w:rStyle w:val="FootnoteReference"/>
                <w:rFonts w:eastAsia="Times New Roman" w:cs="Arial"/>
                <w:iCs/>
                <w:sz w:val="20"/>
                <w:szCs w:val="20"/>
              </w:rPr>
              <w:footnoteReference w:id="6"/>
            </w:r>
          </w:p>
          <w:p w14:paraId="36850DFC" w14:textId="77777777" w:rsidR="006542FC" w:rsidRPr="00AD76AF" w:rsidRDefault="006542FC" w:rsidP="00337F5F">
            <w:pPr>
              <w:rPr>
                <w:rFonts w:eastAsia="Times New Roman" w:cs="Arial"/>
                <w:iCs/>
                <w:sz w:val="20"/>
                <w:szCs w:val="20"/>
              </w:rPr>
            </w:pPr>
          </w:p>
        </w:tc>
        <w:tc>
          <w:tcPr>
            <w:tcW w:w="955" w:type="dxa"/>
          </w:tcPr>
          <w:p w14:paraId="297649F3" w14:textId="1583FB2D" w:rsidR="006542FC" w:rsidRPr="00AD76AF" w:rsidRDefault="00391103" w:rsidP="003663DE">
            <w:pPr>
              <w:spacing w:after="0" w:line="240" w:lineRule="auto"/>
              <w:rPr>
                <w:rFonts w:cs="Arial"/>
                <w:sz w:val="20"/>
                <w:szCs w:val="20"/>
              </w:rPr>
            </w:pPr>
            <w:r w:rsidRPr="00AD76AF">
              <w:rPr>
                <w:rFonts w:eastAsia="Times New Roman" w:cs="Arial"/>
                <w:iCs/>
                <w:sz w:val="20"/>
                <w:szCs w:val="20"/>
              </w:rPr>
              <w:t>M</w:t>
            </w:r>
            <w:r w:rsidR="006542FC" w:rsidRPr="00AD76AF">
              <w:rPr>
                <w:rFonts w:eastAsia="Times New Roman" w:cs="Arial"/>
                <w:iCs/>
                <w:sz w:val="20"/>
                <w:szCs w:val="20"/>
              </w:rPr>
              <w:t>S</w:t>
            </w:r>
          </w:p>
        </w:tc>
      </w:tr>
      <w:tr w:rsidR="006542FC" w:rsidRPr="00AD76AF" w14:paraId="2BC23E12" w14:textId="77777777" w:rsidTr="00D55B3A">
        <w:tc>
          <w:tcPr>
            <w:tcW w:w="3369" w:type="dxa"/>
            <w:shd w:val="clear" w:color="auto" w:fill="auto"/>
          </w:tcPr>
          <w:p w14:paraId="22B9CDC2" w14:textId="77777777" w:rsidR="006542FC" w:rsidRPr="00AD76AF" w:rsidRDefault="006542FC" w:rsidP="003663DE">
            <w:pPr>
              <w:pStyle w:val="NormalWeb"/>
              <w:spacing w:beforeLines="0" w:afterLines="0"/>
              <w:rPr>
                <w:rFonts w:asciiTheme="minorHAnsi" w:hAnsiTheme="minorHAnsi" w:cs="Arial"/>
                <w:i/>
                <w:lang w:val="en-GB"/>
              </w:rPr>
            </w:pPr>
            <w:r w:rsidRPr="00AD76AF">
              <w:rPr>
                <w:rFonts w:asciiTheme="minorHAnsi" w:hAnsiTheme="minorHAnsi" w:cs="Arial"/>
                <w:b/>
                <w:i/>
                <w:lang w:val="en-GB"/>
              </w:rPr>
              <w:t>Project Objective:</w:t>
            </w:r>
            <w:r w:rsidRPr="00AD76AF">
              <w:rPr>
                <w:rFonts w:asciiTheme="minorHAnsi" w:hAnsiTheme="minorHAnsi" w:cs="Arial"/>
                <w:lang w:val="en-GB"/>
              </w:rPr>
              <w:t xml:space="preserve"> The objective of the Project is to accelerate investments in climate change mitigation and adaptation technologies in EBRD’s countries of operation.</w:t>
            </w:r>
          </w:p>
        </w:tc>
        <w:tc>
          <w:tcPr>
            <w:tcW w:w="2976" w:type="dxa"/>
            <w:shd w:val="clear" w:color="auto" w:fill="auto"/>
          </w:tcPr>
          <w:p w14:paraId="4D1741E0" w14:textId="77777777" w:rsidR="006542FC" w:rsidRPr="00AD76AF" w:rsidRDefault="006542FC" w:rsidP="003663DE">
            <w:pPr>
              <w:spacing w:after="0" w:line="240" w:lineRule="auto"/>
              <w:rPr>
                <w:rFonts w:cs="Arial"/>
                <w:sz w:val="20"/>
                <w:szCs w:val="20"/>
              </w:rPr>
            </w:pPr>
            <w:r w:rsidRPr="00AD76AF">
              <w:rPr>
                <w:rFonts w:cs="Arial"/>
                <w:sz w:val="20"/>
                <w:szCs w:val="20"/>
              </w:rPr>
              <w:t>Volume of investment mobilized for climate technology transfer over the Project lifetime.</w:t>
            </w:r>
          </w:p>
          <w:p w14:paraId="10470346" w14:textId="77777777" w:rsidR="006542FC" w:rsidRPr="00AD76AF" w:rsidRDefault="006542FC" w:rsidP="003663DE">
            <w:pPr>
              <w:spacing w:after="0" w:line="240" w:lineRule="auto"/>
              <w:rPr>
                <w:rFonts w:cs="Arial"/>
                <w:sz w:val="20"/>
                <w:szCs w:val="20"/>
              </w:rPr>
            </w:pPr>
          </w:p>
        </w:tc>
        <w:tc>
          <w:tcPr>
            <w:tcW w:w="3119" w:type="dxa"/>
          </w:tcPr>
          <w:p w14:paraId="0F554031" w14:textId="77777777" w:rsidR="006542FC" w:rsidRPr="00AD76AF" w:rsidRDefault="006542FC" w:rsidP="003663DE">
            <w:pPr>
              <w:spacing w:after="0" w:line="240" w:lineRule="auto"/>
              <w:rPr>
                <w:rFonts w:cs="Arial"/>
                <w:sz w:val="20"/>
                <w:szCs w:val="20"/>
              </w:rPr>
            </w:pPr>
            <w:r w:rsidRPr="00AD76AF">
              <w:rPr>
                <w:rFonts w:cs="Arial"/>
                <w:sz w:val="20"/>
                <w:szCs w:val="20"/>
              </w:rPr>
              <w:t>GEF investments: USD 7.85 million</w:t>
            </w:r>
          </w:p>
          <w:p w14:paraId="548C4E46" w14:textId="03D598D1" w:rsidR="006542FC" w:rsidRPr="00AD76AF" w:rsidRDefault="006542FC" w:rsidP="003663DE">
            <w:pPr>
              <w:spacing w:after="0" w:line="240" w:lineRule="auto"/>
              <w:rPr>
                <w:rFonts w:cs="Arial"/>
                <w:b/>
                <w:sz w:val="20"/>
                <w:szCs w:val="20"/>
              </w:rPr>
            </w:pPr>
            <w:r w:rsidRPr="00AD76AF">
              <w:rPr>
                <w:rFonts w:cs="Arial"/>
                <w:sz w:val="20"/>
                <w:szCs w:val="20"/>
              </w:rPr>
              <w:t>EBRD investments: USD 70.0 million</w:t>
            </w:r>
            <w:r w:rsidR="00C844DB">
              <w:rPr>
                <w:rStyle w:val="FootnoteReference"/>
                <w:rFonts w:cs="Arial"/>
                <w:sz w:val="20"/>
                <w:szCs w:val="20"/>
              </w:rPr>
              <w:footnoteReference w:id="7"/>
            </w:r>
          </w:p>
        </w:tc>
        <w:tc>
          <w:tcPr>
            <w:tcW w:w="3969" w:type="dxa"/>
          </w:tcPr>
          <w:p w14:paraId="25A3AF4B" w14:textId="77777777" w:rsidR="006542FC" w:rsidRPr="00AD76AF" w:rsidRDefault="006542FC" w:rsidP="006542FC">
            <w:pPr>
              <w:spacing w:after="120"/>
              <w:rPr>
                <w:rFonts w:cs="Arial"/>
                <w:sz w:val="20"/>
                <w:szCs w:val="20"/>
              </w:rPr>
            </w:pPr>
            <w:r w:rsidRPr="00AD76AF">
              <w:rPr>
                <w:rFonts w:cs="Arial"/>
                <w:sz w:val="20"/>
                <w:szCs w:val="20"/>
              </w:rPr>
              <w:t xml:space="preserve">FINTECC projects signed so far have mobilised for climate technology: </w:t>
            </w:r>
          </w:p>
          <w:p w14:paraId="13889E40" w14:textId="77777777" w:rsidR="006542FC" w:rsidRPr="00AD76AF" w:rsidRDefault="006542FC" w:rsidP="006542FC">
            <w:pPr>
              <w:spacing w:after="120"/>
              <w:rPr>
                <w:rFonts w:cs="Arial"/>
                <w:sz w:val="20"/>
                <w:szCs w:val="20"/>
              </w:rPr>
            </w:pPr>
            <w:r w:rsidRPr="00AD76AF">
              <w:rPr>
                <w:rFonts w:cs="Arial"/>
                <w:sz w:val="20"/>
                <w:szCs w:val="20"/>
              </w:rPr>
              <w:t xml:space="preserve">USD </w:t>
            </w:r>
            <w:r w:rsidR="0098127A" w:rsidRPr="00AD76AF">
              <w:rPr>
                <w:rFonts w:cs="Arial"/>
                <w:sz w:val="20"/>
                <w:szCs w:val="20"/>
              </w:rPr>
              <w:t>5</w:t>
            </w:r>
            <w:r w:rsidRPr="00AD76AF">
              <w:rPr>
                <w:rFonts w:cs="Arial"/>
                <w:sz w:val="20"/>
                <w:szCs w:val="20"/>
              </w:rPr>
              <w:t>.</w:t>
            </w:r>
            <w:r w:rsidR="0098127A" w:rsidRPr="00AD76AF">
              <w:rPr>
                <w:rFonts w:cs="Arial"/>
                <w:sz w:val="20"/>
                <w:szCs w:val="20"/>
              </w:rPr>
              <w:t>01</w:t>
            </w:r>
            <w:r w:rsidRPr="00AD76AF">
              <w:rPr>
                <w:rFonts w:cs="Arial"/>
                <w:sz w:val="20"/>
                <w:szCs w:val="20"/>
              </w:rPr>
              <w:t xml:space="preserve"> mln – GEF funding</w:t>
            </w:r>
          </w:p>
          <w:p w14:paraId="7B2BB418" w14:textId="77777777" w:rsidR="006542FC" w:rsidRPr="00AD76AF" w:rsidRDefault="006542FC" w:rsidP="0098127A">
            <w:pPr>
              <w:spacing w:after="120"/>
              <w:rPr>
                <w:rFonts w:eastAsia="Times New Roman" w:cs="Arial"/>
                <w:iCs/>
                <w:sz w:val="20"/>
                <w:szCs w:val="20"/>
              </w:rPr>
            </w:pPr>
            <w:r w:rsidRPr="00AD76AF">
              <w:rPr>
                <w:rFonts w:cs="Arial"/>
                <w:sz w:val="20"/>
                <w:szCs w:val="20"/>
              </w:rPr>
              <w:t>USD 4</w:t>
            </w:r>
            <w:r w:rsidR="0098127A" w:rsidRPr="00AD76AF">
              <w:rPr>
                <w:rFonts w:cs="Arial"/>
                <w:sz w:val="20"/>
                <w:szCs w:val="20"/>
              </w:rPr>
              <w:t>7</w:t>
            </w:r>
            <w:r w:rsidRPr="00AD76AF">
              <w:rPr>
                <w:rFonts w:cs="Arial"/>
                <w:sz w:val="20"/>
                <w:szCs w:val="20"/>
              </w:rPr>
              <w:t>.6 mln</w:t>
            </w:r>
            <w:r w:rsidRPr="00AD76AF">
              <w:rPr>
                <w:rStyle w:val="FootnoteReference"/>
                <w:rFonts w:eastAsia="Times New Roman" w:cs="Arial"/>
                <w:iCs/>
                <w:sz w:val="20"/>
                <w:szCs w:val="20"/>
              </w:rPr>
              <w:footnoteReference w:id="8"/>
            </w:r>
            <w:r w:rsidRPr="00AD76AF">
              <w:rPr>
                <w:rFonts w:eastAsia="Times New Roman" w:cs="Arial"/>
                <w:iCs/>
                <w:sz w:val="20"/>
                <w:szCs w:val="20"/>
                <w:lang w:val="de-DE"/>
              </w:rPr>
              <w:t xml:space="preserve"> </w:t>
            </w:r>
            <w:r w:rsidRPr="00AD76AF">
              <w:rPr>
                <w:rFonts w:eastAsia="Times New Roman" w:cs="Arial"/>
                <w:iCs/>
                <w:sz w:val="20"/>
                <w:szCs w:val="20"/>
              </w:rPr>
              <w:t xml:space="preserve">– EBRD </w:t>
            </w:r>
            <w:r w:rsidR="0098127A" w:rsidRPr="00AD76AF">
              <w:rPr>
                <w:rFonts w:eastAsia="Times New Roman" w:cs="Arial"/>
                <w:iCs/>
                <w:sz w:val="20"/>
                <w:szCs w:val="20"/>
              </w:rPr>
              <w:t xml:space="preserve">green </w:t>
            </w:r>
            <w:r w:rsidRPr="00AD76AF">
              <w:rPr>
                <w:rFonts w:eastAsia="Times New Roman" w:cs="Arial"/>
                <w:iCs/>
                <w:sz w:val="20"/>
                <w:szCs w:val="20"/>
              </w:rPr>
              <w:t>funding</w:t>
            </w:r>
            <w:r w:rsidRPr="00AD76AF">
              <w:rPr>
                <w:rStyle w:val="FootnoteReference"/>
                <w:rFonts w:eastAsia="Times New Roman" w:cs="Arial"/>
                <w:iCs/>
                <w:sz w:val="20"/>
                <w:szCs w:val="20"/>
              </w:rPr>
              <w:footnoteReference w:id="9"/>
            </w:r>
          </w:p>
        </w:tc>
        <w:tc>
          <w:tcPr>
            <w:tcW w:w="955" w:type="dxa"/>
          </w:tcPr>
          <w:p w14:paraId="56A8FB6C" w14:textId="77777777" w:rsidR="006542FC" w:rsidRPr="00AD76AF" w:rsidRDefault="006542FC" w:rsidP="003663DE">
            <w:pPr>
              <w:spacing w:after="0" w:line="240" w:lineRule="auto"/>
              <w:rPr>
                <w:rFonts w:cs="Arial"/>
                <w:sz w:val="20"/>
                <w:szCs w:val="20"/>
              </w:rPr>
            </w:pPr>
            <w:r w:rsidRPr="00AD76AF">
              <w:rPr>
                <w:rFonts w:cs="Arial"/>
                <w:sz w:val="20"/>
                <w:szCs w:val="20"/>
              </w:rPr>
              <w:t>S</w:t>
            </w:r>
          </w:p>
        </w:tc>
      </w:tr>
      <w:tr w:rsidR="003663DE" w:rsidRPr="00AD76AF" w14:paraId="7BB4FE74" w14:textId="77777777" w:rsidTr="00D55B3A">
        <w:trPr>
          <w:trHeight w:val="238"/>
        </w:trPr>
        <w:tc>
          <w:tcPr>
            <w:tcW w:w="3369" w:type="dxa"/>
            <w:shd w:val="pct25" w:color="auto" w:fill="auto"/>
          </w:tcPr>
          <w:p w14:paraId="55D3F83A" w14:textId="77777777" w:rsidR="003663DE" w:rsidRPr="00AD76AF" w:rsidRDefault="003663DE" w:rsidP="003663DE">
            <w:pPr>
              <w:spacing w:after="0" w:line="240" w:lineRule="auto"/>
              <w:rPr>
                <w:rFonts w:cs="Arial"/>
                <w:b/>
                <w:sz w:val="20"/>
                <w:szCs w:val="20"/>
              </w:rPr>
            </w:pPr>
            <w:r w:rsidRPr="00AD76AF">
              <w:rPr>
                <w:rFonts w:cs="Arial"/>
                <w:b/>
                <w:sz w:val="20"/>
                <w:szCs w:val="20"/>
              </w:rPr>
              <w:t>Outcomes</w:t>
            </w:r>
          </w:p>
        </w:tc>
        <w:tc>
          <w:tcPr>
            <w:tcW w:w="2976" w:type="dxa"/>
            <w:shd w:val="pct25" w:color="auto" w:fill="auto"/>
          </w:tcPr>
          <w:p w14:paraId="3FE6B20C" w14:textId="77777777" w:rsidR="003663DE" w:rsidRPr="00AD76AF" w:rsidRDefault="003663DE" w:rsidP="003663DE">
            <w:pPr>
              <w:spacing w:after="0" w:line="240" w:lineRule="auto"/>
              <w:rPr>
                <w:rFonts w:cs="Arial"/>
                <w:b/>
                <w:sz w:val="20"/>
                <w:szCs w:val="20"/>
              </w:rPr>
            </w:pPr>
          </w:p>
        </w:tc>
        <w:tc>
          <w:tcPr>
            <w:tcW w:w="3119" w:type="dxa"/>
            <w:shd w:val="pct25" w:color="auto" w:fill="auto"/>
          </w:tcPr>
          <w:p w14:paraId="10493C32" w14:textId="77777777" w:rsidR="003663DE" w:rsidRPr="00AD76AF" w:rsidRDefault="003663DE" w:rsidP="003663DE">
            <w:pPr>
              <w:spacing w:after="0" w:line="240" w:lineRule="auto"/>
              <w:rPr>
                <w:rFonts w:cs="Arial"/>
                <w:b/>
                <w:sz w:val="20"/>
                <w:szCs w:val="20"/>
              </w:rPr>
            </w:pPr>
          </w:p>
        </w:tc>
        <w:tc>
          <w:tcPr>
            <w:tcW w:w="3969" w:type="dxa"/>
            <w:shd w:val="pct25" w:color="auto" w:fill="auto"/>
          </w:tcPr>
          <w:p w14:paraId="649708BA" w14:textId="77777777" w:rsidR="003663DE" w:rsidRPr="00AD76AF" w:rsidRDefault="003663DE" w:rsidP="003663DE">
            <w:pPr>
              <w:spacing w:after="0" w:line="240" w:lineRule="auto"/>
              <w:rPr>
                <w:rFonts w:cs="Arial"/>
                <w:b/>
                <w:sz w:val="20"/>
                <w:szCs w:val="20"/>
              </w:rPr>
            </w:pPr>
          </w:p>
        </w:tc>
        <w:tc>
          <w:tcPr>
            <w:tcW w:w="955" w:type="dxa"/>
            <w:shd w:val="pct25" w:color="auto" w:fill="auto"/>
          </w:tcPr>
          <w:p w14:paraId="1136BB1D" w14:textId="77777777" w:rsidR="003663DE" w:rsidRPr="00AD76AF" w:rsidRDefault="003663DE" w:rsidP="003663DE">
            <w:pPr>
              <w:spacing w:after="0" w:line="240" w:lineRule="auto"/>
              <w:rPr>
                <w:rFonts w:cs="Arial"/>
                <w:b/>
                <w:sz w:val="20"/>
                <w:szCs w:val="20"/>
              </w:rPr>
            </w:pPr>
          </w:p>
        </w:tc>
      </w:tr>
      <w:tr w:rsidR="006542FC" w:rsidRPr="00AD76AF" w14:paraId="6065A786" w14:textId="77777777" w:rsidTr="00BB7176">
        <w:tc>
          <w:tcPr>
            <w:tcW w:w="3369" w:type="dxa"/>
            <w:vMerge w:val="restart"/>
            <w:shd w:val="clear" w:color="auto" w:fill="auto"/>
          </w:tcPr>
          <w:p w14:paraId="6992ADCF" w14:textId="77777777" w:rsidR="006542FC" w:rsidRPr="00AD76AF" w:rsidRDefault="006542FC" w:rsidP="003663DE">
            <w:pPr>
              <w:spacing w:after="0" w:line="240" w:lineRule="auto"/>
              <w:rPr>
                <w:rFonts w:cs="Arial"/>
                <w:sz w:val="20"/>
                <w:szCs w:val="20"/>
              </w:rPr>
            </w:pPr>
            <w:r w:rsidRPr="00AD76AF">
              <w:rPr>
                <w:rFonts w:cs="Arial"/>
                <w:b/>
                <w:sz w:val="20"/>
                <w:szCs w:val="20"/>
              </w:rPr>
              <w:t>1.1 / 1.2</w:t>
            </w:r>
            <w:r w:rsidRPr="00AD76AF">
              <w:rPr>
                <w:rFonts w:cs="Arial"/>
                <w:sz w:val="20"/>
                <w:szCs w:val="20"/>
              </w:rPr>
              <w:t xml:space="preserve"> Increased regional linkages and collaboration regarding the transfer of climate change technologies.</w:t>
            </w:r>
          </w:p>
        </w:tc>
        <w:tc>
          <w:tcPr>
            <w:tcW w:w="2976" w:type="dxa"/>
            <w:shd w:val="clear" w:color="auto" w:fill="auto"/>
          </w:tcPr>
          <w:p w14:paraId="3B22E033" w14:textId="77777777" w:rsidR="006542FC" w:rsidRPr="00AD76AF" w:rsidRDefault="006542FC" w:rsidP="003663DE">
            <w:pPr>
              <w:spacing w:after="0" w:line="240" w:lineRule="auto"/>
              <w:rPr>
                <w:rFonts w:cs="Arial"/>
                <w:sz w:val="20"/>
                <w:szCs w:val="20"/>
              </w:rPr>
            </w:pPr>
            <w:r w:rsidRPr="00AD76AF">
              <w:rPr>
                <w:rFonts w:cs="Arial"/>
                <w:b/>
                <w:sz w:val="20"/>
                <w:szCs w:val="20"/>
              </w:rPr>
              <w:t>Mitigation:</w:t>
            </w:r>
            <w:r w:rsidRPr="00AD76AF">
              <w:rPr>
                <w:rFonts w:cs="Arial"/>
                <w:sz w:val="20"/>
                <w:szCs w:val="20"/>
              </w:rPr>
              <w:t xml:space="preserve"> Enabling environment; existence of the following:</w:t>
            </w:r>
          </w:p>
          <w:p w14:paraId="43FFE3FC" w14:textId="77777777" w:rsidR="006542FC" w:rsidRPr="00AD76AF" w:rsidRDefault="006542FC" w:rsidP="003663DE">
            <w:pPr>
              <w:numPr>
                <w:ilvl w:val="0"/>
                <w:numId w:val="19"/>
              </w:numPr>
              <w:spacing w:after="0" w:line="240" w:lineRule="auto"/>
              <w:rPr>
                <w:rFonts w:cs="Arial"/>
                <w:sz w:val="20"/>
                <w:szCs w:val="20"/>
              </w:rPr>
            </w:pPr>
            <w:r w:rsidRPr="00AD76AF">
              <w:rPr>
                <w:rFonts w:cs="Arial"/>
                <w:sz w:val="20"/>
                <w:szCs w:val="20"/>
              </w:rPr>
              <w:t xml:space="preserve">Innovation &amp; technology </w:t>
            </w:r>
            <w:r w:rsidRPr="00AD76AF">
              <w:rPr>
                <w:rFonts w:cs="Arial"/>
                <w:sz w:val="20"/>
                <w:szCs w:val="20"/>
              </w:rPr>
              <w:lastRenderedPageBreak/>
              <w:t>centre &amp; Networks</w:t>
            </w:r>
          </w:p>
          <w:p w14:paraId="4ADA241F" w14:textId="77777777" w:rsidR="006542FC" w:rsidRPr="00AD76AF" w:rsidRDefault="006542FC" w:rsidP="003663DE">
            <w:pPr>
              <w:numPr>
                <w:ilvl w:val="0"/>
                <w:numId w:val="19"/>
              </w:numPr>
              <w:spacing w:after="0" w:line="240" w:lineRule="auto"/>
              <w:rPr>
                <w:rFonts w:cs="Arial"/>
                <w:sz w:val="20"/>
                <w:szCs w:val="20"/>
              </w:rPr>
            </w:pPr>
            <w:r w:rsidRPr="00AD76AF">
              <w:rPr>
                <w:rFonts w:cs="Arial"/>
                <w:sz w:val="20"/>
                <w:szCs w:val="20"/>
              </w:rPr>
              <w:t xml:space="preserve">National innovation &amp; technology transfer policy </w:t>
            </w:r>
          </w:p>
          <w:p w14:paraId="2DA8907B" w14:textId="77777777" w:rsidR="006542FC" w:rsidRPr="00AD76AF" w:rsidRDefault="006542FC" w:rsidP="003663DE">
            <w:pPr>
              <w:numPr>
                <w:ilvl w:val="0"/>
                <w:numId w:val="19"/>
              </w:numPr>
              <w:spacing w:after="0" w:line="240" w:lineRule="auto"/>
              <w:rPr>
                <w:rFonts w:cs="Arial"/>
                <w:sz w:val="20"/>
                <w:szCs w:val="20"/>
              </w:rPr>
            </w:pPr>
            <w:r w:rsidRPr="00AD76AF">
              <w:rPr>
                <w:rFonts w:cs="Arial"/>
                <w:sz w:val="20"/>
                <w:szCs w:val="20"/>
              </w:rPr>
              <w:t xml:space="preserve">South-South technology cooperation; </w:t>
            </w:r>
          </w:p>
          <w:p w14:paraId="36BB82A5" w14:textId="77777777" w:rsidR="006542FC" w:rsidRPr="00AD76AF" w:rsidRDefault="006542FC" w:rsidP="003663DE">
            <w:pPr>
              <w:numPr>
                <w:ilvl w:val="0"/>
                <w:numId w:val="19"/>
              </w:numPr>
              <w:spacing w:after="0" w:line="240" w:lineRule="auto"/>
              <w:rPr>
                <w:rFonts w:cs="Arial"/>
                <w:sz w:val="20"/>
                <w:szCs w:val="20"/>
              </w:rPr>
            </w:pPr>
            <w:r w:rsidRPr="00AD76AF">
              <w:rPr>
                <w:rFonts w:cs="Arial"/>
                <w:sz w:val="20"/>
                <w:szCs w:val="20"/>
              </w:rPr>
              <w:t xml:space="preserve">North-South technology cooperation; </w:t>
            </w:r>
          </w:p>
          <w:p w14:paraId="528FC41D" w14:textId="77777777" w:rsidR="006542FC" w:rsidRPr="00AD76AF" w:rsidRDefault="006542FC" w:rsidP="003663DE">
            <w:pPr>
              <w:numPr>
                <w:ilvl w:val="0"/>
                <w:numId w:val="19"/>
              </w:numPr>
              <w:spacing w:after="0" w:line="240" w:lineRule="auto"/>
              <w:rPr>
                <w:rFonts w:cs="Arial"/>
                <w:sz w:val="20"/>
                <w:szCs w:val="20"/>
              </w:rPr>
            </w:pPr>
            <w:r w:rsidRPr="00AD76AF">
              <w:rPr>
                <w:rFonts w:cs="Arial"/>
                <w:sz w:val="20"/>
                <w:szCs w:val="20"/>
              </w:rPr>
              <w:t xml:space="preserve">Information dissemination; </w:t>
            </w:r>
          </w:p>
          <w:p w14:paraId="70637402" w14:textId="77777777" w:rsidR="006542FC" w:rsidRPr="00AD76AF" w:rsidRDefault="006542FC" w:rsidP="003663DE">
            <w:pPr>
              <w:numPr>
                <w:ilvl w:val="0"/>
                <w:numId w:val="19"/>
              </w:numPr>
              <w:spacing w:after="0" w:line="240" w:lineRule="auto"/>
              <w:rPr>
                <w:rFonts w:cs="Arial"/>
                <w:sz w:val="20"/>
                <w:szCs w:val="20"/>
              </w:rPr>
            </w:pPr>
            <w:r w:rsidRPr="00AD76AF">
              <w:rPr>
                <w:rFonts w:cs="Arial"/>
                <w:sz w:val="20"/>
                <w:szCs w:val="20"/>
              </w:rPr>
              <w:t>Technical capacity building</w:t>
            </w:r>
          </w:p>
        </w:tc>
        <w:tc>
          <w:tcPr>
            <w:tcW w:w="3119" w:type="dxa"/>
          </w:tcPr>
          <w:p w14:paraId="32666B03" w14:textId="6F50D9B0" w:rsidR="006542FC" w:rsidRPr="00AD76AF" w:rsidRDefault="006542FC" w:rsidP="003663DE">
            <w:pPr>
              <w:spacing w:after="0" w:line="240" w:lineRule="auto"/>
              <w:rPr>
                <w:rFonts w:cs="Arial"/>
                <w:sz w:val="20"/>
                <w:szCs w:val="20"/>
              </w:rPr>
            </w:pPr>
            <w:r w:rsidRPr="00AD76AF">
              <w:rPr>
                <w:rFonts w:cs="Arial"/>
                <w:b/>
                <w:sz w:val="20"/>
                <w:szCs w:val="20"/>
              </w:rPr>
              <w:lastRenderedPageBreak/>
              <w:t>Mitigation:</w:t>
            </w:r>
            <w:r w:rsidRPr="00AD76AF">
              <w:rPr>
                <w:rFonts w:cs="Arial"/>
                <w:sz w:val="20"/>
                <w:szCs w:val="20"/>
              </w:rPr>
              <w:t xml:space="preserve"> Enabling environment created</w:t>
            </w:r>
            <w:r w:rsidR="00E16B0B">
              <w:rPr>
                <w:rStyle w:val="FootnoteReference"/>
                <w:rFonts w:cs="Arial"/>
                <w:sz w:val="20"/>
                <w:szCs w:val="20"/>
              </w:rPr>
              <w:footnoteReference w:id="10"/>
            </w:r>
            <w:r w:rsidRPr="00AD76AF">
              <w:rPr>
                <w:rFonts w:cs="Arial"/>
                <w:sz w:val="20"/>
                <w:szCs w:val="20"/>
              </w:rPr>
              <w:t>, including the following existing:</w:t>
            </w:r>
          </w:p>
          <w:p w14:paraId="1E24165A" w14:textId="77777777" w:rsidR="006542FC" w:rsidRPr="00AD76AF" w:rsidRDefault="006542FC" w:rsidP="003663DE">
            <w:pPr>
              <w:numPr>
                <w:ilvl w:val="0"/>
                <w:numId w:val="19"/>
              </w:numPr>
              <w:spacing w:after="0" w:line="240" w:lineRule="auto"/>
              <w:rPr>
                <w:rFonts w:cs="Arial"/>
                <w:sz w:val="20"/>
                <w:szCs w:val="20"/>
              </w:rPr>
            </w:pPr>
            <w:r w:rsidRPr="00AD76AF">
              <w:rPr>
                <w:rFonts w:cs="Arial"/>
                <w:sz w:val="20"/>
                <w:szCs w:val="20"/>
              </w:rPr>
              <w:t xml:space="preserve">Innovation &amp; technology </w:t>
            </w:r>
            <w:r w:rsidRPr="00AD76AF">
              <w:rPr>
                <w:rFonts w:cs="Arial"/>
                <w:sz w:val="20"/>
                <w:szCs w:val="20"/>
              </w:rPr>
              <w:lastRenderedPageBreak/>
              <w:t>centre and Network</w:t>
            </w:r>
          </w:p>
          <w:p w14:paraId="697A4060" w14:textId="77777777" w:rsidR="006542FC" w:rsidRPr="00AD76AF" w:rsidRDefault="006542FC" w:rsidP="003663DE">
            <w:pPr>
              <w:numPr>
                <w:ilvl w:val="0"/>
                <w:numId w:val="19"/>
              </w:numPr>
              <w:spacing w:after="0" w:line="240" w:lineRule="auto"/>
              <w:rPr>
                <w:rFonts w:cs="Arial"/>
                <w:sz w:val="20"/>
                <w:szCs w:val="20"/>
              </w:rPr>
            </w:pPr>
            <w:r w:rsidRPr="00AD76AF">
              <w:rPr>
                <w:rFonts w:cs="Arial"/>
                <w:sz w:val="20"/>
                <w:szCs w:val="20"/>
              </w:rPr>
              <w:t xml:space="preserve">National innovation &amp; technology transfer policy </w:t>
            </w:r>
          </w:p>
          <w:p w14:paraId="1204A03C" w14:textId="77777777" w:rsidR="006542FC" w:rsidRPr="00AD76AF" w:rsidRDefault="006542FC" w:rsidP="003663DE">
            <w:pPr>
              <w:numPr>
                <w:ilvl w:val="0"/>
                <w:numId w:val="19"/>
              </w:numPr>
              <w:spacing w:after="0" w:line="240" w:lineRule="auto"/>
              <w:rPr>
                <w:rFonts w:cs="Arial"/>
                <w:sz w:val="20"/>
                <w:szCs w:val="20"/>
              </w:rPr>
            </w:pPr>
            <w:r w:rsidRPr="00AD76AF">
              <w:rPr>
                <w:rFonts w:cs="Arial"/>
                <w:sz w:val="20"/>
                <w:szCs w:val="20"/>
              </w:rPr>
              <w:t xml:space="preserve">South-South technology cooperation; </w:t>
            </w:r>
          </w:p>
          <w:p w14:paraId="5683CCDA" w14:textId="77777777" w:rsidR="006542FC" w:rsidRPr="00AD76AF" w:rsidRDefault="006542FC" w:rsidP="003663DE">
            <w:pPr>
              <w:numPr>
                <w:ilvl w:val="0"/>
                <w:numId w:val="19"/>
              </w:numPr>
              <w:spacing w:after="0" w:line="240" w:lineRule="auto"/>
              <w:rPr>
                <w:rFonts w:cs="Arial"/>
                <w:sz w:val="20"/>
                <w:szCs w:val="20"/>
              </w:rPr>
            </w:pPr>
            <w:r w:rsidRPr="00AD76AF">
              <w:rPr>
                <w:rFonts w:cs="Arial"/>
                <w:sz w:val="20"/>
                <w:szCs w:val="20"/>
              </w:rPr>
              <w:t xml:space="preserve">North-South technology cooperation; </w:t>
            </w:r>
          </w:p>
          <w:p w14:paraId="1956A3BC" w14:textId="77777777" w:rsidR="006542FC" w:rsidRPr="00AD76AF" w:rsidRDefault="006542FC" w:rsidP="003663DE">
            <w:pPr>
              <w:numPr>
                <w:ilvl w:val="0"/>
                <w:numId w:val="19"/>
              </w:numPr>
              <w:spacing w:after="0" w:line="240" w:lineRule="auto"/>
              <w:rPr>
                <w:rFonts w:cs="Arial"/>
                <w:sz w:val="20"/>
                <w:szCs w:val="20"/>
              </w:rPr>
            </w:pPr>
            <w:r w:rsidRPr="00AD76AF">
              <w:rPr>
                <w:rFonts w:cs="Arial"/>
                <w:sz w:val="20"/>
                <w:szCs w:val="20"/>
              </w:rPr>
              <w:t>Information dissemination;</w:t>
            </w:r>
          </w:p>
          <w:p w14:paraId="2BD4234A" w14:textId="77777777" w:rsidR="006542FC" w:rsidRPr="00AD76AF" w:rsidRDefault="006542FC" w:rsidP="003663DE">
            <w:pPr>
              <w:numPr>
                <w:ilvl w:val="0"/>
                <w:numId w:val="19"/>
              </w:numPr>
              <w:spacing w:after="0" w:line="240" w:lineRule="auto"/>
              <w:rPr>
                <w:rFonts w:cs="Arial"/>
                <w:sz w:val="20"/>
                <w:szCs w:val="20"/>
              </w:rPr>
            </w:pPr>
            <w:r w:rsidRPr="00AD76AF">
              <w:rPr>
                <w:rFonts w:cs="Arial"/>
                <w:sz w:val="20"/>
                <w:szCs w:val="20"/>
              </w:rPr>
              <w:t>Technical capacity building</w:t>
            </w:r>
          </w:p>
          <w:p w14:paraId="045A8602" w14:textId="77777777" w:rsidR="006542FC" w:rsidRPr="00AD76AF" w:rsidRDefault="006542FC" w:rsidP="003663DE">
            <w:pPr>
              <w:spacing w:after="0" w:line="240" w:lineRule="auto"/>
              <w:ind w:left="360"/>
              <w:rPr>
                <w:rFonts w:cs="Arial"/>
                <w:sz w:val="20"/>
                <w:szCs w:val="20"/>
              </w:rPr>
            </w:pPr>
          </w:p>
        </w:tc>
        <w:tc>
          <w:tcPr>
            <w:tcW w:w="3969" w:type="dxa"/>
          </w:tcPr>
          <w:p w14:paraId="1FD3B014" w14:textId="77777777" w:rsidR="006542FC" w:rsidRPr="00AD76AF" w:rsidRDefault="00A70969" w:rsidP="006542FC">
            <w:pPr>
              <w:spacing w:after="120"/>
              <w:rPr>
                <w:rFonts w:cs="Arial"/>
                <w:sz w:val="20"/>
                <w:szCs w:val="20"/>
              </w:rPr>
            </w:pPr>
            <w:r w:rsidRPr="00AD76AF">
              <w:rPr>
                <w:rFonts w:cs="Arial"/>
                <w:b/>
                <w:sz w:val="20"/>
                <w:szCs w:val="20"/>
              </w:rPr>
              <w:lastRenderedPageBreak/>
              <w:t>Overall</w:t>
            </w:r>
            <w:r w:rsidR="00B67E98" w:rsidRPr="00AD76AF">
              <w:rPr>
                <w:rFonts w:cs="Arial"/>
                <w:b/>
                <w:sz w:val="20"/>
                <w:szCs w:val="20"/>
              </w:rPr>
              <w:t xml:space="preserve"> </w:t>
            </w:r>
            <w:r w:rsidR="006542FC" w:rsidRPr="00AD76AF">
              <w:rPr>
                <w:rFonts w:cs="Arial"/>
                <w:sz w:val="20"/>
                <w:szCs w:val="20"/>
              </w:rPr>
              <w:t>FINTECC has made good progress in creating an enabling environment:</w:t>
            </w:r>
          </w:p>
          <w:p w14:paraId="5C510EF8" w14:textId="66D3BD04" w:rsidR="006542FC" w:rsidRPr="00AD76AF" w:rsidRDefault="006542FC" w:rsidP="006542FC">
            <w:pPr>
              <w:spacing w:after="120"/>
              <w:rPr>
                <w:rFonts w:cs="Arial"/>
                <w:sz w:val="20"/>
                <w:szCs w:val="20"/>
              </w:rPr>
            </w:pPr>
            <w:r w:rsidRPr="00AD76AF">
              <w:rPr>
                <w:rFonts w:cs="Arial"/>
                <w:sz w:val="20"/>
                <w:szCs w:val="20"/>
              </w:rPr>
              <w:t xml:space="preserve">1.) FINTECC is well established at the EBRD: it </w:t>
            </w:r>
            <w:r w:rsidRPr="00AD76AF">
              <w:rPr>
                <w:rFonts w:cs="Arial"/>
                <w:sz w:val="20"/>
                <w:szCs w:val="20"/>
              </w:rPr>
              <w:lastRenderedPageBreak/>
              <w:t xml:space="preserve">has benefited from EBRD SSF funding; it has become known to the wider banking teams who speak to potential companies in eligible countries about how it can help; it is advertised at EBRD </w:t>
            </w:r>
            <w:r w:rsidR="00660CF7" w:rsidRPr="00AD76AF">
              <w:rPr>
                <w:rFonts w:cs="Arial"/>
                <w:sz w:val="20"/>
                <w:szCs w:val="20"/>
              </w:rPr>
              <w:t xml:space="preserve">side </w:t>
            </w:r>
            <w:r w:rsidRPr="00AD76AF">
              <w:rPr>
                <w:rFonts w:cs="Arial"/>
                <w:sz w:val="20"/>
                <w:szCs w:val="20"/>
              </w:rPr>
              <w:t xml:space="preserve">events </w:t>
            </w:r>
            <w:r w:rsidR="00660CF7" w:rsidRPr="00AD76AF">
              <w:rPr>
                <w:rFonts w:cs="Arial"/>
                <w:sz w:val="20"/>
                <w:szCs w:val="20"/>
              </w:rPr>
              <w:t xml:space="preserve"> during UNFCCC</w:t>
            </w:r>
            <w:r w:rsidRPr="00AD76AF">
              <w:rPr>
                <w:rFonts w:cs="Arial"/>
                <w:sz w:val="20"/>
                <w:szCs w:val="20"/>
              </w:rPr>
              <w:t>COP</w:t>
            </w:r>
            <w:r w:rsidR="00660CF7" w:rsidRPr="00AD76AF">
              <w:rPr>
                <w:rFonts w:cs="Arial"/>
                <w:sz w:val="20"/>
                <w:szCs w:val="20"/>
              </w:rPr>
              <w:t>s in</w:t>
            </w:r>
            <w:r w:rsidRPr="00AD76AF">
              <w:rPr>
                <w:rFonts w:cs="Arial"/>
                <w:sz w:val="20"/>
                <w:szCs w:val="20"/>
              </w:rPr>
              <w:t xml:space="preserve"> 2015-201</w:t>
            </w:r>
            <w:r w:rsidR="00536A92" w:rsidRPr="00AD76AF">
              <w:rPr>
                <w:rFonts w:cs="Arial"/>
                <w:sz w:val="20"/>
                <w:szCs w:val="20"/>
              </w:rPr>
              <w:t>8</w:t>
            </w:r>
            <w:r w:rsidR="00660CF7" w:rsidRPr="00AD76AF">
              <w:rPr>
                <w:rFonts w:cs="Arial"/>
                <w:sz w:val="20"/>
                <w:szCs w:val="20"/>
              </w:rPr>
              <w:t>.</w:t>
            </w:r>
          </w:p>
          <w:p w14:paraId="4A5363D0" w14:textId="77777777" w:rsidR="006542FC" w:rsidRPr="00AD76AF" w:rsidRDefault="006542FC" w:rsidP="006542FC">
            <w:pPr>
              <w:numPr>
                <w:ilvl w:val="0"/>
                <w:numId w:val="20"/>
              </w:numPr>
              <w:spacing w:after="120" w:line="240" w:lineRule="auto"/>
              <w:ind w:left="459"/>
              <w:rPr>
                <w:rFonts w:cs="Arial"/>
                <w:sz w:val="20"/>
                <w:szCs w:val="20"/>
              </w:rPr>
            </w:pPr>
            <w:r w:rsidRPr="00AD76AF">
              <w:rPr>
                <w:rFonts w:cs="Arial"/>
                <w:sz w:val="20"/>
                <w:szCs w:val="20"/>
              </w:rPr>
              <w:t xml:space="preserve">At the beginning of November 2018 the EBRD in cooperation with the FAO </w:t>
            </w:r>
            <w:r w:rsidR="00536A92" w:rsidRPr="00AD76AF">
              <w:rPr>
                <w:rFonts w:cs="Arial"/>
                <w:sz w:val="20"/>
                <w:szCs w:val="20"/>
              </w:rPr>
              <w:t>has</w:t>
            </w:r>
            <w:r w:rsidRPr="00AD76AF">
              <w:rPr>
                <w:rFonts w:cs="Arial"/>
                <w:sz w:val="20"/>
                <w:szCs w:val="20"/>
              </w:rPr>
              <w:t xml:space="preserve"> organize</w:t>
            </w:r>
            <w:r w:rsidR="00536A92" w:rsidRPr="00AD76AF">
              <w:rPr>
                <w:rFonts w:cs="Arial"/>
                <w:sz w:val="20"/>
                <w:szCs w:val="20"/>
              </w:rPr>
              <w:t>d</w:t>
            </w:r>
            <w:r w:rsidRPr="00AD76AF">
              <w:rPr>
                <w:rFonts w:cs="Arial"/>
                <w:sz w:val="20"/>
                <w:szCs w:val="20"/>
              </w:rPr>
              <w:t xml:space="preserve"> two joint seminars (one in Kyrgyzstan and the other one in Kazakhstan) to discuss key findings of the study for assessing the mitigation potential of climate technologies in the agriculture sector.</w:t>
            </w:r>
          </w:p>
          <w:p w14:paraId="7C290FBB" w14:textId="759D9BF9" w:rsidR="006542FC" w:rsidRPr="00AD76AF" w:rsidRDefault="00660CF7" w:rsidP="006542FC">
            <w:pPr>
              <w:spacing w:after="120"/>
              <w:rPr>
                <w:rFonts w:cs="Arial"/>
                <w:sz w:val="20"/>
                <w:szCs w:val="20"/>
              </w:rPr>
            </w:pPr>
            <w:r w:rsidRPr="00AD76AF">
              <w:rPr>
                <w:rFonts w:cs="Arial"/>
                <w:sz w:val="20"/>
                <w:szCs w:val="20"/>
              </w:rPr>
              <w:t xml:space="preserve">During previous reporting periods, </w:t>
            </w:r>
            <w:r w:rsidR="008669F9" w:rsidRPr="00AD76AF">
              <w:rPr>
                <w:rFonts w:cs="Arial"/>
                <w:sz w:val="20"/>
                <w:szCs w:val="20"/>
              </w:rPr>
              <w:t xml:space="preserve">EBRD has engaged with a range of development partners to present </w:t>
            </w:r>
            <w:r w:rsidRPr="00AD76AF">
              <w:rPr>
                <w:rFonts w:cs="Arial"/>
                <w:sz w:val="20"/>
                <w:szCs w:val="20"/>
              </w:rPr>
              <w:t>FINTECC</w:t>
            </w:r>
            <w:r w:rsidR="008669F9" w:rsidRPr="00AD76AF">
              <w:rPr>
                <w:rFonts w:cs="Arial"/>
                <w:sz w:val="20"/>
                <w:szCs w:val="20"/>
              </w:rPr>
              <w:t xml:space="preserve"> including </w:t>
            </w:r>
            <w:r w:rsidRPr="00AD76AF">
              <w:rPr>
                <w:rFonts w:cs="Arial"/>
                <w:sz w:val="20"/>
                <w:szCs w:val="20"/>
              </w:rPr>
              <w:t xml:space="preserve">at </w:t>
            </w:r>
            <w:r w:rsidR="008669F9" w:rsidRPr="00AD76AF">
              <w:rPr>
                <w:rFonts w:cs="Arial"/>
                <w:sz w:val="20"/>
                <w:szCs w:val="20"/>
              </w:rPr>
              <w:t xml:space="preserve">GEF side event in Bonn, at a meeting with a major industrial association (CGEM) in Morocco, at CTCN workshop and regional NDE Forum; during Bioenergy week, at joint event with IEA, FAO. </w:t>
            </w:r>
          </w:p>
          <w:p w14:paraId="482A7006" w14:textId="6E719E79" w:rsidR="006542FC" w:rsidRPr="00AD76AF" w:rsidRDefault="006542FC" w:rsidP="006542FC">
            <w:pPr>
              <w:spacing w:after="120"/>
              <w:rPr>
                <w:rFonts w:cs="Arial"/>
                <w:sz w:val="20"/>
                <w:szCs w:val="20"/>
              </w:rPr>
            </w:pPr>
            <w:r w:rsidRPr="00AD76AF">
              <w:rPr>
                <w:rFonts w:cs="Arial"/>
                <w:sz w:val="20"/>
                <w:szCs w:val="20"/>
              </w:rPr>
              <w:t>2) FINTECC has achieved an informal agreement with CTCN. According to this agreement, EBRD provides advice on technology requests received by CTCN from FINTECC countries of operation</w:t>
            </w:r>
            <w:r w:rsidR="008669F9" w:rsidRPr="00AD76AF">
              <w:rPr>
                <w:rFonts w:cs="Arial"/>
                <w:sz w:val="20"/>
                <w:szCs w:val="20"/>
              </w:rPr>
              <w:t xml:space="preserve"> and, </w:t>
            </w:r>
            <w:r w:rsidRPr="00AD76AF">
              <w:rPr>
                <w:rFonts w:cs="Arial"/>
                <w:sz w:val="20"/>
                <w:szCs w:val="20"/>
              </w:rPr>
              <w:t xml:space="preserve">where possible, provides support such as background information or technical knowledge. CTCN and EBRD also exchange </w:t>
            </w:r>
            <w:r w:rsidRPr="00AD76AF">
              <w:rPr>
                <w:rFonts w:cs="Arial"/>
                <w:sz w:val="20"/>
                <w:szCs w:val="20"/>
              </w:rPr>
              <w:lastRenderedPageBreak/>
              <w:t>knowledge on climate technologies via participation in each other’s events.</w:t>
            </w:r>
          </w:p>
          <w:p w14:paraId="1F185FE9" w14:textId="34018E49" w:rsidR="006542FC" w:rsidRPr="00AD76AF" w:rsidRDefault="006542FC" w:rsidP="006542FC">
            <w:pPr>
              <w:spacing w:after="120"/>
              <w:rPr>
                <w:rFonts w:cs="Arial"/>
                <w:sz w:val="20"/>
                <w:szCs w:val="20"/>
              </w:rPr>
            </w:pPr>
            <w:r w:rsidRPr="00AD76AF">
              <w:rPr>
                <w:rFonts w:cs="Arial"/>
                <w:sz w:val="20"/>
                <w:szCs w:val="20"/>
              </w:rPr>
              <w:t xml:space="preserve">3) The FINTECC website is established at </w:t>
            </w:r>
            <w:hyperlink r:id="rId19" w:history="1">
              <w:r w:rsidRPr="00AD76AF">
                <w:rPr>
                  <w:rFonts w:cs="Arial"/>
                  <w:sz w:val="20"/>
                  <w:szCs w:val="20"/>
                </w:rPr>
                <w:t>http://fintecc.ebrd.com/index.html</w:t>
              </w:r>
            </w:hyperlink>
            <w:r w:rsidR="008669F9" w:rsidRPr="00AD76AF">
              <w:rPr>
                <w:rFonts w:cs="Arial"/>
                <w:sz w:val="20"/>
                <w:szCs w:val="20"/>
              </w:rPr>
              <w:t xml:space="preserve">, and has been translated </w:t>
            </w:r>
            <w:r w:rsidRPr="00AD76AF">
              <w:rPr>
                <w:rFonts w:cs="Arial"/>
                <w:sz w:val="20"/>
                <w:szCs w:val="20"/>
              </w:rPr>
              <w:t>into French and Russian to capture a wider audience of stakeholders.</w:t>
            </w:r>
          </w:p>
          <w:p w14:paraId="05243D4C" w14:textId="77777777" w:rsidR="006542FC" w:rsidRPr="00AD76AF" w:rsidRDefault="006542FC" w:rsidP="006542FC">
            <w:pPr>
              <w:spacing w:after="120"/>
              <w:rPr>
                <w:rFonts w:cs="Arial"/>
                <w:sz w:val="20"/>
                <w:szCs w:val="20"/>
              </w:rPr>
            </w:pPr>
            <w:r w:rsidRPr="00AD76AF">
              <w:rPr>
                <w:rFonts w:cs="Arial"/>
                <w:sz w:val="20"/>
                <w:szCs w:val="20"/>
              </w:rPr>
              <w:t>A few new cases studies which also include both technical details and expected cost savings have been developed and published on the FINTECC website in all three languages.</w:t>
            </w:r>
          </w:p>
          <w:p w14:paraId="5A50434E" w14:textId="3ABC447C" w:rsidR="006542FC" w:rsidRPr="00AD76AF" w:rsidRDefault="006542FC" w:rsidP="006542FC">
            <w:pPr>
              <w:spacing w:after="120"/>
              <w:rPr>
                <w:rFonts w:cs="Arial"/>
                <w:sz w:val="20"/>
                <w:szCs w:val="20"/>
              </w:rPr>
            </w:pPr>
            <w:r w:rsidRPr="00AD76AF">
              <w:rPr>
                <w:rFonts w:cs="Arial"/>
                <w:sz w:val="20"/>
                <w:szCs w:val="20"/>
              </w:rPr>
              <w:t xml:space="preserve">4) FINTECC has supported EBRD to develop methodologies for assessing the economic and technical viability of climate technologies in collaboration with the IEA and FAO. These methodologies have been disseminated through </w:t>
            </w:r>
            <w:r w:rsidR="008669F9" w:rsidRPr="00AD76AF">
              <w:rPr>
                <w:rFonts w:cs="Arial"/>
                <w:sz w:val="20"/>
                <w:szCs w:val="20"/>
              </w:rPr>
              <w:t xml:space="preserve">a range of international and regional events </w:t>
            </w:r>
            <w:r w:rsidRPr="00AD76AF">
              <w:rPr>
                <w:rFonts w:cs="Arial"/>
                <w:sz w:val="20"/>
                <w:szCs w:val="20"/>
              </w:rPr>
              <w:t>and also online.</w:t>
            </w:r>
          </w:p>
          <w:p w14:paraId="5432F81A" w14:textId="77777777" w:rsidR="006542FC" w:rsidRPr="00AD76AF" w:rsidRDefault="006542FC" w:rsidP="006542FC">
            <w:pPr>
              <w:spacing w:after="120"/>
              <w:rPr>
                <w:rFonts w:cs="Arial"/>
                <w:sz w:val="20"/>
                <w:szCs w:val="20"/>
              </w:rPr>
            </w:pPr>
            <w:r w:rsidRPr="00AD76AF">
              <w:rPr>
                <w:rFonts w:cs="Arial"/>
                <w:sz w:val="20"/>
                <w:szCs w:val="20"/>
              </w:rPr>
              <w:t xml:space="preserve">The methodology been successfully piloted in Morocco, Belarus and Kazakhstan by the IEA (in Morocco by the FAO), and in 2018 it has been rolled out in Kyrgyzstan and Kazakhstan by the FAO. At the beginning of November 2018 the EBRD, in cooperation with the FAO, </w:t>
            </w:r>
            <w:r w:rsidR="0043278C" w:rsidRPr="00AD76AF">
              <w:rPr>
                <w:rFonts w:cs="Arial"/>
                <w:sz w:val="20"/>
                <w:szCs w:val="20"/>
              </w:rPr>
              <w:t xml:space="preserve">has </w:t>
            </w:r>
            <w:r w:rsidRPr="00AD76AF">
              <w:rPr>
                <w:rFonts w:cs="Arial"/>
                <w:sz w:val="20"/>
                <w:szCs w:val="20"/>
              </w:rPr>
              <w:t>organize</w:t>
            </w:r>
            <w:r w:rsidR="0043278C" w:rsidRPr="00AD76AF">
              <w:rPr>
                <w:rFonts w:cs="Arial"/>
                <w:sz w:val="20"/>
                <w:szCs w:val="20"/>
              </w:rPr>
              <w:t>d</w:t>
            </w:r>
            <w:r w:rsidRPr="00AD76AF">
              <w:rPr>
                <w:rFonts w:cs="Arial"/>
                <w:sz w:val="20"/>
                <w:szCs w:val="20"/>
              </w:rPr>
              <w:t xml:space="preserve"> two joint seminars (one in Kyrgyzstan and the other one in Kazakhstan) to discuss key findings of the methodology for assessing the mitigation potential of climate technologies in the agriculture sector.</w:t>
            </w:r>
          </w:p>
          <w:p w14:paraId="4264E572" w14:textId="77777777" w:rsidR="006542FC" w:rsidRPr="00AD76AF" w:rsidRDefault="006542FC" w:rsidP="006542FC">
            <w:pPr>
              <w:spacing w:after="120"/>
              <w:rPr>
                <w:rFonts w:cs="Arial"/>
                <w:sz w:val="20"/>
                <w:szCs w:val="20"/>
              </w:rPr>
            </w:pPr>
            <w:r w:rsidRPr="00AD76AF">
              <w:rPr>
                <w:rFonts w:cs="Arial"/>
                <w:sz w:val="20"/>
                <w:szCs w:val="20"/>
              </w:rPr>
              <w:lastRenderedPageBreak/>
              <w:t>In addition to that, the EBRD is setting up targeted market assessment activities on an ad-hoc basis to assess the market penetration and replicability potential of technologies.</w:t>
            </w:r>
          </w:p>
        </w:tc>
        <w:tc>
          <w:tcPr>
            <w:tcW w:w="955" w:type="dxa"/>
          </w:tcPr>
          <w:p w14:paraId="33C324C0" w14:textId="7D31EE74" w:rsidR="006542FC" w:rsidRPr="00AD76AF" w:rsidRDefault="006542FC" w:rsidP="003663DE">
            <w:pPr>
              <w:spacing w:after="0" w:line="240" w:lineRule="auto"/>
              <w:rPr>
                <w:rFonts w:cs="Arial"/>
                <w:sz w:val="20"/>
                <w:szCs w:val="20"/>
              </w:rPr>
            </w:pPr>
            <w:r w:rsidRPr="00AD76AF">
              <w:rPr>
                <w:rFonts w:cs="Arial"/>
                <w:sz w:val="20"/>
                <w:szCs w:val="20"/>
              </w:rPr>
              <w:lastRenderedPageBreak/>
              <w:t>S</w:t>
            </w:r>
          </w:p>
        </w:tc>
      </w:tr>
      <w:tr w:rsidR="006542FC" w:rsidRPr="00AD76AF" w14:paraId="13BC17A4" w14:textId="77777777" w:rsidTr="00D55B3A">
        <w:tc>
          <w:tcPr>
            <w:tcW w:w="3369" w:type="dxa"/>
            <w:vMerge/>
            <w:shd w:val="clear" w:color="auto" w:fill="auto"/>
          </w:tcPr>
          <w:p w14:paraId="36D8AE5A" w14:textId="77777777" w:rsidR="006542FC" w:rsidRPr="00AD76AF" w:rsidRDefault="006542FC" w:rsidP="003663DE">
            <w:pPr>
              <w:spacing w:after="0" w:line="240" w:lineRule="auto"/>
              <w:rPr>
                <w:rFonts w:cs="Arial"/>
                <w:sz w:val="20"/>
                <w:szCs w:val="20"/>
              </w:rPr>
            </w:pPr>
          </w:p>
        </w:tc>
        <w:tc>
          <w:tcPr>
            <w:tcW w:w="2976" w:type="dxa"/>
            <w:shd w:val="clear" w:color="auto" w:fill="auto"/>
          </w:tcPr>
          <w:p w14:paraId="31A57109" w14:textId="77777777" w:rsidR="006542FC" w:rsidRPr="00AD76AF" w:rsidRDefault="006542FC" w:rsidP="003663DE">
            <w:pPr>
              <w:spacing w:after="0" w:line="240" w:lineRule="auto"/>
              <w:rPr>
                <w:rFonts w:cs="Arial"/>
                <w:b/>
                <w:sz w:val="20"/>
                <w:szCs w:val="20"/>
              </w:rPr>
            </w:pPr>
            <w:r w:rsidRPr="00AD76AF">
              <w:rPr>
                <w:rFonts w:cs="Arial"/>
                <w:b/>
                <w:sz w:val="20"/>
                <w:szCs w:val="20"/>
              </w:rPr>
              <w:t>Adaptation:</w:t>
            </w:r>
            <w:r w:rsidRPr="00AD76AF">
              <w:rPr>
                <w:rStyle w:val="FootnoteReference"/>
                <w:rFonts w:cs="Arial"/>
                <w:b/>
                <w:sz w:val="20"/>
                <w:szCs w:val="20"/>
              </w:rPr>
              <w:t xml:space="preserve"> </w:t>
            </w:r>
          </w:p>
          <w:p w14:paraId="32EE44E8" w14:textId="77777777" w:rsidR="006542FC" w:rsidRPr="00AD76AF" w:rsidRDefault="006542FC" w:rsidP="003663DE">
            <w:pPr>
              <w:spacing w:after="0" w:line="240" w:lineRule="auto"/>
              <w:rPr>
                <w:rFonts w:cs="Arial"/>
                <w:sz w:val="20"/>
                <w:szCs w:val="20"/>
              </w:rPr>
            </w:pPr>
            <w:r w:rsidRPr="00AD76AF">
              <w:rPr>
                <w:rFonts w:cs="Arial"/>
                <w:sz w:val="20"/>
                <w:szCs w:val="20"/>
              </w:rPr>
              <w:t>Strengthened capacity to transfer appropriate adaptation technologies</w:t>
            </w:r>
            <w:r w:rsidRPr="00AD76AF">
              <w:rPr>
                <w:rStyle w:val="FootnoteReference"/>
                <w:rFonts w:cs="Arial"/>
                <w:sz w:val="20"/>
                <w:szCs w:val="20"/>
              </w:rPr>
              <w:footnoteReference w:id="11"/>
            </w:r>
            <w:r w:rsidRPr="00AD76AF">
              <w:rPr>
                <w:rFonts w:cs="Arial"/>
                <w:sz w:val="20"/>
                <w:szCs w:val="20"/>
              </w:rPr>
              <w:t>.</w:t>
            </w:r>
          </w:p>
          <w:p w14:paraId="79D63B90" w14:textId="77777777" w:rsidR="006542FC" w:rsidRPr="00AD76AF" w:rsidRDefault="006542FC" w:rsidP="003663DE">
            <w:pPr>
              <w:spacing w:after="0" w:line="240" w:lineRule="auto"/>
              <w:rPr>
                <w:rFonts w:cs="Arial"/>
                <w:sz w:val="20"/>
                <w:szCs w:val="20"/>
              </w:rPr>
            </w:pPr>
          </w:p>
          <w:p w14:paraId="2AB807DD" w14:textId="77777777" w:rsidR="006542FC" w:rsidRPr="00AD76AF" w:rsidRDefault="006542FC" w:rsidP="003663DE">
            <w:pPr>
              <w:spacing w:after="0" w:line="240" w:lineRule="auto"/>
              <w:rPr>
                <w:rFonts w:cs="Arial"/>
                <w:sz w:val="20"/>
                <w:szCs w:val="20"/>
              </w:rPr>
            </w:pPr>
            <w:r w:rsidRPr="00AD76AF">
              <w:rPr>
                <w:rFonts w:cs="Arial"/>
                <w:sz w:val="20"/>
                <w:szCs w:val="20"/>
              </w:rPr>
              <w:t>Number of individuals trained in adaptation-related technologies (gender disaggregated)</w:t>
            </w:r>
          </w:p>
        </w:tc>
        <w:tc>
          <w:tcPr>
            <w:tcW w:w="3119" w:type="dxa"/>
          </w:tcPr>
          <w:p w14:paraId="71126932" w14:textId="77777777" w:rsidR="006542FC" w:rsidRPr="00AD76AF" w:rsidRDefault="006542FC" w:rsidP="003663DE">
            <w:pPr>
              <w:spacing w:after="0" w:line="240" w:lineRule="auto"/>
              <w:rPr>
                <w:rFonts w:cs="Arial"/>
                <w:b/>
                <w:sz w:val="20"/>
                <w:szCs w:val="20"/>
              </w:rPr>
            </w:pPr>
            <w:r w:rsidRPr="00AD76AF">
              <w:rPr>
                <w:rFonts w:cs="Arial"/>
                <w:b/>
                <w:sz w:val="20"/>
                <w:szCs w:val="20"/>
              </w:rPr>
              <w:t>Adaptation:</w:t>
            </w:r>
          </w:p>
          <w:p w14:paraId="6A5AA10B" w14:textId="77777777" w:rsidR="006542FC" w:rsidRPr="00AD76AF" w:rsidRDefault="006542FC" w:rsidP="003663DE">
            <w:pPr>
              <w:spacing w:after="0" w:line="240" w:lineRule="auto"/>
              <w:rPr>
                <w:rFonts w:cs="Arial"/>
                <w:sz w:val="20"/>
                <w:szCs w:val="20"/>
              </w:rPr>
            </w:pPr>
            <w:r w:rsidRPr="00AD76AF">
              <w:rPr>
                <w:rFonts w:cs="Arial"/>
                <w:sz w:val="20"/>
                <w:szCs w:val="20"/>
              </w:rPr>
              <w:t>2 – Moderate capacity achieved by Network participants &amp; other investors</w:t>
            </w:r>
          </w:p>
          <w:p w14:paraId="31E102D5" w14:textId="77777777" w:rsidR="006542FC" w:rsidRPr="00AD76AF" w:rsidRDefault="006542FC" w:rsidP="003663DE">
            <w:pPr>
              <w:spacing w:after="0" w:line="240" w:lineRule="auto"/>
              <w:rPr>
                <w:rFonts w:cs="Arial"/>
                <w:sz w:val="20"/>
                <w:szCs w:val="20"/>
              </w:rPr>
            </w:pPr>
          </w:p>
          <w:p w14:paraId="20366512" w14:textId="77777777" w:rsidR="006542FC" w:rsidRPr="00AD76AF" w:rsidRDefault="006542FC" w:rsidP="003663DE">
            <w:pPr>
              <w:spacing w:after="0" w:line="240" w:lineRule="auto"/>
              <w:rPr>
                <w:rFonts w:cs="Arial"/>
                <w:sz w:val="20"/>
                <w:szCs w:val="20"/>
              </w:rPr>
            </w:pPr>
            <w:r w:rsidRPr="00AD76AF">
              <w:rPr>
                <w:rFonts w:cs="Arial"/>
                <w:sz w:val="20"/>
                <w:szCs w:val="20"/>
              </w:rPr>
              <w:t>25 males, 25 females trained in adaptation-related technologies</w:t>
            </w:r>
          </w:p>
        </w:tc>
        <w:tc>
          <w:tcPr>
            <w:tcW w:w="3969" w:type="dxa"/>
          </w:tcPr>
          <w:p w14:paraId="61D02626" w14:textId="77777777" w:rsidR="006542FC" w:rsidRPr="00AD76AF" w:rsidRDefault="0043278C" w:rsidP="006542FC">
            <w:pPr>
              <w:spacing w:after="120"/>
              <w:rPr>
                <w:rFonts w:cs="Arial"/>
                <w:sz w:val="20"/>
                <w:szCs w:val="20"/>
              </w:rPr>
            </w:pPr>
            <w:r w:rsidRPr="00AD76AF">
              <w:rPr>
                <w:rFonts w:cs="Arial"/>
                <w:sz w:val="20"/>
                <w:szCs w:val="20"/>
              </w:rPr>
              <w:t>Training of dozens of consultants on industrial energy efficiency, building energy efficiency and climate adaptation technologies has been implemented in a number of locations in the region (</w:t>
            </w:r>
            <w:r w:rsidR="006542FC" w:rsidRPr="00AD76AF">
              <w:rPr>
                <w:rFonts w:cs="Arial"/>
                <w:sz w:val="20"/>
                <w:szCs w:val="20"/>
              </w:rPr>
              <w:t>Mongoli</w:t>
            </w:r>
            <w:r w:rsidRPr="00AD76AF">
              <w:rPr>
                <w:rFonts w:cs="Arial"/>
                <w:sz w:val="20"/>
                <w:szCs w:val="20"/>
              </w:rPr>
              <w:t>a,</w:t>
            </w:r>
            <w:r w:rsidR="006542FC" w:rsidRPr="00AD76AF">
              <w:rPr>
                <w:rFonts w:cs="Arial"/>
                <w:sz w:val="20"/>
                <w:szCs w:val="20"/>
              </w:rPr>
              <w:t xml:space="preserve"> Armenia, Moldova and Kyrgyz Republic</w:t>
            </w:r>
            <w:r w:rsidRPr="00AD76AF">
              <w:rPr>
                <w:rFonts w:cs="Arial"/>
                <w:sz w:val="20"/>
                <w:szCs w:val="20"/>
              </w:rPr>
              <w:t>)</w:t>
            </w:r>
            <w:r w:rsidR="006542FC" w:rsidRPr="00AD76AF">
              <w:rPr>
                <w:rFonts w:cs="Arial"/>
                <w:sz w:val="20"/>
                <w:szCs w:val="20"/>
              </w:rPr>
              <w:t xml:space="preserve">. </w:t>
            </w:r>
          </w:p>
          <w:p w14:paraId="09546C01" w14:textId="773F7C83" w:rsidR="006542FC" w:rsidRPr="00AD76AF" w:rsidRDefault="006542FC" w:rsidP="006542FC">
            <w:pPr>
              <w:spacing w:after="120"/>
              <w:rPr>
                <w:rFonts w:cs="Arial"/>
                <w:sz w:val="20"/>
                <w:szCs w:val="20"/>
              </w:rPr>
            </w:pPr>
            <w:r w:rsidRPr="00AD76AF">
              <w:rPr>
                <w:rFonts w:cs="Arial"/>
                <w:sz w:val="20"/>
                <w:szCs w:val="20"/>
              </w:rPr>
              <w:t>Gen</w:t>
            </w:r>
            <w:r w:rsidR="0043278C" w:rsidRPr="00AD76AF">
              <w:rPr>
                <w:rFonts w:cs="Arial"/>
                <w:sz w:val="20"/>
                <w:szCs w:val="20"/>
              </w:rPr>
              <w:t>der coverage has not been even</w:t>
            </w:r>
            <w:r w:rsidRPr="00AD76AF">
              <w:rPr>
                <w:rFonts w:cs="Arial"/>
                <w:sz w:val="20"/>
                <w:szCs w:val="20"/>
              </w:rPr>
              <w:t>, but this reflects the low number of women a</w:t>
            </w:r>
            <w:r w:rsidR="0043278C" w:rsidRPr="00AD76AF">
              <w:rPr>
                <w:rFonts w:cs="Arial"/>
                <w:sz w:val="20"/>
                <w:szCs w:val="20"/>
              </w:rPr>
              <w:t>lready operating in this field</w:t>
            </w:r>
            <w:r w:rsidR="00E16B0B">
              <w:rPr>
                <w:rFonts w:cs="Arial"/>
                <w:sz w:val="20"/>
                <w:szCs w:val="20"/>
              </w:rPr>
              <w:t xml:space="preserve"> (see MTR for more detail)</w:t>
            </w:r>
            <w:r w:rsidR="0043278C" w:rsidRPr="00AD76AF">
              <w:rPr>
                <w:rFonts w:cs="Arial"/>
                <w:sz w:val="20"/>
                <w:szCs w:val="20"/>
              </w:rPr>
              <w:t>.</w:t>
            </w:r>
          </w:p>
        </w:tc>
        <w:tc>
          <w:tcPr>
            <w:tcW w:w="955" w:type="dxa"/>
          </w:tcPr>
          <w:p w14:paraId="06C020EF" w14:textId="77777777" w:rsidR="006542FC" w:rsidRPr="00AD76AF" w:rsidRDefault="006542FC" w:rsidP="003663DE">
            <w:pPr>
              <w:spacing w:after="0" w:line="240" w:lineRule="auto"/>
              <w:rPr>
                <w:rFonts w:cs="Arial"/>
                <w:sz w:val="20"/>
                <w:szCs w:val="20"/>
              </w:rPr>
            </w:pPr>
            <w:r w:rsidRPr="00AD76AF">
              <w:rPr>
                <w:rFonts w:cs="Arial"/>
                <w:sz w:val="20"/>
                <w:szCs w:val="20"/>
              </w:rPr>
              <w:t>S</w:t>
            </w:r>
          </w:p>
        </w:tc>
      </w:tr>
      <w:tr w:rsidR="006542FC" w:rsidRPr="00AD76AF" w14:paraId="6DFF49BC" w14:textId="77777777" w:rsidTr="00BB7176">
        <w:tc>
          <w:tcPr>
            <w:tcW w:w="3369" w:type="dxa"/>
            <w:shd w:val="clear" w:color="auto" w:fill="auto"/>
          </w:tcPr>
          <w:p w14:paraId="31E3A580" w14:textId="77777777" w:rsidR="006542FC" w:rsidRPr="00AD76AF" w:rsidRDefault="006542FC" w:rsidP="003663DE">
            <w:pPr>
              <w:spacing w:after="0" w:line="240" w:lineRule="auto"/>
              <w:rPr>
                <w:rFonts w:cs="Arial"/>
                <w:sz w:val="20"/>
                <w:szCs w:val="20"/>
              </w:rPr>
            </w:pPr>
            <w:r w:rsidRPr="00AD76AF">
              <w:rPr>
                <w:rFonts w:cs="Arial"/>
                <w:b/>
                <w:sz w:val="20"/>
                <w:szCs w:val="20"/>
              </w:rPr>
              <w:t>1.3 / 1.4</w:t>
            </w:r>
            <w:r w:rsidRPr="00AD76AF">
              <w:rPr>
                <w:rFonts w:cs="Arial"/>
                <w:sz w:val="20"/>
                <w:szCs w:val="20"/>
              </w:rPr>
              <w:t xml:space="preserve"> Enabling environment for the transfer of climate technologies including the removal of barriers in policies/regulations that are limiting climate technology transfer </w:t>
            </w:r>
          </w:p>
        </w:tc>
        <w:tc>
          <w:tcPr>
            <w:tcW w:w="2976" w:type="dxa"/>
            <w:shd w:val="clear" w:color="auto" w:fill="auto"/>
          </w:tcPr>
          <w:p w14:paraId="0550FED0" w14:textId="77777777" w:rsidR="006542FC" w:rsidRPr="00AD76AF" w:rsidRDefault="006542FC" w:rsidP="003663DE">
            <w:pPr>
              <w:spacing w:after="0" w:line="240" w:lineRule="auto"/>
              <w:rPr>
                <w:rFonts w:cs="Arial"/>
                <w:sz w:val="20"/>
                <w:szCs w:val="20"/>
              </w:rPr>
            </w:pPr>
            <w:r w:rsidRPr="00AD76AF">
              <w:rPr>
                <w:rFonts w:cs="Arial"/>
                <w:sz w:val="20"/>
                <w:szCs w:val="20"/>
              </w:rPr>
              <w:t>Policy and regulatory framework for energy efficiency</w:t>
            </w:r>
            <w:r w:rsidRPr="00AD76AF">
              <w:rPr>
                <w:rStyle w:val="FootnoteReference"/>
                <w:rFonts w:cs="Arial"/>
                <w:sz w:val="20"/>
                <w:szCs w:val="20"/>
              </w:rPr>
              <w:footnoteReference w:id="12"/>
            </w:r>
          </w:p>
        </w:tc>
        <w:tc>
          <w:tcPr>
            <w:tcW w:w="3119" w:type="dxa"/>
          </w:tcPr>
          <w:p w14:paraId="0F4C26D7" w14:textId="77777777" w:rsidR="006542FC" w:rsidRPr="00AD76AF" w:rsidRDefault="006542FC" w:rsidP="003663DE">
            <w:pPr>
              <w:spacing w:after="0" w:line="240" w:lineRule="auto"/>
              <w:rPr>
                <w:rFonts w:cs="Arial"/>
                <w:sz w:val="20"/>
                <w:szCs w:val="20"/>
              </w:rPr>
            </w:pPr>
            <w:r w:rsidRPr="00AD76AF">
              <w:rPr>
                <w:rFonts w:cs="Arial"/>
                <w:sz w:val="20"/>
                <w:szCs w:val="20"/>
              </w:rPr>
              <w:t>2 – Policy/ regulation/ strategy discussed and proposed</w:t>
            </w:r>
          </w:p>
        </w:tc>
        <w:tc>
          <w:tcPr>
            <w:tcW w:w="3969" w:type="dxa"/>
          </w:tcPr>
          <w:p w14:paraId="6735FC44" w14:textId="002BAD40" w:rsidR="006D4B33" w:rsidRPr="00AD76AF" w:rsidRDefault="006D4B33" w:rsidP="006D4B33">
            <w:pPr>
              <w:spacing w:after="120"/>
              <w:rPr>
                <w:rFonts w:cs="Arial"/>
                <w:sz w:val="20"/>
                <w:szCs w:val="20"/>
              </w:rPr>
            </w:pPr>
            <w:r w:rsidRPr="00AD76AF">
              <w:rPr>
                <w:rFonts w:cs="Arial"/>
                <w:sz w:val="20"/>
                <w:szCs w:val="20"/>
              </w:rPr>
              <w:t xml:space="preserve">The target has been achieved already at mid-term. </w:t>
            </w:r>
          </w:p>
          <w:p w14:paraId="777ABF33" w14:textId="0F0B7A41" w:rsidR="006542FC" w:rsidRPr="00AD76AF" w:rsidRDefault="006542FC" w:rsidP="006D4B33">
            <w:pPr>
              <w:spacing w:after="120"/>
              <w:rPr>
                <w:rFonts w:cs="Arial"/>
                <w:sz w:val="20"/>
                <w:szCs w:val="20"/>
              </w:rPr>
            </w:pPr>
            <w:r w:rsidRPr="00AD76AF">
              <w:rPr>
                <w:rFonts w:cs="Arial"/>
                <w:sz w:val="20"/>
                <w:szCs w:val="20"/>
              </w:rPr>
              <w:t xml:space="preserve">The work in this area </w:t>
            </w:r>
            <w:r w:rsidR="006D4B33" w:rsidRPr="00AD76AF">
              <w:rPr>
                <w:rFonts w:cs="Arial"/>
                <w:sz w:val="20"/>
                <w:szCs w:val="20"/>
              </w:rPr>
              <w:t xml:space="preserve">continues on </w:t>
            </w:r>
            <w:r w:rsidRPr="00AD76AF">
              <w:rPr>
                <w:rFonts w:cs="Arial"/>
                <w:sz w:val="20"/>
                <w:szCs w:val="20"/>
              </w:rPr>
              <w:t>development of methodologies by IEA/FAO. These methodologies have been piloted and disseminated during the Bioenergy week</w:t>
            </w:r>
            <w:r w:rsidR="008669F9" w:rsidRPr="00AD76AF">
              <w:rPr>
                <w:rFonts w:cs="Arial"/>
                <w:sz w:val="20"/>
                <w:szCs w:val="20"/>
              </w:rPr>
              <w:t xml:space="preserve">, </w:t>
            </w:r>
            <w:r w:rsidR="00BA2F04" w:rsidRPr="00AD76AF">
              <w:rPr>
                <w:rFonts w:cs="Arial"/>
                <w:sz w:val="20"/>
                <w:szCs w:val="20"/>
              </w:rPr>
              <w:t xml:space="preserve">and in different events (COP and FAO/EBRD seminar in </w:t>
            </w:r>
            <w:r w:rsidRPr="00AD76AF">
              <w:rPr>
                <w:rFonts w:cs="Arial"/>
                <w:sz w:val="20"/>
                <w:szCs w:val="20"/>
              </w:rPr>
              <w:t>Kyrgyzstan and Kazakhstan</w:t>
            </w:r>
            <w:r w:rsidR="00BA2F04" w:rsidRPr="00AD76AF">
              <w:rPr>
                <w:rFonts w:cs="Arial"/>
                <w:sz w:val="20"/>
                <w:szCs w:val="20"/>
              </w:rPr>
              <w:t>).</w:t>
            </w:r>
          </w:p>
        </w:tc>
        <w:tc>
          <w:tcPr>
            <w:tcW w:w="955" w:type="dxa"/>
          </w:tcPr>
          <w:p w14:paraId="3B05F11A" w14:textId="77777777" w:rsidR="006542FC" w:rsidRPr="00AD76AF" w:rsidRDefault="006542FC" w:rsidP="003663DE">
            <w:pPr>
              <w:spacing w:after="0" w:line="240" w:lineRule="auto"/>
              <w:rPr>
                <w:rFonts w:cs="Arial"/>
                <w:sz w:val="20"/>
                <w:szCs w:val="20"/>
              </w:rPr>
            </w:pPr>
            <w:r w:rsidRPr="00AD76AF">
              <w:rPr>
                <w:rFonts w:cs="Arial"/>
                <w:sz w:val="20"/>
                <w:szCs w:val="20"/>
              </w:rPr>
              <w:t>S</w:t>
            </w:r>
          </w:p>
        </w:tc>
      </w:tr>
      <w:tr w:rsidR="008C3F34" w:rsidRPr="00AD76AF" w14:paraId="6C68141D" w14:textId="77777777" w:rsidTr="00D55B3A">
        <w:trPr>
          <w:trHeight w:val="1915"/>
        </w:trPr>
        <w:tc>
          <w:tcPr>
            <w:tcW w:w="3369" w:type="dxa"/>
            <w:vMerge w:val="restart"/>
            <w:shd w:val="clear" w:color="auto" w:fill="auto"/>
          </w:tcPr>
          <w:p w14:paraId="75BCA296" w14:textId="77777777" w:rsidR="008C3F34" w:rsidRPr="00AD76AF" w:rsidRDefault="008C3F34" w:rsidP="003663DE">
            <w:pPr>
              <w:keepNext/>
              <w:keepLines/>
              <w:spacing w:after="0" w:line="240" w:lineRule="auto"/>
              <w:rPr>
                <w:rFonts w:cs="Arial"/>
                <w:sz w:val="20"/>
                <w:szCs w:val="20"/>
              </w:rPr>
            </w:pPr>
            <w:r w:rsidRPr="00AD76AF">
              <w:rPr>
                <w:rFonts w:cs="Arial"/>
                <w:b/>
                <w:sz w:val="20"/>
                <w:szCs w:val="20"/>
              </w:rPr>
              <w:lastRenderedPageBreak/>
              <w:t>2.1 / 2.2</w:t>
            </w:r>
            <w:r w:rsidRPr="00AD76AF">
              <w:rPr>
                <w:rFonts w:cs="Arial"/>
                <w:sz w:val="20"/>
                <w:szCs w:val="20"/>
              </w:rPr>
              <w:t xml:space="preserve"> Financing mechanism specifically designed for technology transfer in the Region</w:t>
            </w:r>
          </w:p>
          <w:p w14:paraId="60B646E8" w14:textId="77777777" w:rsidR="008C3F34" w:rsidRPr="00AD76AF" w:rsidRDefault="008C3F34" w:rsidP="003663DE">
            <w:pPr>
              <w:spacing w:after="0" w:line="240" w:lineRule="auto"/>
              <w:rPr>
                <w:rFonts w:cs="Arial"/>
                <w:sz w:val="20"/>
                <w:szCs w:val="20"/>
              </w:rPr>
            </w:pPr>
          </w:p>
        </w:tc>
        <w:tc>
          <w:tcPr>
            <w:tcW w:w="2976" w:type="dxa"/>
            <w:shd w:val="clear" w:color="auto" w:fill="auto"/>
          </w:tcPr>
          <w:p w14:paraId="4BCB1A35" w14:textId="77777777" w:rsidR="008C3F34" w:rsidRPr="00AD76AF" w:rsidRDefault="008C3F34" w:rsidP="003663DE">
            <w:pPr>
              <w:spacing w:after="0" w:line="240" w:lineRule="auto"/>
              <w:rPr>
                <w:rFonts w:cs="Arial"/>
                <w:sz w:val="20"/>
                <w:szCs w:val="20"/>
              </w:rPr>
            </w:pPr>
            <w:r w:rsidRPr="00AD76AF">
              <w:rPr>
                <w:rFonts w:cs="Arial"/>
                <w:b/>
                <w:sz w:val="20"/>
                <w:szCs w:val="20"/>
              </w:rPr>
              <w:t>Mitigation:</w:t>
            </w:r>
            <w:r w:rsidRPr="00AD76AF">
              <w:rPr>
                <w:rFonts w:cs="Arial"/>
                <w:sz w:val="20"/>
                <w:szCs w:val="20"/>
              </w:rPr>
              <w:t xml:space="preserve"> Establishment of financial facilities for EE and RE (e.g., credit lines, risk guarantees, revolving funds)</w:t>
            </w:r>
            <w:r w:rsidRPr="00AD76AF">
              <w:rPr>
                <w:rFonts w:cs="Arial"/>
                <w:sz w:val="20"/>
                <w:szCs w:val="20"/>
                <w:vertAlign w:val="superscript"/>
              </w:rPr>
              <w:footnoteReference w:id="13"/>
            </w:r>
          </w:p>
        </w:tc>
        <w:tc>
          <w:tcPr>
            <w:tcW w:w="3119" w:type="dxa"/>
          </w:tcPr>
          <w:p w14:paraId="49B93A9F" w14:textId="77777777" w:rsidR="008C3F34" w:rsidRPr="00AD76AF" w:rsidRDefault="008C3F34" w:rsidP="003663DE">
            <w:pPr>
              <w:spacing w:after="0" w:line="240" w:lineRule="auto"/>
              <w:rPr>
                <w:rFonts w:cs="Arial"/>
                <w:b/>
                <w:sz w:val="20"/>
                <w:szCs w:val="20"/>
              </w:rPr>
            </w:pPr>
            <w:r w:rsidRPr="00AD76AF">
              <w:rPr>
                <w:rFonts w:cs="Arial"/>
                <w:b/>
                <w:sz w:val="20"/>
                <w:szCs w:val="20"/>
              </w:rPr>
              <w:t>Mitigation:</w:t>
            </w:r>
          </w:p>
          <w:p w14:paraId="620AB7A8" w14:textId="77777777" w:rsidR="008C3F34" w:rsidRPr="00AD76AF" w:rsidRDefault="008C3F34" w:rsidP="003663DE">
            <w:pPr>
              <w:spacing w:after="0" w:line="240" w:lineRule="auto"/>
              <w:rPr>
                <w:rFonts w:cs="Arial"/>
                <w:sz w:val="20"/>
                <w:szCs w:val="20"/>
              </w:rPr>
            </w:pPr>
            <w:r w:rsidRPr="00AD76AF">
              <w:rPr>
                <w:rFonts w:cs="Arial"/>
                <w:sz w:val="20"/>
                <w:szCs w:val="20"/>
              </w:rPr>
              <w:t>4 - facility operationalized/ funded and having sufficient demand</w:t>
            </w:r>
          </w:p>
        </w:tc>
        <w:tc>
          <w:tcPr>
            <w:tcW w:w="3969" w:type="dxa"/>
          </w:tcPr>
          <w:p w14:paraId="122B42F7" w14:textId="26A22CA5" w:rsidR="006D4B33" w:rsidRPr="00AD76AF" w:rsidRDefault="006D4B33" w:rsidP="008C3F34">
            <w:pPr>
              <w:spacing w:after="120"/>
              <w:rPr>
                <w:rFonts w:cs="Arial"/>
                <w:sz w:val="20"/>
                <w:szCs w:val="20"/>
              </w:rPr>
            </w:pPr>
            <w:r w:rsidRPr="00AD76AF">
              <w:rPr>
                <w:rFonts w:cs="Arial"/>
                <w:sz w:val="20"/>
                <w:szCs w:val="20"/>
              </w:rPr>
              <w:t xml:space="preserve">The target </w:t>
            </w:r>
            <w:r w:rsidR="000D7F48">
              <w:rPr>
                <w:rFonts w:cs="Arial"/>
                <w:sz w:val="20"/>
                <w:szCs w:val="20"/>
              </w:rPr>
              <w:t>has been</w:t>
            </w:r>
            <w:r w:rsidRPr="00AD76AF">
              <w:rPr>
                <w:rFonts w:cs="Arial"/>
                <w:sz w:val="20"/>
                <w:szCs w:val="20"/>
              </w:rPr>
              <w:t xml:space="preserve"> achieved already at mid-term. </w:t>
            </w:r>
          </w:p>
          <w:p w14:paraId="50349653" w14:textId="3F1E8AE2" w:rsidR="008C3F34" w:rsidRPr="00AD76AF" w:rsidRDefault="008C3F34" w:rsidP="008C3F34">
            <w:pPr>
              <w:spacing w:after="120"/>
              <w:rPr>
                <w:rFonts w:cs="Arial"/>
                <w:sz w:val="20"/>
                <w:szCs w:val="20"/>
              </w:rPr>
            </w:pPr>
            <w:r w:rsidRPr="00AD76AF">
              <w:rPr>
                <w:rFonts w:cs="Arial"/>
                <w:sz w:val="20"/>
                <w:szCs w:val="20"/>
              </w:rPr>
              <w:t xml:space="preserve">The EBRD is undertaking direct investments in all countries with the support of FINTECC grants for eligible mitigation and adaptation technologies. Credit lines for mitigation activities, funded through other donor-supported </w:t>
            </w:r>
            <w:r w:rsidR="00C807B3">
              <w:rPr>
                <w:rFonts w:cs="Arial"/>
                <w:sz w:val="20"/>
                <w:szCs w:val="20"/>
              </w:rPr>
              <w:t>Project</w:t>
            </w:r>
            <w:r w:rsidRPr="00AD76AF">
              <w:rPr>
                <w:rFonts w:cs="Arial"/>
                <w:sz w:val="20"/>
                <w:szCs w:val="20"/>
              </w:rPr>
              <w:t>s, are now in place in all GEF-funded FINTECC countries apart from Turkmenistan and Uzbekistan.</w:t>
            </w:r>
          </w:p>
        </w:tc>
        <w:tc>
          <w:tcPr>
            <w:tcW w:w="955" w:type="dxa"/>
          </w:tcPr>
          <w:p w14:paraId="0C77D662" w14:textId="77777777" w:rsidR="008C3F34" w:rsidRPr="00AD76AF" w:rsidRDefault="008C3F34" w:rsidP="003663DE">
            <w:pPr>
              <w:spacing w:after="0" w:line="240" w:lineRule="auto"/>
              <w:rPr>
                <w:rFonts w:cs="Arial"/>
                <w:sz w:val="20"/>
                <w:szCs w:val="20"/>
              </w:rPr>
            </w:pPr>
            <w:r w:rsidRPr="00AD76AF">
              <w:rPr>
                <w:rFonts w:cs="Arial"/>
                <w:sz w:val="20"/>
                <w:szCs w:val="20"/>
              </w:rPr>
              <w:t>HS</w:t>
            </w:r>
          </w:p>
        </w:tc>
      </w:tr>
      <w:tr w:rsidR="008C3F34" w:rsidRPr="00AD76AF" w14:paraId="30182A0A" w14:textId="77777777" w:rsidTr="00D55B3A">
        <w:tc>
          <w:tcPr>
            <w:tcW w:w="3369" w:type="dxa"/>
            <w:vMerge/>
            <w:shd w:val="clear" w:color="auto" w:fill="auto"/>
          </w:tcPr>
          <w:p w14:paraId="6FD8844F" w14:textId="77777777" w:rsidR="008C3F34" w:rsidRPr="00AD76AF" w:rsidRDefault="008C3F34" w:rsidP="003663DE">
            <w:pPr>
              <w:keepNext/>
              <w:keepLines/>
              <w:spacing w:after="0" w:line="240" w:lineRule="auto"/>
              <w:rPr>
                <w:rFonts w:cs="Arial"/>
                <w:sz w:val="20"/>
                <w:szCs w:val="20"/>
              </w:rPr>
            </w:pPr>
          </w:p>
        </w:tc>
        <w:tc>
          <w:tcPr>
            <w:tcW w:w="2976" w:type="dxa"/>
            <w:shd w:val="clear" w:color="auto" w:fill="auto"/>
          </w:tcPr>
          <w:p w14:paraId="6058BA91" w14:textId="77777777" w:rsidR="008C3F34" w:rsidRPr="00AD76AF" w:rsidRDefault="008C3F34" w:rsidP="003663DE">
            <w:pPr>
              <w:spacing w:after="0" w:line="240" w:lineRule="auto"/>
              <w:rPr>
                <w:rFonts w:cs="Arial"/>
                <w:b/>
                <w:sz w:val="20"/>
                <w:szCs w:val="20"/>
              </w:rPr>
            </w:pPr>
            <w:r w:rsidRPr="00AD76AF">
              <w:rPr>
                <w:rFonts w:cs="Arial"/>
                <w:b/>
                <w:sz w:val="20"/>
                <w:szCs w:val="20"/>
              </w:rPr>
              <w:t>Adaptation:</w:t>
            </w:r>
          </w:p>
          <w:p w14:paraId="46FA2DDC" w14:textId="77777777" w:rsidR="008C3F34" w:rsidRPr="00AD76AF" w:rsidRDefault="008C3F34" w:rsidP="003663DE">
            <w:pPr>
              <w:spacing w:after="0" w:line="240" w:lineRule="auto"/>
              <w:rPr>
                <w:rFonts w:cs="Arial"/>
                <w:sz w:val="20"/>
                <w:szCs w:val="20"/>
              </w:rPr>
            </w:pPr>
            <w:r w:rsidRPr="00AD76AF">
              <w:rPr>
                <w:rFonts w:cs="Arial"/>
                <w:sz w:val="20"/>
                <w:szCs w:val="20"/>
              </w:rPr>
              <w:t>Financial facility in place for adaptation</w:t>
            </w:r>
            <w:r w:rsidRPr="00AD76AF">
              <w:rPr>
                <w:rStyle w:val="FootnoteReference"/>
                <w:rFonts w:cs="Arial"/>
                <w:sz w:val="20"/>
                <w:szCs w:val="20"/>
              </w:rPr>
              <w:footnoteReference w:id="14"/>
            </w:r>
          </w:p>
        </w:tc>
        <w:tc>
          <w:tcPr>
            <w:tcW w:w="3119" w:type="dxa"/>
          </w:tcPr>
          <w:p w14:paraId="06BE1AF4" w14:textId="77777777" w:rsidR="008C3F34" w:rsidRPr="00AD76AF" w:rsidRDefault="008C3F34" w:rsidP="003663DE">
            <w:pPr>
              <w:spacing w:after="0" w:line="240" w:lineRule="auto"/>
              <w:rPr>
                <w:rFonts w:cs="Arial"/>
                <w:b/>
                <w:sz w:val="20"/>
                <w:szCs w:val="20"/>
              </w:rPr>
            </w:pPr>
            <w:r w:rsidRPr="00AD76AF">
              <w:rPr>
                <w:rFonts w:cs="Arial"/>
                <w:b/>
                <w:sz w:val="20"/>
                <w:szCs w:val="20"/>
              </w:rPr>
              <w:t>Adaptation:</w:t>
            </w:r>
          </w:p>
          <w:p w14:paraId="461CC7CD" w14:textId="77777777" w:rsidR="008C3F34" w:rsidRPr="00AD76AF" w:rsidRDefault="008C3F34" w:rsidP="003663DE">
            <w:pPr>
              <w:spacing w:after="0" w:line="240" w:lineRule="auto"/>
              <w:rPr>
                <w:rFonts w:cs="Arial"/>
                <w:sz w:val="20"/>
                <w:szCs w:val="20"/>
              </w:rPr>
            </w:pPr>
            <w:r w:rsidRPr="00AD76AF">
              <w:rPr>
                <w:rFonts w:cs="Arial"/>
                <w:sz w:val="20"/>
                <w:szCs w:val="20"/>
              </w:rPr>
              <w:t>4 - facilities operationalized/ funded and have sufficient demand</w:t>
            </w:r>
          </w:p>
        </w:tc>
        <w:tc>
          <w:tcPr>
            <w:tcW w:w="3969" w:type="dxa"/>
          </w:tcPr>
          <w:p w14:paraId="0460DD9F" w14:textId="2F037921" w:rsidR="005004D6" w:rsidRDefault="005004D6" w:rsidP="00543E8F">
            <w:pPr>
              <w:spacing w:after="120"/>
              <w:rPr>
                <w:rFonts w:cs="Arial"/>
                <w:sz w:val="20"/>
                <w:szCs w:val="20"/>
              </w:rPr>
            </w:pPr>
            <w:r>
              <w:rPr>
                <w:rFonts w:cs="Arial"/>
                <w:sz w:val="20"/>
                <w:szCs w:val="20"/>
              </w:rPr>
              <w:t xml:space="preserve">Since the start of the programme, 2 projects have been established. This has </w:t>
            </w:r>
            <w:r w:rsidR="002B3403">
              <w:rPr>
                <w:rFonts w:cs="Arial"/>
                <w:sz w:val="20"/>
                <w:szCs w:val="20"/>
              </w:rPr>
              <w:t xml:space="preserve">not </w:t>
            </w:r>
            <w:r>
              <w:rPr>
                <w:rFonts w:cs="Arial"/>
                <w:sz w:val="20"/>
                <w:szCs w:val="20"/>
              </w:rPr>
              <w:t>changed within the reporting period.</w:t>
            </w:r>
            <w:r>
              <w:rPr>
                <w:rStyle w:val="FootnoteReference"/>
                <w:rFonts w:cs="Arial"/>
                <w:sz w:val="20"/>
                <w:szCs w:val="20"/>
              </w:rPr>
              <w:footnoteReference w:id="15"/>
            </w:r>
          </w:p>
          <w:p w14:paraId="5929D00C" w14:textId="47EF5C4B" w:rsidR="008C3F34" w:rsidRPr="00AD76AF" w:rsidRDefault="008C3F34" w:rsidP="00543E8F">
            <w:pPr>
              <w:spacing w:after="120"/>
              <w:rPr>
                <w:rFonts w:cs="Arial"/>
                <w:sz w:val="20"/>
                <w:szCs w:val="20"/>
              </w:rPr>
            </w:pPr>
          </w:p>
        </w:tc>
        <w:tc>
          <w:tcPr>
            <w:tcW w:w="955" w:type="dxa"/>
          </w:tcPr>
          <w:p w14:paraId="341F4EA0" w14:textId="77777777" w:rsidR="008C3F34" w:rsidRPr="00AD76AF" w:rsidRDefault="008C3F34" w:rsidP="003663DE">
            <w:pPr>
              <w:spacing w:after="0" w:line="240" w:lineRule="auto"/>
              <w:rPr>
                <w:rFonts w:cs="Arial"/>
                <w:sz w:val="20"/>
                <w:szCs w:val="20"/>
              </w:rPr>
            </w:pPr>
            <w:r w:rsidRPr="00AD76AF">
              <w:rPr>
                <w:rFonts w:cs="Arial"/>
                <w:sz w:val="20"/>
                <w:szCs w:val="20"/>
              </w:rPr>
              <w:t>MS</w:t>
            </w:r>
          </w:p>
        </w:tc>
      </w:tr>
      <w:tr w:rsidR="008C3F34" w:rsidRPr="00AD76AF" w14:paraId="652FCD9A" w14:textId="77777777" w:rsidTr="00D55B3A">
        <w:tc>
          <w:tcPr>
            <w:tcW w:w="3369" w:type="dxa"/>
            <w:shd w:val="clear" w:color="auto" w:fill="auto"/>
          </w:tcPr>
          <w:p w14:paraId="2A119A46" w14:textId="77777777" w:rsidR="008C3F34" w:rsidRPr="00AD76AF" w:rsidRDefault="008C3F34" w:rsidP="003663DE">
            <w:pPr>
              <w:spacing w:after="0" w:line="240" w:lineRule="auto"/>
              <w:rPr>
                <w:rFonts w:cs="Arial"/>
                <w:sz w:val="20"/>
                <w:szCs w:val="20"/>
              </w:rPr>
            </w:pPr>
            <w:r w:rsidRPr="00AD76AF">
              <w:rPr>
                <w:rFonts w:cs="Arial"/>
                <w:b/>
                <w:sz w:val="20"/>
                <w:szCs w:val="20"/>
              </w:rPr>
              <w:t>2.3 / 2.4</w:t>
            </w:r>
            <w:r w:rsidRPr="00AD76AF">
              <w:rPr>
                <w:rFonts w:cs="Arial"/>
                <w:sz w:val="20"/>
                <w:szCs w:val="20"/>
              </w:rPr>
              <w:t xml:space="preserve"> National strategies and action plans supported through bridging the technical gaps in the </w:t>
            </w:r>
            <w:r w:rsidRPr="00AD76AF">
              <w:rPr>
                <w:rFonts w:cs="Arial"/>
                <w:sz w:val="20"/>
                <w:szCs w:val="20"/>
              </w:rPr>
              <w:lastRenderedPageBreak/>
              <w:t>identification and development of technology transfer projects</w:t>
            </w:r>
          </w:p>
        </w:tc>
        <w:tc>
          <w:tcPr>
            <w:tcW w:w="2976" w:type="dxa"/>
            <w:shd w:val="clear" w:color="auto" w:fill="auto"/>
          </w:tcPr>
          <w:p w14:paraId="005844B4" w14:textId="77777777" w:rsidR="008C3F34" w:rsidRPr="00AD76AF" w:rsidRDefault="008C3F34" w:rsidP="003663DE">
            <w:pPr>
              <w:spacing w:after="0" w:line="240" w:lineRule="auto"/>
              <w:rPr>
                <w:rFonts w:cs="Arial"/>
                <w:b/>
                <w:sz w:val="20"/>
                <w:szCs w:val="20"/>
              </w:rPr>
            </w:pPr>
            <w:r w:rsidRPr="00AD76AF">
              <w:rPr>
                <w:rFonts w:cs="Arial"/>
                <w:b/>
                <w:sz w:val="20"/>
                <w:szCs w:val="20"/>
              </w:rPr>
              <w:lastRenderedPageBreak/>
              <w:t xml:space="preserve">Mitigation: </w:t>
            </w:r>
          </w:p>
          <w:p w14:paraId="555055A0" w14:textId="77777777" w:rsidR="008C3F34" w:rsidRPr="00AD76AF" w:rsidRDefault="008C3F34" w:rsidP="003663DE">
            <w:pPr>
              <w:spacing w:after="0" w:line="240" w:lineRule="auto"/>
              <w:rPr>
                <w:rFonts w:cs="Arial"/>
                <w:sz w:val="20"/>
                <w:szCs w:val="20"/>
              </w:rPr>
            </w:pPr>
            <w:r w:rsidRPr="00AD76AF">
              <w:rPr>
                <w:rFonts w:cs="Arial"/>
                <w:sz w:val="20"/>
                <w:szCs w:val="20"/>
              </w:rPr>
              <w:t>Status of technology demonstration/ deployment</w:t>
            </w:r>
            <w:r w:rsidRPr="00AD76AF">
              <w:rPr>
                <w:rStyle w:val="FootnoteReference"/>
                <w:rFonts w:cs="Arial"/>
                <w:sz w:val="20"/>
                <w:szCs w:val="20"/>
              </w:rPr>
              <w:footnoteReference w:id="16"/>
            </w:r>
            <w:r w:rsidRPr="00AD76AF">
              <w:rPr>
                <w:rFonts w:cs="Arial"/>
                <w:sz w:val="20"/>
                <w:szCs w:val="20"/>
              </w:rPr>
              <w:t xml:space="preserve"> </w:t>
            </w:r>
          </w:p>
          <w:p w14:paraId="05F1C9B9" w14:textId="77777777" w:rsidR="008C3F34" w:rsidRPr="00AD76AF" w:rsidRDefault="008C3F34" w:rsidP="003663DE">
            <w:pPr>
              <w:spacing w:after="0" w:line="240" w:lineRule="auto"/>
              <w:rPr>
                <w:rFonts w:cs="Arial"/>
                <w:sz w:val="20"/>
                <w:szCs w:val="20"/>
              </w:rPr>
            </w:pPr>
          </w:p>
        </w:tc>
        <w:tc>
          <w:tcPr>
            <w:tcW w:w="3119" w:type="dxa"/>
          </w:tcPr>
          <w:p w14:paraId="27D483F8" w14:textId="77777777" w:rsidR="008C3F34" w:rsidRPr="00AD76AF" w:rsidRDefault="008C3F34" w:rsidP="003663DE">
            <w:pPr>
              <w:spacing w:after="0" w:line="240" w:lineRule="auto"/>
              <w:rPr>
                <w:rFonts w:cs="Arial"/>
                <w:sz w:val="20"/>
                <w:szCs w:val="20"/>
              </w:rPr>
            </w:pPr>
            <w:r w:rsidRPr="00AD76AF">
              <w:rPr>
                <w:rFonts w:cs="Arial"/>
                <w:b/>
                <w:sz w:val="20"/>
                <w:szCs w:val="20"/>
              </w:rPr>
              <w:lastRenderedPageBreak/>
              <w:t>Mitigation:</w:t>
            </w:r>
            <w:r w:rsidRPr="00AD76AF">
              <w:rPr>
                <w:rFonts w:cs="Arial"/>
                <w:sz w:val="20"/>
                <w:szCs w:val="20"/>
              </w:rPr>
              <w:br/>
              <w:t>2 - technologies have been demonstrated on a pilot basis</w:t>
            </w:r>
          </w:p>
        </w:tc>
        <w:tc>
          <w:tcPr>
            <w:tcW w:w="3969" w:type="dxa"/>
          </w:tcPr>
          <w:p w14:paraId="291CD923" w14:textId="27EEA55F" w:rsidR="00E77DC1" w:rsidRPr="00AD76AF" w:rsidRDefault="00E77DC1" w:rsidP="008C3F34">
            <w:pPr>
              <w:spacing w:after="120"/>
              <w:rPr>
                <w:rFonts w:cs="Arial"/>
                <w:sz w:val="20"/>
                <w:szCs w:val="20"/>
              </w:rPr>
            </w:pPr>
            <w:r w:rsidRPr="00AD76AF">
              <w:rPr>
                <w:rFonts w:cs="Arial"/>
                <w:sz w:val="20"/>
                <w:szCs w:val="20"/>
              </w:rPr>
              <w:t xml:space="preserve">Target is on track to be achieved. </w:t>
            </w:r>
          </w:p>
          <w:p w14:paraId="1ED778B1" w14:textId="696A2BBD" w:rsidR="008C3F34" w:rsidRPr="00AD76AF" w:rsidRDefault="008C3F34" w:rsidP="008C3F34">
            <w:pPr>
              <w:spacing w:after="120"/>
              <w:rPr>
                <w:rFonts w:cs="Arial"/>
                <w:sz w:val="20"/>
                <w:szCs w:val="20"/>
              </w:rPr>
            </w:pPr>
            <w:r w:rsidRPr="00AD76AF">
              <w:rPr>
                <w:rFonts w:cs="Arial"/>
                <w:sz w:val="20"/>
                <w:szCs w:val="20"/>
              </w:rPr>
              <w:t xml:space="preserve">The EBRD has collaborated with the IEA and </w:t>
            </w:r>
            <w:r w:rsidRPr="00AD76AF">
              <w:rPr>
                <w:rFonts w:cs="Arial"/>
                <w:sz w:val="20"/>
                <w:szCs w:val="20"/>
              </w:rPr>
              <w:lastRenderedPageBreak/>
              <w:t xml:space="preserve">FAO and technology market assessment methodologies have been created. The methodologies provide useful insights on how to obtain core data for national strategies and action plans. Piloting has been completed in Morocco, Belarus </w:t>
            </w:r>
            <w:r w:rsidR="00320DB0" w:rsidRPr="00AD76AF">
              <w:rPr>
                <w:rFonts w:cs="Arial"/>
                <w:sz w:val="20"/>
                <w:szCs w:val="20"/>
              </w:rPr>
              <w:t xml:space="preserve">Kyrgyzstan </w:t>
            </w:r>
            <w:r w:rsidRPr="00AD76AF">
              <w:rPr>
                <w:rFonts w:cs="Arial"/>
                <w:sz w:val="20"/>
                <w:szCs w:val="20"/>
              </w:rPr>
              <w:t>and Kazakhstan. After piloting, the information on the pilot projects was shared in Bioenergy week and published/ disseminated by IEA/FAO</w:t>
            </w:r>
            <w:r w:rsidR="00320DB0" w:rsidRPr="00AD76AF">
              <w:rPr>
                <w:rFonts w:cs="Arial"/>
                <w:sz w:val="20"/>
                <w:szCs w:val="20"/>
              </w:rPr>
              <w:t>.</w:t>
            </w:r>
          </w:p>
          <w:p w14:paraId="4B3DEF99" w14:textId="7834DFE1" w:rsidR="008C3F34" w:rsidRPr="00AD76AF" w:rsidRDefault="00320DB0" w:rsidP="008C3F34">
            <w:pPr>
              <w:spacing w:after="120"/>
              <w:rPr>
                <w:rFonts w:cs="Arial"/>
                <w:sz w:val="20"/>
                <w:szCs w:val="20"/>
              </w:rPr>
            </w:pPr>
            <w:r w:rsidRPr="00AD76AF">
              <w:rPr>
                <w:rFonts w:cs="Arial"/>
                <w:sz w:val="20"/>
                <w:szCs w:val="20"/>
              </w:rPr>
              <w:t>In addition, 25</w:t>
            </w:r>
            <w:r w:rsidR="008C3F34" w:rsidRPr="00AD76AF">
              <w:rPr>
                <w:rFonts w:cs="Arial"/>
                <w:sz w:val="20"/>
                <w:szCs w:val="20"/>
              </w:rPr>
              <w:t xml:space="preserve"> projects </w:t>
            </w:r>
            <w:r w:rsidR="00E77DC1" w:rsidRPr="00AD76AF">
              <w:rPr>
                <w:rFonts w:cs="Arial"/>
                <w:sz w:val="20"/>
                <w:szCs w:val="20"/>
              </w:rPr>
              <w:t xml:space="preserve">(including 2 in the reporting period) </w:t>
            </w:r>
            <w:r w:rsidR="008C3F34" w:rsidRPr="00AD76AF">
              <w:rPr>
                <w:rFonts w:cs="Arial"/>
                <w:sz w:val="20"/>
                <w:szCs w:val="20"/>
              </w:rPr>
              <w:t xml:space="preserve">have been supported through a combination of technical support and investment support. These are acting as demonstration projects which can help inform government strategies and action plans. </w:t>
            </w:r>
          </w:p>
        </w:tc>
        <w:tc>
          <w:tcPr>
            <w:tcW w:w="955" w:type="dxa"/>
          </w:tcPr>
          <w:p w14:paraId="221D9D7F" w14:textId="77777777" w:rsidR="008C3F34" w:rsidRPr="00AD76AF" w:rsidRDefault="008C3F34" w:rsidP="003663DE">
            <w:pPr>
              <w:spacing w:after="0" w:line="240" w:lineRule="auto"/>
              <w:rPr>
                <w:rFonts w:cs="Arial"/>
                <w:sz w:val="20"/>
                <w:szCs w:val="20"/>
              </w:rPr>
            </w:pPr>
            <w:r w:rsidRPr="00AD76AF">
              <w:rPr>
                <w:rFonts w:cs="Arial"/>
                <w:sz w:val="20"/>
                <w:szCs w:val="20"/>
              </w:rPr>
              <w:lastRenderedPageBreak/>
              <w:t>S</w:t>
            </w:r>
          </w:p>
        </w:tc>
      </w:tr>
      <w:tr w:rsidR="008C3F34" w:rsidRPr="00AD76AF" w14:paraId="5176D356" w14:textId="77777777" w:rsidTr="00D55B3A">
        <w:tc>
          <w:tcPr>
            <w:tcW w:w="3369" w:type="dxa"/>
            <w:vMerge w:val="restart"/>
            <w:shd w:val="clear" w:color="auto" w:fill="auto"/>
          </w:tcPr>
          <w:p w14:paraId="75EF7D2F" w14:textId="77777777" w:rsidR="008C3F34" w:rsidRPr="00AD76AF" w:rsidRDefault="008C3F34" w:rsidP="003663DE">
            <w:pPr>
              <w:spacing w:after="0" w:line="240" w:lineRule="auto"/>
              <w:rPr>
                <w:rFonts w:cs="Arial"/>
                <w:sz w:val="20"/>
                <w:szCs w:val="20"/>
              </w:rPr>
            </w:pPr>
            <w:r w:rsidRPr="00AD76AF">
              <w:rPr>
                <w:rFonts w:cs="Arial"/>
                <w:b/>
                <w:sz w:val="20"/>
                <w:szCs w:val="20"/>
              </w:rPr>
              <w:lastRenderedPageBreak/>
              <w:t>3.1 / 3.2</w:t>
            </w:r>
            <w:r w:rsidRPr="00AD76AF">
              <w:rPr>
                <w:rFonts w:cs="Arial"/>
                <w:sz w:val="20"/>
                <w:szCs w:val="20"/>
              </w:rPr>
              <w:t xml:space="preserve"> Increased investments in climate technologies</w:t>
            </w:r>
          </w:p>
        </w:tc>
        <w:tc>
          <w:tcPr>
            <w:tcW w:w="2976" w:type="dxa"/>
            <w:shd w:val="clear" w:color="auto" w:fill="auto"/>
          </w:tcPr>
          <w:p w14:paraId="7FA27805" w14:textId="77777777" w:rsidR="008C3F34" w:rsidRPr="00AD76AF" w:rsidRDefault="008C3F34" w:rsidP="003663DE">
            <w:pPr>
              <w:spacing w:after="0" w:line="240" w:lineRule="auto"/>
              <w:rPr>
                <w:rFonts w:cs="Arial"/>
                <w:b/>
                <w:sz w:val="20"/>
                <w:szCs w:val="20"/>
              </w:rPr>
            </w:pPr>
            <w:r w:rsidRPr="00AD76AF">
              <w:rPr>
                <w:rFonts w:cs="Arial"/>
                <w:b/>
                <w:sz w:val="20"/>
                <w:szCs w:val="20"/>
              </w:rPr>
              <w:t xml:space="preserve">Mitigation: </w:t>
            </w:r>
          </w:p>
          <w:p w14:paraId="16E35314" w14:textId="77777777" w:rsidR="008C3F34" w:rsidRPr="00AD76AF" w:rsidRDefault="008C3F34" w:rsidP="003663DE">
            <w:pPr>
              <w:spacing w:after="0" w:line="240" w:lineRule="auto"/>
              <w:rPr>
                <w:rFonts w:cs="Arial"/>
                <w:sz w:val="20"/>
                <w:szCs w:val="20"/>
              </w:rPr>
            </w:pPr>
            <w:r w:rsidRPr="00AD76AF">
              <w:rPr>
                <w:rFonts w:cs="Arial"/>
                <w:sz w:val="20"/>
                <w:szCs w:val="20"/>
              </w:rPr>
              <w:t>Volume of investment mobilized for climate technology transfer over the Project lifetime</w:t>
            </w:r>
          </w:p>
        </w:tc>
        <w:tc>
          <w:tcPr>
            <w:tcW w:w="3119" w:type="dxa"/>
          </w:tcPr>
          <w:p w14:paraId="29F6D21A" w14:textId="77777777" w:rsidR="008C3F34" w:rsidRPr="00AD76AF" w:rsidRDefault="008C3F34" w:rsidP="003663DE">
            <w:pPr>
              <w:spacing w:after="0" w:line="240" w:lineRule="auto"/>
              <w:rPr>
                <w:rFonts w:cs="Arial"/>
                <w:b/>
                <w:sz w:val="20"/>
                <w:szCs w:val="20"/>
              </w:rPr>
            </w:pPr>
            <w:r w:rsidRPr="00AD76AF">
              <w:rPr>
                <w:rFonts w:cs="Arial"/>
                <w:b/>
                <w:sz w:val="20"/>
                <w:szCs w:val="20"/>
              </w:rPr>
              <w:t xml:space="preserve">Mitigation (estimated): </w:t>
            </w:r>
          </w:p>
          <w:p w14:paraId="7CE6ECE2" w14:textId="77777777" w:rsidR="008C3F34" w:rsidRPr="00AD76AF" w:rsidRDefault="008C3F34" w:rsidP="003663DE">
            <w:pPr>
              <w:spacing w:after="0" w:line="240" w:lineRule="auto"/>
              <w:rPr>
                <w:rFonts w:cs="Arial"/>
                <w:sz w:val="20"/>
                <w:szCs w:val="20"/>
              </w:rPr>
            </w:pPr>
            <w:r w:rsidRPr="00AD76AF">
              <w:rPr>
                <w:rFonts w:cs="Arial"/>
                <w:sz w:val="20"/>
                <w:szCs w:val="20"/>
              </w:rPr>
              <w:t>USD 6.55 million – GEF</w:t>
            </w:r>
          </w:p>
          <w:p w14:paraId="421A9835" w14:textId="77777777" w:rsidR="008C3F34" w:rsidRPr="00AD76AF" w:rsidRDefault="008C3F34" w:rsidP="003663DE">
            <w:pPr>
              <w:spacing w:after="0" w:line="240" w:lineRule="auto"/>
              <w:rPr>
                <w:rFonts w:cs="Arial"/>
                <w:sz w:val="20"/>
                <w:szCs w:val="20"/>
              </w:rPr>
            </w:pPr>
            <w:r w:rsidRPr="00AD76AF">
              <w:rPr>
                <w:rFonts w:cs="Arial"/>
                <w:sz w:val="20"/>
                <w:szCs w:val="20"/>
              </w:rPr>
              <w:t>USD 58.3 million – EBRD</w:t>
            </w:r>
          </w:p>
        </w:tc>
        <w:tc>
          <w:tcPr>
            <w:tcW w:w="3969" w:type="dxa"/>
          </w:tcPr>
          <w:p w14:paraId="2186A7B2" w14:textId="36AC2860" w:rsidR="00E77DC1" w:rsidRPr="00AD76AF" w:rsidRDefault="00E77DC1" w:rsidP="00AE56B3">
            <w:pPr>
              <w:spacing w:after="120"/>
              <w:rPr>
                <w:rFonts w:cs="Arial"/>
                <w:sz w:val="20"/>
                <w:szCs w:val="20"/>
              </w:rPr>
            </w:pPr>
            <w:r w:rsidRPr="00AD76AF">
              <w:rPr>
                <w:rFonts w:cs="Arial"/>
                <w:sz w:val="20"/>
                <w:szCs w:val="20"/>
              </w:rPr>
              <w:t xml:space="preserve">Target is on track to be achieved. </w:t>
            </w:r>
          </w:p>
          <w:p w14:paraId="264395C1" w14:textId="77777777" w:rsidR="00E77DC1" w:rsidRPr="00AD76AF" w:rsidRDefault="008C3F34" w:rsidP="00AE56B3">
            <w:pPr>
              <w:spacing w:after="120"/>
              <w:rPr>
                <w:rFonts w:cs="Arial"/>
                <w:sz w:val="20"/>
                <w:szCs w:val="20"/>
              </w:rPr>
            </w:pPr>
            <w:r w:rsidRPr="00AD76AF">
              <w:rPr>
                <w:rFonts w:cs="Arial"/>
                <w:sz w:val="20"/>
                <w:szCs w:val="20"/>
              </w:rPr>
              <w:t>Mitigation</w:t>
            </w:r>
            <w:r w:rsidR="00320DB0" w:rsidRPr="00AD76AF">
              <w:rPr>
                <w:rFonts w:cs="Arial"/>
                <w:sz w:val="20"/>
                <w:szCs w:val="20"/>
              </w:rPr>
              <w:t xml:space="preserve"> technologies are part of all 25</w:t>
            </w:r>
            <w:r w:rsidRPr="00AD76AF">
              <w:rPr>
                <w:rFonts w:cs="Arial"/>
                <w:sz w:val="20"/>
                <w:szCs w:val="20"/>
              </w:rPr>
              <w:t xml:space="preserve"> projects signed up so far</w:t>
            </w:r>
            <w:r w:rsidR="00E77DC1" w:rsidRPr="00AD76AF">
              <w:rPr>
                <w:rFonts w:cs="Arial"/>
                <w:sz w:val="20"/>
                <w:szCs w:val="20"/>
              </w:rPr>
              <w:t>, including 2 projects signed during the reporting period</w:t>
            </w:r>
            <w:r w:rsidRPr="00AD76AF">
              <w:rPr>
                <w:rFonts w:cs="Arial"/>
                <w:sz w:val="20"/>
                <w:szCs w:val="20"/>
              </w:rPr>
              <w:t xml:space="preserve">. </w:t>
            </w:r>
          </w:p>
          <w:p w14:paraId="114DF7B5" w14:textId="4E798080" w:rsidR="008C3F34" w:rsidRPr="00AD76AF" w:rsidRDefault="008C3F34" w:rsidP="00AE56B3">
            <w:pPr>
              <w:spacing w:after="120"/>
              <w:rPr>
                <w:rFonts w:cs="Arial"/>
                <w:sz w:val="20"/>
                <w:szCs w:val="20"/>
              </w:rPr>
            </w:pPr>
            <w:r w:rsidRPr="00AD76AF">
              <w:rPr>
                <w:rFonts w:cs="Arial"/>
                <w:sz w:val="20"/>
                <w:szCs w:val="20"/>
              </w:rPr>
              <w:t>Consequently, the total amount of</w:t>
            </w:r>
            <w:r w:rsidR="00AE56B3" w:rsidRPr="00AD76AF">
              <w:rPr>
                <w:rFonts w:cs="Arial"/>
                <w:sz w:val="20"/>
                <w:szCs w:val="20"/>
              </w:rPr>
              <w:t xml:space="preserve"> investments mobilised is USD 47</w:t>
            </w:r>
            <w:r w:rsidRPr="00AD76AF">
              <w:rPr>
                <w:rFonts w:cs="Arial"/>
                <w:sz w:val="20"/>
                <w:szCs w:val="20"/>
              </w:rPr>
              <w:t>.6 million in EBRD funding</w:t>
            </w:r>
            <w:r w:rsidRPr="00AD76AF">
              <w:rPr>
                <w:sz w:val="20"/>
                <w:szCs w:val="20"/>
                <w:vertAlign w:val="superscript"/>
              </w:rPr>
              <w:footnoteReference w:id="17"/>
            </w:r>
            <w:r w:rsidRPr="00AD76AF">
              <w:rPr>
                <w:rFonts w:cs="Arial"/>
                <w:sz w:val="20"/>
                <w:szCs w:val="20"/>
              </w:rPr>
              <w:t xml:space="preserve"> and USD 5</w:t>
            </w:r>
            <w:r w:rsidR="00AE56B3" w:rsidRPr="00AD76AF">
              <w:rPr>
                <w:rFonts w:cs="Arial"/>
                <w:sz w:val="20"/>
                <w:szCs w:val="20"/>
              </w:rPr>
              <w:t>.5</w:t>
            </w:r>
            <w:r w:rsidRPr="00AD76AF">
              <w:rPr>
                <w:rFonts w:cs="Arial"/>
                <w:sz w:val="20"/>
                <w:szCs w:val="20"/>
              </w:rPr>
              <w:t xml:space="preserve"> million in GEF funding for climate technologies.</w:t>
            </w:r>
            <w:r w:rsidRPr="00AD76AF">
              <w:rPr>
                <w:rFonts w:cs="Arial"/>
                <w:sz w:val="20"/>
                <w:szCs w:val="20"/>
                <w:vertAlign w:val="superscript"/>
              </w:rPr>
              <w:footnoteReference w:id="18"/>
            </w:r>
          </w:p>
        </w:tc>
        <w:tc>
          <w:tcPr>
            <w:tcW w:w="955" w:type="dxa"/>
          </w:tcPr>
          <w:p w14:paraId="7724950C" w14:textId="369778DB" w:rsidR="008C3F34" w:rsidRPr="00AD76AF" w:rsidRDefault="008C3F34" w:rsidP="003663DE">
            <w:pPr>
              <w:spacing w:after="0" w:line="240" w:lineRule="auto"/>
              <w:rPr>
                <w:rFonts w:cs="Arial"/>
                <w:sz w:val="20"/>
                <w:szCs w:val="20"/>
              </w:rPr>
            </w:pPr>
            <w:r w:rsidRPr="00AD76AF">
              <w:rPr>
                <w:rFonts w:cs="Arial"/>
                <w:sz w:val="20"/>
                <w:szCs w:val="20"/>
              </w:rPr>
              <w:t>S</w:t>
            </w:r>
          </w:p>
        </w:tc>
      </w:tr>
      <w:tr w:rsidR="008C3F34" w:rsidRPr="00AD76AF" w14:paraId="6F4CC827" w14:textId="77777777" w:rsidTr="00D55B3A">
        <w:tc>
          <w:tcPr>
            <w:tcW w:w="3369" w:type="dxa"/>
            <w:vMerge/>
            <w:shd w:val="clear" w:color="auto" w:fill="auto"/>
          </w:tcPr>
          <w:p w14:paraId="56966C53" w14:textId="77777777" w:rsidR="008C3F34" w:rsidRPr="00AD76AF" w:rsidRDefault="008C3F34" w:rsidP="003663DE">
            <w:pPr>
              <w:spacing w:after="0" w:line="240" w:lineRule="auto"/>
              <w:rPr>
                <w:rFonts w:cs="Arial"/>
                <w:sz w:val="20"/>
                <w:szCs w:val="20"/>
              </w:rPr>
            </w:pPr>
          </w:p>
        </w:tc>
        <w:tc>
          <w:tcPr>
            <w:tcW w:w="2976" w:type="dxa"/>
            <w:shd w:val="clear" w:color="auto" w:fill="auto"/>
          </w:tcPr>
          <w:p w14:paraId="63C67D13" w14:textId="77777777" w:rsidR="008C3F34" w:rsidRPr="00AD76AF" w:rsidRDefault="008C3F34" w:rsidP="003663DE">
            <w:pPr>
              <w:spacing w:after="0" w:line="240" w:lineRule="auto"/>
              <w:rPr>
                <w:rFonts w:cs="Arial"/>
                <w:sz w:val="20"/>
                <w:szCs w:val="20"/>
              </w:rPr>
            </w:pPr>
            <w:r w:rsidRPr="00AD76AF">
              <w:rPr>
                <w:rFonts w:cs="Arial"/>
                <w:b/>
                <w:sz w:val="20"/>
                <w:szCs w:val="20"/>
              </w:rPr>
              <w:t>Adaptation:</w:t>
            </w:r>
            <w:r w:rsidRPr="00AD76AF">
              <w:rPr>
                <w:rFonts w:cs="Arial"/>
                <w:sz w:val="20"/>
                <w:szCs w:val="20"/>
              </w:rPr>
              <w:t xml:space="preserve"> Number of households impacted by projects funded</w:t>
            </w:r>
          </w:p>
        </w:tc>
        <w:tc>
          <w:tcPr>
            <w:tcW w:w="3119" w:type="dxa"/>
          </w:tcPr>
          <w:p w14:paraId="50B92256" w14:textId="77777777" w:rsidR="008C3F34" w:rsidRPr="00AD76AF" w:rsidRDefault="008C3F34" w:rsidP="003663DE">
            <w:pPr>
              <w:spacing w:after="0" w:line="240" w:lineRule="auto"/>
              <w:rPr>
                <w:rFonts w:cs="Arial"/>
                <w:sz w:val="20"/>
                <w:szCs w:val="20"/>
              </w:rPr>
            </w:pPr>
            <w:r w:rsidRPr="00AD76AF">
              <w:rPr>
                <w:rFonts w:cs="Arial"/>
                <w:sz w:val="20"/>
                <w:szCs w:val="20"/>
              </w:rPr>
              <w:t xml:space="preserve">10 - 20 pilot climate technology projects funded </w:t>
            </w:r>
          </w:p>
        </w:tc>
        <w:tc>
          <w:tcPr>
            <w:tcW w:w="3969" w:type="dxa"/>
          </w:tcPr>
          <w:p w14:paraId="342ACB0A" w14:textId="5F140D59" w:rsidR="00E77DC1" w:rsidRPr="00AD76AF" w:rsidRDefault="00E77DC1" w:rsidP="008C3F34">
            <w:pPr>
              <w:spacing w:after="120"/>
              <w:rPr>
                <w:rFonts w:cs="Arial"/>
                <w:sz w:val="20"/>
                <w:szCs w:val="20"/>
              </w:rPr>
            </w:pPr>
            <w:r w:rsidRPr="00AD76AF">
              <w:rPr>
                <w:rFonts w:cs="Arial"/>
                <w:sz w:val="20"/>
                <w:szCs w:val="20"/>
              </w:rPr>
              <w:t xml:space="preserve">Target is likely to be under-achieved. </w:t>
            </w:r>
          </w:p>
          <w:p w14:paraId="02871A03" w14:textId="77777777" w:rsidR="00E77DC1" w:rsidRPr="00AD76AF" w:rsidRDefault="00E77DC1" w:rsidP="00E77DC1">
            <w:pPr>
              <w:spacing w:after="120"/>
              <w:rPr>
                <w:rFonts w:cs="Arial"/>
                <w:sz w:val="20"/>
                <w:szCs w:val="20"/>
              </w:rPr>
            </w:pPr>
            <w:r w:rsidRPr="00AD76AF">
              <w:rPr>
                <w:rFonts w:cs="Arial"/>
                <w:sz w:val="20"/>
                <w:szCs w:val="20"/>
              </w:rPr>
              <w:t xml:space="preserve">No new projects with climate adaptation elements were signed during the reporting period. </w:t>
            </w:r>
          </w:p>
          <w:p w14:paraId="69670E50" w14:textId="3A7380FB" w:rsidR="008C3F34" w:rsidRPr="00AD76AF" w:rsidRDefault="008C3F34" w:rsidP="00A84A13">
            <w:pPr>
              <w:spacing w:after="120"/>
              <w:rPr>
                <w:rFonts w:cs="Arial"/>
                <w:sz w:val="20"/>
                <w:szCs w:val="20"/>
              </w:rPr>
            </w:pPr>
            <w:r w:rsidRPr="00AD76AF">
              <w:rPr>
                <w:rFonts w:cs="Arial"/>
                <w:sz w:val="20"/>
                <w:szCs w:val="20"/>
              </w:rPr>
              <w:t xml:space="preserve">Three projects with climate adaptation elements, which include water recovery and rain harvesting system, have been </w:t>
            </w:r>
            <w:r w:rsidR="00A84A13" w:rsidRPr="00AD76AF">
              <w:rPr>
                <w:rFonts w:cs="Arial"/>
                <w:sz w:val="20"/>
                <w:szCs w:val="20"/>
              </w:rPr>
              <w:t>signed during previous reporting periods</w:t>
            </w:r>
            <w:r w:rsidRPr="00AD76AF">
              <w:rPr>
                <w:rFonts w:cs="Arial"/>
                <w:sz w:val="20"/>
                <w:szCs w:val="20"/>
              </w:rPr>
              <w:t xml:space="preserve">. </w:t>
            </w:r>
          </w:p>
        </w:tc>
        <w:tc>
          <w:tcPr>
            <w:tcW w:w="955" w:type="dxa"/>
          </w:tcPr>
          <w:p w14:paraId="319D016F" w14:textId="77777777" w:rsidR="008C3F34" w:rsidRPr="00AD76AF" w:rsidRDefault="008C3F34" w:rsidP="003663DE">
            <w:pPr>
              <w:spacing w:after="0" w:line="240" w:lineRule="auto"/>
              <w:rPr>
                <w:rFonts w:cs="Arial"/>
                <w:sz w:val="20"/>
                <w:szCs w:val="20"/>
              </w:rPr>
            </w:pPr>
            <w:r w:rsidRPr="00AD76AF">
              <w:rPr>
                <w:rFonts w:cs="Arial"/>
                <w:sz w:val="20"/>
                <w:szCs w:val="20"/>
              </w:rPr>
              <w:t>MS</w:t>
            </w:r>
          </w:p>
        </w:tc>
      </w:tr>
    </w:tbl>
    <w:p w14:paraId="05652BC0" w14:textId="77777777" w:rsidR="00513DFC" w:rsidRPr="00AD76AF" w:rsidRDefault="00236E57" w:rsidP="005C3229">
      <w:pPr>
        <w:spacing w:after="0"/>
        <w:rPr>
          <w:b/>
          <w:sz w:val="20"/>
          <w:szCs w:val="20"/>
        </w:rPr>
      </w:pPr>
      <w:r w:rsidRPr="00AD76AF">
        <w:rPr>
          <w:b/>
          <w:sz w:val="20"/>
          <w:szCs w:val="20"/>
        </w:rPr>
        <w:t>Table 2: Outputs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69"/>
        <w:gridCol w:w="2976"/>
        <w:gridCol w:w="7088"/>
        <w:gridCol w:w="955"/>
      </w:tblGrid>
      <w:tr w:rsidR="008C3F34" w:rsidRPr="00AD76AF" w14:paraId="4162B895" w14:textId="77777777" w:rsidTr="000A35D6">
        <w:trPr>
          <w:trHeight w:val="416"/>
          <w:tblHeader/>
        </w:trPr>
        <w:tc>
          <w:tcPr>
            <w:tcW w:w="3369" w:type="dxa"/>
            <w:tcBorders>
              <w:top w:val="single" w:sz="4" w:space="0" w:color="auto"/>
              <w:left w:val="single" w:sz="4" w:space="0" w:color="auto"/>
              <w:bottom w:val="single" w:sz="4" w:space="0" w:color="auto"/>
              <w:right w:val="single" w:sz="4" w:space="0" w:color="auto"/>
            </w:tcBorders>
            <w:shd w:val="clear" w:color="auto" w:fill="002060"/>
            <w:vAlign w:val="center"/>
          </w:tcPr>
          <w:p w14:paraId="154C0B57" w14:textId="77777777" w:rsidR="003663DE" w:rsidRPr="00AD76AF" w:rsidRDefault="003663DE" w:rsidP="00835121">
            <w:pPr>
              <w:keepNext/>
              <w:keepLines/>
              <w:jc w:val="center"/>
              <w:rPr>
                <w:rFonts w:eastAsia="Times New Roman" w:cs="Arial"/>
                <w:b/>
                <w:bCs/>
                <w:sz w:val="20"/>
                <w:szCs w:val="20"/>
              </w:rPr>
            </w:pPr>
            <w:r w:rsidRPr="00AD76AF">
              <w:rPr>
                <w:rFonts w:eastAsia="Times New Roman" w:cs="Arial"/>
                <w:sz w:val="20"/>
                <w:szCs w:val="20"/>
              </w:rPr>
              <w:br w:type="page"/>
            </w:r>
            <w:r w:rsidRPr="00AD76AF">
              <w:rPr>
                <w:rFonts w:eastAsia="Times New Roman" w:cs="Arial"/>
                <w:b/>
                <w:bCs/>
                <w:sz w:val="20"/>
                <w:szCs w:val="20"/>
              </w:rPr>
              <w:t>Outputs</w:t>
            </w:r>
          </w:p>
        </w:tc>
        <w:tc>
          <w:tcPr>
            <w:tcW w:w="2976" w:type="dxa"/>
            <w:tcBorders>
              <w:top w:val="single" w:sz="4" w:space="0" w:color="auto"/>
              <w:left w:val="single" w:sz="4" w:space="0" w:color="auto"/>
              <w:bottom w:val="single" w:sz="4" w:space="0" w:color="auto"/>
              <w:right w:val="single" w:sz="4" w:space="0" w:color="auto"/>
            </w:tcBorders>
            <w:shd w:val="clear" w:color="auto" w:fill="002060"/>
            <w:vAlign w:val="center"/>
          </w:tcPr>
          <w:p w14:paraId="215BD0FD" w14:textId="77777777" w:rsidR="003663DE" w:rsidRPr="00AD76AF" w:rsidRDefault="003663DE" w:rsidP="00835121">
            <w:pPr>
              <w:keepNext/>
              <w:keepLines/>
              <w:suppressAutoHyphens/>
              <w:jc w:val="center"/>
              <w:rPr>
                <w:rFonts w:eastAsia="Times New Roman" w:cs="Arial"/>
                <w:b/>
                <w:bCs/>
                <w:sz w:val="20"/>
                <w:szCs w:val="20"/>
              </w:rPr>
            </w:pPr>
            <w:r w:rsidRPr="00AD76AF">
              <w:rPr>
                <w:rFonts w:eastAsia="Times New Roman" w:cs="Arial"/>
                <w:b/>
                <w:bCs/>
                <w:sz w:val="20"/>
                <w:szCs w:val="20"/>
              </w:rPr>
              <w:t>Objectively Verifiable Indicators</w:t>
            </w:r>
          </w:p>
        </w:tc>
        <w:tc>
          <w:tcPr>
            <w:tcW w:w="7088" w:type="dxa"/>
            <w:tcBorders>
              <w:top w:val="single" w:sz="4" w:space="0" w:color="auto"/>
              <w:left w:val="single" w:sz="4" w:space="0" w:color="auto"/>
              <w:bottom w:val="single" w:sz="4" w:space="0" w:color="auto"/>
              <w:right w:val="single" w:sz="4" w:space="0" w:color="auto"/>
            </w:tcBorders>
            <w:shd w:val="clear" w:color="auto" w:fill="002060"/>
            <w:vAlign w:val="center"/>
          </w:tcPr>
          <w:p w14:paraId="5A6D3F38" w14:textId="77777777" w:rsidR="003663DE" w:rsidRPr="00AD76AF" w:rsidRDefault="003663DE" w:rsidP="00812DDF">
            <w:pPr>
              <w:keepNext/>
              <w:keepLines/>
              <w:suppressAutoHyphens/>
              <w:jc w:val="center"/>
              <w:rPr>
                <w:rFonts w:eastAsia="Times New Roman" w:cs="Arial"/>
                <w:b/>
                <w:bCs/>
                <w:sz w:val="20"/>
                <w:szCs w:val="20"/>
              </w:rPr>
            </w:pPr>
            <w:r w:rsidRPr="00AD76AF">
              <w:rPr>
                <w:rFonts w:eastAsia="Times New Roman" w:cs="Arial"/>
                <w:b/>
                <w:bCs/>
                <w:sz w:val="20"/>
                <w:szCs w:val="20"/>
              </w:rPr>
              <w:t xml:space="preserve">Progress </w:t>
            </w:r>
          </w:p>
        </w:tc>
        <w:tc>
          <w:tcPr>
            <w:tcW w:w="955" w:type="dxa"/>
            <w:tcBorders>
              <w:top w:val="single" w:sz="4" w:space="0" w:color="auto"/>
              <w:left w:val="single" w:sz="4" w:space="0" w:color="auto"/>
              <w:bottom w:val="single" w:sz="4" w:space="0" w:color="auto"/>
              <w:right w:val="single" w:sz="4" w:space="0" w:color="auto"/>
            </w:tcBorders>
            <w:shd w:val="clear" w:color="auto" w:fill="002060"/>
            <w:vAlign w:val="center"/>
          </w:tcPr>
          <w:p w14:paraId="2C1F21DC" w14:textId="77777777" w:rsidR="003663DE" w:rsidRPr="00AD76AF" w:rsidRDefault="003663DE" w:rsidP="00835121">
            <w:pPr>
              <w:keepNext/>
              <w:keepLines/>
              <w:suppressAutoHyphens/>
              <w:jc w:val="center"/>
              <w:rPr>
                <w:rFonts w:eastAsia="Times New Roman" w:cs="Arial"/>
                <w:b/>
                <w:bCs/>
                <w:sz w:val="20"/>
                <w:szCs w:val="20"/>
              </w:rPr>
            </w:pPr>
            <w:r w:rsidRPr="00AD76AF">
              <w:rPr>
                <w:rFonts w:eastAsia="Times New Roman" w:cs="Arial"/>
                <w:b/>
                <w:bCs/>
                <w:sz w:val="20"/>
                <w:szCs w:val="20"/>
              </w:rPr>
              <w:t>Rating</w:t>
            </w:r>
          </w:p>
        </w:tc>
      </w:tr>
      <w:tr w:rsidR="003663DE" w:rsidRPr="00AD76AF" w14:paraId="30216B58" w14:textId="77777777" w:rsidTr="005C3229">
        <w:trPr>
          <w:trHeight w:val="79"/>
        </w:trPr>
        <w:tc>
          <w:tcPr>
            <w:tcW w:w="14388" w:type="dxa"/>
            <w:gridSpan w:val="4"/>
            <w:tcBorders>
              <w:top w:val="single" w:sz="4" w:space="0" w:color="auto"/>
            </w:tcBorders>
            <w:shd w:val="clear" w:color="auto" w:fill="A6A6A6" w:themeFill="background1" w:themeFillShade="A6"/>
          </w:tcPr>
          <w:p w14:paraId="035006CC" w14:textId="77777777" w:rsidR="003663DE" w:rsidRPr="00AD76AF" w:rsidRDefault="003663DE" w:rsidP="005C3229">
            <w:pPr>
              <w:keepNext/>
              <w:keepLines/>
              <w:spacing w:after="0"/>
              <w:rPr>
                <w:rFonts w:eastAsia="Times New Roman" w:cs="Arial"/>
                <w:b/>
                <w:sz w:val="20"/>
                <w:szCs w:val="20"/>
              </w:rPr>
            </w:pPr>
            <w:r w:rsidRPr="00AD76AF">
              <w:rPr>
                <w:rFonts w:eastAsia="Times New Roman" w:cs="Arial"/>
                <w:b/>
                <w:bCs/>
                <w:sz w:val="20"/>
                <w:szCs w:val="20"/>
              </w:rPr>
              <w:t xml:space="preserve">Component 1: </w:t>
            </w:r>
            <w:r w:rsidRPr="00AD76AF">
              <w:rPr>
                <w:rFonts w:eastAsia="Times New Roman" w:cs="Arial"/>
                <w:b/>
                <w:sz w:val="20"/>
                <w:szCs w:val="20"/>
              </w:rPr>
              <w:t>Regional Technology Transfer Networks</w:t>
            </w:r>
          </w:p>
        </w:tc>
      </w:tr>
      <w:tr w:rsidR="008C3F34" w:rsidRPr="00AD76AF" w14:paraId="06E1F2FF" w14:textId="77777777" w:rsidTr="005C3229">
        <w:trPr>
          <w:trHeight w:val="79"/>
        </w:trPr>
        <w:tc>
          <w:tcPr>
            <w:tcW w:w="3369" w:type="dxa"/>
            <w:vMerge w:val="restart"/>
            <w:shd w:val="clear" w:color="auto" w:fill="auto"/>
          </w:tcPr>
          <w:p w14:paraId="0D1FE165" w14:textId="77777777" w:rsidR="008C3F34" w:rsidRPr="00AD76AF" w:rsidRDefault="008C3F34" w:rsidP="00835121">
            <w:pPr>
              <w:rPr>
                <w:rFonts w:eastAsia="Times New Roman" w:cs="Arial"/>
                <w:sz w:val="20"/>
                <w:szCs w:val="20"/>
              </w:rPr>
            </w:pPr>
            <w:r w:rsidRPr="00AD76AF">
              <w:rPr>
                <w:rFonts w:eastAsia="Times New Roman" w:cs="Arial"/>
                <w:b/>
                <w:sz w:val="20"/>
                <w:szCs w:val="20"/>
              </w:rPr>
              <w:t>Output 1.1.1</w:t>
            </w:r>
            <w:r w:rsidRPr="00AD76AF">
              <w:rPr>
                <w:rFonts w:eastAsia="Times New Roman" w:cs="Arial"/>
                <w:sz w:val="20"/>
                <w:szCs w:val="20"/>
              </w:rPr>
              <w:t xml:space="preserve"> Increased collaboration and information transfer supported through the Networks’ website and helpdesk - Mitigation</w:t>
            </w:r>
          </w:p>
          <w:p w14:paraId="1B16A2AE" w14:textId="77777777" w:rsidR="008C3F34" w:rsidRPr="00AD76AF" w:rsidRDefault="008C3F34" w:rsidP="00835121">
            <w:pPr>
              <w:rPr>
                <w:rFonts w:eastAsia="Times New Roman" w:cs="Arial"/>
                <w:sz w:val="20"/>
                <w:szCs w:val="20"/>
              </w:rPr>
            </w:pPr>
            <w:r w:rsidRPr="00AD76AF">
              <w:rPr>
                <w:rFonts w:eastAsia="Times New Roman" w:cs="Arial"/>
                <w:b/>
                <w:sz w:val="20"/>
                <w:szCs w:val="20"/>
              </w:rPr>
              <w:t>Output 1.1.2</w:t>
            </w:r>
            <w:r w:rsidRPr="00AD76AF">
              <w:rPr>
                <w:rFonts w:eastAsia="Times New Roman" w:cs="Arial"/>
                <w:sz w:val="20"/>
                <w:szCs w:val="20"/>
              </w:rPr>
              <w:t xml:space="preserve"> Regional technology transfer consultations held - </w:t>
            </w:r>
            <w:r w:rsidRPr="00AD76AF">
              <w:rPr>
                <w:rFonts w:eastAsia="Times New Roman" w:cs="Arial"/>
                <w:b/>
                <w:sz w:val="20"/>
                <w:szCs w:val="20"/>
                <w:u w:val="single"/>
              </w:rPr>
              <w:lastRenderedPageBreak/>
              <w:t>Mitigation</w:t>
            </w:r>
          </w:p>
          <w:p w14:paraId="4E6BAF86" w14:textId="77777777" w:rsidR="008C3F34" w:rsidRPr="00AD76AF" w:rsidRDefault="008C3F34" w:rsidP="00835121">
            <w:pPr>
              <w:rPr>
                <w:rFonts w:eastAsia="Times New Roman" w:cs="Arial"/>
                <w:sz w:val="20"/>
                <w:szCs w:val="20"/>
              </w:rPr>
            </w:pPr>
            <w:r w:rsidRPr="00AD76AF">
              <w:rPr>
                <w:rFonts w:eastAsia="Times New Roman" w:cs="Arial"/>
                <w:b/>
                <w:sz w:val="20"/>
                <w:szCs w:val="20"/>
              </w:rPr>
              <w:t>Output 1.2.1</w:t>
            </w:r>
            <w:r w:rsidRPr="00AD76AF">
              <w:rPr>
                <w:rFonts w:eastAsia="Times New Roman" w:cs="Arial"/>
                <w:sz w:val="20"/>
                <w:szCs w:val="20"/>
              </w:rPr>
              <w:t xml:space="preserve"> Increased collaboration and information transfer supported through the Networks’ website and helpdesk - Adaptation</w:t>
            </w:r>
          </w:p>
          <w:p w14:paraId="14397801" w14:textId="77777777" w:rsidR="008C3F34" w:rsidRPr="00AD76AF" w:rsidRDefault="008C3F34" w:rsidP="00835121">
            <w:pPr>
              <w:rPr>
                <w:rFonts w:eastAsia="Times New Roman" w:cs="Arial"/>
                <w:sz w:val="20"/>
                <w:szCs w:val="20"/>
              </w:rPr>
            </w:pPr>
            <w:r w:rsidRPr="00AD76AF">
              <w:rPr>
                <w:rFonts w:eastAsia="Times New Roman" w:cs="Arial"/>
                <w:b/>
                <w:sz w:val="20"/>
                <w:szCs w:val="20"/>
              </w:rPr>
              <w:t>Output 1.2.2</w:t>
            </w:r>
            <w:r w:rsidRPr="00AD76AF">
              <w:rPr>
                <w:rFonts w:eastAsia="Times New Roman" w:cs="Arial"/>
                <w:sz w:val="20"/>
                <w:szCs w:val="20"/>
              </w:rPr>
              <w:t xml:space="preserve"> Regional technology transfer consultations held - Adaptation</w:t>
            </w:r>
          </w:p>
          <w:p w14:paraId="7BBD8D69" w14:textId="77777777" w:rsidR="008C3F34" w:rsidRPr="00AD76AF" w:rsidRDefault="008C3F34" w:rsidP="00835121">
            <w:pPr>
              <w:rPr>
                <w:rFonts w:eastAsia="Times New Roman" w:cs="Arial"/>
                <w:sz w:val="20"/>
                <w:szCs w:val="20"/>
              </w:rPr>
            </w:pPr>
            <w:r w:rsidRPr="00AD76AF">
              <w:rPr>
                <w:rFonts w:eastAsia="Times New Roman" w:cs="Arial"/>
                <w:b/>
                <w:sz w:val="20"/>
                <w:szCs w:val="20"/>
              </w:rPr>
              <w:t>Output 1.3.1</w:t>
            </w:r>
            <w:r w:rsidRPr="00AD76AF">
              <w:rPr>
                <w:rFonts w:eastAsia="Times New Roman" w:cs="Arial"/>
                <w:sz w:val="20"/>
                <w:szCs w:val="20"/>
              </w:rPr>
              <w:t xml:space="preserve"> Networks operational and addressing a range of technology transfer issues relevant to the Region - Mitigation</w:t>
            </w:r>
          </w:p>
          <w:p w14:paraId="31E6E730" w14:textId="77777777" w:rsidR="008C3F34" w:rsidRPr="00AD76AF" w:rsidRDefault="008C3F34" w:rsidP="00835121">
            <w:pPr>
              <w:rPr>
                <w:rFonts w:eastAsia="Times New Roman" w:cs="Arial"/>
                <w:sz w:val="20"/>
                <w:szCs w:val="20"/>
              </w:rPr>
            </w:pPr>
            <w:r w:rsidRPr="00AD76AF">
              <w:rPr>
                <w:rFonts w:eastAsia="Times New Roman" w:cs="Arial"/>
                <w:b/>
                <w:sz w:val="20"/>
                <w:szCs w:val="20"/>
              </w:rPr>
              <w:t>Output 1.3.2</w:t>
            </w:r>
            <w:r w:rsidRPr="00AD76AF">
              <w:rPr>
                <w:rFonts w:eastAsia="Times New Roman" w:cs="Arial"/>
                <w:sz w:val="20"/>
                <w:szCs w:val="20"/>
              </w:rPr>
              <w:t xml:space="preserve"> Results of the Project showcased and disseminated – Mitigation</w:t>
            </w:r>
          </w:p>
          <w:p w14:paraId="023FE19A" w14:textId="77777777" w:rsidR="008C3F34" w:rsidRPr="00AD76AF" w:rsidRDefault="008C3F34" w:rsidP="00835121">
            <w:pPr>
              <w:rPr>
                <w:rFonts w:eastAsia="Times New Roman" w:cs="Arial"/>
                <w:sz w:val="20"/>
                <w:szCs w:val="20"/>
              </w:rPr>
            </w:pPr>
            <w:r w:rsidRPr="00AD76AF">
              <w:rPr>
                <w:rFonts w:eastAsia="Times New Roman" w:cs="Arial"/>
                <w:b/>
                <w:sz w:val="20"/>
                <w:szCs w:val="20"/>
              </w:rPr>
              <w:t>Output 1.4.1</w:t>
            </w:r>
            <w:r w:rsidRPr="00AD76AF">
              <w:rPr>
                <w:rFonts w:eastAsia="Times New Roman" w:cs="Arial"/>
                <w:sz w:val="20"/>
                <w:szCs w:val="20"/>
              </w:rPr>
              <w:t xml:space="preserve"> Networks operational and addressing a range of technology transfer issues relevant to the Region </w:t>
            </w:r>
            <w:r w:rsidRPr="00AD76AF">
              <w:rPr>
                <w:rFonts w:eastAsia="Times New Roman" w:cs="Arial"/>
                <w:b/>
                <w:sz w:val="20"/>
                <w:szCs w:val="20"/>
                <w:u w:val="single"/>
              </w:rPr>
              <w:t>– Adaptation</w:t>
            </w:r>
          </w:p>
          <w:p w14:paraId="67BE7728" w14:textId="77777777" w:rsidR="008C3F34" w:rsidRPr="00AD76AF" w:rsidRDefault="008C3F34" w:rsidP="00835121">
            <w:pPr>
              <w:rPr>
                <w:rFonts w:eastAsia="Times New Roman" w:cs="Arial"/>
                <w:sz w:val="20"/>
                <w:szCs w:val="20"/>
              </w:rPr>
            </w:pPr>
            <w:r w:rsidRPr="00AD76AF">
              <w:rPr>
                <w:rFonts w:eastAsia="Times New Roman" w:cs="Arial"/>
                <w:b/>
                <w:sz w:val="20"/>
                <w:szCs w:val="20"/>
              </w:rPr>
              <w:t xml:space="preserve">Output 1.4.2 </w:t>
            </w:r>
            <w:r w:rsidRPr="00AD76AF">
              <w:rPr>
                <w:rFonts w:eastAsia="Times New Roman" w:cs="Arial"/>
                <w:sz w:val="20"/>
                <w:szCs w:val="20"/>
              </w:rPr>
              <w:t>Results of the Project showcased and disseminated - Adaptation</w:t>
            </w:r>
          </w:p>
        </w:tc>
        <w:tc>
          <w:tcPr>
            <w:tcW w:w="2976" w:type="dxa"/>
            <w:shd w:val="clear" w:color="auto" w:fill="auto"/>
          </w:tcPr>
          <w:p w14:paraId="10EE2BCD" w14:textId="77777777" w:rsidR="008C3F34" w:rsidRPr="00AD76AF" w:rsidRDefault="008C3F34" w:rsidP="00835121">
            <w:pPr>
              <w:rPr>
                <w:rFonts w:eastAsia="Times New Roman" w:cs="Arial"/>
                <w:sz w:val="20"/>
                <w:szCs w:val="20"/>
              </w:rPr>
            </w:pPr>
            <w:r w:rsidRPr="00AD76AF">
              <w:rPr>
                <w:rFonts w:cs="Arial"/>
                <w:sz w:val="20"/>
                <w:szCs w:val="20"/>
              </w:rPr>
              <w:lastRenderedPageBreak/>
              <w:t xml:space="preserve">FINTECC </w:t>
            </w:r>
            <w:r w:rsidRPr="00AD76AF">
              <w:rPr>
                <w:rFonts w:eastAsia="Times New Roman" w:cs="Arial"/>
                <w:sz w:val="20"/>
                <w:szCs w:val="20"/>
              </w:rPr>
              <w:t>web-based platform established</w:t>
            </w:r>
          </w:p>
        </w:tc>
        <w:tc>
          <w:tcPr>
            <w:tcW w:w="7088" w:type="dxa"/>
            <w:shd w:val="clear" w:color="auto" w:fill="auto"/>
          </w:tcPr>
          <w:p w14:paraId="1C132207" w14:textId="48E2B6E7" w:rsidR="008C3F34" w:rsidRPr="00AD76AF" w:rsidRDefault="008C3F34" w:rsidP="00A84A13">
            <w:pPr>
              <w:spacing w:after="120"/>
              <w:rPr>
                <w:rFonts w:cs="Arial"/>
                <w:sz w:val="20"/>
                <w:szCs w:val="20"/>
              </w:rPr>
            </w:pPr>
            <w:r w:rsidRPr="00AD76AF">
              <w:rPr>
                <w:rFonts w:cs="Arial"/>
                <w:sz w:val="20"/>
                <w:szCs w:val="20"/>
              </w:rPr>
              <w:t>The FINTECC website is operational. The website has been translated into Russian and French. EBRD is planning to translate the web-site to other languages.</w:t>
            </w:r>
          </w:p>
        </w:tc>
        <w:tc>
          <w:tcPr>
            <w:tcW w:w="955" w:type="dxa"/>
            <w:vMerge w:val="restart"/>
            <w:shd w:val="clear" w:color="auto" w:fill="auto"/>
          </w:tcPr>
          <w:p w14:paraId="250D361E" w14:textId="77777777" w:rsidR="008C3F34" w:rsidRPr="00AD76AF" w:rsidRDefault="008C3F34" w:rsidP="00835121">
            <w:pPr>
              <w:spacing w:after="0" w:line="240" w:lineRule="auto"/>
              <w:rPr>
                <w:rFonts w:cs="Arial"/>
                <w:sz w:val="20"/>
                <w:szCs w:val="20"/>
              </w:rPr>
            </w:pPr>
            <w:r w:rsidRPr="00AD76AF">
              <w:rPr>
                <w:rFonts w:eastAsia="Times New Roman" w:cs="Arial"/>
                <w:iCs/>
                <w:sz w:val="20"/>
                <w:szCs w:val="20"/>
              </w:rPr>
              <w:t>S</w:t>
            </w:r>
          </w:p>
        </w:tc>
      </w:tr>
      <w:tr w:rsidR="008C3F34" w:rsidRPr="00AD76AF" w14:paraId="3B3D1CA8" w14:textId="77777777" w:rsidTr="00AF72F6">
        <w:trPr>
          <w:trHeight w:val="258"/>
        </w:trPr>
        <w:tc>
          <w:tcPr>
            <w:tcW w:w="3369" w:type="dxa"/>
            <w:vMerge/>
            <w:shd w:val="clear" w:color="auto" w:fill="auto"/>
          </w:tcPr>
          <w:p w14:paraId="2533C8CD" w14:textId="77777777" w:rsidR="008C3F34" w:rsidRPr="00AD76AF" w:rsidRDefault="008C3F34" w:rsidP="00835121">
            <w:pPr>
              <w:rPr>
                <w:rFonts w:eastAsia="Times New Roman" w:cs="Arial"/>
                <w:sz w:val="20"/>
                <w:szCs w:val="20"/>
              </w:rPr>
            </w:pPr>
          </w:p>
        </w:tc>
        <w:tc>
          <w:tcPr>
            <w:tcW w:w="2976" w:type="dxa"/>
            <w:shd w:val="clear" w:color="auto" w:fill="auto"/>
          </w:tcPr>
          <w:p w14:paraId="4EAB21BC" w14:textId="77777777" w:rsidR="008C3F34" w:rsidRPr="00AD76AF" w:rsidRDefault="008C3F34" w:rsidP="00835121">
            <w:pPr>
              <w:rPr>
                <w:rFonts w:eastAsia="Times New Roman" w:cs="Arial"/>
                <w:sz w:val="20"/>
                <w:szCs w:val="20"/>
              </w:rPr>
            </w:pPr>
            <w:r w:rsidRPr="00AD76AF">
              <w:rPr>
                <w:rFonts w:eastAsia="Times New Roman" w:cs="Arial"/>
                <w:sz w:val="20"/>
                <w:szCs w:val="20"/>
              </w:rPr>
              <w:t>Helpdesk operational</w:t>
            </w:r>
          </w:p>
        </w:tc>
        <w:tc>
          <w:tcPr>
            <w:tcW w:w="7088" w:type="dxa"/>
            <w:shd w:val="clear" w:color="auto" w:fill="auto"/>
          </w:tcPr>
          <w:p w14:paraId="163A0B28" w14:textId="77777777" w:rsidR="008C3F34" w:rsidRPr="00AD76AF" w:rsidRDefault="008C3F34" w:rsidP="008C3F34">
            <w:pPr>
              <w:spacing w:after="120"/>
              <w:rPr>
                <w:rFonts w:cs="Arial"/>
                <w:sz w:val="20"/>
                <w:szCs w:val="20"/>
              </w:rPr>
            </w:pPr>
            <w:r w:rsidRPr="00AD76AF">
              <w:rPr>
                <w:rFonts w:cs="Arial"/>
                <w:sz w:val="20"/>
                <w:szCs w:val="20"/>
              </w:rPr>
              <w:t>A webmaster in charge of maintaining the website.</w:t>
            </w:r>
          </w:p>
        </w:tc>
        <w:tc>
          <w:tcPr>
            <w:tcW w:w="955" w:type="dxa"/>
            <w:vMerge/>
            <w:shd w:val="clear" w:color="auto" w:fill="auto"/>
          </w:tcPr>
          <w:p w14:paraId="4BCAB98C" w14:textId="77777777" w:rsidR="008C3F34" w:rsidRPr="00AD76AF" w:rsidRDefault="008C3F34" w:rsidP="00835121">
            <w:pPr>
              <w:ind w:right="4"/>
              <w:rPr>
                <w:rFonts w:eastAsia="Times New Roman" w:cs="Arial"/>
                <w:sz w:val="20"/>
                <w:szCs w:val="20"/>
              </w:rPr>
            </w:pPr>
          </w:p>
        </w:tc>
      </w:tr>
      <w:tr w:rsidR="008C3F34" w:rsidRPr="00AD76AF" w14:paraId="1FB7830D" w14:textId="77777777" w:rsidTr="00AF72F6">
        <w:trPr>
          <w:trHeight w:val="619"/>
        </w:trPr>
        <w:tc>
          <w:tcPr>
            <w:tcW w:w="3369" w:type="dxa"/>
            <w:vMerge/>
            <w:shd w:val="clear" w:color="auto" w:fill="auto"/>
          </w:tcPr>
          <w:p w14:paraId="328128FB" w14:textId="77777777" w:rsidR="008C3F34" w:rsidRPr="00AD76AF" w:rsidRDefault="008C3F34" w:rsidP="00835121">
            <w:pPr>
              <w:rPr>
                <w:rFonts w:eastAsia="Times New Roman" w:cs="Arial"/>
                <w:sz w:val="20"/>
                <w:szCs w:val="20"/>
              </w:rPr>
            </w:pPr>
          </w:p>
        </w:tc>
        <w:tc>
          <w:tcPr>
            <w:tcW w:w="2976" w:type="dxa"/>
            <w:shd w:val="clear" w:color="auto" w:fill="auto"/>
          </w:tcPr>
          <w:p w14:paraId="200DF7C2" w14:textId="77777777" w:rsidR="008C3F34" w:rsidRPr="00AD76AF" w:rsidRDefault="008C3F34" w:rsidP="00835121">
            <w:pPr>
              <w:rPr>
                <w:rFonts w:eastAsia="Times New Roman" w:cs="Arial"/>
                <w:sz w:val="20"/>
                <w:szCs w:val="20"/>
              </w:rPr>
            </w:pPr>
            <w:r w:rsidRPr="00AD76AF">
              <w:rPr>
                <w:rFonts w:eastAsia="Times New Roman" w:cs="Arial"/>
                <w:sz w:val="20"/>
                <w:szCs w:val="20"/>
              </w:rPr>
              <w:t>2 to 5 Regional Network kick-off meetings held</w:t>
            </w:r>
          </w:p>
        </w:tc>
        <w:tc>
          <w:tcPr>
            <w:tcW w:w="7088" w:type="dxa"/>
            <w:shd w:val="clear" w:color="auto" w:fill="auto"/>
          </w:tcPr>
          <w:p w14:paraId="52E68765" w14:textId="77777777" w:rsidR="008C3F34" w:rsidRPr="00AD76AF" w:rsidRDefault="008C3F34" w:rsidP="008C3F34">
            <w:pPr>
              <w:spacing w:after="120"/>
              <w:rPr>
                <w:rFonts w:cs="Arial"/>
                <w:sz w:val="20"/>
                <w:szCs w:val="20"/>
              </w:rPr>
            </w:pPr>
            <w:r w:rsidRPr="00AD76AF">
              <w:rPr>
                <w:rFonts w:cs="Arial"/>
                <w:sz w:val="20"/>
                <w:szCs w:val="20"/>
              </w:rPr>
              <w:t>Two different networks have been set up</w:t>
            </w:r>
            <w:r w:rsidR="006771E0" w:rsidRPr="00AD76AF">
              <w:rPr>
                <w:rFonts w:cs="Arial"/>
                <w:sz w:val="20"/>
                <w:szCs w:val="20"/>
              </w:rPr>
              <w:t xml:space="preserve"> and related events are described below</w:t>
            </w:r>
            <w:r w:rsidRPr="00AD76AF">
              <w:rPr>
                <w:rFonts w:cs="Arial"/>
                <w:sz w:val="20"/>
                <w:szCs w:val="20"/>
              </w:rPr>
              <w:t>.</w:t>
            </w:r>
          </w:p>
        </w:tc>
        <w:tc>
          <w:tcPr>
            <w:tcW w:w="955" w:type="dxa"/>
            <w:vMerge/>
            <w:shd w:val="clear" w:color="auto" w:fill="auto"/>
          </w:tcPr>
          <w:p w14:paraId="70E51730" w14:textId="77777777" w:rsidR="008C3F34" w:rsidRPr="00AD76AF" w:rsidRDefault="008C3F34" w:rsidP="00835121">
            <w:pPr>
              <w:ind w:right="4"/>
              <w:rPr>
                <w:rFonts w:eastAsia="Times New Roman" w:cs="Arial"/>
                <w:sz w:val="20"/>
                <w:szCs w:val="20"/>
              </w:rPr>
            </w:pPr>
          </w:p>
        </w:tc>
      </w:tr>
      <w:tr w:rsidR="008C3F34" w:rsidRPr="00AD76AF" w14:paraId="60FAF1CA" w14:textId="77777777" w:rsidTr="00AF72F6">
        <w:trPr>
          <w:trHeight w:val="6299"/>
        </w:trPr>
        <w:tc>
          <w:tcPr>
            <w:tcW w:w="3369" w:type="dxa"/>
            <w:vMerge/>
            <w:shd w:val="clear" w:color="auto" w:fill="auto"/>
          </w:tcPr>
          <w:p w14:paraId="5E2B51E1" w14:textId="77777777" w:rsidR="008C3F34" w:rsidRPr="00AD76AF" w:rsidRDefault="008C3F34" w:rsidP="00835121">
            <w:pPr>
              <w:rPr>
                <w:rFonts w:eastAsia="Times New Roman" w:cs="Arial"/>
                <w:sz w:val="20"/>
                <w:szCs w:val="20"/>
              </w:rPr>
            </w:pPr>
          </w:p>
        </w:tc>
        <w:tc>
          <w:tcPr>
            <w:tcW w:w="2976" w:type="dxa"/>
            <w:shd w:val="clear" w:color="auto" w:fill="auto"/>
          </w:tcPr>
          <w:p w14:paraId="3EF0FB81" w14:textId="77777777" w:rsidR="008C3F34" w:rsidRPr="00AD76AF" w:rsidRDefault="008C3F34" w:rsidP="00835121">
            <w:pPr>
              <w:rPr>
                <w:rFonts w:eastAsia="Times New Roman" w:cs="Arial"/>
                <w:sz w:val="20"/>
                <w:szCs w:val="20"/>
              </w:rPr>
            </w:pPr>
            <w:r w:rsidRPr="00AD76AF">
              <w:rPr>
                <w:rFonts w:eastAsia="Times New Roman" w:cs="Arial"/>
                <w:sz w:val="20"/>
                <w:szCs w:val="20"/>
              </w:rPr>
              <w:t>1 to 2 Networks operational (combining mitigation and adaptation)</w:t>
            </w:r>
          </w:p>
        </w:tc>
        <w:tc>
          <w:tcPr>
            <w:tcW w:w="7088" w:type="dxa"/>
            <w:shd w:val="clear" w:color="auto" w:fill="auto"/>
          </w:tcPr>
          <w:p w14:paraId="3DED6ABE" w14:textId="77777777" w:rsidR="008C3F34" w:rsidRPr="00AD76AF" w:rsidRDefault="008C3F34" w:rsidP="008C3F34">
            <w:pPr>
              <w:spacing w:after="120"/>
              <w:rPr>
                <w:rFonts w:cs="Arial"/>
                <w:sz w:val="20"/>
                <w:szCs w:val="20"/>
              </w:rPr>
            </w:pPr>
            <w:r w:rsidRPr="00AD76AF">
              <w:rPr>
                <w:rFonts w:cs="Arial"/>
                <w:sz w:val="20"/>
                <w:szCs w:val="20"/>
              </w:rPr>
              <w:t xml:space="preserve">Efforts have been made towards creation of </w:t>
            </w:r>
            <w:r w:rsidR="006771E0" w:rsidRPr="00AD76AF">
              <w:rPr>
                <w:rFonts w:cs="Arial"/>
                <w:sz w:val="20"/>
                <w:szCs w:val="20"/>
              </w:rPr>
              <w:t>two</w:t>
            </w:r>
            <w:r w:rsidRPr="00AD76AF">
              <w:rPr>
                <w:rFonts w:cs="Arial"/>
                <w:sz w:val="20"/>
                <w:szCs w:val="20"/>
              </w:rPr>
              <w:t xml:space="preserve"> types of networks.</w:t>
            </w:r>
          </w:p>
          <w:p w14:paraId="5824BD8F" w14:textId="77777777" w:rsidR="008C3F34" w:rsidRPr="00AD76AF" w:rsidRDefault="008C3F34" w:rsidP="008C3F34">
            <w:pPr>
              <w:spacing w:after="120"/>
              <w:rPr>
                <w:rFonts w:cs="Arial"/>
                <w:sz w:val="20"/>
                <w:szCs w:val="20"/>
              </w:rPr>
            </w:pPr>
            <w:r w:rsidRPr="00AD76AF">
              <w:rPr>
                <w:rFonts w:cs="Arial"/>
                <w:b/>
                <w:i/>
                <w:sz w:val="20"/>
                <w:szCs w:val="20"/>
              </w:rPr>
              <w:t>Creatio</w:t>
            </w:r>
            <w:r w:rsidR="006771E0" w:rsidRPr="00AD76AF">
              <w:rPr>
                <w:rFonts w:cs="Arial"/>
                <w:b/>
                <w:i/>
                <w:sz w:val="20"/>
                <w:szCs w:val="20"/>
              </w:rPr>
              <w:t>n of the network for the policy</w:t>
            </w:r>
            <w:r w:rsidRPr="00AD76AF">
              <w:rPr>
                <w:rFonts w:cs="Arial"/>
                <w:sz w:val="20"/>
                <w:szCs w:val="20"/>
              </w:rPr>
              <w:t xml:space="preserve"> has been supported through work implemented by FAO and IEA. The developed methodologies and studies have been </w:t>
            </w:r>
            <w:r w:rsidR="00812DDF" w:rsidRPr="00AD76AF">
              <w:rPr>
                <w:rFonts w:cs="Arial"/>
                <w:sz w:val="20"/>
                <w:szCs w:val="20"/>
              </w:rPr>
              <w:t xml:space="preserve">show cased and </w:t>
            </w:r>
            <w:r w:rsidRPr="00AD76AF">
              <w:rPr>
                <w:rFonts w:cs="Arial"/>
                <w:sz w:val="20"/>
                <w:szCs w:val="20"/>
              </w:rPr>
              <w:t>disseminated among the policy-makers of the FINTECC countries including inter alia via the Bioenergy week, the workshops and other events.</w:t>
            </w:r>
          </w:p>
          <w:p w14:paraId="1488FC2E" w14:textId="77777777" w:rsidR="008C3F34" w:rsidRPr="00AD76AF" w:rsidRDefault="008C3F34" w:rsidP="008C3F34">
            <w:pPr>
              <w:spacing w:after="120"/>
              <w:rPr>
                <w:rFonts w:cs="Arial"/>
                <w:sz w:val="20"/>
                <w:szCs w:val="20"/>
              </w:rPr>
            </w:pPr>
            <w:r w:rsidRPr="00AD76AF">
              <w:rPr>
                <w:rFonts w:cs="Arial"/>
                <w:b/>
                <w:i/>
                <w:sz w:val="20"/>
                <w:szCs w:val="20"/>
              </w:rPr>
              <w:t>Creation of the networks for the consultants</w:t>
            </w:r>
            <w:r w:rsidRPr="00AD76AF">
              <w:rPr>
                <w:rFonts w:cs="Arial"/>
                <w:sz w:val="20"/>
                <w:szCs w:val="20"/>
              </w:rPr>
              <w:t xml:space="preserve"> is developing in conjunction with the training implemented in Mongolia, Moldova, Kyrgyz Republic and Armenia. The training covered also other 4 non-FINTECC countries and created a platform for information exchange on energy efficiency technologies within industry and building sectors.</w:t>
            </w:r>
          </w:p>
          <w:p w14:paraId="663F3365" w14:textId="77777777" w:rsidR="008C3F34" w:rsidRPr="00AD76AF" w:rsidRDefault="008C3F34" w:rsidP="008C3F34">
            <w:pPr>
              <w:spacing w:after="120"/>
              <w:rPr>
                <w:rFonts w:cs="Arial"/>
                <w:sz w:val="20"/>
                <w:szCs w:val="20"/>
              </w:rPr>
            </w:pPr>
            <w:r w:rsidRPr="00AD76AF">
              <w:rPr>
                <w:rFonts w:cs="Arial"/>
                <w:b/>
                <w:i/>
                <w:sz w:val="20"/>
                <w:szCs w:val="20"/>
              </w:rPr>
              <w:t>Good collaboration</w:t>
            </w:r>
            <w:r w:rsidRPr="00AD76AF">
              <w:rPr>
                <w:rFonts w:cs="Arial"/>
                <w:sz w:val="20"/>
                <w:szCs w:val="20"/>
              </w:rPr>
              <w:t xml:space="preserve"> has been established with the CTCN network:</w:t>
            </w:r>
          </w:p>
          <w:p w14:paraId="21A39CDC" w14:textId="77777777" w:rsidR="008C3F34" w:rsidRPr="00AD76AF" w:rsidRDefault="008C3F34" w:rsidP="008C3F34">
            <w:pPr>
              <w:numPr>
                <w:ilvl w:val="0"/>
                <w:numId w:val="22"/>
              </w:numPr>
              <w:spacing w:after="120" w:line="240" w:lineRule="auto"/>
              <w:rPr>
                <w:rFonts w:cs="Arial"/>
                <w:sz w:val="20"/>
                <w:szCs w:val="20"/>
              </w:rPr>
            </w:pPr>
            <w:r w:rsidRPr="00AD76AF">
              <w:rPr>
                <w:rFonts w:cs="Arial"/>
                <w:sz w:val="20"/>
                <w:szCs w:val="20"/>
              </w:rPr>
              <w:t>the EBRD attended CTCN’s Regional Network meeting, the Regional NDE Forum in Armenia on 01 October 2015 and a workshop with CTCN in May 2017 to strengthen the collaboration</w:t>
            </w:r>
          </w:p>
          <w:p w14:paraId="1CC55E5E" w14:textId="77777777" w:rsidR="008C3F34" w:rsidRPr="00AD76AF" w:rsidRDefault="008C3F34" w:rsidP="006771E0">
            <w:pPr>
              <w:numPr>
                <w:ilvl w:val="0"/>
                <w:numId w:val="22"/>
              </w:numPr>
              <w:spacing w:after="120" w:line="240" w:lineRule="auto"/>
              <w:rPr>
                <w:rFonts w:cs="Arial"/>
                <w:sz w:val="20"/>
                <w:szCs w:val="20"/>
              </w:rPr>
            </w:pPr>
            <w:r w:rsidRPr="00AD76AF">
              <w:rPr>
                <w:rFonts w:cs="Arial"/>
                <w:sz w:val="20"/>
                <w:szCs w:val="20"/>
              </w:rPr>
              <w:t xml:space="preserve">the EBRD is reviewing </w:t>
            </w:r>
            <w:r w:rsidR="006771E0" w:rsidRPr="00AD76AF">
              <w:rPr>
                <w:rFonts w:cs="Arial"/>
                <w:sz w:val="20"/>
                <w:szCs w:val="20"/>
              </w:rPr>
              <w:t>on an ad-hoc basis the</w:t>
            </w:r>
            <w:r w:rsidRPr="00AD76AF">
              <w:rPr>
                <w:rFonts w:cs="Arial"/>
                <w:sz w:val="20"/>
                <w:szCs w:val="20"/>
              </w:rPr>
              <w:t xml:space="preserve"> requests received by CTCN from EBRD countries of operation and is providing inputs wherever possible</w:t>
            </w:r>
          </w:p>
        </w:tc>
        <w:tc>
          <w:tcPr>
            <w:tcW w:w="955" w:type="dxa"/>
            <w:vMerge/>
            <w:shd w:val="clear" w:color="auto" w:fill="auto"/>
          </w:tcPr>
          <w:p w14:paraId="5AC209B3" w14:textId="77777777" w:rsidR="008C3F34" w:rsidRPr="00AD76AF" w:rsidRDefault="008C3F34" w:rsidP="00835121">
            <w:pPr>
              <w:ind w:right="4"/>
              <w:rPr>
                <w:rFonts w:eastAsia="Times New Roman" w:cs="Arial"/>
                <w:sz w:val="20"/>
                <w:szCs w:val="20"/>
              </w:rPr>
            </w:pPr>
          </w:p>
        </w:tc>
      </w:tr>
      <w:tr w:rsidR="008C3F34" w:rsidRPr="00AD76AF" w14:paraId="1BC8F04A" w14:textId="77777777" w:rsidTr="00A70969">
        <w:tc>
          <w:tcPr>
            <w:tcW w:w="14388" w:type="dxa"/>
            <w:gridSpan w:val="4"/>
            <w:shd w:val="clear" w:color="auto" w:fill="A6A6A6" w:themeFill="background1" w:themeFillShade="A6"/>
          </w:tcPr>
          <w:p w14:paraId="161AC374" w14:textId="77777777" w:rsidR="008C3F34" w:rsidRPr="00AD76AF" w:rsidRDefault="008C3F34" w:rsidP="00835121">
            <w:pPr>
              <w:keepNext/>
              <w:keepLines/>
              <w:rPr>
                <w:rFonts w:eastAsia="Times New Roman" w:cs="Arial"/>
                <w:sz w:val="20"/>
                <w:szCs w:val="20"/>
              </w:rPr>
            </w:pPr>
            <w:r w:rsidRPr="00AD76AF">
              <w:rPr>
                <w:rFonts w:eastAsia="Times New Roman" w:cs="Arial"/>
                <w:b/>
                <w:bCs/>
                <w:sz w:val="20"/>
                <w:szCs w:val="20"/>
              </w:rPr>
              <w:lastRenderedPageBreak/>
              <w:t>Component 2: Technology Transfer Technical Assistance</w:t>
            </w:r>
          </w:p>
        </w:tc>
      </w:tr>
      <w:tr w:rsidR="008C3F34" w:rsidRPr="00AD76AF" w14:paraId="21F75601" w14:textId="77777777" w:rsidTr="005437AE">
        <w:trPr>
          <w:trHeight w:val="497"/>
        </w:trPr>
        <w:tc>
          <w:tcPr>
            <w:tcW w:w="3369" w:type="dxa"/>
            <w:vMerge w:val="restart"/>
            <w:shd w:val="clear" w:color="auto" w:fill="auto"/>
          </w:tcPr>
          <w:p w14:paraId="06B714BD" w14:textId="77777777" w:rsidR="008C3F34" w:rsidRPr="00AD76AF" w:rsidRDefault="008C3F34" w:rsidP="00835121">
            <w:pPr>
              <w:rPr>
                <w:rFonts w:eastAsia="Times New Roman" w:cs="Arial"/>
                <w:sz w:val="20"/>
                <w:szCs w:val="20"/>
              </w:rPr>
            </w:pPr>
            <w:r w:rsidRPr="00AD76AF">
              <w:rPr>
                <w:rFonts w:eastAsia="Times New Roman" w:cs="Arial"/>
                <w:b/>
                <w:sz w:val="20"/>
                <w:szCs w:val="20"/>
              </w:rPr>
              <w:t>Output 2.1.1</w:t>
            </w:r>
            <w:r w:rsidRPr="00AD76AF">
              <w:rPr>
                <w:rFonts w:eastAsia="Times New Roman" w:cs="Arial"/>
                <w:sz w:val="20"/>
                <w:szCs w:val="20"/>
              </w:rPr>
              <w:t xml:space="preserve"> Technology transfer finance mechanism developed – Mitigation</w:t>
            </w:r>
          </w:p>
          <w:p w14:paraId="38A33F92" w14:textId="77777777" w:rsidR="008C3F34" w:rsidRPr="00AD76AF" w:rsidRDefault="008C3F34" w:rsidP="00835121">
            <w:pPr>
              <w:rPr>
                <w:rFonts w:eastAsia="Times New Roman" w:cs="Arial"/>
                <w:sz w:val="20"/>
                <w:szCs w:val="20"/>
              </w:rPr>
            </w:pPr>
          </w:p>
          <w:p w14:paraId="69CAA49F" w14:textId="77777777" w:rsidR="008C3F34" w:rsidRPr="00AD76AF" w:rsidRDefault="008C3F34" w:rsidP="00835121">
            <w:pPr>
              <w:rPr>
                <w:rFonts w:eastAsia="Times New Roman" w:cs="Arial"/>
                <w:sz w:val="20"/>
                <w:szCs w:val="20"/>
              </w:rPr>
            </w:pPr>
            <w:r w:rsidRPr="00AD76AF">
              <w:rPr>
                <w:rFonts w:eastAsia="Times New Roman" w:cs="Arial"/>
                <w:b/>
                <w:sz w:val="20"/>
                <w:szCs w:val="20"/>
              </w:rPr>
              <w:t>Output 2.1.2</w:t>
            </w:r>
            <w:r w:rsidRPr="00AD76AF">
              <w:rPr>
                <w:rFonts w:eastAsia="Times New Roman" w:cs="Arial"/>
                <w:sz w:val="20"/>
                <w:szCs w:val="20"/>
              </w:rPr>
              <w:t xml:space="preserve"> Pipeline of technology transfer projects identified and technically supported - Mitigation</w:t>
            </w:r>
          </w:p>
          <w:p w14:paraId="1E1A46C6" w14:textId="77777777" w:rsidR="008C3F34" w:rsidRPr="00AD76AF" w:rsidRDefault="008C3F34" w:rsidP="00835121">
            <w:pPr>
              <w:rPr>
                <w:rFonts w:eastAsia="Times New Roman" w:cs="Arial"/>
                <w:sz w:val="20"/>
                <w:szCs w:val="20"/>
              </w:rPr>
            </w:pPr>
          </w:p>
          <w:p w14:paraId="7119D9B1" w14:textId="77777777" w:rsidR="008C3F34" w:rsidRPr="00AD76AF" w:rsidRDefault="008C3F34" w:rsidP="00835121">
            <w:pPr>
              <w:rPr>
                <w:rFonts w:eastAsia="Times New Roman" w:cs="Arial"/>
                <w:sz w:val="20"/>
                <w:szCs w:val="20"/>
              </w:rPr>
            </w:pPr>
            <w:r w:rsidRPr="00AD76AF">
              <w:rPr>
                <w:rFonts w:eastAsia="Times New Roman" w:cs="Arial"/>
                <w:b/>
                <w:sz w:val="20"/>
                <w:szCs w:val="20"/>
              </w:rPr>
              <w:t>Output 2.2.1</w:t>
            </w:r>
            <w:r w:rsidRPr="00AD76AF">
              <w:rPr>
                <w:rFonts w:eastAsia="Times New Roman" w:cs="Arial"/>
                <w:sz w:val="20"/>
                <w:szCs w:val="20"/>
              </w:rPr>
              <w:t xml:space="preserve"> Technology transfer finance mechanism developed - Adaptation</w:t>
            </w:r>
          </w:p>
          <w:p w14:paraId="07C14B3F" w14:textId="77777777" w:rsidR="008C3F34" w:rsidRPr="00AD76AF" w:rsidRDefault="008C3F34" w:rsidP="00835121">
            <w:pPr>
              <w:rPr>
                <w:rFonts w:eastAsia="Times New Roman" w:cs="Arial"/>
                <w:sz w:val="20"/>
                <w:szCs w:val="20"/>
              </w:rPr>
            </w:pPr>
          </w:p>
          <w:p w14:paraId="1D7071C0" w14:textId="77777777" w:rsidR="008C3F34" w:rsidRPr="00AD76AF" w:rsidRDefault="008C3F34" w:rsidP="00835121">
            <w:pPr>
              <w:rPr>
                <w:rFonts w:eastAsia="Times New Roman" w:cs="Arial"/>
                <w:sz w:val="20"/>
                <w:szCs w:val="20"/>
              </w:rPr>
            </w:pPr>
            <w:r w:rsidRPr="00AD76AF">
              <w:rPr>
                <w:rFonts w:eastAsia="Times New Roman" w:cs="Arial"/>
                <w:b/>
                <w:sz w:val="20"/>
                <w:szCs w:val="20"/>
              </w:rPr>
              <w:t>Output 2.2.2</w:t>
            </w:r>
            <w:r w:rsidRPr="00AD76AF">
              <w:rPr>
                <w:rFonts w:eastAsia="Times New Roman" w:cs="Arial"/>
                <w:sz w:val="20"/>
                <w:szCs w:val="20"/>
              </w:rPr>
              <w:t xml:space="preserve"> Pipeline of technology transfer projects identified and technically supported - Adaptation</w:t>
            </w:r>
          </w:p>
          <w:p w14:paraId="7DC89F9F" w14:textId="77777777" w:rsidR="008C3F34" w:rsidRPr="00AD76AF" w:rsidRDefault="008C3F34" w:rsidP="00835121">
            <w:pPr>
              <w:rPr>
                <w:rFonts w:eastAsia="Times New Roman" w:cs="Arial"/>
                <w:sz w:val="20"/>
                <w:szCs w:val="20"/>
              </w:rPr>
            </w:pPr>
          </w:p>
          <w:p w14:paraId="14A0A4E7" w14:textId="77777777" w:rsidR="008C3F34" w:rsidRPr="00AD76AF" w:rsidRDefault="008C3F34" w:rsidP="00835121">
            <w:pPr>
              <w:rPr>
                <w:rFonts w:eastAsia="Times New Roman" w:cs="Arial"/>
                <w:sz w:val="20"/>
                <w:szCs w:val="20"/>
              </w:rPr>
            </w:pPr>
            <w:r w:rsidRPr="00AD76AF">
              <w:rPr>
                <w:rFonts w:eastAsia="Times New Roman" w:cs="Arial"/>
                <w:b/>
                <w:sz w:val="20"/>
                <w:szCs w:val="20"/>
              </w:rPr>
              <w:t>Output 2.3.1</w:t>
            </w:r>
            <w:r w:rsidRPr="00AD76AF">
              <w:rPr>
                <w:rFonts w:eastAsia="Times New Roman" w:cs="Arial"/>
                <w:sz w:val="20"/>
                <w:szCs w:val="20"/>
              </w:rPr>
              <w:t xml:space="preserve"> Support is provided to assessed technology needs - Mitigation</w:t>
            </w:r>
          </w:p>
          <w:p w14:paraId="71E2FB6B" w14:textId="77777777" w:rsidR="008C3F34" w:rsidRPr="00AD76AF" w:rsidRDefault="008C3F34" w:rsidP="00835121">
            <w:pPr>
              <w:rPr>
                <w:rFonts w:eastAsia="Times New Roman" w:cs="Arial"/>
                <w:sz w:val="20"/>
                <w:szCs w:val="20"/>
              </w:rPr>
            </w:pPr>
          </w:p>
          <w:p w14:paraId="2BD43F58" w14:textId="77777777" w:rsidR="008C3F34" w:rsidRPr="00AD76AF" w:rsidRDefault="008C3F34" w:rsidP="00835121">
            <w:pPr>
              <w:rPr>
                <w:rFonts w:eastAsia="Times New Roman" w:cs="Arial"/>
                <w:sz w:val="20"/>
                <w:szCs w:val="20"/>
              </w:rPr>
            </w:pPr>
            <w:r w:rsidRPr="00AD76AF">
              <w:rPr>
                <w:rFonts w:eastAsia="Times New Roman" w:cs="Arial"/>
                <w:b/>
                <w:sz w:val="20"/>
                <w:szCs w:val="20"/>
              </w:rPr>
              <w:t>Output 2.4.1</w:t>
            </w:r>
            <w:r w:rsidRPr="00AD76AF">
              <w:rPr>
                <w:rFonts w:eastAsia="Times New Roman" w:cs="Arial"/>
                <w:sz w:val="20"/>
                <w:szCs w:val="20"/>
              </w:rPr>
              <w:t xml:space="preserve"> Support is provided to </w:t>
            </w:r>
            <w:r w:rsidRPr="00AD76AF">
              <w:rPr>
                <w:rFonts w:eastAsia="Times New Roman" w:cs="Arial"/>
                <w:sz w:val="20"/>
                <w:szCs w:val="20"/>
              </w:rPr>
              <w:lastRenderedPageBreak/>
              <w:t>assessed technology needs- Adaptation</w:t>
            </w:r>
          </w:p>
        </w:tc>
        <w:tc>
          <w:tcPr>
            <w:tcW w:w="2976" w:type="dxa"/>
            <w:shd w:val="clear" w:color="auto" w:fill="auto"/>
          </w:tcPr>
          <w:p w14:paraId="088ED609" w14:textId="77777777" w:rsidR="008C3F34" w:rsidRPr="00AD76AF" w:rsidRDefault="008C3F34" w:rsidP="00835121">
            <w:pPr>
              <w:rPr>
                <w:rFonts w:eastAsia="Times New Roman" w:cs="Arial"/>
                <w:sz w:val="20"/>
                <w:szCs w:val="20"/>
              </w:rPr>
            </w:pPr>
            <w:r w:rsidRPr="00AD76AF">
              <w:rPr>
                <w:rFonts w:eastAsia="Times New Roman" w:cs="Arial"/>
                <w:sz w:val="20"/>
                <w:szCs w:val="20"/>
              </w:rPr>
              <w:lastRenderedPageBreak/>
              <w:t>Finance mechanism developed</w:t>
            </w:r>
          </w:p>
        </w:tc>
        <w:tc>
          <w:tcPr>
            <w:tcW w:w="7088" w:type="dxa"/>
            <w:shd w:val="clear" w:color="auto" w:fill="auto"/>
          </w:tcPr>
          <w:p w14:paraId="6AB5BA2F" w14:textId="77777777" w:rsidR="008C3F34" w:rsidRPr="00AD76AF" w:rsidRDefault="008C3F34" w:rsidP="008C3F34">
            <w:pPr>
              <w:spacing w:after="120"/>
              <w:rPr>
                <w:rFonts w:cs="Arial"/>
                <w:sz w:val="20"/>
                <w:szCs w:val="20"/>
              </w:rPr>
            </w:pPr>
            <w:r w:rsidRPr="00AD76AF">
              <w:rPr>
                <w:rFonts w:cs="Arial"/>
                <w:sz w:val="20"/>
                <w:szCs w:val="20"/>
              </w:rPr>
              <w:t xml:space="preserve">The financing mechanism has been developed and is operational. The EBRD is undertaking direct investments in all countries supported by FINTECC grants where appropriate; this applies to mitigation and adaptation technologies. Additionally, credit lines for mitigation activities (supported through other donor-funded programmes) are now in place in all GEF-funded FINTECC countries apart from Turkmenistan and Uzbekistan. </w:t>
            </w:r>
          </w:p>
        </w:tc>
        <w:tc>
          <w:tcPr>
            <w:tcW w:w="955" w:type="dxa"/>
            <w:vMerge w:val="restart"/>
            <w:shd w:val="clear" w:color="auto" w:fill="auto"/>
          </w:tcPr>
          <w:p w14:paraId="58B48FA3" w14:textId="77777777" w:rsidR="008C3F34" w:rsidRPr="00AD76AF" w:rsidRDefault="008C3F34" w:rsidP="00835121">
            <w:pPr>
              <w:ind w:right="4"/>
              <w:rPr>
                <w:rFonts w:eastAsia="Times New Roman" w:cs="Arial"/>
                <w:sz w:val="20"/>
                <w:szCs w:val="20"/>
              </w:rPr>
            </w:pPr>
            <w:r w:rsidRPr="00AD76AF">
              <w:rPr>
                <w:rFonts w:eastAsia="Times New Roman" w:cs="Arial"/>
                <w:iCs/>
                <w:sz w:val="20"/>
                <w:szCs w:val="20"/>
              </w:rPr>
              <w:t>S</w:t>
            </w:r>
          </w:p>
        </w:tc>
      </w:tr>
      <w:tr w:rsidR="008C3F34" w:rsidRPr="00AD76AF" w14:paraId="5E627811" w14:textId="77777777" w:rsidTr="005437AE">
        <w:trPr>
          <w:trHeight w:val="807"/>
        </w:trPr>
        <w:tc>
          <w:tcPr>
            <w:tcW w:w="3369" w:type="dxa"/>
            <w:vMerge/>
            <w:shd w:val="clear" w:color="auto" w:fill="auto"/>
          </w:tcPr>
          <w:p w14:paraId="28AB2C85" w14:textId="77777777" w:rsidR="008C3F34" w:rsidRPr="00AD76AF" w:rsidRDefault="008C3F34" w:rsidP="00835121">
            <w:pPr>
              <w:rPr>
                <w:rFonts w:eastAsia="Times New Roman" w:cs="Arial"/>
                <w:sz w:val="20"/>
                <w:szCs w:val="20"/>
              </w:rPr>
            </w:pPr>
          </w:p>
        </w:tc>
        <w:tc>
          <w:tcPr>
            <w:tcW w:w="2976" w:type="dxa"/>
            <w:shd w:val="clear" w:color="auto" w:fill="auto"/>
          </w:tcPr>
          <w:p w14:paraId="49D7C115" w14:textId="77777777" w:rsidR="008C3F34" w:rsidRPr="00AD76AF" w:rsidRDefault="008C3F34" w:rsidP="00835121">
            <w:pPr>
              <w:rPr>
                <w:rFonts w:eastAsia="Times New Roman" w:cs="Arial"/>
                <w:sz w:val="20"/>
                <w:szCs w:val="20"/>
              </w:rPr>
            </w:pPr>
            <w:r w:rsidRPr="00AD76AF">
              <w:rPr>
                <w:rFonts w:eastAsia="Times New Roman" w:cs="Arial"/>
                <w:sz w:val="20"/>
                <w:szCs w:val="20"/>
              </w:rPr>
              <w:t>Climate Technology Opportunities Assessment (CTOA) developed</w:t>
            </w:r>
          </w:p>
        </w:tc>
        <w:tc>
          <w:tcPr>
            <w:tcW w:w="7088" w:type="dxa"/>
            <w:shd w:val="clear" w:color="auto" w:fill="auto"/>
          </w:tcPr>
          <w:p w14:paraId="75172981" w14:textId="77777777" w:rsidR="008C3F34" w:rsidRPr="00AD76AF" w:rsidRDefault="008C3F34" w:rsidP="008C3F34">
            <w:pPr>
              <w:spacing w:after="120"/>
              <w:rPr>
                <w:rFonts w:cs="Arial"/>
                <w:sz w:val="20"/>
                <w:szCs w:val="20"/>
              </w:rPr>
            </w:pPr>
            <w:r w:rsidRPr="00AD76AF">
              <w:rPr>
                <w:rFonts w:cs="Arial"/>
                <w:sz w:val="20"/>
                <w:szCs w:val="20"/>
              </w:rPr>
              <w:t xml:space="preserve">EBRD’s collaboration with the IEA and FAO has resulted in the development of methodologies to help countries in Climate Technology Opportunities Assessment (CTOA). The methodologies have been piloted in 2016 and 2018 and are ready for application by country governments. </w:t>
            </w:r>
          </w:p>
        </w:tc>
        <w:tc>
          <w:tcPr>
            <w:tcW w:w="955" w:type="dxa"/>
            <w:vMerge/>
            <w:shd w:val="clear" w:color="auto" w:fill="auto"/>
          </w:tcPr>
          <w:p w14:paraId="14A022C4" w14:textId="77777777" w:rsidR="008C3F34" w:rsidRPr="00AD76AF" w:rsidRDefault="008C3F34" w:rsidP="00835121">
            <w:pPr>
              <w:ind w:right="4"/>
              <w:rPr>
                <w:rFonts w:eastAsia="Times New Roman" w:cs="Arial"/>
                <w:sz w:val="20"/>
                <w:szCs w:val="20"/>
              </w:rPr>
            </w:pPr>
          </w:p>
        </w:tc>
      </w:tr>
      <w:tr w:rsidR="008C3F34" w:rsidRPr="00AD76AF" w14:paraId="12B88C2B" w14:textId="77777777" w:rsidTr="005437AE">
        <w:trPr>
          <w:trHeight w:val="807"/>
        </w:trPr>
        <w:tc>
          <w:tcPr>
            <w:tcW w:w="3369" w:type="dxa"/>
            <w:vMerge/>
            <w:shd w:val="clear" w:color="auto" w:fill="auto"/>
          </w:tcPr>
          <w:p w14:paraId="02A50D3B" w14:textId="77777777" w:rsidR="008C3F34" w:rsidRPr="00AD76AF" w:rsidRDefault="008C3F34" w:rsidP="00835121">
            <w:pPr>
              <w:rPr>
                <w:rFonts w:eastAsia="Times New Roman" w:cs="Arial"/>
                <w:sz w:val="20"/>
                <w:szCs w:val="20"/>
              </w:rPr>
            </w:pPr>
          </w:p>
        </w:tc>
        <w:tc>
          <w:tcPr>
            <w:tcW w:w="2976" w:type="dxa"/>
            <w:shd w:val="clear" w:color="auto" w:fill="auto"/>
          </w:tcPr>
          <w:p w14:paraId="10F936E0" w14:textId="77777777" w:rsidR="008C3F34" w:rsidRPr="00AD76AF" w:rsidRDefault="008C3F34" w:rsidP="00835121">
            <w:pPr>
              <w:rPr>
                <w:rFonts w:eastAsia="Times New Roman" w:cs="Arial"/>
                <w:sz w:val="20"/>
                <w:szCs w:val="20"/>
              </w:rPr>
            </w:pPr>
            <w:r w:rsidRPr="00AD76AF">
              <w:rPr>
                <w:rFonts w:eastAsia="Times New Roman" w:cs="Arial"/>
                <w:sz w:val="20"/>
                <w:szCs w:val="20"/>
              </w:rPr>
              <w:t>Guidelines on Resilience Management developed</w:t>
            </w:r>
          </w:p>
        </w:tc>
        <w:tc>
          <w:tcPr>
            <w:tcW w:w="7088" w:type="dxa"/>
            <w:shd w:val="clear" w:color="auto" w:fill="auto"/>
          </w:tcPr>
          <w:p w14:paraId="43BAE9D2" w14:textId="77777777" w:rsidR="008C3F34" w:rsidRPr="00AD76AF" w:rsidRDefault="008C3F34" w:rsidP="008C3F34">
            <w:pPr>
              <w:spacing w:after="120"/>
              <w:rPr>
                <w:rFonts w:cs="Arial"/>
                <w:sz w:val="20"/>
                <w:szCs w:val="20"/>
              </w:rPr>
            </w:pPr>
            <w:r w:rsidRPr="00AD76AF">
              <w:rPr>
                <w:rFonts w:cs="Arial"/>
                <w:sz w:val="20"/>
                <w:szCs w:val="20"/>
              </w:rPr>
              <w:t>Guidelines on Climate Resilience in Industry and Buildings have been developed and shared through the trainings in Moldova and Armenia. Four trainings were conducted in Moldova between July 2014 – November 2015. Two trainings were conducted in Armenia in February 2015 and March 2016. Further advanced training has taken place in December 2016 for Moldova.</w:t>
            </w:r>
          </w:p>
        </w:tc>
        <w:tc>
          <w:tcPr>
            <w:tcW w:w="955" w:type="dxa"/>
            <w:vMerge/>
            <w:shd w:val="clear" w:color="auto" w:fill="auto"/>
          </w:tcPr>
          <w:p w14:paraId="74A901D7" w14:textId="77777777" w:rsidR="008C3F34" w:rsidRPr="00AD76AF" w:rsidRDefault="008C3F34" w:rsidP="00835121">
            <w:pPr>
              <w:ind w:right="4"/>
              <w:rPr>
                <w:rFonts w:eastAsia="Times New Roman" w:cs="Arial"/>
                <w:sz w:val="20"/>
                <w:szCs w:val="20"/>
              </w:rPr>
            </w:pPr>
          </w:p>
        </w:tc>
      </w:tr>
      <w:tr w:rsidR="008C3F34" w:rsidRPr="00AD76AF" w14:paraId="507B27ED" w14:textId="77777777" w:rsidTr="005437AE">
        <w:trPr>
          <w:trHeight w:val="807"/>
        </w:trPr>
        <w:tc>
          <w:tcPr>
            <w:tcW w:w="3369" w:type="dxa"/>
            <w:vMerge/>
            <w:shd w:val="clear" w:color="auto" w:fill="auto"/>
          </w:tcPr>
          <w:p w14:paraId="4CE61939" w14:textId="77777777" w:rsidR="008C3F34" w:rsidRPr="00AD76AF" w:rsidRDefault="008C3F34" w:rsidP="00835121">
            <w:pPr>
              <w:rPr>
                <w:rFonts w:eastAsia="Times New Roman" w:cs="Arial"/>
                <w:sz w:val="20"/>
                <w:szCs w:val="20"/>
              </w:rPr>
            </w:pPr>
          </w:p>
        </w:tc>
        <w:tc>
          <w:tcPr>
            <w:tcW w:w="2976" w:type="dxa"/>
            <w:shd w:val="clear" w:color="auto" w:fill="auto"/>
          </w:tcPr>
          <w:p w14:paraId="3262841D" w14:textId="77777777" w:rsidR="008C3F34" w:rsidRPr="00AD76AF" w:rsidRDefault="008C3F34" w:rsidP="00835121">
            <w:pPr>
              <w:rPr>
                <w:rFonts w:eastAsia="Times New Roman" w:cs="Arial"/>
                <w:sz w:val="20"/>
                <w:szCs w:val="20"/>
              </w:rPr>
            </w:pPr>
            <w:r w:rsidRPr="00AD76AF">
              <w:rPr>
                <w:rFonts w:eastAsia="Times New Roman" w:cs="Arial"/>
                <w:sz w:val="20"/>
                <w:szCs w:val="20"/>
              </w:rPr>
              <w:t>BREFs available in accessible form</w:t>
            </w:r>
          </w:p>
        </w:tc>
        <w:tc>
          <w:tcPr>
            <w:tcW w:w="7088" w:type="dxa"/>
            <w:shd w:val="clear" w:color="auto" w:fill="auto"/>
          </w:tcPr>
          <w:p w14:paraId="08730F4D" w14:textId="77777777" w:rsidR="008C3F34" w:rsidRPr="00AD76AF" w:rsidRDefault="008C3F34" w:rsidP="008C3F34">
            <w:pPr>
              <w:spacing w:after="120"/>
              <w:rPr>
                <w:rFonts w:cs="Arial"/>
                <w:sz w:val="20"/>
                <w:szCs w:val="20"/>
              </w:rPr>
            </w:pPr>
            <w:r w:rsidRPr="00AD76AF">
              <w:rPr>
                <w:rFonts w:cs="Arial"/>
                <w:sz w:val="20"/>
                <w:szCs w:val="20"/>
              </w:rPr>
              <w:t>The work related to BREF is linked to internal procedures at EBRD, which aim at developing standard benchmarking to assess whether a technology is the best practice or not. Such procedures expand beyond BREF and they are built on direct experience with technologies and clients in the FINTECC region.</w:t>
            </w:r>
          </w:p>
        </w:tc>
        <w:tc>
          <w:tcPr>
            <w:tcW w:w="955" w:type="dxa"/>
            <w:vMerge/>
            <w:shd w:val="clear" w:color="auto" w:fill="auto"/>
          </w:tcPr>
          <w:p w14:paraId="411EAA61" w14:textId="77777777" w:rsidR="008C3F34" w:rsidRPr="00AD76AF" w:rsidRDefault="008C3F34" w:rsidP="00835121">
            <w:pPr>
              <w:ind w:right="4"/>
              <w:rPr>
                <w:rFonts w:eastAsia="Times New Roman" w:cs="Arial"/>
                <w:sz w:val="20"/>
                <w:szCs w:val="20"/>
              </w:rPr>
            </w:pPr>
          </w:p>
        </w:tc>
      </w:tr>
      <w:tr w:rsidR="008C3F34" w:rsidRPr="00AD76AF" w14:paraId="555DE6F7" w14:textId="77777777" w:rsidTr="005437AE">
        <w:trPr>
          <w:trHeight w:val="807"/>
        </w:trPr>
        <w:tc>
          <w:tcPr>
            <w:tcW w:w="3369" w:type="dxa"/>
            <w:vMerge/>
            <w:shd w:val="clear" w:color="auto" w:fill="auto"/>
          </w:tcPr>
          <w:p w14:paraId="1FB77D06" w14:textId="77777777" w:rsidR="008C3F34" w:rsidRPr="00AD76AF" w:rsidRDefault="008C3F34" w:rsidP="00835121">
            <w:pPr>
              <w:rPr>
                <w:rFonts w:eastAsia="Times New Roman" w:cs="Arial"/>
                <w:sz w:val="20"/>
                <w:szCs w:val="20"/>
              </w:rPr>
            </w:pPr>
          </w:p>
        </w:tc>
        <w:tc>
          <w:tcPr>
            <w:tcW w:w="2976" w:type="dxa"/>
            <w:shd w:val="clear" w:color="auto" w:fill="auto"/>
          </w:tcPr>
          <w:p w14:paraId="5D44256C" w14:textId="77777777" w:rsidR="008C3F34" w:rsidRPr="00AD76AF" w:rsidRDefault="008C3F34" w:rsidP="00835121">
            <w:pPr>
              <w:rPr>
                <w:rFonts w:eastAsia="Times New Roman" w:cs="Arial"/>
                <w:sz w:val="20"/>
                <w:szCs w:val="20"/>
              </w:rPr>
            </w:pPr>
            <w:r w:rsidRPr="00AD76AF">
              <w:rPr>
                <w:rFonts w:eastAsia="Times New Roman" w:cs="Arial"/>
                <w:sz w:val="20"/>
                <w:szCs w:val="20"/>
              </w:rPr>
              <w:t>10 Technology assessments conducted and available</w:t>
            </w:r>
          </w:p>
        </w:tc>
        <w:tc>
          <w:tcPr>
            <w:tcW w:w="7088" w:type="dxa"/>
            <w:shd w:val="clear" w:color="auto" w:fill="auto"/>
          </w:tcPr>
          <w:p w14:paraId="1A5C7CB3" w14:textId="77777777" w:rsidR="008C3F34" w:rsidRPr="00AD76AF" w:rsidRDefault="006771E0" w:rsidP="008C3F34">
            <w:pPr>
              <w:spacing w:after="120"/>
              <w:rPr>
                <w:rFonts w:cs="Arial"/>
                <w:sz w:val="20"/>
                <w:szCs w:val="20"/>
              </w:rPr>
            </w:pPr>
            <w:r w:rsidRPr="00AD76AF">
              <w:rPr>
                <w:rFonts w:cs="Arial"/>
                <w:sz w:val="20"/>
                <w:szCs w:val="20"/>
              </w:rPr>
              <w:t>25</w:t>
            </w:r>
            <w:r w:rsidR="008C3F34" w:rsidRPr="00AD76AF">
              <w:rPr>
                <w:rFonts w:cs="Arial"/>
                <w:sz w:val="20"/>
                <w:szCs w:val="20"/>
              </w:rPr>
              <w:t xml:space="preserve"> technology opportunities assessments have been completed, leading to EBRD investments.</w:t>
            </w:r>
          </w:p>
        </w:tc>
        <w:tc>
          <w:tcPr>
            <w:tcW w:w="955" w:type="dxa"/>
            <w:vMerge/>
            <w:shd w:val="clear" w:color="auto" w:fill="auto"/>
          </w:tcPr>
          <w:p w14:paraId="6928980C" w14:textId="77777777" w:rsidR="008C3F34" w:rsidRPr="00AD76AF" w:rsidRDefault="008C3F34" w:rsidP="00835121">
            <w:pPr>
              <w:ind w:right="4"/>
              <w:rPr>
                <w:rFonts w:eastAsia="Times New Roman" w:cs="Arial"/>
                <w:sz w:val="20"/>
                <w:szCs w:val="20"/>
              </w:rPr>
            </w:pPr>
          </w:p>
        </w:tc>
      </w:tr>
      <w:tr w:rsidR="008C3F34" w:rsidRPr="00AD76AF" w14:paraId="1B81FD4D" w14:textId="77777777" w:rsidTr="005437AE">
        <w:trPr>
          <w:trHeight w:val="807"/>
        </w:trPr>
        <w:tc>
          <w:tcPr>
            <w:tcW w:w="3369" w:type="dxa"/>
            <w:vMerge/>
            <w:shd w:val="clear" w:color="auto" w:fill="auto"/>
          </w:tcPr>
          <w:p w14:paraId="0E726D12" w14:textId="77777777" w:rsidR="008C3F34" w:rsidRPr="00AD76AF" w:rsidRDefault="008C3F34" w:rsidP="00835121">
            <w:pPr>
              <w:rPr>
                <w:rFonts w:eastAsia="Times New Roman" w:cs="Arial"/>
                <w:sz w:val="20"/>
                <w:szCs w:val="20"/>
              </w:rPr>
            </w:pPr>
          </w:p>
        </w:tc>
        <w:tc>
          <w:tcPr>
            <w:tcW w:w="2976" w:type="dxa"/>
            <w:shd w:val="clear" w:color="auto" w:fill="auto"/>
          </w:tcPr>
          <w:p w14:paraId="56CF0F20" w14:textId="77777777" w:rsidR="008C3F34" w:rsidRPr="00AD76AF" w:rsidRDefault="008C3F34" w:rsidP="00835121">
            <w:pPr>
              <w:rPr>
                <w:rFonts w:eastAsia="Times New Roman" w:cs="Arial"/>
                <w:sz w:val="20"/>
                <w:szCs w:val="20"/>
              </w:rPr>
            </w:pPr>
            <w:r w:rsidRPr="00AD76AF">
              <w:rPr>
                <w:rFonts w:eastAsia="Times New Roman" w:cs="Arial"/>
                <w:sz w:val="20"/>
                <w:szCs w:val="20"/>
              </w:rPr>
              <w:t>TPI developed</w:t>
            </w:r>
          </w:p>
        </w:tc>
        <w:tc>
          <w:tcPr>
            <w:tcW w:w="7088" w:type="dxa"/>
            <w:shd w:val="clear" w:color="auto" w:fill="auto"/>
          </w:tcPr>
          <w:p w14:paraId="60841251" w14:textId="77777777" w:rsidR="008C3F34" w:rsidRPr="00AD76AF" w:rsidRDefault="008C3F34" w:rsidP="008C3F34">
            <w:pPr>
              <w:spacing w:after="120"/>
              <w:rPr>
                <w:rFonts w:cs="Arial"/>
                <w:sz w:val="20"/>
                <w:szCs w:val="20"/>
              </w:rPr>
            </w:pPr>
            <w:r w:rsidRPr="00AD76AF">
              <w:rPr>
                <w:rFonts w:cs="Arial"/>
                <w:sz w:val="20"/>
                <w:szCs w:val="20"/>
              </w:rPr>
              <w:t>The EBRD’s collaboration with the IEA and FAO has resulted in developing a Technology Penetration Index (TPI). The methodologies have been piloted in 2016 and are ready for application by country governments. In 2018 the methodology has been rolled out by the FAO in Kyrgyzstan and Kazakhstan.</w:t>
            </w:r>
          </w:p>
          <w:p w14:paraId="45BFA982" w14:textId="77777777" w:rsidR="008C3F34" w:rsidRPr="00AD76AF" w:rsidRDefault="006771E0" w:rsidP="008C3F34">
            <w:pPr>
              <w:spacing w:after="120"/>
              <w:rPr>
                <w:rFonts w:cs="Arial"/>
                <w:sz w:val="20"/>
                <w:szCs w:val="20"/>
              </w:rPr>
            </w:pPr>
            <w:r w:rsidRPr="00AD76AF">
              <w:rPr>
                <w:rFonts w:cs="Arial"/>
                <w:sz w:val="20"/>
                <w:szCs w:val="20"/>
              </w:rPr>
              <w:lastRenderedPageBreak/>
              <w:t>In addition, the Bank is working at developing a market penetration methodology based on trade data. The methodology should allow to monitor the diffusion of green technologies over time and is being tested in several countries. The pilot studies are starting in September 2019 and the EBRD will be able to report on them by next reporting period.</w:t>
            </w:r>
          </w:p>
        </w:tc>
        <w:tc>
          <w:tcPr>
            <w:tcW w:w="955" w:type="dxa"/>
            <w:vMerge/>
            <w:shd w:val="clear" w:color="auto" w:fill="auto"/>
          </w:tcPr>
          <w:p w14:paraId="64D6B245" w14:textId="77777777" w:rsidR="008C3F34" w:rsidRPr="00AD76AF" w:rsidRDefault="008C3F34" w:rsidP="00835121">
            <w:pPr>
              <w:ind w:right="4"/>
              <w:rPr>
                <w:rFonts w:eastAsia="Times New Roman" w:cs="Arial"/>
                <w:sz w:val="20"/>
                <w:szCs w:val="20"/>
              </w:rPr>
            </w:pPr>
          </w:p>
        </w:tc>
      </w:tr>
      <w:tr w:rsidR="008C3F34" w:rsidRPr="00AD76AF" w14:paraId="60BE90D8" w14:textId="77777777" w:rsidTr="00A70969">
        <w:tc>
          <w:tcPr>
            <w:tcW w:w="14388" w:type="dxa"/>
            <w:gridSpan w:val="4"/>
            <w:shd w:val="clear" w:color="auto" w:fill="A6A6A6" w:themeFill="background1" w:themeFillShade="A6"/>
          </w:tcPr>
          <w:p w14:paraId="64DF2C97" w14:textId="77777777" w:rsidR="008C3F34" w:rsidRPr="00AD76AF" w:rsidRDefault="008C3F34" w:rsidP="00835121">
            <w:pPr>
              <w:rPr>
                <w:rFonts w:eastAsia="Times New Roman" w:cs="Arial"/>
                <w:sz w:val="20"/>
                <w:szCs w:val="20"/>
              </w:rPr>
            </w:pPr>
            <w:r w:rsidRPr="00AD76AF">
              <w:rPr>
                <w:rFonts w:eastAsia="Times New Roman" w:cs="Arial"/>
                <w:b/>
                <w:bCs/>
                <w:sz w:val="20"/>
                <w:szCs w:val="20"/>
              </w:rPr>
              <w:lastRenderedPageBreak/>
              <w:t>Component 3:</w:t>
            </w:r>
            <w:r w:rsidRPr="00AD76AF">
              <w:rPr>
                <w:rFonts w:eastAsia="Times New Roman" w:cs="Arial"/>
                <w:bCs/>
                <w:sz w:val="20"/>
                <w:szCs w:val="20"/>
              </w:rPr>
              <w:t xml:space="preserve"> </w:t>
            </w:r>
            <w:r w:rsidRPr="00AD76AF">
              <w:rPr>
                <w:rFonts w:eastAsia="Times New Roman" w:cs="Arial"/>
                <w:b/>
                <w:bCs/>
                <w:sz w:val="20"/>
                <w:szCs w:val="20"/>
              </w:rPr>
              <w:t>Financing Pilots</w:t>
            </w:r>
          </w:p>
        </w:tc>
      </w:tr>
      <w:tr w:rsidR="008C3F34" w:rsidRPr="00AD76AF" w14:paraId="63EB2541" w14:textId="77777777" w:rsidTr="005437AE">
        <w:trPr>
          <w:trHeight w:val="63"/>
        </w:trPr>
        <w:tc>
          <w:tcPr>
            <w:tcW w:w="3369" w:type="dxa"/>
            <w:vMerge w:val="restart"/>
            <w:shd w:val="clear" w:color="auto" w:fill="auto"/>
          </w:tcPr>
          <w:p w14:paraId="09C78F34" w14:textId="77777777" w:rsidR="008C3F34" w:rsidRPr="00AD76AF" w:rsidRDefault="008C3F34" w:rsidP="00835121">
            <w:pPr>
              <w:rPr>
                <w:rFonts w:eastAsia="Times New Roman" w:cs="Arial"/>
                <w:sz w:val="20"/>
                <w:szCs w:val="20"/>
              </w:rPr>
            </w:pPr>
            <w:r w:rsidRPr="00AD76AF">
              <w:rPr>
                <w:rFonts w:eastAsia="Times New Roman" w:cs="Arial"/>
                <w:b/>
                <w:sz w:val="20"/>
                <w:szCs w:val="20"/>
              </w:rPr>
              <w:t>Output 3.1.1</w:t>
            </w:r>
            <w:r w:rsidRPr="00AD76AF">
              <w:rPr>
                <w:rFonts w:eastAsia="Times New Roman" w:cs="Arial"/>
                <w:sz w:val="20"/>
                <w:szCs w:val="20"/>
              </w:rPr>
              <w:t xml:space="preserve"> Climate Technology Transfer Financing Mechanism operational and providing finance products that promote climate technologies transfer in the Region - Mitigation</w:t>
            </w:r>
          </w:p>
          <w:p w14:paraId="47CD8479" w14:textId="77777777" w:rsidR="008C3F34" w:rsidRPr="00AD76AF" w:rsidRDefault="008C3F34" w:rsidP="00835121">
            <w:pPr>
              <w:rPr>
                <w:rFonts w:eastAsia="Times New Roman" w:cs="Arial"/>
                <w:sz w:val="20"/>
                <w:szCs w:val="20"/>
              </w:rPr>
            </w:pPr>
            <w:r w:rsidRPr="00AD76AF">
              <w:rPr>
                <w:rFonts w:eastAsia="Times New Roman" w:cs="Arial"/>
                <w:b/>
                <w:sz w:val="20"/>
                <w:szCs w:val="20"/>
              </w:rPr>
              <w:t>Output 3.1.2</w:t>
            </w:r>
            <w:r w:rsidRPr="00AD76AF">
              <w:rPr>
                <w:rFonts w:eastAsia="Times New Roman" w:cs="Arial"/>
                <w:sz w:val="20"/>
                <w:szCs w:val="20"/>
              </w:rPr>
              <w:t xml:space="preserve"> Additional financing leveraged by the Project for mitigation</w:t>
            </w:r>
          </w:p>
          <w:p w14:paraId="325FF3D8" w14:textId="77777777" w:rsidR="008C3F34" w:rsidRPr="00AD76AF" w:rsidRDefault="008C3F34" w:rsidP="00835121">
            <w:pPr>
              <w:rPr>
                <w:rFonts w:eastAsia="Times New Roman" w:cs="Arial"/>
                <w:sz w:val="20"/>
                <w:szCs w:val="20"/>
              </w:rPr>
            </w:pPr>
            <w:r w:rsidRPr="00AD76AF">
              <w:rPr>
                <w:rFonts w:eastAsia="Times New Roman" w:cs="Arial"/>
                <w:b/>
                <w:sz w:val="20"/>
                <w:szCs w:val="20"/>
              </w:rPr>
              <w:t>Output 3.2.1</w:t>
            </w:r>
            <w:r w:rsidRPr="00AD76AF">
              <w:rPr>
                <w:rFonts w:eastAsia="Times New Roman" w:cs="Arial"/>
                <w:sz w:val="20"/>
                <w:szCs w:val="20"/>
              </w:rPr>
              <w:t xml:space="preserve"> Climate Technology Transfer Financing Mechanism operational and providing finance products that promote climate technologies transfer in the Region – Adaptation</w:t>
            </w:r>
          </w:p>
          <w:p w14:paraId="261A6FCD" w14:textId="77777777" w:rsidR="008C3F34" w:rsidRPr="00AD76AF" w:rsidRDefault="008C3F34" w:rsidP="00835121">
            <w:pPr>
              <w:rPr>
                <w:rFonts w:eastAsia="Times New Roman" w:cs="Arial"/>
                <w:sz w:val="20"/>
                <w:szCs w:val="20"/>
              </w:rPr>
            </w:pPr>
            <w:r w:rsidRPr="00AD76AF">
              <w:rPr>
                <w:rFonts w:eastAsia="Times New Roman" w:cs="Arial"/>
                <w:b/>
                <w:sz w:val="20"/>
                <w:szCs w:val="20"/>
              </w:rPr>
              <w:t>Output 3.2.2</w:t>
            </w:r>
            <w:r w:rsidRPr="00AD76AF">
              <w:rPr>
                <w:rFonts w:eastAsia="Times New Roman" w:cs="Arial"/>
                <w:sz w:val="20"/>
                <w:szCs w:val="20"/>
              </w:rPr>
              <w:t xml:space="preserve"> Additional financing leveraged by the Project for adaptation</w:t>
            </w:r>
          </w:p>
        </w:tc>
        <w:tc>
          <w:tcPr>
            <w:tcW w:w="2976" w:type="dxa"/>
            <w:tcBorders>
              <w:bottom w:val="single" w:sz="4" w:space="0" w:color="auto"/>
            </w:tcBorders>
            <w:shd w:val="clear" w:color="auto" w:fill="auto"/>
          </w:tcPr>
          <w:p w14:paraId="5F3FC624" w14:textId="77777777" w:rsidR="008C3F34" w:rsidRPr="00AD76AF" w:rsidRDefault="008C3F34" w:rsidP="00835121">
            <w:pPr>
              <w:rPr>
                <w:rFonts w:eastAsia="Times New Roman" w:cs="Arial"/>
                <w:sz w:val="20"/>
                <w:szCs w:val="20"/>
              </w:rPr>
            </w:pPr>
            <w:r w:rsidRPr="00AD76AF">
              <w:rPr>
                <w:rFonts w:eastAsia="Times New Roman" w:cs="Arial"/>
                <w:sz w:val="20"/>
                <w:szCs w:val="20"/>
              </w:rPr>
              <w:t xml:space="preserve">Mitigation (estimated): </w:t>
            </w:r>
          </w:p>
          <w:p w14:paraId="2CA13589" w14:textId="77777777" w:rsidR="008C3F34" w:rsidRPr="00AD76AF" w:rsidRDefault="008C3F34" w:rsidP="00835121">
            <w:pPr>
              <w:ind w:left="115" w:right="4"/>
              <w:rPr>
                <w:rFonts w:eastAsia="Times New Roman" w:cs="Arial"/>
                <w:sz w:val="20"/>
                <w:szCs w:val="20"/>
              </w:rPr>
            </w:pPr>
            <w:r w:rsidRPr="00AD76AF">
              <w:rPr>
                <w:rFonts w:eastAsia="Times New Roman" w:cs="Arial"/>
                <w:sz w:val="20"/>
                <w:szCs w:val="20"/>
              </w:rPr>
              <w:t>USD 6.55 million – GEF</w:t>
            </w:r>
          </w:p>
          <w:p w14:paraId="3F8F962C" w14:textId="77777777" w:rsidR="008C3F34" w:rsidRPr="00AD76AF" w:rsidRDefault="008C3F34" w:rsidP="00835121">
            <w:pPr>
              <w:ind w:left="115" w:right="4"/>
              <w:rPr>
                <w:rFonts w:eastAsia="Times New Roman" w:cs="Arial"/>
                <w:sz w:val="20"/>
                <w:szCs w:val="20"/>
              </w:rPr>
            </w:pPr>
            <w:r w:rsidRPr="00AD76AF">
              <w:rPr>
                <w:rFonts w:eastAsia="Times New Roman" w:cs="Arial"/>
                <w:sz w:val="20"/>
                <w:szCs w:val="20"/>
              </w:rPr>
              <w:t>USD 58.3 million – EBRD</w:t>
            </w:r>
          </w:p>
        </w:tc>
        <w:tc>
          <w:tcPr>
            <w:tcW w:w="7088" w:type="dxa"/>
            <w:tcBorders>
              <w:bottom w:val="single" w:sz="4" w:space="0" w:color="auto"/>
            </w:tcBorders>
            <w:shd w:val="clear" w:color="auto" w:fill="auto"/>
          </w:tcPr>
          <w:p w14:paraId="0280E1D1" w14:textId="58D46E07" w:rsidR="008C3F34" w:rsidRPr="00AD76AF" w:rsidRDefault="008C3F34" w:rsidP="008C3F34">
            <w:pPr>
              <w:spacing w:after="120"/>
              <w:rPr>
                <w:rFonts w:cs="Arial"/>
                <w:sz w:val="20"/>
                <w:szCs w:val="20"/>
              </w:rPr>
            </w:pPr>
            <w:r w:rsidRPr="00AD76AF">
              <w:rPr>
                <w:rFonts w:cs="Arial"/>
                <w:sz w:val="20"/>
                <w:szCs w:val="20"/>
              </w:rPr>
              <w:t xml:space="preserve">The </w:t>
            </w:r>
            <w:r w:rsidR="00A84A13" w:rsidRPr="00AD76AF">
              <w:rPr>
                <w:rFonts w:cs="Arial"/>
                <w:sz w:val="20"/>
                <w:szCs w:val="20"/>
              </w:rPr>
              <w:t xml:space="preserve">25 </w:t>
            </w:r>
            <w:r w:rsidRPr="00AD76AF">
              <w:rPr>
                <w:rFonts w:cs="Arial"/>
                <w:sz w:val="20"/>
                <w:szCs w:val="20"/>
              </w:rPr>
              <w:t>signed mitigation projects use the following share of funding:</w:t>
            </w:r>
          </w:p>
          <w:p w14:paraId="2563BB83" w14:textId="2DA491B7" w:rsidR="008C3F34" w:rsidRPr="00AD76AF" w:rsidRDefault="008C3F34" w:rsidP="008C3F34">
            <w:pPr>
              <w:spacing w:after="120"/>
              <w:rPr>
                <w:rFonts w:cs="Arial"/>
                <w:sz w:val="20"/>
                <w:szCs w:val="20"/>
              </w:rPr>
            </w:pPr>
            <w:r w:rsidRPr="00AD76AF">
              <w:rPr>
                <w:rFonts w:cs="Arial"/>
                <w:sz w:val="20"/>
                <w:szCs w:val="20"/>
              </w:rPr>
              <w:t>USD</w:t>
            </w:r>
            <w:r w:rsidR="00956155" w:rsidRPr="00AD76AF">
              <w:rPr>
                <w:rFonts w:cs="Arial"/>
                <w:sz w:val="20"/>
                <w:szCs w:val="20"/>
              </w:rPr>
              <w:t xml:space="preserve"> </w:t>
            </w:r>
            <w:r w:rsidRPr="00AD76AF">
              <w:rPr>
                <w:rFonts w:cs="Arial"/>
                <w:sz w:val="20"/>
                <w:szCs w:val="20"/>
              </w:rPr>
              <w:t>5</w:t>
            </w:r>
            <w:r w:rsidR="00A84A13" w:rsidRPr="00AD76AF">
              <w:rPr>
                <w:rFonts w:cs="Arial"/>
                <w:sz w:val="20"/>
                <w:szCs w:val="20"/>
              </w:rPr>
              <w:t>.5</w:t>
            </w:r>
            <w:r w:rsidRPr="00AD76AF">
              <w:rPr>
                <w:rFonts w:cs="Arial"/>
                <w:sz w:val="20"/>
                <w:szCs w:val="20"/>
              </w:rPr>
              <w:t xml:space="preserve"> million from GEF</w:t>
            </w:r>
          </w:p>
          <w:p w14:paraId="45081ED4" w14:textId="77777777" w:rsidR="00A84A13" w:rsidRPr="00AD76AF" w:rsidRDefault="008C3F34" w:rsidP="00956155">
            <w:pPr>
              <w:spacing w:after="120"/>
              <w:rPr>
                <w:rFonts w:cs="Arial"/>
                <w:sz w:val="20"/>
                <w:szCs w:val="20"/>
              </w:rPr>
            </w:pPr>
            <w:r w:rsidRPr="00AD76AF">
              <w:rPr>
                <w:rFonts w:cs="Arial"/>
                <w:sz w:val="20"/>
                <w:szCs w:val="20"/>
              </w:rPr>
              <w:t>USD 4</w:t>
            </w:r>
            <w:r w:rsidR="00956155" w:rsidRPr="00AD76AF">
              <w:rPr>
                <w:rFonts w:cs="Arial"/>
                <w:sz w:val="20"/>
                <w:szCs w:val="20"/>
              </w:rPr>
              <w:t>7</w:t>
            </w:r>
            <w:r w:rsidRPr="00AD76AF">
              <w:rPr>
                <w:rFonts w:cs="Arial"/>
                <w:sz w:val="20"/>
                <w:szCs w:val="20"/>
              </w:rPr>
              <w:t>.6 million from EBRD</w:t>
            </w:r>
          </w:p>
          <w:p w14:paraId="774A5461" w14:textId="2709142F" w:rsidR="004E5C18" w:rsidRPr="00AD76AF" w:rsidRDefault="004E5C18" w:rsidP="00956155">
            <w:pPr>
              <w:spacing w:after="120"/>
              <w:rPr>
                <w:rFonts w:cs="Arial"/>
                <w:sz w:val="20"/>
                <w:szCs w:val="20"/>
              </w:rPr>
            </w:pPr>
            <w:r w:rsidRPr="00AD76AF">
              <w:rPr>
                <w:rFonts w:cs="Arial"/>
                <w:sz w:val="20"/>
                <w:szCs w:val="20"/>
              </w:rPr>
              <w:t>In the reporting period, c.$1.27m was committed (signed) across 6 projects. On</w:t>
            </w:r>
            <w:r w:rsidR="004571A9">
              <w:rPr>
                <w:rFonts w:cs="Arial"/>
                <w:sz w:val="20"/>
                <w:szCs w:val="20"/>
              </w:rPr>
              <w:t>-</w:t>
            </w:r>
            <w:r w:rsidRPr="00AD76AF">
              <w:rPr>
                <w:rFonts w:cs="Arial"/>
                <w:sz w:val="20"/>
                <w:szCs w:val="20"/>
              </w:rPr>
              <w:t>top of this</w:t>
            </w:r>
            <w:r w:rsidR="004571A9">
              <w:rPr>
                <w:rFonts w:cs="Arial"/>
                <w:sz w:val="20"/>
                <w:szCs w:val="20"/>
              </w:rPr>
              <w:t xml:space="preserve"> c.$1.1m was disbursed.</w:t>
            </w:r>
          </w:p>
          <w:p w14:paraId="508058AD" w14:textId="77777777" w:rsidR="004E5C18" w:rsidRPr="00AD76AF" w:rsidRDefault="004E5C18" w:rsidP="00956155">
            <w:pPr>
              <w:spacing w:after="120"/>
              <w:rPr>
                <w:rFonts w:cs="Arial"/>
                <w:sz w:val="20"/>
                <w:szCs w:val="20"/>
              </w:rPr>
            </w:pPr>
          </w:p>
          <w:p w14:paraId="7E1D46FD" w14:textId="41611C89" w:rsidR="00A84A13" w:rsidRPr="00AD76AF" w:rsidRDefault="00A84A13" w:rsidP="007B7E30">
            <w:pPr>
              <w:spacing w:after="120"/>
              <w:rPr>
                <w:rFonts w:cs="Arial"/>
                <w:sz w:val="20"/>
                <w:szCs w:val="20"/>
              </w:rPr>
            </w:pPr>
          </w:p>
        </w:tc>
        <w:tc>
          <w:tcPr>
            <w:tcW w:w="955" w:type="dxa"/>
            <w:vMerge w:val="restart"/>
            <w:shd w:val="clear" w:color="auto" w:fill="auto"/>
          </w:tcPr>
          <w:p w14:paraId="443943CF" w14:textId="77777777" w:rsidR="008C3F34" w:rsidRPr="00AD76AF" w:rsidRDefault="008C3F34" w:rsidP="00835121">
            <w:pPr>
              <w:ind w:right="4"/>
              <w:rPr>
                <w:rFonts w:eastAsia="Times New Roman" w:cs="Arial"/>
                <w:sz w:val="20"/>
                <w:szCs w:val="20"/>
              </w:rPr>
            </w:pPr>
            <w:r w:rsidRPr="00AD76AF">
              <w:rPr>
                <w:rFonts w:eastAsia="Times New Roman" w:cs="Arial"/>
                <w:iCs/>
                <w:sz w:val="20"/>
                <w:szCs w:val="20"/>
              </w:rPr>
              <w:t>S</w:t>
            </w:r>
          </w:p>
        </w:tc>
      </w:tr>
      <w:tr w:rsidR="008C3F34" w:rsidRPr="00AD76AF" w14:paraId="62BD4C9F" w14:textId="77777777" w:rsidTr="005437AE">
        <w:trPr>
          <w:trHeight w:val="3420"/>
        </w:trPr>
        <w:tc>
          <w:tcPr>
            <w:tcW w:w="3369" w:type="dxa"/>
            <w:vMerge/>
            <w:shd w:val="clear" w:color="auto" w:fill="auto"/>
          </w:tcPr>
          <w:p w14:paraId="4F010C46" w14:textId="77777777" w:rsidR="008C3F34" w:rsidRPr="00AD76AF" w:rsidRDefault="008C3F34" w:rsidP="00835121">
            <w:pPr>
              <w:rPr>
                <w:rFonts w:eastAsia="Times New Roman" w:cs="Arial"/>
                <w:sz w:val="20"/>
                <w:szCs w:val="20"/>
              </w:rPr>
            </w:pPr>
          </w:p>
        </w:tc>
        <w:tc>
          <w:tcPr>
            <w:tcW w:w="2976" w:type="dxa"/>
            <w:tcBorders>
              <w:top w:val="single" w:sz="4" w:space="0" w:color="auto"/>
            </w:tcBorders>
            <w:shd w:val="clear" w:color="auto" w:fill="auto"/>
          </w:tcPr>
          <w:p w14:paraId="7640B537" w14:textId="77777777" w:rsidR="008C3F34" w:rsidRPr="00AD76AF" w:rsidRDefault="008C3F34" w:rsidP="00835121">
            <w:pPr>
              <w:rPr>
                <w:rFonts w:eastAsia="Times New Roman" w:cs="Arial"/>
                <w:sz w:val="20"/>
                <w:szCs w:val="20"/>
              </w:rPr>
            </w:pPr>
            <w:r w:rsidRPr="00AD76AF">
              <w:rPr>
                <w:rFonts w:eastAsia="Times New Roman" w:cs="Arial"/>
                <w:sz w:val="20"/>
                <w:szCs w:val="20"/>
              </w:rPr>
              <w:t>Adaptation: 10 - 20 pilot climate technology projects funded</w:t>
            </w:r>
          </w:p>
        </w:tc>
        <w:tc>
          <w:tcPr>
            <w:tcW w:w="7088" w:type="dxa"/>
            <w:tcBorders>
              <w:top w:val="single" w:sz="4" w:space="0" w:color="auto"/>
            </w:tcBorders>
            <w:shd w:val="clear" w:color="auto" w:fill="auto"/>
          </w:tcPr>
          <w:p w14:paraId="2B74EC61" w14:textId="6C043349" w:rsidR="008C3F34" w:rsidRPr="00AD76AF" w:rsidRDefault="008C3F34" w:rsidP="008C3F34">
            <w:pPr>
              <w:spacing w:after="120"/>
              <w:rPr>
                <w:rFonts w:cs="Arial"/>
                <w:sz w:val="20"/>
                <w:szCs w:val="20"/>
              </w:rPr>
            </w:pPr>
            <w:r w:rsidRPr="00AD76AF">
              <w:rPr>
                <w:rFonts w:cs="Arial"/>
                <w:sz w:val="20"/>
                <w:szCs w:val="20"/>
              </w:rPr>
              <w:t>2</w:t>
            </w:r>
            <w:r w:rsidR="00956155" w:rsidRPr="00AD76AF">
              <w:rPr>
                <w:rFonts w:cs="Arial"/>
                <w:sz w:val="20"/>
                <w:szCs w:val="20"/>
              </w:rPr>
              <w:t>5</w:t>
            </w:r>
            <w:r w:rsidRPr="00AD76AF">
              <w:rPr>
                <w:rFonts w:cs="Arial"/>
                <w:sz w:val="20"/>
                <w:szCs w:val="20"/>
              </w:rPr>
              <w:t xml:space="preserve"> projects have been signed so far, covering a wide range of mitigation technologies. Among these projects, 3 projects</w:t>
            </w:r>
            <w:r w:rsidR="007B7E30" w:rsidRPr="00AD76AF">
              <w:rPr>
                <w:rFonts w:cs="Arial"/>
                <w:sz w:val="20"/>
                <w:szCs w:val="20"/>
              </w:rPr>
              <w:t>, sig</w:t>
            </w:r>
            <w:r w:rsidR="00396356">
              <w:rPr>
                <w:rFonts w:cs="Arial"/>
                <w:sz w:val="20"/>
                <w:szCs w:val="20"/>
              </w:rPr>
              <w:t>n</w:t>
            </w:r>
            <w:r w:rsidR="007B7E30" w:rsidRPr="00AD76AF">
              <w:rPr>
                <w:rFonts w:cs="Arial"/>
                <w:sz w:val="20"/>
                <w:szCs w:val="20"/>
              </w:rPr>
              <w:t>ed during previous reporting periods,</w:t>
            </w:r>
            <w:r w:rsidRPr="00AD76AF">
              <w:rPr>
                <w:rFonts w:cs="Arial"/>
                <w:sz w:val="20"/>
                <w:szCs w:val="20"/>
              </w:rPr>
              <w:t xml:space="preserve"> have a climate resilience component. </w:t>
            </w:r>
          </w:p>
          <w:p w14:paraId="3F9D0035" w14:textId="77777777" w:rsidR="008C3F34" w:rsidRPr="00AD76AF" w:rsidRDefault="008C3F34" w:rsidP="008C3F34">
            <w:pPr>
              <w:spacing w:after="120"/>
              <w:rPr>
                <w:rFonts w:cs="Arial"/>
                <w:sz w:val="20"/>
                <w:szCs w:val="20"/>
              </w:rPr>
            </w:pPr>
          </w:p>
        </w:tc>
        <w:tc>
          <w:tcPr>
            <w:tcW w:w="955" w:type="dxa"/>
            <w:vMerge/>
            <w:shd w:val="clear" w:color="auto" w:fill="auto"/>
          </w:tcPr>
          <w:p w14:paraId="051DC939" w14:textId="77777777" w:rsidR="008C3F34" w:rsidRPr="00AD76AF" w:rsidRDefault="008C3F34" w:rsidP="00835121">
            <w:pPr>
              <w:ind w:right="4"/>
              <w:rPr>
                <w:rFonts w:eastAsia="Times New Roman" w:cs="Arial"/>
                <w:sz w:val="20"/>
                <w:szCs w:val="20"/>
              </w:rPr>
            </w:pPr>
          </w:p>
        </w:tc>
      </w:tr>
    </w:tbl>
    <w:p w14:paraId="13316374" w14:textId="77777777" w:rsidR="00513DFC" w:rsidRPr="00AD76AF" w:rsidRDefault="00513DFC" w:rsidP="002E7742"/>
    <w:p w14:paraId="68C11DFF" w14:textId="77777777" w:rsidR="005666C9" w:rsidRPr="00AD76AF" w:rsidRDefault="005666C9" w:rsidP="002E7742">
      <w:pPr>
        <w:sectPr w:rsidR="005666C9" w:rsidRPr="00AD76AF" w:rsidSect="005666C9">
          <w:pgSz w:w="16838" w:h="11906" w:orient="landscape"/>
          <w:pgMar w:top="1440" w:right="1135" w:bottom="1440" w:left="1440" w:header="708" w:footer="708" w:gutter="0"/>
          <w:cols w:space="708"/>
          <w:docGrid w:linePitch="360"/>
        </w:sectPr>
      </w:pPr>
    </w:p>
    <w:tbl>
      <w:tblPr>
        <w:tblStyle w:val="TableGrid"/>
        <w:tblW w:w="0" w:type="auto"/>
        <w:tblLook w:val="04A0" w:firstRow="1" w:lastRow="0" w:firstColumn="1" w:lastColumn="0" w:noHBand="0" w:noVBand="1"/>
      </w:tblPr>
      <w:tblGrid>
        <w:gridCol w:w="2310"/>
        <w:gridCol w:w="2311"/>
        <w:gridCol w:w="2310"/>
        <w:gridCol w:w="2311"/>
      </w:tblGrid>
      <w:tr w:rsidR="002E7742" w:rsidRPr="00AD76AF" w14:paraId="0B6A1191" w14:textId="77777777" w:rsidTr="00D87BF3">
        <w:tc>
          <w:tcPr>
            <w:tcW w:w="9242" w:type="dxa"/>
            <w:gridSpan w:val="4"/>
            <w:shd w:val="clear" w:color="auto" w:fill="0070C0"/>
          </w:tcPr>
          <w:p w14:paraId="53A8BD11" w14:textId="77777777" w:rsidR="002E7742" w:rsidRPr="00AD76AF" w:rsidRDefault="00513DFC" w:rsidP="00C55349">
            <w:pPr>
              <w:rPr>
                <w:b/>
              </w:rPr>
            </w:pPr>
            <w:r w:rsidRPr="00AD76AF">
              <w:rPr>
                <w:b/>
                <w:color w:val="FFFFFF" w:themeColor="background1"/>
              </w:rPr>
              <w:lastRenderedPageBreak/>
              <w:t>2.3</w:t>
            </w:r>
            <w:r w:rsidR="002E7742" w:rsidRPr="00AD76AF">
              <w:rPr>
                <w:b/>
                <w:color w:val="FFFFFF" w:themeColor="background1"/>
              </w:rPr>
              <w:t xml:space="preserve"> Challenges in Implementation</w:t>
            </w:r>
            <w:r w:rsidR="00BB56A6" w:rsidRPr="00AD76AF">
              <w:rPr>
                <w:b/>
                <w:color w:val="FFFFFF" w:themeColor="background1"/>
              </w:rPr>
              <w:t xml:space="preserve"> &amp; Risks</w:t>
            </w:r>
          </w:p>
        </w:tc>
      </w:tr>
      <w:tr w:rsidR="00BB56A6" w:rsidRPr="00AD76AF" w14:paraId="05884746" w14:textId="77777777" w:rsidTr="002F1C2B">
        <w:tc>
          <w:tcPr>
            <w:tcW w:w="2310" w:type="dxa"/>
            <w:shd w:val="clear" w:color="auto" w:fill="F2F2F2" w:themeFill="background1" w:themeFillShade="F2"/>
          </w:tcPr>
          <w:p w14:paraId="7F3099B9" w14:textId="77777777" w:rsidR="00BB56A6" w:rsidRPr="00AD76AF" w:rsidRDefault="00754011" w:rsidP="00701D9F">
            <w:pPr>
              <w:rPr>
                <w:b/>
                <w:i/>
                <w:color w:val="000000" w:themeColor="text1"/>
                <w:sz w:val="20"/>
              </w:rPr>
            </w:pPr>
            <w:r w:rsidRPr="00AD76AF">
              <w:rPr>
                <w:b/>
                <w:i/>
                <w:color w:val="000000" w:themeColor="text1"/>
                <w:sz w:val="20"/>
              </w:rPr>
              <w:t xml:space="preserve">Current </w:t>
            </w:r>
            <w:r w:rsidR="0097783F" w:rsidRPr="00AD76AF">
              <w:rPr>
                <w:b/>
                <w:i/>
                <w:color w:val="000000" w:themeColor="text1"/>
                <w:sz w:val="20"/>
              </w:rPr>
              <w:t xml:space="preserve">FY </w:t>
            </w:r>
            <w:r w:rsidRPr="00AD76AF">
              <w:rPr>
                <w:b/>
                <w:i/>
                <w:color w:val="000000" w:themeColor="text1"/>
                <w:sz w:val="20"/>
              </w:rPr>
              <w:t>Risk</w:t>
            </w:r>
            <w:r w:rsidR="00BB56A6" w:rsidRPr="00AD76AF">
              <w:rPr>
                <w:b/>
                <w:i/>
                <w:color w:val="000000" w:themeColor="text1"/>
                <w:sz w:val="20"/>
              </w:rPr>
              <w:t xml:space="preserve"> Rating</w:t>
            </w:r>
          </w:p>
          <w:p w14:paraId="06865B4D" w14:textId="77777777" w:rsidR="00530769" w:rsidRPr="00AD76AF" w:rsidRDefault="00530769" w:rsidP="00701D9F">
            <w:pPr>
              <w:rPr>
                <w:b/>
                <w:i/>
                <w:color w:val="000000" w:themeColor="text1"/>
                <w:sz w:val="20"/>
              </w:rPr>
            </w:pPr>
          </w:p>
        </w:tc>
        <w:sdt>
          <w:sdtPr>
            <w:rPr>
              <w:color w:val="000000" w:themeColor="text1"/>
            </w:rPr>
            <w:id w:val="-1849629442"/>
            <w:dropDownList>
              <w:listItem w:value="Choose an item."/>
              <w:listItem w:displayText="High Risk" w:value="High Risk"/>
              <w:listItem w:displayText="Substantial Risk" w:value="Substantial Risk"/>
              <w:listItem w:displayText="Moderate Risk" w:value="Moderate Risk"/>
              <w:listItem w:displayText="Low Risk" w:value="Low Risk"/>
            </w:dropDownList>
          </w:sdtPr>
          <w:sdtEndPr/>
          <w:sdtContent>
            <w:tc>
              <w:tcPr>
                <w:tcW w:w="2311" w:type="dxa"/>
              </w:tcPr>
              <w:p w14:paraId="6B694DA5" w14:textId="77777777" w:rsidR="00BB56A6" w:rsidRPr="00AD76AF" w:rsidRDefault="00D26892" w:rsidP="00701D9F">
                <w:pPr>
                  <w:rPr>
                    <w:i/>
                    <w:color w:val="000000" w:themeColor="text1"/>
                    <w:sz w:val="20"/>
                  </w:rPr>
                </w:pPr>
                <w:r>
                  <w:rPr>
                    <w:color w:val="000000" w:themeColor="text1"/>
                  </w:rPr>
                  <w:t>Low Risk</w:t>
                </w:r>
              </w:p>
            </w:tc>
          </w:sdtContent>
        </w:sdt>
        <w:tc>
          <w:tcPr>
            <w:tcW w:w="2310" w:type="dxa"/>
            <w:shd w:val="clear" w:color="auto" w:fill="F2F2F2" w:themeFill="background1" w:themeFillShade="F2"/>
          </w:tcPr>
          <w:p w14:paraId="41D4A761" w14:textId="77777777" w:rsidR="00BB56A6" w:rsidRPr="00AD76AF" w:rsidRDefault="0097783F" w:rsidP="00754011">
            <w:pPr>
              <w:rPr>
                <w:b/>
                <w:i/>
                <w:sz w:val="20"/>
              </w:rPr>
            </w:pPr>
            <w:r w:rsidRPr="00AD76AF">
              <w:rPr>
                <w:b/>
                <w:i/>
                <w:sz w:val="20"/>
              </w:rPr>
              <w:t>Previous FY Risk Rating</w:t>
            </w:r>
          </w:p>
          <w:p w14:paraId="16261892" w14:textId="77777777" w:rsidR="00530769" w:rsidRPr="00AD76AF" w:rsidRDefault="00530769" w:rsidP="00754011">
            <w:pPr>
              <w:rPr>
                <w:b/>
                <w:i/>
                <w:sz w:val="20"/>
              </w:rPr>
            </w:pPr>
          </w:p>
        </w:tc>
        <w:sdt>
          <w:sdtPr>
            <w:id w:val="-2009209084"/>
            <w:dropDownList>
              <w:listItem w:value="Choose an item."/>
              <w:listItem w:displayText="High Risk" w:value="High Risk"/>
              <w:listItem w:displayText="Substantial Risk" w:value="Substantial Risk"/>
              <w:listItem w:displayText="Moderate Risk" w:value="Moderate Risk"/>
              <w:listItem w:displayText="Low Risk" w:value="Low Risk"/>
            </w:dropDownList>
          </w:sdtPr>
          <w:sdtEndPr/>
          <w:sdtContent>
            <w:tc>
              <w:tcPr>
                <w:tcW w:w="2311" w:type="dxa"/>
              </w:tcPr>
              <w:p w14:paraId="4E8954D5" w14:textId="77777777" w:rsidR="00BB56A6" w:rsidRPr="00AD76AF" w:rsidRDefault="00D26892" w:rsidP="00701D9F">
                <w:pPr>
                  <w:rPr>
                    <w:i/>
                    <w:sz w:val="20"/>
                  </w:rPr>
                </w:pPr>
                <w:r>
                  <w:t>Low Risk</w:t>
                </w:r>
              </w:p>
            </w:tc>
          </w:sdtContent>
        </w:sdt>
      </w:tr>
      <w:tr w:rsidR="00BB56A6" w:rsidRPr="00AD76AF" w14:paraId="2F784E32" w14:textId="77777777" w:rsidTr="00326DF2">
        <w:tc>
          <w:tcPr>
            <w:tcW w:w="9242" w:type="dxa"/>
            <w:gridSpan w:val="4"/>
            <w:shd w:val="clear" w:color="auto" w:fill="auto"/>
          </w:tcPr>
          <w:p w14:paraId="5822FE60" w14:textId="77777777" w:rsidR="002F1C2B" w:rsidRPr="00AD76AF" w:rsidRDefault="002F1C2B" w:rsidP="002F1C2B">
            <w:pPr>
              <w:rPr>
                <w:b/>
                <w:i/>
                <w:sz w:val="20"/>
              </w:rPr>
            </w:pPr>
          </w:p>
          <w:p w14:paraId="50B7BDD2" w14:textId="78306D87" w:rsidR="004C6E41" w:rsidRPr="004571A9" w:rsidRDefault="00767635" w:rsidP="002B3403">
            <w:pPr>
              <w:rPr>
                <w:rFonts w:cs="Arial"/>
                <w:sz w:val="20"/>
                <w:szCs w:val="20"/>
              </w:rPr>
            </w:pPr>
            <w:r w:rsidRPr="004571A9">
              <w:rPr>
                <w:b/>
                <w:i/>
                <w:sz w:val="20"/>
                <w:szCs w:val="20"/>
              </w:rPr>
              <w:t xml:space="preserve">General </w:t>
            </w:r>
            <w:r w:rsidR="005C3229">
              <w:rPr>
                <w:b/>
                <w:i/>
                <w:sz w:val="20"/>
                <w:szCs w:val="20"/>
              </w:rPr>
              <w:t xml:space="preserve">Comment on Challenges: </w:t>
            </w:r>
            <w:r w:rsidR="00052D6D" w:rsidRPr="004571A9">
              <w:rPr>
                <w:rFonts w:cs="Arial"/>
                <w:sz w:val="20"/>
                <w:szCs w:val="20"/>
              </w:rPr>
              <w:t>Overall, r</w:t>
            </w:r>
            <w:r w:rsidR="008C3F34" w:rsidRPr="004571A9">
              <w:rPr>
                <w:rFonts w:cs="Arial"/>
                <w:sz w:val="20"/>
                <w:szCs w:val="20"/>
              </w:rPr>
              <w:t>isks</w:t>
            </w:r>
            <w:r w:rsidR="00052D6D" w:rsidRPr="004571A9">
              <w:rPr>
                <w:rFonts w:cs="Arial"/>
                <w:sz w:val="20"/>
                <w:szCs w:val="20"/>
              </w:rPr>
              <w:t xml:space="preserve"> are low as explained below.</w:t>
            </w:r>
            <w:r w:rsidR="00435CF1" w:rsidRPr="004571A9">
              <w:rPr>
                <w:rFonts w:cs="Arial"/>
                <w:sz w:val="20"/>
                <w:szCs w:val="20"/>
              </w:rPr>
              <w:t>However</w:t>
            </w:r>
            <w:r w:rsidR="005004D6">
              <w:rPr>
                <w:rFonts w:cs="Arial"/>
                <w:sz w:val="20"/>
                <w:szCs w:val="20"/>
              </w:rPr>
              <w:t>:</w:t>
            </w:r>
            <w:r w:rsidR="008C3F34" w:rsidRPr="004571A9">
              <w:rPr>
                <w:rFonts w:cs="Arial"/>
                <w:sz w:val="20"/>
                <w:szCs w:val="20"/>
              </w:rPr>
              <w:t xml:space="preserve"> </w:t>
            </w:r>
          </w:p>
          <w:p w14:paraId="33FA1248" w14:textId="74E6D78A" w:rsidR="004C6E41" w:rsidRPr="004571A9" w:rsidRDefault="008C3F34" w:rsidP="004C6E41">
            <w:pPr>
              <w:pStyle w:val="ListParagraph"/>
              <w:numPr>
                <w:ilvl w:val="0"/>
                <w:numId w:val="25"/>
              </w:numPr>
              <w:spacing w:after="120"/>
              <w:rPr>
                <w:rFonts w:cs="Arial"/>
                <w:sz w:val="20"/>
                <w:szCs w:val="20"/>
              </w:rPr>
            </w:pPr>
            <w:r w:rsidRPr="004571A9">
              <w:rPr>
                <w:rFonts w:cs="Arial"/>
                <w:sz w:val="20"/>
                <w:szCs w:val="20"/>
              </w:rPr>
              <w:t>The gap and barriers for technolog</w:t>
            </w:r>
            <w:r w:rsidR="005004D6">
              <w:rPr>
                <w:rFonts w:cs="Arial"/>
                <w:sz w:val="20"/>
                <w:szCs w:val="20"/>
              </w:rPr>
              <w:t>y introduction into the targeted economies</w:t>
            </w:r>
            <w:r w:rsidRPr="004571A9">
              <w:rPr>
                <w:rFonts w:cs="Arial"/>
                <w:sz w:val="20"/>
                <w:szCs w:val="20"/>
              </w:rPr>
              <w:t xml:space="preserve"> appeared to be bigger than anticipated. </w:t>
            </w:r>
          </w:p>
          <w:p w14:paraId="1B9C2AB3" w14:textId="77777777" w:rsidR="004C6E41" w:rsidRPr="004571A9" w:rsidRDefault="008C3F34" w:rsidP="004C6E41">
            <w:pPr>
              <w:pStyle w:val="ListParagraph"/>
              <w:numPr>
                <w:ilvl w:val="0"/>
                <w:numId w:val="25"/>
              </w:numPr>
              <w:spacing w:after="120"/>
              <w:rPr>
                <w:rFonts w:cs="Arial"/>
                <w:sz w:val="20"/>
                <w:szCs w:val="20"/>
              </w:rPr>
            </w:pPr>
            <w:r w:rsidRPr="004571A9">
              <w:rPr>
                <w:rFonts w:cs="Arial"/>
                <w:sz w:val="20"/>
                <w:szCs w:val="20"/>
              </w:rPr>
              <w:t xml:space="preserve">The cost differentiation between technologies, which could be bridged by FINTECC, was underestimated. </w:t>
            </w:r>
          </w:p>
          <w:p w14:paraId="511EE700" w14:textId="77777777" w:rsidR="008C3F34" w:rsidRPr="004571A9" w:rsidRDefault="008C3F34" w:rsidP="004C6E41">
            <w:pPr>
              <w:pStyle w:val="ListParagraph"/>
              <w:numPr>
                <w:ilvl w:val="0"/>
                <w:numId w:val="25"/>
              </w:numPr>
              <w:spacing w:after="120"/>
              <w:rPr>
                <w:rFonts w:cs="Arial"/>
                <w:sz w:val="20"/>
                <w:szCs w:val="20"/>
              </w:rPr>
            </w:pPr>
            <w:r w:rsidRPr="004571A9">
              <w:rPr>
                <w:rFonts w:cs="Arial"/>
                <w:sz w:val="20"/>
                <w:szCs w:val="20"/>
              </w:rPr>
              <w:t>Despite this, commitment of GEF funds to mitigation-focussed projects continues at a steady pace.</w:t>
            </w:r>
          </w:p>
          <w:p w14:paraId="2990B9E7" w14:textId="56E7C0F1" w:rsidR="00326DF2" w:rsidRPr="004571A9" w:rsidRDefault="008C3F34" w:rsidP="00326DF2">
            <w:pPr>
              <w:spacing w:after="120"/>
              <w:rPr>
                <w:rFonts w:cs="Arial"/>
                <w:sz w:val="20"/>
                <w:szCs w:val="20"/>
              </w:rPr>
            </w:pPr>
            <w:r w:rsidRPr="004571A9">
              <w:rPr>
                <w:rFonts w:cs="Arial"/>
                <w:sz w:val="20"/>
                <w:szCs w:val="20"/>
              </w:rPr>
              <w:t xml:space="preserve">The demand for investment in adaptation was not </w:t>
            </w:r>
            <w:r w:rsidR="005004D6">
              <w:rPr>
                <w:rFonts w:cs="Arial"/>
                <w:sz w:val="20"/>
                <w:szCs w:val="20"/>
              </w:rPr>
              <w:t xml:space="preserve">fully </w:t>
            </w:r>
            <w:r w:rsidRPr="004571A9">
              <w:rPr>
                <w:rFonts w:cs="Arial"/>
                <w:sz w:val="20"/>
                <w:szCs w:val="20"/>
              </w:rPr>
              <w:t xml:space="preserve">recognised at the </w:t>
            </w:r>
            <w:r w:rsidR="005004D6">
              <w:rPr>
                <w:rFonts w:cs="Arial"/>
                <w:sz w:val="20"/>
                <w:szCs w:val="20"/>
              </w:rPr>
              <w:t xml:space="preserve">time of formulation of </w:t>
            </w:r>
            <w:r w:rsidRPr="004571A9">
              <w:rPr>
                <w:rFonts w:cs="Arial"/>
                <w:sz w:val="20"/>
                <w:szCs w:val="20"/>
              </w:rPr>
              <w:t xml:space="preserve">Project document. </w:t>
            </w:r>
          </w:p>
          <w:p w14:paraId="303890A9" w14:textId="77777777" w:rsidR="00326DF2" w:rsidRPr="004571A9" w:rsidRDefault="008C3F34" w:rsidP="00326DF2">
            <w:pPr>
              <w:pStyle w:val="ListParagraph"/>
              <w:numPr>
                <w:ilvl w:val="0"/>
                <w:numId w:val="33"/>
              </w:numPr>
              <w:spacing w:after="120"/>
              <w:rPr>
                <w:rFonts w:cs="Arial"/>
                <w:sz w:val="20"/>
                <w:szCs w:val="20"/>
              </w:rPr>
            </w:pPr>
            <w:r w:rsidRPr="004571A9">
              <w:rPr>
                <w:rFonts w:cs="Arial"/>
                <w:sz w:val="20"/>
                <w:szCs w:val="20"/>
              </w:rPr>
              <w:t>The target for adaptation projects</w:t>
            </w:r>
            <w:r w:rsidR="004C6E41" w:rsidRPr="004571A9">
              <w:rPr>
                <w:rFonts w:cs="Arial"/>
                <w:sz w:val="20"/>
                <w:szCs w:val="20"/>
              </w:rPr>
              <w:t xml:space="preserve"> will be challenging to achieve.</w:t>
            </w:r>
            <w:r w:rsidRPr="004571A9">
              <w:rPr>
                <w:rFonts w:cs="Arial"/>
                <w:sz w:val="20"/>
                <w:szCs w:val="20"/>
              </w:rPr>
              <w:t xml:space="preserve"> </w:t>
            </w:r>
          </w:p>
          <w:p w14:paraId="051270A6" w14:textId="4B5C25C9" w:rsidR="00BB56A6" w:rsidRPr="00AD76AF" w:rsidRDefault="00326DF2" w:rsidP="00326DF2">
            <w:pPr>
              <w:pStyle w:val="ListParagraph"/>
              <w:numPr>
                <w:ilvl w:val="0"/>
                <w:numId w:val="33"/>
              </w:numPr>
              <w:spacing w:after="120"/>
              <w:rPr>
                <w:rFonts w:cs="Arial"/>
              </w:rPr>
            </w:pPr>
            <w:r w:rsidRPr="004571A9">
              <w:rPr>
                <w:rFonts w:cs="Arial"/>
                <w:sz w:val="20"/>
                <w:szCs w:val="20"/>
              </w:rPr>
              <w:t>H</w:t>
            </w:r>
            <w:r w:rsidR="008C3F34" w:rsidRPr="004571A9">
              <w:rPr>
                <w:rFonts w:cs="Arial"/>
                <w:sz w:val="20"/>
                <w:szCs w:val="20"/>
              </w:rPr>
              <w:t>owever</w:t>
            </w:r>
            <w:r w:rsidR="004C6E41" w:rsidRPr="004571A9">
              <w:rPr>
                <w:rFonts w:cs="Arial"/>
                <w:sz w:val="20"/>
                <w:szCs w:val="20"/>
              </w:rPr>
              <w:t>, the</w:t>
            </w:r>
            <w:r w:rsidR="008C3F34" w:rsidRPr="004571A9">
              <w:rPr>
                <w:rFonts w:cs="Arial"/>
                <w:sz w:val="20"/>
                <w:szCs w:val="20"/>
              </w:rPr>
              <w:t xml:space="preserve"> EBRD is exploring opportunities to accelerate the deployment of GEF funds to support adaptation investments</w:t>
            </w:r>
            <w:r w:rsidR="005004D6">
              <w:rPr>
                <w:rFonts w:cs="Arial"/>
                <w:sz w:val="20"/>
                <w:szCs w:val="20"/>
              </w:rPr>
              <w:t>, including exploring alternative financing instruments (e,g, credit lines)</w:t>
            </w:r>
            <w:r w:rsidR="008C3F34" w:rsidRPr="004571A9">
              <w:rPr>
                <w:rFonts w:cs="Arial"/>
                <w:sz w:val="20"/>
                <w:szCs w:val="20"/>
              </w:rPr>
              <w:t>.</w:t>
            </w:r>
          </w:p>
        </w:tc>
      </w:tr>
    </w:tbl>
    <w:p w14:paraId="355CAF5A" w14:textId="77777777" w:rsidR="009355C5" w:rsidRPr="00AD76AF" w:rsidRDefault="009355C5" w:rsidP="009B4B79">
      <w:pPr>
        <w:rPr>
          <w:b/>
        </w:rPr>
      </w:pPr>
      <w:r w:rsidRPr="00AD76AF">
        <w:rPr>
          <w:b/>
        </w:rPr>
        <w:t>Table 3: Risk Table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384"/>
        <w:gridCol w:w="1134"/>
        <w:gridCol w:w="1134"/>
        <w:gridCol w:w="5590"/>
      </w:tblGrid>
      <w:tr w:rsidR="003663DE" w:rsidRPr="00AD76AF" w14:paraId="70D07C52" w14:textId="77777777" w:rsidTr="00726D38">
        <w:trPr>
          <w:trHeight w:val="368"/>
          <w:tblHeader/>
        </w:trPr>
        <w:tc>
          <w:tcPr>
            <w:tcW w:w="1384" w:type="dxa"/>
            <w:shd w:val="clear" w:color="auto" w:fill="808080" w:themeFill="background1" w:themeFillShade="80"/>
          </w:tcPr>
          <w:p w14:paraId="3FBFEBB5" w14:textId="77777777" w:rsidR="003663DE" w:rsidRPr="00AD76AF" w:rsidRDefault="003663DE" w:rsidP="00835121">
            <w:pPr>
              <w:ind w:right="4"/>
              <w:jc w:val="center"/>
              <w:rPr>
                <w:rFonts w:eastAsia="Times New Roman" w:cs="Arial"/>
                <w:b/>
                <w:color w:val="FFFFFF" w:themeColor="background1"/>
                <w:sz w:val="20"/>
                <w:szCs w:val="20"/>
              </w:rPr>
            </w:pPr>
            <w:r w:rsidRPr="00AD76AF">
              <w:rPr>
                <w:rFonts w:eastAsia="Times New Roman" w:cs="Arial"/>
                <w:b/>
                <w:color w:val="FFFFFF" w:themeColor="background1"/>
                <w:sz w:val="20"/>
                <w:szCs w:val="20"/>
              </w:rPr>
              <w:t>Risks</w:t>
            </w:r>
          </w:p>
        </w:tc>
        <w:tc>
          <w:tcPr>
            <w:tcW w:w="1134" w:type="dxa"/>
            <w:shd w:val="clear" w:color="auto" w:fill="808080" w:themeFill="background1" w:themeFillShade="80"/>
          </w:tcPr>
          <w:p w14:paraId="40C25AB1" w14:textId="77777777" w:rsidR="003663DE" w:rsidRPr="00AD76AF" w:rsidRDefault="003663DE" w:rsidP="00835121">
            <w:pPr>
              <w:keepNext/>
              <w:keepLines/>
              <w:jc w:val="center"/>
              <w:rPr>
                <w:rFonts w:eastAsia="Times New Roman" w:cs="Arial"/>
                <w:b/>
                <w:color w:val="FFFFFF" w:themeColor="background1"/>
                <w:sz w:val="20"/>
                <w:szCs w:val="20"/>
              </w:rPr>
            </w:pPr>
            <w:r w:rsidRPr="00AD76AF">
              <w:rPr>
                <w:rFonts w:eastAsia="Times New Roman" w:cs="Arial"/>
                <w:b/>
                <w:color w:val="FFFFFF" w:themeColor="background1"/>
                <w:sz w:val="20"/>
                <w:szCs w:val="20"/>
              </w:rPr>
              <w:t xml:space="preserve">Original Rating </w:t>
            </w:r>
          </w:p>
        </w:tc>
        <w:tc>
          <w:tcPr>
            <w:tcW w:w="1134" w:type="dxa"/>
            <w:shd w:val="clear" w:color="auto" w:fill="808080" w:themeFill="background1" w:themeFillShade="80"/>
          </w:tcPr>
          <w:p w14:paraId="7B1E0D44" w14:textId="77777777" w:rsidR="003663DE" w:rsidRPr="00AD76AF" w:rsidRDefault="003663DE" w:rsidP="00835121">
            <w:pPr>
              <w:keepNext/>
              <w:keepLines/>
              <w:jc w:val="center"/>
              <w:rPr>
                <w:rFonts w:eastAsia="Times New Roman" w:cs="Arial"/>
                <w:b/>
                <w:color w:val="FFFFFF" w:themeColor="background1"/>
                <w:sz w:val="20"/>
                <w:szCs w:val="20"/>
              </w:rPr>
            </w:pPr>
            <w:r w:rsidRPr="00AD76AF">
              <w:rPr>
                <w:rFonts w:eastAsia="Times New Roman" w:cs="Arial"/>
                <w:b/>
                <w:color w:val="FFFFFF" w:themeColor="background1"/>
                <w:sz w:val="20"/>
                <w:szCs w:val="20"/>
              </w:rPr>
              <w:t>Rating in current year</w:t>
            </w:r>
          </w:p>
        </w:tc>
        <w:tc>
          <w:tcPr>
            <w:tcW w:w="5590" w:type="dxa"/>
            <w:shd w:val="clear" w:color="auto" w:fill="808080" w:themeFill="background1" w:themeFillShade="80"/>
          </w:tcPr>
          <w:p w14:paraId="4AEFE928" w14:textId="77777777" w:rsidR="003663DE" w:rsidRPr="00AD76AF" w:rsidRDefault="003663DE" w:rsidP="00835121">
            <w:pPr>
              <w:keepNext/>
              <w:keepLines/>
              <w:jc w:val="center"/>
              <w:rPr>
                <w:rFonts w:eastAsia="Times New Roman" w:cs="Arial"/>
                <w:b/>
                <w:color w:val="FFFFFF" w:themeColor="background1"/>
                <w:sz w:val="20"/>
                <w:szCs w:val="20"/>
              </w:rPr>
            </w:pPr>
            <w:r w:rsidRPr="00AD76AF">
              <w:rPr>
                <w:rFonts w:eastAsia="Times New Roman" w:cs="Arial"/>
                <w:b/>
                <w:color w:val="FFFFFF" w:themeColor="background1"/>
                <w:sz w:val="20"/>
                <w:szCs w:val="20"/>
              </w:rPr>
              <w:t>Action taken to manage risks</w:t>
            </w:r>
          </w:p>
        </w:tc>
      </w:tr>
      <w:tr w:rsidR="00726D38" w:rsidRPr="00AD76AF" w14:paraId="3144F45D" w14:textId="77777777" w:rsidTr="00726D38">
        <w:trPr>
          <w:trHeight w:val="801"/>
        </w:trPr>
        <w:tc>
          <w:tcPr>
            <w:tcW w:w="1384" w:type="dxa"/>
          </w:tcPr>
          <w:p w14:paraId="093E38FF" w14:textId="77777777" w:rsidR="00726D38" w:rsidRPr="00AD76AF" w:rsidRDefault="00726D38" w:rsidP="00835121">
            <w:pPr>
              <w:spacing w:before="2" w:after="2"/>
              <w:rPr>
                <w:rFonts w:cs="Arial"/>
                <w:sz w:val="20"/>
                <w:szCs w:val="20"/>
              </w:rPr>
            </w:pPr>
            <w:r w:rsidRPr="00AD76AF">
              <w:rPr>
                <w:rFonts w:cs="Arial"/>
                <w:sz w:val="20"/>
                <w:szCs w:val="20"/>
              </w:rPr>
              <w:t>Political risk</w:t>
            </w:r>
            <w:r w:rsidRPr="00AD76AF">
              <w:rPr>
                <w:rStyle w:val="FootnoteReference"/>
                <w:rFonts w:cs="Arial"/>
                <w:sz w:val="20"/>
                <w:szCs w:val="20"/>
              </w:rPr>
              <w:footnoteReference w:id="19"/>
            </w:r>
          </w:p>
        </w:tc>
        <w:tc>
          <w:tcPr>
            <w:tcW w:w="1134" w:type="dxa"/>
          </w:tcPr>
          <w:p w14:paraId="331D54FF" w14:textId="77777777" w:rsidR="00726D38" w:rsidRPr="00AD76AF" w:rsidRDefault="00726D38" w:rsidP="00835121">
            <w:pPr>
              <w:spacing w:before="2" w:after="2"/>
              <w:rPr>
                <w:rFonts w:cs="Arial"/>
                <w:sz w:val="20"/>
                <w:szCs w:val="20"/>
              </w:rPr>
            </w:pPr>
            <w:r w:rsidRPr="00AD76AF">
              <w:rPr>
                <w:rFonts w:cs="Arial"/>
                <w:sz w:val="20"/>
                <w:szCs w:val="20"/>
              </w:rPr>
              <w:t xml:space="preserve">Moderate </w:t>
            </w:r>
          </w:p>
        </w:tc>
        <w:tc>
          <w:tcPr>
            <w:tcW w:w="1134" w:type="dxa"/>
          </w:tcPr>
          <w:p w14:paraId="0752839F" w14:textId="77777777" w:rsidR="00726D38" w:rsidRPr="00AD76AF" w:rsidRDefault="00726D38" w:rsidP="00337F5F">
            <w:pPr>
              <w:spacing w:before="2" w:after="2"/>
              <w:rPr>
                <w:rFonts w:cs="Arial"/>
                <w:sz w:val="20"/>
                <w:szCs w:val="20"/>
              </w:rPr>
            </w:pPr>
            <w:r w:rsidRPr="00AD76AF">
              <w:rPr>
                <w:rFonts w:cs="Arial"/>
                <w:sz w:val="20"/>
                <w:szCs w:val="20"/>
              </w:rPr>
              <w:t>Low</w:t>
            </w:r>
          </w:p>
        </w:tc>
        <w:tc>
          <w:tcPr>
            <w:tcW w:w="5590" w:type="dxa"/>
          </w:tcPr>
          <w:p w14:paraId="1660DEFC" w14:textId="4AC7C1FE" w:rsidR="007B7E30" w:rsidRPr="00AD76AF" w:rsidRDefault="007B7E30" w:rsidP="00726D38">
            <w:pPr>
              <w:spacing w:after="120"/>
              <w:rPr>
                <w:rFonts w:cs="Arial"/>
                <w:sz w:val="20"/>
                <w:szCs w:val="20"/>
              </w:rPr>
            </w:pPr>
            <w:r w:rsidRPr="00AD76AF">
              <w:rPr>
                <w:rFonts w:cs="Arial"/>
                <w:sz w:val="20"/>
                <w:szCs w:val="20"/>
              </w:rPr>
              <w:t>No change in risk assessment since last year.</w:t>
            </w:r>
          </w:p>
          <w:p w14:paraId="03901B18" w14:textId="11A8DE32" w:rsidR="00726D38" w:rsidRPr="00AD76AF" w:rsidRDefault="00726D38" w:rsidP="00726D38">
            <w:pPr>
              <w:spacing w:after="120"/>
              <w:rPr>
                <w:rFonts w:cs="Arial"/>
                <w:sz w:val="20"/>
                <w:szCs w:val="20"/>
              </w:rPr>
            </w:pPr>
            <w:r w:rsidRPr="00AD76AF">
              <w:rPr>
                <w:rFonts w:cs="Arial"/>
                <w:sz w:val="20"/>
                <w:szCs w:val="20"/>
              </w:rPr>
              <w:t xml:space="preserve">To mitigate this risk, the Project is remaining inclusive to all EBRD countries of operation for the Network aspects. Financing eligibility includes private sector clients in ETC countries, with eligible sectors including manufacturing and services, agribusiness, and commercial buildings sectors (i.e. all private sectors and municipal projects). Targeting a range of ETCs and sectors is intended to mitigate country-level political and macroeconomic risk associated with a single country or countries. </w:t>
            </w:r>
          </w:p>
          <w:p w14:paraId="4A6C2143" w14:textId="77777777" w:rsidR="00726D38" w:rsidRPr="00AD76AF" w:rsidRDefault="00726D38" w:rsidP="00726D38">
            <w:pPr>
              <w:spacing w:after="120"/>
              <w:rPr>
                <w:rFonts w:cs="Arial"/>
                <w:sz w:val="20"/>
                <w:szCs w:val="20"/>
              </w:rPr>
            </w:pPr>
            <w:r w:rsidRPr="00AD76AF">
              <w:rPr>
                <w:rFonts w:cs="Arial"/>
                <w:sz w:val="20"/>
                <w:szCs w:val="20"/>
              </w:rPr>
              <w:t xml:space="preserve">By focussing efforts, rather than attempting to fully engage with policy dialogue in all FINTECC countries, measures of an appropriate scale are being developed including leveraging the work done by FAO and IEA and the development of a targeted approach for creation of the network for policy-makers. </w:t>
            </w:r>
          </w:p>
        </w:tc>
      </w:tr>
      <w:tr w:rsidR="00726D38" w:rsidRPr="00AD76AF" w14:paraId="4BBA11D7" w14:textId="77777777" w:rsidTr="00726D38">
        <w:trPr>
          <w:trHeight w:val="694"/>
        </w:trPr>
        <w:tc>
          <w:tcPr>
            <w:tcW w:w="1384" w:type="dxa"/>
          </w:tcPr>
          <w:p w14:paraId="3D5F5247" w14:textId="77777777" w:rsidR="00726D38" w:rsidRPr="00AD76AF" w:rsidRDefault="00726D38" w:rsidP="00835121">
            <w:pPr>
              <w:spacing w:before="2" w:after="2"/>
              <w:rPr>
                <w:rFonts w:cs="Arial"/>
                <w:sz w:val="20"/>
                <w:szCs w:val="20"/>
              </w:rPr>
            </w:pPr>
            <w:r w:rsidRPr="00AD76AF">
              <w:rPr>
                <w:rFonts w:cs="Arial"/>
                <w:sz w:val="20"/>
                <w:szCs w:val="20"/>
              </w:rPr>
              <w:t>Regional cooperation risk</w:t>
            </w:r>
          </w:p>
          <w:p w14:paraId="0CE43401" w14:textId="77777777" w:rsidR="00726D38" w:rsidRPr="00AD76AF" w:rsidRDefault="00726D38" w:rsidP="00835121">
            <w:pPr>
              <w:spacing w:before="2" w:after="2"/>
              <w:rPr>
                <w:rFonts w:cs="Arial"/>
                <w:sz w:val="20"/>
                <w:szCs w:val="20"/>
              </w:rPr>
            </w:pPr>
          </w:p>
        </w:tc>
        <w:tc>
          <w:tcPr>
            <w:tcW w:w="1134" w:type="dxa"/>
          </w:tcPr>
          <w:p w14:paraId="29ABC569" w14:textId="77777777" w:rsidR="00726D38" w:rsidRPr="00AD76AF" w:rsidRDefault="00726D38" w:rsidP="00835121">
            <w:pPr>
              <w:spacing w:before="2" w:after="2"/>
              <w:rPr>
                <w:rFonts w:cs="Arial"/>
                <w:sz w:val="20"/>
                <w:szCs w:val="20"/>
              </w:rPr>
            </w:pPr>
            <w:r w:rsidRPr="00AD76AF">
              <w:rPr>
                <w:rFonts w:cs="Arial"/>
                <w:sz w:val="20"/>
                <w:szCs w:val="20"/>
              </w:rPr>
              <w:t>Moderate</w:t>
            </w:r>
          </w:p>
        </w:tc>
        <w:tc>
          <w:tcPr>
            <w:tcW w:w="1134" w:type="dxa"/>
          </w:tcPr>
          <w:p w14:paraId="3DC105B7" w14:textId="77777777" w:rsidR="00726D38" w:rsidRPr="00AD76AF" w:rsidRDefault="00726D38" w:rsidP="00337F5F">
            <w:pPr>
              <w:spacing w:before="2" w:after="2"/>
              <w:rPr>
                <w:rFonts w:cs="Arial"/>
                <w:sz w:val="20"/>
                <w:szCs w:val="20"/>
              </w:rPr>
            </w:pPr>
            <w:r w:rsidRPr="00AD76AF">
              <w:rPr>
                <w:rFonts w:cs="Arial"/>
                <w:sz w:val="20"/>
                <w:szCs w:val="20"/>
              </w:rPr>
              <w:t>Moderate</w:t>
            </w:r>
          </w:p>
        </w:tc>
        <w:tc>
          <w:tcPr>
            <w:tcW w:w="5590" w:type="dxa"/>
          </w:tcPr>
          <w:p w14:paraId="3516BE28" w14:textId="77777777" w:rsidR="007B7E30" w:rsidRPr="00AD76AF" w:rsidRDefault="007B7E30" w:rsidP="007B7E30">
            <w:pPr>
              <w:spacing w:after="120"/>
              <w:rPr>
                <w:rFonts w:cs="Arial"/>
                <w:sz w:val="20"/>
                <w:szCs w:val="20"/>
              </w:rPr>
            </w:pPr>
            <w:r w:rsidRPr="00AD76AF">
              <w:rPr>
                <w:rFonts w:cs="Arial"/>
                <w:sz w:val="20"/>
                <w:szCs w:val="20"/>
              </w:rPr>
              <w:t>No change in risk assessment since last year.</w:t>
            </w:r>
          </w:p>
          <w:p w14:paraId="31051CA4" w14:textId="1A39F0E0" w:rsidR="00726D38" w:rsidRPr="00AD76AF" w:rsidRDefault="00726D38" w:rsidP="00726D38">
            <w:pPr>
              <w:spacing w:after="120"/>
              <w:rPr>
                <w:rFonts w:cs="Arial"/>
                <w:sz w:val="20"/>
                <w:szCs w:val="20"/>
              </w:rPr>
            </w:pPr>
            <w:r w:rsidRPr="00AD76AF">
              <w:rPr>
                <w:rFonts w:cs="Arial"/>
                <w:sz w:val="20"/>
                <w:szCs w:val="20"/>
              </w:rPr>
              <w:t xml:space="preserve">The Project requires significant input from a range of stakeholders to reach its targets, and is therefore dependent on regional cooperation and support of the Project and its activities. </w:t>
            </w:r>
          </w:p>
          <w:p w14:paraId="2C288D48" w14:textId="77777777" w:rsidR="00726D38" w:rsidRPr="00AD76AF" w:rsidRDefault="00726D38" w:rsidP="00726D38">
            <w:pPr>
              <w:spacing w:after="120"/>
              <w:rPr>
                <w:rFonts w:cs="Arial"/>
                <w:sz w:val="20"/>
                <w:szCs w:val="20"/>
              </w:rPr>
            </w:pPr>
            <w:r w:rsidRPr="00AD76AF">
              <w:rPr>
                <w:rFonts w:cs="Arial"/>
                <w:sz w:val="20"/>
                <w:szCs w:val="20"/>
              </w:rPr>
              <w:t>To mitigate low regional cooperation, the Project continues to link with existing initiatives</w:t>
            </w:r>
            <w:r w:rsidR="00751F21" w:rsidRPr="00AD76AF">
              <w:rPr>
                <w:rFonts w:cs="Arial"/>
                <w:sz w:val="20"/>
                <w:szCs w:val="20"/>
              </w:rPr>
              <w:t xml:space="preserve"> whenever possible</w:t>
            </w:r>
            <w:r w:rsidRPr="00AD76AF">
              <w:rPr>
                <w:rFonts w:cs="Arial"/>
                <w:sz w:val="20"/>
                <w:szCs w:val="20"/>
              </w:rPr>
              <w:t xml:space="preserve">. </w:t>
            </w:r>
          </w:p>
          <w:p w14:paraId="2AC0C47F" w14:textId="77777777" w:rsidR="00726D38" w:rsidRPr="00AD76AF" w:rsidRDefault="00726D38" w:rsidP="00726D38">
            <w:pPr>
              <w:spacing w:after="120"/>
              <w:rPr>
                <w:rFonts w:cs="Arial"/>
                <w:sz w:val="20"/>
                <w:szCs w:val="20"/>
              </w:rPr>
            </w:pPr>
            <w:r w:rsidRPr="00AD76AF">
              <w:rPr>
                <w:rFonts w:cs="Arial"/>
                <w:sz w:val="20"/>
                <w:szCs w:val="20"/>
              </w:rPr>
              <w:t xml:space="preserve">The project </w:t>
            </w:r>
            <w:r w:rsidR="00751F21" w:rsidRPr="00AD76AF">
              <w:rPr>
                <w:rFonts w:cs="Arial"/>
                <w:sz w:val="20"/>
                <w:szCs w:val="20"/>
              </w:rPr>
              <w:t>a</w:t>
            </w:r>
            <w:r w:rsidRPr="00AD76AF">
              <w:rPr>
                <w:rFonts w:cs="Arial"/>
                <w:sz w:val="20"/>
                <w:szCs w:val="20"/>
              </w:rPr>
              <w:t>lso lever</w:t>
            </w:r>
            <w:r w:rsidR="00751F21" w:rsidRPr="00AD76AF">
              <w:rPr>
                <w:rFonts w:cs="Arial"/>
                <w:sz w:val="20"/>
                <w:szCs w:val="20"/>
              </w:rPr>
              <w:t>s</w:t>
            </w:r>
            <w:r w:rsidRPr="00AD76AF">
              <w:rPr>
                <w:rFonts w:cs="Arial"/>
                <w:sz w:val="20"/>
                <w:szCs w:val="20"/>
              </w:rPr>
              <w:t xml:space="preserve"> the EBRD’s extensive relationships within the Region. </w:t>
            </w:r>
          </w:p>
          <w:p w14:paraId="403EFE99" w14:textId="77777777" w:rsidR="00726D38" w:rsidRPr="00AD76AF" w:rsidRDefault="00726D38" w:rsidP="00726D38">
            <w:pPr>
              <w:spacing w:after="120"/>
              <w:rPr>
                <w:rFonts w:cs="Arial"/>
                <w:sz w:val="20"/>
                <w:szCs w:val="20"/>
              </w:rPr>
            </w:pPr>
            <w:r w:rsidRPr="00AD76AF">
              <w:rPr>
                <w:rFonts w:cs="Arial"/>
                <w:sz w:val="20"/>
                <w:szCs w:val="20"/>
              </w:rPr>
              <w:t xml:space="preserve">An active exchange of knowledge and experience between FINTECC countries is being facilitated through the network </w:t>
            </w:r>
            <w:r w:rsidRPr="00AD76AF">
              <w:rPr>
                <w:rFonts w:cs="Arial"/>
                <w:sz w:val="20"/>
                <w:szCs w:val="20"/>
              </w:rPr>
              <w:lastRenderedPageBreak/>
              <w:t>development progress.</w:t>
            </w:r>
          </w:p>
        </w:tc>
      </w:tr>
      <w:tr w:rsidR="00726D38" w:rsidRPr="00AD76AF" w14:paraId="556F1D78" w14:textId="77777777" w:rsidTr="00726D38">
        <w:trPr>
          <w:trHeight w:val="290"/>
        </w:trPr>
        <w:tc>
          <w:tcPr>
            <w:tcW w:w="1384" w:type="dxa"/>
          </w:tcPr>
          <w:p w14:paraId="3C4B5247" w14:textId="77777777" w:rsidR="00726D38" w:rsidRPr="00AD76AF" w:rsidRDefault="00726D38" w:rsidP="00835121">
            <w:pPr>
              <w:spacing w:before="2" w:after="2"/>
              <w:rPr>
                <w:rFonts w:cs="Arial"/>
                <w:sz w:val="20"/>
                <w:szCs w:val="20"/>
              </w:rPr>
            </w:pPr>
            <w:r w:rsidRPr="00AD76AF">
              <w:rPr>
                <w:rFonts w:cs="Arial"/>
                <w:sz w:val="20"/>
                <w:szCs w:val="20"/>
              </w:rPr>
              <w:lastRenderedPageBreak/>
              <w:t>Technology risk</w:t>
            </w:r>
            <w:r w:rsidRPr="00AD76AF">
              <w:rPr>
                <w:rStyle w:val="FootnoteReference"/>
                <w:rFonts w:cs="Arial"/>
                <w:sz w:val="20"/>
                <w:szCs w:val="20"/>
              </w:rPr>
              <w:footnoteReference w:id="20"/>
            </w:r>
          </w:p>
        </w:tc>
        <w:tc>
          <w:tcPr>
            <w:tcW w:w="1134" w:type="dxa"/>
          </w:tcPr>
          <w:p w14:paraId="30A03A39" w14:textId="77777777" w:rsidR="00726D38" w:rsidRPr="00AD76AF" w:rsidRDefault="00726D38" w:rsidP="00835121">
            <w:pPr>
              <w:spacing w:before="2" w:after="2"/>
              <w:rPr>
                <w:rFonts w:cs="Arial"/>
                <w:sz w:val="20"/>
                <w:szCs w:val="20"/>
              </w:rPr>
            </w:pPr>
            <w:r w:rsidRPr="00AD76AF">
              <w:rPr>
                <w:rFonts w:cs="Arial"/>
                <w:sz w:val="20"/>
                <w:szCs w:val="20"/>
              </w:rPr>
              <w:t>Low</w:t>
            </w:r>
          </w:p>
        </w:tc>
        <w:tc>
          <w:tcPr>
            <w:tcW w:w="1134" w:type="dxa"/>
          </w:tcPr>
          <w:p w14:paraId="0DE65AAD" w14:textId="77777777" w:rsidR="00726D38" w:rsidRPr="00AD76AF" w:rsidRDefault="00726D38" w:rsidP="00337F5F">
            <w:pPr>
              <w:spacing w:before="2" w:after="2"/>
              <w:rPr>
                <w:rFonts w:cs="Arial"/>
                <w:sz w:val="20"/>
                <w:szCs w:val="20"/>
              </w:rPr>
            </w:pPr>
            <w:r w:rsidRPr="00AD76AF">
              <w:rPr>
                <w:rFonts w:cs="Arial"/>
                <w:sz w:val="20"/>
                <w:szCs w:val="20"/>
              </w:rPr>
              <w:t>Moderate</w:t>
            </w:r>
          </w:p>
        </w:tc>
        <w:tc>
          <w:tcPr>
            <w:tcW w:w="5590" w:type="dxa"/>
          </w:tcPr>
          <w:p w14:paraId="7E9D0698" w14:textId="77777777" w:rsidR="007B7E30" w:rsidRPr="00AD76AF" w:rsidRDefault="007B7E30" w:rsidP="007B7E30">
            <w:pPr>
              <w:spacing w:after="120"/>
              <w:rPr>
                <w:rFonts w:cs="Arial"/>
                <w:sz w:val="20"/>
                <w:szCs w:val="20"/>
              </w:rPr>
            </w:pPr>
            <w:r w:rsidRPr="00AD76AF">
              <w:rPr>
                <w:rFonts w:cs="Arial"/>
                <w:sz w:val="20"/>
                <w:szCs w:val="20"/>
              </w:rPr>
              <w:t>No change in risk assessment since last year.</w:t>
            </w:r>
          </w:p>
          <w:p w14:paraId="59315AA4" w14:textId="7D615D00" w:rsidR="00726D38" w:rsidRPr="00AD76AF" w:rsidRDefault="00726D38" w:rsidP="007B7E30">
            <w:pPr>
              <w:spacing w:after="120"/>
              <w:rPr>
                <w:rFonts w:cs="Arial"/>
                <w:sz w:val="20"/>
                <w:szCs w:val="20"/>
              </w:rPr>
            </w:pPr>
          </w:p>
        </w:tc>
      </w:tr>
      <w:tr w:rsidR="00726D38" w:rsidRPr="00AD76AF" w14:paraId="63AF85AD" w14:textId="77777777" w:rsidTr="00726D38">
        <w:trPr>
          <w:trHeight w:val="241"/>
        </w:trPr>
        <w:tc>
          <w:tcPr>
            <w:tcW w:w="1384" w:type="dxa"/>
          </w:tcPr>
          <w:p w14:paraId="22CA60E8" w14:textId="77777777" w:rsidR="00726D38" w:rsidRPr="00AD76AF" w:rsidRDefault="00726D38" w:rsidP="00835121">
            <w:pPr>
              <w:spacing w:before="2" w:after="2"/>
              <w:rPr>
                <w:rFonts w:cs="Arial"/>
                <w:sz w:val="20"/>
                <w:szCs w:val="20"/>
              </w:rPr>
            </w:pPr>
            <w:r w:rsidRPr="00AD76AF">
              <w:rPr>
                <w:rFonts w:cs="Arial"/>
                <w:sz w:val="20"/>
                <w:szCs w:val="20"/>
              </w:rPr>
              <w:t>Financial risk</w:t>
            </w:r>
          </w:p>
          <w:p w14:paraId="48F475BA" w14:textId="77777777" w:rsidR="00726D38" w:rsidRPr="00AD76AF" w:rsidRDefault="00726D38" w:rsidP="00835121">
            <w:pPr>
              <w:spacing w:before="2" w:after="2"/>
              <w:rPr>
                <w:rFonts w:cs="Arial"/>
                <w:sz w:val="20"/>
                <w:szCs w:val="20"/>
              </w:rPr>
            </w:pPr>
          </w:p>
        </w:tc>
        <w:tc>
          <w:tcPr>
            <w:tcW w:w="1134" w:type="dxa"/>
          </w:tcPr>
          <w:p w14:paraId="65554B6B" w14:textId="77777777" w:rsidR="00726D38" w:rsidRPr="00AD76AF" w:rsidRDefault="00726D38" w:rsidP="00835121">
            <w:pPr>
              <w:spacing w:before="2" w:after="2"/>
              <w:rPr>
                <w:rFonts w:cs="Arial"/>
                <w:sz w:val="20"/>
                <w:szCs w:val="20"/>
              </w:rPr>
            </w:pPr>
            <w:r w:rsidRPr="00AD76AF">
              <w:rPr>
                <w:rFonts w:cs="Arial"/>
                <w:sz w:val="20"/>
                <w:szCs w:val="20"/>
              </w:rPr>
              <w:t>Moderate</w:t>
            </w:r>
          </w:p>
        </w:tc>
        <w:tc>
          <w:tcPr>
            <w:tcW w:w="1134" w:type="dxa"/>
          </w:tcPr>
          <w:p w14:paraId="143B2276" w14:textId="77777777" w:rsidR="00726D38" w:rsidRPr="00AD76AF" w:rsidRDefault="00726D38" w:rsidP="00337F5F">
            <w:pPr>
              <w:spacing w:before="2" w:after="2"/>
              <w:rPr>
                <w:rFonts w:cs="Arial"/>
                <w:sz w:val="20"/>
                <w:szCs w:val="20"/>
              </w:rPr>
            </w:pPr>
            <w:r w:rsidRPr="00AD76AF">
              <w:rPr>
                <w:rFonts w:cs="Arial"/>
                <w:sz w:val="20"/>
                <w:szCs w:val="20"/>
              </w:rPr>
              <w:t>Moderate</w:t>
            </w:r>
          </w:p>
        </w:tc>
        <w:tc>
          <w:tcPr>
            <w:tcW w:w="5590" w:type="dxa"/>
          </w:tcPr>
          <w:p w14:paraId="4450AF56" w14:textId="77777777" w:rsidR="007B7E30" w:rsidRPr="00AD76AF" w:rsidRDefault="007B7E30" w:rsidP="007B7E30">
            <w:pPr>
              <w:spacing w:after="120"/>
              <w:rPr>
                <w:rFonts w:cs="Arial"/>
                <w:sz w:val="20"/>
                <w:szCs w:val="20"/>
              </w:rPr>
            </w:pPr>
            <w:r w:rsidRPr="00AD76AF">
              <w:rPr>
                <w:rFonts w:cs="Arial"/>
                <w:sz w:val="20"/>
                <w:szCs w:val="20"/>
              </w:rPr>
              <w:t>No change in risk assessment since last year.</w:t>
            </w:r>
          </w:p>
          <w:p w14:paraId="3BA5D37F" w14:textId="77777777" w:rsidR="00726D38" w:rsidRPr="00AD76AF" w:rsidRDefault="00726D38" w:rsidP="00726D38">
            <w:pPr>
              <w:spacing w:after="120"/>
              <w:rPr>
                <w:rFonts w:cs="Arial"/>
                <w:sz w:val="20"/>
                <w:szCs w:val="20"/>
              </w:rPr>
            </w:pPr>
            <w:r w:rsidRPr="00AD76AF">
              <w:rPr>
                <w:rFonts w:cs="Arial"/>
                <w:sz w:val="20"/>
                <w:szCs w:val="20"/>
              </w:rPr>
              <w:t>This is a moderate risk that continues to be mitigated by EBRD’s standard risk assessment, due diligence and financing conditionalities.</w:t>
            </w:r>
          </w:p>
        </w:tc>
      </w:tr>
      <w:tr w:rsidR="00726D38" w:rsidRPr="00AD76AF" w14:paraId="419661BC" w14:textId="77777777" w:rsidTr="00726D38">
        <w:trPr>
          <w:trHeight w:val="776"/>
        </w:trPr>
        <w:tc>
          <w:tcPr>
            <w:tcW w:w="1384" w:type="dxa"/>
          </w:tcPr>
          <w:p w14:paraId="5FA8362E" w14:textId="77777777" w:rsidR="00726D38" w:rsidRPr="00AD76AF" w:rsidRDefault="00726D38" w:rsidP="00835121">
            <w:pPr>
              <w:spacing w:before="2" w:after="2"/>
              <w:rPr>
                <w:rFonts w:cs="Arial"/>
                <w:sz w:val="20"/>
                <w:szCs w:val="20"/>
              </w:rPr>
            </w:pPr>
            <w:r w:rsidRPr="00AD76AF">
              <w:rPr>
                <w:rFonts w:cs="Arial"/>
                <w:sz w:val="20"/>
                <w:szCs w:val="20"/>
              </w:rPr>
              <w:t>Climate risk</w:t>
            </w:r>
          </w:p>
          <w:p w14:paraId="533377F9" w14:textId="77777777" w:rsidR="00726D38" w:rsidRPr="00AD76AF" w:rsidRDefault="00726D38" w:rsidP="00835121">
            <w:pPr>
              <w:spacing w:before="2" w:after="2"/>
              <w:rPr>
                <w:rFonts w:cs="Arial"/>
                <w:b/>
                <w:sz w:val="20"/>
                <w:szCs w:val="20"/>
              </w:rPr>
            </w:pPr>
          </w:p>
        </w:tc>
        <w:tc>
          <w:tcPr>
            <w:tcW w:w="1134" w:type="dxa"/>
          </w:tcPr>
          <w:p w14:paraId="788E6F8F" w14:textId="77777777" w:rsidR="00726D38" w:rsidRPr="00AD76AF" w:rsidRDefault="00726D38" w:rsidP="00835121">
            <w:pPr>
              <w:spacing w:before="2" w:after="2"/>
              <w:rPr>
                <w:rFonts w:cs="Arial"/>
                <w:sz w:val="20"/>
                <w:szCs w:val="20"/>
              </w:rPr>
            </w:pPr>
            <w:r w:rsidRPr="00AD76AF">
              <w:rPr>
                <w:rFonts w:cs="Arial"/>
                <w:sz w:val="20"/>
                <w:szCs w:val="20"/>
              </w:rPr>
              <w:t>Low</w:t>
            </w:r>
          </w:p>
        </w:tc>
        <w:tc>
          <w:tcPr>
            <w:tcW w:w="1134" w:type="dxa"/>
          </w:tcPr>
          <w:p w14:paraId="0B5AB491" w14:textId="77777777" w:rsidR="00726D38" w:rsidRPr="00AD76AF" w:rsidRDefault="00726D38" w:rsidP="00337F5F">
            <w:pPr>
              <w:spacing w:before="2" w:after="2"/>
              <w:rPr>
                <w:rFonts w:cs="Arial"/>
                <w:sz w:val="20"/>
                <w:szCs w:val="20"/>
              </w:rPr>
            </w:pPr>
            <w:r w:rsidRPr="00AD76AF">
              <w:rPr>
                <w:rFonts w:cs="Arial"/>
                <w:sz w:val="20"/>
                <w:szCs w:val="20"/>
              </w:rPr>
              <w:t>Low</w:t>
            </w:r>
          </w:p>
        </w:tc>
        <w:tc>
          <w:tcPr>
            <w:tcW w:w="5590" w:type="dxa"/>
          </w:tcPr>
          <w:p w14:paraId="458634FE" w14:textId="77777777" w:rsidR="007B7E30" w:rsidRPr="00AD76AF" w:rsidRDefault="007B7E30" w:rsidP="007B7E30">
            <w:pPr>
              <w:spacing w:after="120"/>
              <w:rPr>
                <w:rFonts w:cs="Arial"/>
                <w:sz w:val="20"/>
                <w:szCs w:val="20"/>
              </w:rPr>
            </w:pPr>
            <w:r w:rsidRPr="00AD76AF">
              <w:rPr>
                <w:rFonts w:cs="Arial"/>
                <w:sz w:val="20"/>
                <w:szCs w:val="20"/>
              </w:rPr>
              <w:t>No change in risk assessment since last year.</w:t>
            </w:r>
          </w:p>
          <w:p w14:paraId="31CDDCA5" w14:textId="77777777" w:rsidR="00726D38" w:rsidRPr="00AD76AF" w:rsidRDefault="00726D38" w:rsidP="00726D38">
            <w:pPr>
              <w:spacing w:after="120"/>
              <w:rPr>
                <w:rFonts w:cs="Arial"/>
                <w:sz w:val="20"/>
                <w:szCs w:val="20"/>
              </w:rPr>
            </w:pPr>
            <w:r w:rsidRPr="00AD76AF">
              <w:rPr>
                <w:rFonts w:cs="Arial"/>
                <w:sz w:val="20"/>
                <w:szCs w:val="20"/>
              </w:rPr>
              <w:t xml:space="preserve">The EBRD continues to build international and local capacity in the area of climate technology assessments and climate technology investment pipeline development, both of which consider climate risks. </w:t>
            </w:r>
          </w:p>
        </w:tc>
      </w:tr>
      <w:tr w:rsidR="00726D38" w:rsidRPr="00AD76AF" w14:paraId="554B338C" w14:textId="77777777" w:rsidTr="00726D38">
        <w:trPr>
          <w:trHeight w:val="712"/>
        </w:trPr>
        <w:tc>
          <w:tcPr>
            <w:tcW w:w="1384" w:type="dxa"/>
          </w:tcPr>
          <w:p w14:paraId="41304130" w14:textId="77777777" w:rsidR="00726D38" w:rsidRPr="00AD76AF" w:rsidRDefault="00726D38" w:rsidP="00835121">
            <w:pPr>
              <w:spacing w:before="2" w:after="2"/>
              <w:rPr>
                <w:rFonts w:cs="Arial"/>
                <w:sz w:val="20"/>
                <w:szCs w:val="20"/>
              </w:rPr>
            </w:pPr>
            <w:r w:rsidRPr="00AD76AF">
              <w:rPr>
                <w:rFonts w:cs="Arial"/>
                <w:sz w:val="20"/>
                <w:szCs w:val="20"/>
              </w:rPr>
              <w:t>Implementation Risk</w:t>
            </w:r>
          </w:p>
        </w:tc>
        <w:tc>
          <w:tcPr>
            <w:tcW w:w="1134" w:type="dxa"/>
          </w:tcPr>
          <w:p w14:paraId="7341AABF" w14:textId="77777777" w:rsidR="00726D38" w:rsidRPr="00AD76AF" w:rsidRDefault="00726D38" w:rsidP="00835121">
            <w:pPr>
              <w:spacing w:before="2" w:after="2"/>
              <w:rPr>
                <w:rFonts w:cs="Arial"/>
                <w:sz w:val="20"/>
                <w:szCs w:val="20"/>
              </w:rPr>
            </w:pPr>
            <w:r w:rsidRPr="00AD76AF">
              <w:rPr>
                <w:rFonts w:cs="Arial"/>
                <w:sz w:val="20"/>
                <w:szCs w:val="20"/>
              </w:rPr>
              <w:t>Low</w:t>
            </w:r>
          </w:p>
        </w:tc>
        <w:tc>
          <w:tcPr>
            <w:tcW w:w="1134" w:type="dxa"/>
          </w:tcPr>
          <w:p w14:paraId="39405933" w14:textId="77777777" w:rsidR="00726D38" w:rsidRPr="00AD76AF" w:rsidRDefault="00726D38" w:rsidP="00337F5F">
            <w:pPr>
              <w:spacing w:before="2" w:after="2"/>
              <w:rPr>
                <w:rFonts w:cs="Arial"/>
                <w:sz w:val="20"/>
                <w:szCs w:val="20"/>
              </w:rPr>
            </w:pPr>
            <w:r w:rsidRPr="00AD76AF">
              <w:rPr>
                <w:rFonts w:cs="Arial"/>
                <w:sz w:val="20"/>
                <w:szCs w:val="20"/>
              </w:rPr>
              <w:t>Low</w:t>
            </w:r>
          </w:p>
        </w:tc>
        <w:tc>
          <w:tcPr>
            <w:tcW w:w="5590" w:type="dxa"/>
          </w:tcPr>
          <w:p w14:paraId="24976633" w14:textId="77777777" w:rsidR="007B7E30" w:rsidRPr="00AD76AF" w:rsidRDefault="007B7E30" w:rsidP="007B7E30">
            <w:pPr>
              <w:spacing w:after="120"/>
              <w:rPr>
                <w:rFonts w:cs="Arial"/>
                <w:sz w:val="20"/>
                <w:szCs w:val="20"/>
              </w:rPr>
            </w:pPr>
            <w:r w:rsidRPr="00AD76AF">
              <w:rPr>
                <w:rFonts w:cs="Arial"/>
                <w:sz w:val="20"/>
                <w:szCs w:val="20"/>
              </w:rPr>
              <w:t>No change in risk assessment since last year.</w:t>
            </w:r>
          </w:p>
          <w:p w14:paraId="74AABE15" w14:textId="77777777" w:rsidR="00726D38" w:rsidRPr="00AD76AF" w:rsidRDefault="00726D38" w:rsidP="00726D38">
            <w:pPr>
              <w:spacing w:after="120"/>
              <w:rPr>
                <w:rFonts w:cs="Arial"/>
                <w:sz w:val="20"/>
                <w:szCs w:val="20"/>
              </w:rPr>
            </w:pPr>
            <w:r w:rsidRPr="00AD76AF">
              <w:rPr>
                <w:rFonts w:cs="Arial"/>
                <w:sz w:val="20"/>
                <w:szCs w:val="20"/>
              </w:rPr>
              <w:t xml:space="preserve">Project implementation risk is being mitigated by the EBRD’s extensive experience in the Region and close working relationships with in-country partners. </w:t>
            </w:r>
          </w:p>
        </w:tc>
      </w:tr>
    </w:tbl>
    <w:p w14:paraId="41056EE1" w14:textId="77777777" w:rsidR="00726D38" w:rsidRPr="00AD76AF" w:rsidRDefault="00726D38" w:rsidP="00726D38">
      <w:pPr>
        <w:pStyle w:val="LightGrid-Accent31"/>
        <w:spacing w:after="0"/>
        <w:ind w:left="0"/>
        <w:rPr>
          <w:rFonts w:ascii="Arial" w:eastAsia="Cambria" w:hAnsi="Arial" w:cs="Arial"/>
          <w:sz w:val="20"/>
          <w:szCs w:val="20"/>
          <w:lang w:val="en-GB"/>
        </w:rPr>
      </w:pPr>
    </w:p>
    <w:p w14:paraId="087B9298" w14:textId="77777777" w:rsidR="00726D38" w:rsidRPr="00AD76AF" w:rsidRDefault="00726D38" w:rsidP="00726D38">
      <w:pPr>
        <w:pStyle w:val="LightGrid-Accent31"/>
        <w:spacing w:after="0"/>
        <w:ind w:left="0"/>
        <w:rPr>
          <w:rFonts w:ascii="Arial" w:eastAsia="Cambria" w:hAnsi="Arial" w:cs="Arial"/>
          <w:sz w:val="20"/>
          <w:szCs w:val="20"/>
          <w:lang w:val="en-GB"/>
        </w:rPr>
      </w:pPr>
      <w:r w:rsidRPr="00AD76AF">
        <w:rPr>
          <w:rFonts w:ascii="Arial" w:eastAsia="Cambria" w:hAnsi="Arial" w:cs="Arial"/>
          <w:sz w:val="20"/>
          <w:szCs w:val="20"/>
          <w:lang w:val="en-GB"/>
        </w:rPr>
        <w:t>An additional risk to be tracked is the level of appetite amongst EBRD clients for investment into adaptation interventions. At the moment, this risk can be described as follows:</w:t>
      </w:r>
    </w:p>
    <w:p w14:paraId="07B3976E" w14:textId="77777777" w:rsidR="00726D38" w:rsidRPr="00AD76AF" w:rsidRDefault="00726D38" w:rsidP="00726D38">
      <w:pPr>
        <w:pStyle w:val="LightGrid-Accent31"/>
        <w:spacing w:after="0"/>
        <w:ind w:left="0"/>
        <w:rPr>
          <w:rFonts w:ascii="Arial" w:eastAsia="Cambria" w:hAnsi="Arial" w:cs="Arial"/>
          <w:sz w:val="20"/>
          <w:szCs w:val="20"/>
          <w:lang w:val="en-GB"/>
        </w:rPr>
      </w:pPr>
    </w:p>
    <w:tbl>
      <w:tblPr>
        <w:tblW w:w="92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232"/>
        <w:gridCol w:w="968"/>
        <w:gridCol w:w="1477"/>
        <w:gridCol w:w="5529"/>
      </w:tblGrid>
      <w:tr w:rsidR="00726D38" w:rsidRPr="004571A9" w14:paraId="6AD9DC67" w14:textId="77777777" w:rsidTr="005437AE">
        <w:trPr>
          <w:trHeight w:val="368"/>
          <w:tblHeader/>
        </w:trPr>
        <w:tc>
          <w:tcPr>
            <w:tcW w:w="1240" w:type="dxa"/>
            <w:shd w:val="clear" w:color="auto" w:fill="7F7F7F" w:themeFill="text1" w:themeFillTint="80"/>
          </w:tcPr>
          <w:p w14:paraId="0FC51202" w14:textId="77777777" w:rsidR="00726D38" w:rsidRPr="004571A9" w:rsidRDefault="00726D38" w:rsidP="00337F5F">
            <w:pPr>
              <w:ind w:right="4"/>
              <w:jc w:val="center"/>
              <w:rPr>
                <w:rFonts w:eastAsia="Times New Roman" w:cs="Arial"/>
                <w:b/>
                <w:color w:val="FFFFFF" w:themeColor="background1"/>
                <w:sz w:val="20"/>
                <w:szCs w:val="20"/>
              </w:rPr>
            </w:pPr>
            <w:r w:rsidRPr="004571A9">
              <w:rPr>
                <w:rFonts w:eastAsia="Times New Roman" w:cs="Arial"/>
                <w:b/>
                <w:color w:val="FFFFFF" w:themeColor="background1"/>
                <w:sz w:val="20"/>
                <w:szCs w:val="20"/>
              </w:rPr>
              <w:t>Risks</w:t>
            </w:r>
          </w:p>
        </w:tc>
        <w:tc>
          <w:tcPr>
            <w:tcW w:w="985" w:type="dxa"/>
            <w:shd w:val="clear" w:color="auto" w:fill="7F7F7F" w:themeFill="text1" w:themeFillTint="80"/>
          </w:tcPr>
          <w:p w14:paraId="16508F4D" w14:textId="77777777" w:rsidR="00726D38" w:rsidRPr="004571A9" w:rsidRDefault="00726D38" w:rsidP="00337F5F">
            <w:pPr>
              <w:keepNext/>
              <w:keepLines/>
              <w:jc w:val="center"/>
              <w:rPr>
                <w:rFonts w:eastAsia="Times New Roman" w:cs="Arial"/>
                <w:b/>
                <w:color w:val="FFFFFF" w:themeColor="background1"/>
                <w:sz w:val="20"/>
                <w:szCs w:val="20"/>
              </w:rPr>
            </w:pPr>
            <w:r w:rsidRPr="004571A9">
              <w:rPr>
                <w:rFonts w:eastAsia="Times New Roman" w:cs="Arial"/>
                <w:b/>
                <w:color w:val="FFFFFF" w:themeColor="background1"/>
                <w:sz w:val="20"/>
                <w:szCs w:val="20"/>
              </w:rPr>
              <w:t>Rating in RCE</w:t>
            </w:r>
          </w:p>
        </w:tc>
        <w:tc>
          <w:tcPr>
            <w:tcW w:w="1130" w:type="dxa"/>
            <w:shd w:val="clear" w:color="auto" w:fill="7F7F7F" w:themeFill="text1" w:themeFillTint="80"/>
          </w:tcPr>
          <w:p w14:paraId="2B9635C5" w14:textId="77777777" w:rsidR="00726D38" w:rsidRPr="004571A9" w:rsidRDefault="00726D38" w:rsidP="00337F5F">
            <w:pPr>
              <w:keepNext/>
              <w:keepLines/>
              <w:jc w:val="center"/>
              <w:rPr>
                <w:rFonts w:eastAsia="Times New Roman" w:cs="Arial"/>
                <w:b/>
                <w:color w:val="FFFFFF" w:themeColor="background1"/>
                <w:sz w:val="20"/>
                <w:szCs w:val="20"/>
              </w:rPr>
            </w:pPr>
            <w:r w:rsidRPr="004571A9">
              <w:rPr>
                <w:rFonts w:eastAsia="Times New Roman" w:cs="Arial"/>
                <w:b/>
                <w:color w:val="FFFFFF" w:themeColor="background1"/>
                <w:sz w:val="20"/>
                <w:szCs w:val="20"/>
              </w:rPr>
              <w:t>Rating in current year</w:t>
            </w:r>
          </w:p>
        </w:tc>
        <w:tc>
          <w:tcPr>
            <w:tcW w:w="5851" w:type="dxa"/>
            <w:shd w:val="clear" w:color="auto" w:fill="7F7F7F" w:themeFill="text1" w:themeFillTint="80"/>
          </w:tcPr>
          <w:p w14:paraId="3C999445" w14:textId="77777777" w:rsidR="00726D38" w:rsidRPr="004571A9" w:rsidRDefault="00726D38" w:rsidP="00337F5F">
            <w:pPr>
              <w:keepNext/>
              <w:keepLines/>
              <w:jc w:val="center"/>
              <w:rPr>
                <w:rFonts w:eastAsia="Times New Roman" w:cs="Arial"/>
                <w:b/>
                <w:color w:val="FFFFFF" w:themeColor="background1"/>
                <w:sz w:val="20"/>
                <w:szCs w:val="20"/>
              </w:rPr>
            </w:pPr>
            <w:r w:rsidRPr="004571A9">
              <w:rPr>
                <w:rFonts w:eastAsia="Times New Roman" w:cs="Arial"/>
                <w:b/>
                <w:color w:val="FFFFFF" w:themeColor="background1"/>
                <w:sz w:val="20"/>
                <w:szCs w:val="20"/>
              </w:rPr>
              <w:t>Action taken to manage risks</w:t>
            </w:r>
          </w:p>
        </w:tc>
      </w:tr>
      <w:tr w:rsidR="00726D38" w:rsidRPr="004571A9" w14:paraId="3F5AE995" w14:textId="77777777" w:rsidTr="007730D6">
        <w:trPr>
          <w:trHeight w:val="252"/>
        </w:trPr>
        <w:tc>
          <w:tcPr>
            <w:tcW w:w="1240" w:type="dxa"/>
          </w:tcPr>
          <w:p w14:paraId="42E9443E" w14:textId="77777777" w:rsidR="00726D38" w:rsidRPr="004571A9" w:rsidRDefault="00726D38" w:rsidP="00337F5F">
            <w:pPr>
              <w:spacing w:before="2" w:after="2"/>
              <w:rPr>
                <w:rFonts w:cs="Arial"/>
                <w:sz w:val="20"/>
                <w:szCs w:val="20"/>
              </w:rPr>
            </w:pPr>
            <w:r w:rsidRPr="004571A9">
              <w:rPr>
                <w:rFonts w:cs="Arial"/>
                <w:sz w:val="20"/>
                <w:szCs w:val="20"/>
              </w:rPr>
              <w:t>Demand for investment</w:t>
            </w:r>
          </w:p>
        </w:tc>
        <w:tc>
          <w:tcPr>
            <w:tcW w:w="985" w:type="dxa"/>
          </w:tcPr>
          <w:p w14:paraId="09EBDCDD" w14:textId="77777777" w:rsidR="00726D38" w:rsidRPr="004571A9" w:rsidRDefault="00726D38" w:rsidP="00337F5F">
            <w:pPr>
              <w:spacing w:before="2" w:after="2"/>
              <w:rPr>
                <w:rFonts w:cs="Arial"/>
                <w:sz w:val="20"/>
                <w:szCs w:val="20"/>
              </w:rPr>
            </w:pPr>
            <w:r w:rsidRPr="004571A9">
              <w:rPr>
                <w:rFonts w:cs="Arial"/>
                <w:sz w:val="20"/>
                <w:szCs w:val="20"/>
              </w:rPr>
              <w:t>N/A</w:t>
            </w:r>
          </w:p>
        </w:tc>
        <w:tc>
          <w:tcPr>
            <w:tcW w:w="1130" w:type="dxa"/>
          </w:tcPr>
          <w:p w14:paraId="3884B1B3" w14:textId="119328FE" w:rsidR="00726D38" w:rsidRPr="004571A9" w:rsidRDefault="00726D38" w:rsidP="00337F5F">
            <w:pPr>
              <w:spacing w:before="2" w:after="2"/>
              <w:rPr>
                <w:rFonts w:cs="Arial"/>
                <w:sz w:val="20"/>
                <w:szCs w:val="20"/>
              </w:rPr>
            </w:pPr>
            <w:r w:rsidRPr="004571A9">
              <w:rPr>
                <w:rFonts w:cs="Arial"/>
                <w:sz w:val="20"/>
                <w:szCs w:val="20"/>
              </w:rPr>
              <w:t>Moderate</w:t>
            </w:r>
            <w:r w:rsidR="004E5C18" w:rsidRPr="004571A9">
              <w:rPr>
                <w:rFonts w:cs="Arial"/>
                <w:sz w:val="20"/>
                <w:szCs w:val="20"/>
              </w:rPr>
              <w:t>/High</w:t>
            </w:r>
          </w:p>
        </w:tc>
        <w:tc>
          <w:tcPr>
            <w:tcW w:w="5851" w:type="dxa"/>
          </w:tcPr>
          <w:p w14:paraId="3D84F91A" w14:textId="77777777" w:rsidR="007B7E30" w:rsidRPr="004571A9" w:rsidRDefault="007B7E30" w:rsidP="007B7E30">
            <w:pPr>
              <w:spacing w:after="120"/>
              <w:rPr>
                <w:rFonts w:cs="Arial"/>
                <w:sz w:val="20"/>
                <w:szCs w:val="20"/>
              </w:rPr>
            </w:pPr>
            <w:r w:rsidRPr="004571A9">
              <w:rPr>
                <w:rFonts w:cs="Arial"/>
                <w:sz w:val="20"/>
                <w:szCs w:val="20"/>
              </w:rPr>
              <w:t>No change in risk assessment since last year.</w:t>
            </w:r>
          </w:p>
          <w:p w14:paraId="55A1E855" w14:textId="77777777" w:rsidR="00726D38" w:rsidRPr="004571A9" w:rsidRDefault="00726D38" w:rsidP="00726D38">
            <w:pPr>
              <w:spacing w:after="120"/>
              <w:rPr>
                <w:rFonts w:cs="Arial"/>
                <w:sz w:val="20"/>
                <w:szCs w:val="20"/>
              </w:rPr>
            </w:pPr>
            <w:r w:rsidRPr="004571A9">
              <w:rPr>
                <w:rFonts w:cs="Arial"/>
                <w:sz w:val="20"/>
                <w:szCs w:val="20"/>
              </w:rPr>
              <w:t>For mitigation investments, this risk is not prevalent, but for adaptation investments, the risk is moderate due to a relative lack of demand for such projects, which could be explained by intrinsic characteristics of climate adaptation projects, including non-reflective water pricing in the region. EBRD will investigate closely the potential pipeline of investments to identify where adaptation measures are possible and would be attractive to clients. EBRD also continues to explore opportunities to engage on water policy in its countries of operations to improve the investment environment for adaptation-focussed technologies and practices.</w:t>
            </w:r>
          </w:p>
        </w:tc>
      </w:tr>
    </w:tbl>
    <w:p w14:paraId="1DBFD7C4" w14:textId="77777777" w:rsidR="0097783F" w:rsidRDefault="0097783F" w:rsidP="009B4B79"/>
    <w:p w14:paraId="1B39C4A2" w14:textId="77777777" w:rsidR="002B3403" w:rsidRPr="00AD76AF" w:rsidRDefault="002B3403" w:rsidP="009B4B79"/>
    <w:tbl>
      <w:tblPr>
        <w:tblStyle w:val="TableGrid"/>
        <w:tblW w:w="0" w:type="auto"/>
        <w:tblLook w:val="04A0" w:firstRow="1" w:lastRow="0" w:firstColumn="1" w:lastColumn="0" w:noHBand="0" w:noVBand="1"/>
      </w:tblPr>
      <w:tblGrid>
        <w:gridCol w:w="9242"/>
      </w:tblGrid>
      <w:tr w:rsidR="000A35D6" w:rsidRPr="00AD76AF" w14:paraId="1D3A276C" w14:textId="77777777" w:rsidTr="00B20126">
        <w:tc>
          <w:tcPr>
            <w:tcW w:w="9242" w:type="dxa"/>
            <w:shd w:val="clear" w:color="auto" w:fill="002060"/>
          </w:tcPr>
          <w:p w14:paraId="20D4C299" w14:textId="77777777" w:rsidR="000A35D6" w:rsidRPr="00AD76AF" w:rsidRDefault="000A35D6" w:rsidP="00B20126">
            <w:pPr>
              <w:rPr>
                <w:b/>
              </w:rPr>
            </w:pPr>
            <w:r w:rsidRPr="00AD76AF">
              <w:rPr>
                <w:b/>
              </w:rPr>
              <w:lastRenderedPageBreak/>
              <w:t>Section 3: Stakeholder  Engagement</w:t>
            </w:r>
          </w:p>
        </w:tc>
      </w:tr>
      <w:tr w:rsidR="000A35D6" w:rsidRPr="00AD76AF" w14:paraId="75212573" w14:textId="77777777" w:rsidTr="00B20126">
        <w:tc>
          <w:tcPr>
            <w:tcW w:w="9242" w:type="dxa"/>
          </w:tcPr>
          <w:p w14:paraId="5B072AC8" w14:textId="77777777" w:rsidR="000A35D6" w:rsidRPr="00AD76AF" w:rsidRDefault="000A35D6" w:rsidP="000A35D6">
            <w:pPr>
              <w:shd w:val="clear" w:color="auto" w:fill="FFFFFF" w:themeFill="background1"/>
              <w:rPr>
                <w:sz w:val="20"/>
                <w:szCs w:val="20"/>
              </w:rPr>
            </w:pPr>
            <w:r w:rsidRPr="00AD76AF">
              <w:rPr>
                <w:sz w:val="20"/>
                <w:szCs w:val="20"/>
              </w:rPr>
              <w:t>A wide range of stakeholders has been involved in the context of the marketing and dissemination activities carried out in the reporting period. These include mainly:</w:t>
            </w:r>
          </w:p>
          <w:p w14:paraId="3D011E9C" w14:textId="77777777" w:rsidR="000A35D6" w:rsidRPr="00AD76AF" w:rsidRDefault="000A35D6" w:rsidP="000A35D6">
            <w:pPr>
              <w:pStyle w:val="ListParagraph"/>
              <w:numPr>
                <w:ilvl w:val="0"/>
                <w:numId w:val="4"/>
              </w:numPr>
              <w:shd w:val="clear" w:color="auto" w:fill="FFFFFF" w:themeFill="background1"/>
              <w:rPr>
                <w:sz w:val="20"/>
              </w:rPr>
            </w:pPr>
            <w:r w:rsidRPr="00AD76AF">
              <w:rPr>
                <w:sz w:val="20"/>
              </w:rPr>
              <w:t>Relevant authorities, innovation centres, agribusiness companies in Kyrgyzstan, who have been consulted and involved during the preparation and dissemination phase of the study conducted by the FAO</w:t>
            </w:r>
          </w:p>
          <w:p w14:paraId="6F002C59" w14:textId="77777777" w:rsidR="000A35D6" w:rsidRPr="00AD76AF" w:rsidRDefault="000A35D6" w:rsidP="00B20126">
            <w:pPr>
              <w:pStyle w:val="ListParagraph"/>
              <w:numPr>
                <w:ilvl w:val="0"/>
                <w:numId w:val="4"/>
              </w:numPr>
              <w:shd w:val="clear" w:color="auto" w:fill="FFFFFF" w:themeFill="background1"/>
              <w:rPr>
                <w:sz w:val="20"/>
              </w:rPr>
            </w:pPr>
            <w:r w:rsidRPr="00AD76AF">
              <w:rPr>
                <w:sz w:val="20"/>
              </w:rPr>
              <w:t>Attendees of the COP 24 in Katowice during the FINTECC event hold in December 2018.</w:t>
            </w:r>
          </w:p>
          <w:p w14:paraId="74B23ED3" w14:textId="77777777" w:rsidR="000A35D6" w:rsidRPr="00AD76AF" w:rsidRDefault="000A35D6" w:rsidP="00B20126">
            <w:pPr>
              <w:rPr>
                <w:i/>
                <w:sz w:val="20"/>
              </w:rPr>
            </w:pPr>
          </w:p>
        </w:tc>
      </w:tr>
    </w:tbl>
    <w:p w14:paraId="13A6B646" w14:textId="77777777" w:rsidR="000A35D6" w:rsidRPr="00AD76AF" w:rsidRDefault="000A35D6" w:rsidP="004A0CEC"/>
    <w:tbl>
      <w:tblPr>
        <w:tblStyle w:val="TableGrid"/>
        <w:tblW w:w="0" w:type="auto"/>
        <w:tblLook w:val="04A0" w:firstRow="1" w:lastRow="0" w:firstColumn="1" w:lastColumn="0" w:noHBand="0" w:noVBand="1"/>
      </w:tblPr>
      <w:tblGrid>
        <w:gridCol w:w="9242"/>
      </w:tblGrid>
      <w:tr w:rsidR="00872D76" w:rsidRPr="00AD76AF" w14:paraId="4DB0F7AF" w14:textId="77777777" w:rsidTr="00701D9F">
        <w:tc>
          <w:tcPr>
            <w:tcW w:w="9242" w:type="dxa"/>
            <w:shd w:val="clear" w:color="auto" w:fill="002060"/>
          </w:tcPr>
          <w:p w14:paraId="31CAD743" w14:textId="77777777" w:rsidR="00872D76" w:rsidRPr="00AD76AF" w:rsidRDefault="00872D76" w:rsidP="004A0CEC">
            <w:pPr>
              <w:rPr>
                <w:b/>
              </w:rPr>
            </w:pPr>
            <w:r w:rsidRPr="00AD76AF">
              <w:rPr>
                <w:b/>
              </w:rPr>
              <w:t>Section 4: Information on Progress on</w:t>
            </w:r>
            <w:r w:rsidRPr="00AD76AF">
              <w:rPr>
                <w:b/>
                <w:u w:val="single"/>
              </w:rPr>
              <w:t xml:space="preserve"> gender-responsive measures </w:t>
            </w:r>
            <w:r w:rsidRPr="00AD76AF">
              <w:rPr>
                <w:b/>
              </w:rPr>
              <w:t xml:space="preserve">as </w:t>
            </w:r>
            <w:r w:rsidR="00C55349" w:rsidRPr="00AD76AF">
              <w:rPr>
                <w:b/>
              </w:rPr>
              <w:t>documented</w:t>
            </w:r>
            <w:r w:rsidRPr="00AD76AF">
              <w:rPr>
                <w:b/>
              </w:rPr>
              <w:t xml:space="preserve"> at CEO Endorsement/Approval in the gender action plan or equivalent</w:t>
            </w:r>
          </w:p>
        </w:tc>
      </w:tr>
      <w:tr w:rsidR="00601E0B" w:rsidRPr="00AD76AF" w14:paraId="1CEFD7F3" w14:textId="77777777" w:rsidTr="00872D76">
        <w:tc>
          <w:tcPr>
            <w:tcW w:w="9242" w:type="dxa"/>
          </w:tcPr>
          <w:p w14:paraId="5318D339" w14:textId="2354CC1A" w:rsidR="00601E0B" w:rsidRPr="005C3229" w:rsidRDefault="00DD5BC6" w:rsidP="00701D9F">
            <w:pPr>
              <w:rPr>
                <w:sz w:val="20"/>
              </w:rPr>
            </w:pPr>
            <w:r>
              <w:rPr>
                <w:sz w:val="20"/>
              </w:rPr>
              <w:t xml:space="preserve">A </w:t>
            </w:r>
            <w:r w:rsidR="007730D6" w:rsidRPr="00AD76AF">
              <w:rPr>
                <w:sz w:val="20"/>
              </w:rPr>
              <w:t xml:space="preserve">Gender </w:t>
            </w:r>
            <w:r>
              <w:rPr>
                <w:sz w:val="20"/>
              </w:rPr>
              <w:t xml:space="preserve">action plan was not included in the RCE. However, Gender was included in the Project document in relation to (i) gender balance within the network (ii) lessons learned on Gender inclusion (iii) encouragement of women to participate in available training </w:t>
            </w:r>
            <w:r w:rsidR="00C860E0">
              <w:rPr>
                <w:sz w:val="20"/>
              </w:rPr>
              <w:t>. As per the MTR</w:t>
            </w:r>
            <w:r>
              <w:rPr>
                <w:sz w:val="20"/>
              </w:rPr>
              <w:t xml:space="preserve">, </w:t>
            </w:r>
            <w:r w:rsidRPr="00AD76AF">
              <w:rPr>
                <w:rFonts w:cs="Arial"/>
                <w:sz w:val="20"/>
                <w:szCs w:val="20"/>
              </w:rPr>
              <w:t>Gender coverage has not been even, but this reflects the low number of women already operating in this field</w:t>
            </w:r>
            <w:r>
              <w:rPr>
                <w:rFonts w:cs="Arial"/>
                <w:sz w:val="20"/>
                <w:szCs w:val="20"/>
              </w:rPr>
              <w:t xml:space="preserve"> (see MTR for more detail)</w:t>
            </w:r>
            <w:r w:rsidRPr="00AD76AF">
              <w:rPr>
                <w:rFonts w:cs="Arial"/>
                <w:sz w:val="20"/>
                <w:szCs w:val="20"/>
              </w:rPr>
              <w:t>.</w:t>
            </w:r>
            <w:r w:rsidR="00C860E0">
              <w:rPr>
                <w:rFonts w:cs="Arial"/>
                <w:sz w:val="20"/>
                <w:szCs w:val="20"/>
              </w:rPr>
              <w:t xml:space="preserve"> </w:t>
            </w:r>
          </w:p>
          <w:p w14:paraId="7A6C045A" w14:textId="77777777" w:rsidR="00601E0B" w:rsidRPr="00AD76AF" w:rsidRDefault="00601E0B" w:rsidP="00701D9F">
            <w:pPr>
              <w:rPr>
                <w:i/>
                <w:sz w:val="20"/>
              </w:rPr>
            </w:pPr>
          </w:p>
        </w:tc>
      </w:tr>
    </w:tbl>
    <w:p w14:paraId="383C4471" w14:textId="77777777" w:rsidR="00FB4CD9" w:rsidRPr="00AD76AF" w:rsidRDefault="00FB4CD9" w:rsidP="004A0CEC"/>
    <w:tbl>
      <w:tblPr>
        <w:tblStyle w:val="TableGrid"/>
        <w:tblW w:w="0" w:type="auto"/>
        <w:tblLook w:val="04A0" w:firstRow="1" w:lastRow="0" w:firstColumn="1" w:lastColumn="0" w:noHBand="0" w:noVBand="1"/>
      </w:tblPr>
      <w:tblGrid>
        <w:gridCol w:w="9242"/>
      </w:tblGrid>
      <w:tr w:rsidR="00FB4CD9" w:rsidRPr="00AD76AF" w14:paraId="42EB205A" w14:textId="77777777" w:rsidTr="00701D9F">
        <w:tc>
          <w:tcPr>
            <w:tcW w:w="9242" w:type="dxa"/>
            <w:shd w:val="clear" w:color="auto" w:fill="002060"/>
          </w:tcPr>
          <w:p w14:paraId="7B1A819B" w14:textId="77777777" w:rsidR="00FB4CD9" w:rsidRPr="00AD76AF" w:rsidRDefault="00FB4CD9" w:rsidP="00C55349">
            <w:pPr>
              <w:rPr>
                <w:b/>
              </w:rPr>
            </w:pPr>
            <w:r w:rsidRPr="00AD76AF">
              <w:rPr>
                <w:b/>
              </w:rPr>
              <w:t xml:space="preserve">Section 5: </w:t>
            </w:r>
            <w:r w:rsidRPr="00AD76AF">
              <w:rPr>
                <w:b/>
                <w:u w:val="single"/>
              </w:rPr>
              <w:t>Knowledge activities / products</w:t>
            </w:r>
            <w:r w:rsidRPr="00AD76AF">
              <w:rPr>
                <w:b/>
              </w:rPr>
              <w:t xml:space="preserve"> (when applicable), as outlined in knowledge management approved at CEO Endorsement / Approval</w:t>
            </w:r>
          </w:p>
        </w:tc>
      </w:tr>
      <w:tr w:rsidR="00601E0B" w:rsidRPr="00AD76AF" w14:paraId="1A129B9D" w14:textId="77777777" w:rsidTr="00601E0B">
        <w:tc>
          <w:tcPr>
            <w:tcW w:w="9242" w:type="dxa"/>
            <w:shd w:val="clear" w:color="auto" w:fill="FFFFFF" w:themeFill="background1"/>
          </w:tcPr>
          <w:p w14:paraId="5144FF13" w14:textId="77777777" w:rsidR="007730D6" w:rsidRPr="00AD76AF" w:rsidRDefault="007730D6" w:rsidP="007730D6">
            <w:pPr>
              <w:rPr>
                <w:sz w:val="20"/>
              </w:rPr>
            </w:pPr>
            <w:r w:rsidRPr="00AD76AF">
              <w:rPr>
                <w:sz w:val="20"/>
              </w:rPr>
              <w:t>The report prepared by the FAO-EBRD “Monitoring The Adoption Of Climate Technologies In Kyrgyzstan’s Agrifood Sector” is the main knowledge product that has been disseminated in the reporting period.</w:t>
            </w:r>
          </w:p>
          <w:p w14:paraId="6407CB64" w14:textId="77777777" w:rsidR="00601E0B" w:rsidRPr="00AD76AF" w:rsidRDefault="00601E0B" w:rsidP="00701D9F">
            <w:pPr>
              <w:rPr>
                <w:b/>
                <w:i/>
                <w:sz w:val="20"/>
              </w:rPr>
            </w:pPr>
          </w:p>
        </w:tc>
      </w:tr>
    </w:tbl>
    <w:p w14:paraId="56E8992B" w14:textId="77777777" w:rsidR="00FB4CD9" w:rsidRPr="00AD76AF" w:rsidRDefault="00FB4CD9" w:rsidP="004A0CEC"/>
    <w:tbl>
      <w:tblPr>
        <w:tblStyle w:val="TableGrid"/>
        <w:tblW w:w="0" w:type="auto"/>
        <w:tblLook w:val="04A0" w:firstRow="1" w:lastRow="0" w:firstColumn="1" w:lastColumn="0" w:noHBand="0" w:noVBand="1"/>
      </w:tblPr>
      <w:tblGrid>
        <w:gridCol w:w="9242"/>
      </w:tblGrid>
      <w:tr w:rsidR="00FB4CD9" w:rsidRPr="00AD76AF" w14:paraId="6F27AEE0" w14:textId="77777777" w:rsidTr="00701D9F">
        <w:tc>
          <w:tcPr>
            <w:tcW w:w="9242" w:type="dxa"/>
            <w:shd w:val="clear" w:color="auto" w:fill="002060"/>
          </w:tcPr>
          <w:p w14:paraId="3448FD3C" w14:textId="77777777" w:rsidR="00FB4CD9" w:rsidRPr="00AD76AF" w:rsidRDefault="00FB4CD9" w:rsidP="00FB4CD9">
            <w:pPr>
              <w:rPr>
                <w:b/>
              </w:rPr>
            </w:pPr>
            <w:r w:rsidRPr="00AD76AF">
              <w:rPr>
                <w:b/>
              </w:rPr>
              <w:t>Section 6: Information on Environmental and Social Safeguards</w:t>
            </w:r>
          </w:p>
        </w:tc>
      </w:tr>
      <w:tr w:rsidR="00601E0B" w:rsidRPr="00AD76AF" w14:paraId="450B5F5C" w14:textId="77777777" w:rsidTr="00601E0B">
        <w:tc>
          <w:tcPr>
            <w:tcW w:w="9242" w:type="dxa"/>
            <w:shd w:val="clear" w:color="auto" w:fill="FFFFFF" w:themeFill="background1"/>
          </w:tcPr>
          <w:p w14:paraId="46B01BD8" w14:textId="30A3C1F9" w:rsidR="00601E0B" w:rsidRPr="00AD76AF" w:rsidRDefault="007730D6" w:rsidP="00701D9F">
            <w:pPr>
              <w:rPr>
                <w:b/>
                <w:sz w:val="20"/>
              </w:rPr>
            </w:pPr>
            <w:r w:rsidRPr="00AD76AF">
              <w:rPr>
                <w:sz w:val="20"/>
              </w:rPr>
              <w:t>The measures undertaken are at project level and are part of the Environmental and Social due diligence conducted by the Environmental and Social department of the EBRD in the context of every investment</w:t>
            </w:r>
            <w:r w:rsidR="00AD76AF" w:rsidRPr="00AD76AF">
              <w:rPr>
                <w:b/>
                <w:sz w:val="20"/>
              </w:rPr>
              <w:t>.</w:t>
            </w:r>
          </w:p>
          <w:p w14:paraId="57893036" w14:textId="77777777" w:rsidR="00601E0B" w:rsidRPr="00AD76AF" w:rsidRDefault="00601E0B" w:rsidP="00701D9F">
            <w:pPr>
              <w:rPr>
                <w:b/>
                <w:i/>
                <w:sz w:val="20"/>
              </w:rPr>
            </w:pPr>
          </w:p>
        </w:tc>
      </w:tr>
    </w:tbl>
    <w:p w14:paraId="60561ACC" w14:textId="77777777" w:rsidR="0077140D" w:rsidRPr="00AD76AF" w:rsidRDefault="0077140D" w:rsidP="00FB4CD9"/>
    <w:tbl>
      <w:tblPr>
        <w:tblStyle w:val="TableGrid"/>
        <w:tblW w:w="0" w:type="auto"/>
        <w:tblLook w:val="04A0" w:firstRow="1" w:lastRow="0" w:firstColumn="1" w:lastColumn="0" w:noHBand="0" w:noVBand="1"/>
      </w:tblPr>
      <w:tblGrid>
        <w:gridCol w:w="9242"/>
      </w:tblGrid>
      <w:tr w:rsidR="00DC08D3" w:rsidRPr="00AD76AF" w14:paraId="069FC536" w14:textId="77777777" w:rsidTr="00027F8E">
        <w:tc>
          <w:tcPr>
            <w:tcW w:w="9242" w:type="dxa"/>
            <w:shd w:val="clear" w:color="auto" w:fill="002060"/>
          </w:tcPr>
          <w:p w14:paraId="624EDDCC" w14:textId="77777777" w:rsidR="00DC08D3" w:rsidRPr="00AD76AF" w:rsidRDefault="00027F8E" w:rsidP="002827FE">
            <w:pPr>
              <w:rPr>
                <w:b/>
                <w:i/>
              </w:rPr>
            </w:pPr>
            <w:r w:rsidRPr="00AD76AF">
              <w:rPr>
                <w:b/>
                <w:i/>
                <w:color w:val="FFFFFF" w:themeColor="background1"/>
              </w:rPr>
              <w:t xml:space="preserve">Section </w:t>
            </w:r>
            <w:r w:rsidR="00F94364" w:rsidRPr="00AD76AF">
              <w:rPr>
                <w:b/>
                <w:i/>
                <w:color w:val="FFFFFF" w:themeColor="background1"/>
              </w:rPr>
              <w:t>7</w:t>
            </w:r>
            <w:r w:rsidRPr="00AD76AF">
              <w:rPr>
                <w:b/>
                <w:i/>
                <w:color w:val="FFFFFF" w:themeColor="background1"/>
              </w:rPr>
              <w:t xml:space="preserve">: </w:t>
            </w:r>
            <w:r w:rsidR="00DC08D3" w:rsidRPr="00AD76AF">
              <w:rPr>
                <w:b/>
                <w:i/>
                <w:color w:val="FFFFFF" w:themeColor="background1"/>
              </w:rPr>
              <w:t>Suggested corre</w:t>
            </w:r>
            <w:r w:rsidR="002827FE" w:rsidRPr="00AD76AF">
              <w:rPr>
                <w:b/>
                <w:i/>
                <w:color w:val="FFFFFF" w:themeColor="background1"/>
              </w:rPr>
              <w:t xml:space="preserve">ctive actions </w:t>
            </w:r>
          </w:p>
        </w:tc>
      </w:tr>
      <w:tr w:rsidR="00DC08D3" w:rsidRPr="00AD76AF" w14:paraId="59C073D0" w14:textId="77777777" w:rsidTr="005666C9">
        <w:tc>
          <w:tcPr>
            <w:tcW w:w="9242" w:type="dxa"/>
            <w:shd w:val="clear" w:color="auto" w:fill="FFFFFF" w:themeFill="background1"/>
          </w:tcPr>
          <w:p w14:paraId="3A5D63E3" w14:textId="77777777" w:rsidR="00DC08D3" w:rsidRPr="00AD76AF" w:rsidRDefault="00DC08D3" w:rsidP="005666C9">
            <w:pPr>
              <w:rPr>
                <w:i/>
                <w:sz w:val="20"/>
              </w:rPr>
            </w:pPr>
          </w:p>
          <w:p w14:paraId="10A2985A" w14:textId="661CCA1D" w:rsidR="00887BB1" w:rsidRPr="00AD76AF" w:rsidRDefault="00887BB1" w:rsidP="000A40A8">
            <w:pPr>
              <w:pStyle w:val="ColorfulShading-Accent31"/>
              <w:ind w:left="0"/>
              <w:rPr>
                <w:rFonts w:asciiTheme="minorHAnsi" w:hAnsiTheme="minorHAnsi" w:cs="Arial"/>
                <w:sz w:val="20"/>
                <w:szCs w:val="20"/>
              </w:rPr>
            </w:pPr>
            <w:r w:rsidRPr="00AD76AF">
              <w:rPr>
                <w:rFonts w:asciiTheme="minorHAnsi" w:hAnsiTheme="minorHAnsi" w:cs="Arial"/>
                <w:b/>
                <w:sz w:val="20"/>
                <w:szCs w:val="20"/>
                <w:lang w:val="en-GB"/>
              </w:rPr>
              <w:t xml:space="preserve">7.1 </w:t>
            </w:r>
            <w:r w:rsidR="00684E72" w:rsidRPr="00AD76AF">
              <w:rPr>
                <w:rFonts w:asciiTheme="minorHAnsi" w:hAnsiTheme="minorHAnsi" w:cs="Arial"/>
                <w:b/>
                <w:sz w:val="20"/>
                <w:szCs w:val="20"/>
                <w:lang w:val="en-GB"/>
              </w:rPr>
              <w:t xml:space="preserve">Changes to Project Timeline: </w:t>
            </w:r>
            <w:r w:rsidR="00C807B3">
              <w:rPr>
                <w:rFonts w:asciiTheme="minorHAnsi" w:hAnsiTheme="minorHAnsi" w:cs="Arial"/>
                <w:sz w:val="20"/>
                <w:szCs w:val="20"/>
              </w:rPr>
              <w:t>Project</w:t>
            </w:r>
            <w:r w:rsidR="004C5265" w:rsidRPr="00AD76AF">
              <w:rPr>
                <w:rFonts w:asciiTheme="minorHAnsi" w:hAnsiTheme="minorHAnsi" w:cs="Arial"/>
                <w:sz w:val="20"/>
                <w:szCs w:val="20"/>
              </w:rPr>
              <w:t xml:space="preserve"> implementation during the reporting period has led to conclusion that the e</w:t>
            </w:r>
            <w:r w:rsidR="003B1727" w:rsidRPr="00AD76AF">
              <w:rPr>
                <w:rFonts w:asciiTheme="minorHAnsi" w:hAnsiTheme="minorHAnsi" w:cs="Arial"/>
                <w:sz w:val="20"/>
                <w:szCs w:val="20"/>
              </w:rPr>
              <w:t>xten</w:t>
            </w:r>
            <w:r w:rsidR="004C5265" w:rsidRPr="00AD76AF">
              <w:rPr>
                <w:rFonts w:asciiTheme="minorHAnsi" w:hAnsiTheme="minorHAnsi" w:cs="Arial"/>
                <w:sz w:val="20"/>
                <w:szCs w:val="20"/>
              </w:rPr>
              <w:t xml:space="preserve">sion of its duration to </w:t>
            </w:r>
            <w:r w:rsidR="003B1727" w:rsidRPr="00AD76AF">
              <w:rPr>
                <w:rFonts w:asciiTheme="minorHAnsi" w:hAnsiTheme="minorHAnsi" w:cs="Arial"/>
                <w:sz w:val="20"/>
                <w:szCs w:val="20"/>
              </w:rPr>
              <w:t>June 2020</w:t>
            </w:r>
            <w:r w:rsidR="004C5265" w:rsidRPr="00AD76AF">
              <w:rPr>
                <w:rFonts w:asciiTheme="minorHAnsi" w:hAnsiTheme="minorHAnsi" w:cs="Arial"/>
                <w:sz w:val="20"/>
                <w:szCs w:val="20"/>
              </w:rPr>
              <w:t xml:space="preserve">, as reported in PIR 2018, would not be sufficient to complete the investment component. Thus, the </w:t>
            </w:r>
            <w:r w:rsidR="00726D38" w:rsidRPr="00AD76AF">
              <w:rPr>
                <w:rFonts w:asciiTheme="minorHAnsi" w:hAnsiTheme="minorHAnsi" w:cs="Arial"/>
                <w:sz w:val="20"/>
                <w:szCs w:val="20"/>
              </w:rPr>
              <w:t xml:space="preserve">implementation end date has been moved to </w:t>
            </w:r>
            <w:r w:rsidR="00D779A9" w:rsidRPr="00AD76AF">
              <w:rPr>
                <w:rFonts w:asciiTheme="minorHAnsi" w:hAnsiTheme="minorHAnsi" w:cs="Arial"/>
                <w:sz w:val="20"/>
                <w:szCs w:val="20"/>
              </w:rPr>
              <w:t>12</w:t>
            </w:r>
            <w:r w:rsidR="00726D38" w:rsidRPr="00AD76AF">
              <w:rPr>
                <w:rFonts w:asciiTheme="minorHAnsi" w:hAnsiTheme="minorHAnsi" w:cs="Arial"/>
                <w:sz w:val="20"/>
                <w:szCs w:val="20"/>
              </w:rPr>
              <w:t>/3</w:t>
            </w:r>
            <w:r w:rsidR="00D779A9" w:rsidRPr="00AD76AF">
              <w:rPr>
                <w:rFonts w:asciiTheme="minorHAnsi" w:hAnsiTheme="minorHAnsi" w:cs="Arial"/>
                <w:sz w:val="20"/>
                <w:szCs w:val="20"/>
              </w:rPr>
              <w:t>1</w:t>
            </w:r>
            <w:r w:rsidR="00726D38" w:rsidRPr="00AD76AF">
              <w:rPr>
                <w:rFonts w:asciiTheme="minorHAnsi" w:hAnsiTheme="minorHAnsi" w:cs="Arial"/>
                <w:sz w:val="20"/>
                <w:szCs w:val="20"/>
              </w:rPr>
              <w:t>/</w:t>
            </w:r>
            <w:r w:rsidR="007C62BF">
              <w:rPr>
                <w:rFonts w:asciiTheme="minorHAnsi" w:hAnsiTheme="minorHAnsi" w:cs="Arial"/>
                <w:sz w:val="20"/>
                <w:szCs w:val="20"/>
              </w:rPr>
              <w:t>2021</w:t>
            </w:r>
            <w:r w:rsidR="00726D38" w:rsidRPr="00AD76AF">
              <w:rPr>
                <w:rFonts w:asciiTheme="minorHAnsi" w:hAnsiTheme="minorHAnsi" w:cs="Arial"/>
                <w:sz w:val="20"/>
                <w:szCs w:val="20"/>
              </w:rPr>
              <w:t xml:space="preserve"> to </w:t>
            </w:r>
            <w:r w:rsidR="003B1727" w:rsidRPr="00AD76AF">
              <w:rPr>
                <w:rFonts w:asciiTheme="minorHAnsi" w:hAnsiTheme="minorHAnsi" w:cs="Arial"/>
                <w:sz w:val="20"/>
                <w:szCs w:val="20"/>
              </w:rPr>
              <w:t xml:space="preserve">enable full delivery of the investment component and maximization of mitigation and adaptation benefits generated by the sub-projects supported under the </w:t>
            </w:r>
            <w:r w:rsidR="00C807B3">
              <w:rPr>
                <w:rFonts w:asciiTheme="minorHAnsi" w:hAnsiTheme="minorHAnsi" w:cs="Arial"/>
                <w:sz w:val="20"/>
                <w:szCs w:val="20"/>
              </w:rPr>
              <w:t>Project</w:t>
            </w:r>
            <w:r w:rsidR="00726D38" w:rsidRPr="00AD76AF">
              <w:rPr>
                <w:rFonts w:asciiTheme="minorHAnsi" w:hAnsiTheme="minorHAnsi" w:cs="Arial"/>
                <w:sz w:val="20"/>
                <w:szCs w:val="20"/>
              </w:rPr>
              <w:t>.</w:t>
            </w:r>
          </w:p>
          <w:p w14:paraId="48BB5D28" w14:textId="77777777" w:rsidR="00887BB1" w:rsidRPr="00AD76AF" w:rsidRDefault="00887BB1" w:rsidP="00887BB1">
            <w:pPr>
              <w:pStyle w:val="ColorfulShading-Accent31"/>
              <w:ind w:left="0"/>
              <w:rPr>
                <w:rFonts w:asciiTheme="minorHAnsi" w:hAnsiTheme="minorHAnsi" w:cs="Arial"/>
                <w:b/>
                <w:sz w:val="20"/>
                <w:szCs w:val="20"/>
                <w:lang w:val="en-GB"/>
              </w:rPr>
            </w:pPr>
          </w:p>
          <w:p w14:paraId="32AA96A7" w14:textId="1516FB8A" w:rsidR="00887BB1" w:rsidRPr="00AD76AF" w:rsidRDefault="00887BB1" w:rsidP="000A40A8">
            <w:pPr>
              <w:pStyle w:val="ColorfulShading-Accent31"/>
              <w:ind w:left="0"/>
              <w:rPr>
                <w:rFonts w:cs="Arial"/>
                <w:sz w:val="20"/>
                <w:szCs w:val="20"/>
              </w:rPr>
            </w:pPr>
            <w:r w:rsidRPr="00AD76AF">
              <w:rPr>
                <w:rFonts w:asciiTheme="minorHAnsi" w:hAnsiTheme="minorHAnsi" w:cs="Arial"/>
                <w:b/>
                <w:sz w:val="20"/>
                <w:szCs w:val="20"/>
                <w:lang w:val="en-GB"/>
              </w:rPr>
              <w:t>7.2 Changes to Project Design</w:t>
            </w:r>
            <w:r w:rsidR="00684E72" w:rsidRPr="00AD76AF">
              <w:rPr>
                <w:rFonts w:asciiTheme="minorHAnsi" w:hAnsiTheme="minorHAnsi" w:cs="Arial"/>
                <w:b/>
                <w:sz w:val="20"/>
                <w:szCs w:val="20"/>
                <w:lang w:val="en-GB"/>
              </w:rPr>
              <w:t xml:space="preserve">: </w:t>
            </w:r>
            <w:r w:rsidR="00052D6D" w:rsidRPr="00AD76AF">
              <w:rPr>
                <w:rFonts w:asciiTheme="minorHAnsi" w:hAnsiTheme="minorHAnsi" w:cs="Arial"/>
                <w:sz w:val="20"/>
                <w:szCs w:val="20"/>
              </w:rPr>
              <w:t xml:space="preserve">None </w:t>
            </w:r>
          </w:p>
          <w:p w14:paraId="1035E3F2" w14:textId="77777777" w:rsidR="00052D6D" w:rsidRPr="00AD76AF" w:rsidRDefault="00052D6D" w:rsidP="005666C9">
            <w:pPr>
              <w:rPr>
                <w:i/>
                <w:sz w:val="20"/>
                <w:szCs w:val="20"/>
              </w:rPr>
            </w:pPr>
          </w:p>
          <w:p w14:paraId="3A8B4A7E" w14:textId="32918E90" w:rsidR="00887BB1" w:rsidRPr="00AD76AF" w:rsidRDefault="00887BB1" w:rsidP="000A40A8">
            <w:pPr>
              <w:rPr>
                <w:rFonts w:cs="Arial"/>
                <w:sz w:val="20"/>
                <w:szCs w:val="20"/>
              </w:rPr>
            </w:pPr>
            <w:r w:rsidRPr="00AD76AF">
              <w:rPr>
                <w:rFonts w:cs="Arial"/>
                <w:b/>
                <w:sz w:val="20"/>
                <w:szCs w:val="20"/>
              </w:rPr>
              <w:t>7.3 Financial Changes</w:t>
            </w:r>
            <w:r w:rsidR="00684E72" w:rsidRPr="00AD76AF">
              <w:rPr>
                <w:rFonts w:cs="Arial"/>
                <w:b/>
                <w:sz w:val="20"/>
                <w:szCs w:val="20"/>
              </w:rPr>
              <w:t xml:space="preserve">: </w:t>
            </w:r>
            <w:r w:rsidR="00726D38" w:rsidRPr="00AD76AF">
              <w:rPr>
                <w:rFonts w:cs="Arial"/>
                <w:sz w:val="20"/>
                <w:szCs w:val="20"/>
              </w:rPr>
              <w:t>None</w:t>
            </w:r>
          </w:p>
          <w:p w14:paraId="0CB59DD7" w14:textId="77777777" w:rsidR="00DC08D3" w:rsidRPr="00AD76AF" w:rsidRDefault="00DC08D3" w:rsidP="005666C9">
            <w:pPr>
              <w:rPr>
                <w:i/>
                <w:sz w:val="20"/>
              </w:rPr>
            </w:pPr>
          </w:p>
          <w:p w14:paraId="2E750152" w14:textId="77777777" w:rsidR="00DC08D3" w:rsidRPr="00AD76AF" w:rsidRDefault="00DC08D3" w:rsidP="005666C9">
            <w:pPr>
              <w:rPr>
                <w:b/>
                <w:i/>
                <w:sz w:val="20"/>
              </w:rPr>
            </w:pPr>
          </w:p>
        </w:tc>
      </w:tr>
    </w:tbl>
    <w:p w14:paraId="4727E846" w14:textId="77777777" w:rsidR="00DC08D3" w:rsidRPr="00AD76AF" w:rsidRDefault="00DC08D3" w:rsidP="00FB4CD9"/>
    <w:p w14:paraId="696E3D0A" w14:textId="77777777" w:rsidR="005666C9" w:rsidRPr="00AD76AF" w:rsidRDefault="005666C9" w:rsidP="005666C9">
      <w:pPr>
        <w:pStyle w:val="Heading1"/>
        <w:pageBreakBefore/>
        <w:spacing w:before="0"/>
        <w:rPr>
          <w:rFonts w:asciiTheme="minorHAnsi" w:hAnsiTheme="minorHAnsi" w:cs="Arial"/>
        </w:rPr>
      </w:pPr>
      <w:r w:rsidRPr="00AD76AF">
        <w:rPr>
          <w:rFonts w:asciiTheme="minorHAnsi" w:hAnsiTheme="minorHAnsi" w:cs="Arial"/>
        </w:rPr>
        <w:lastRenderedPageBreak/>
        <w:t>Annex 1. GEF Terminology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1"/>
        <w:gridCol w:w="6501"/>
      </w:tblGrid>
      <w:tr w:rsidR="005666C9" w:rsidRPr="00AD76AF" w14:paraId="1473E7C4" w14:textId="77777777" w:rsidTr="005666C9">
        <w:trPr>
          <w:trHeight w:val="293"/>
        </w:trPr>
        <w:tc>
          <w:tcPr>
            <w:tcW w:w="2541" w:type="dxa"/>
            <w:shd w:val="clear" w:color="auto" w:fill="auto"/>
            <w:noWrap/>
            <w:vAlign w:val="center"/>
          </w:tcPr>
          <w:p w14:paraId="4528950E" w14:textId="77777777" w:rsidR="005666C9" w:rsidRPr="00AD76AF" w:rsidRDefault="005666C9" w:rsidP="00E926EC">
            <w:pPr>
              <w:spacing w:after="0"/>
              <w:rPr>
                <w:rFonts w:eastAsia="Times New Roman" w:cs="Arial"/>
                <w:color w:val="000000"/>
                <w:sz w:val="20"/>
                <w:szCs w:val="20"/>
                <w:lang w:eastAsia="en-GB"/>
              </w:rPr>
            </w:pPr>
            <w:r w:rsidRPr="00AD76AF">
              <w:rPr>
                <w:rFonts w:eastAsia="Times New Roman" w:cs="Arial"/>
                <w:color w:val="000000"/>
                <w:sz w:val="20"/>
                <w:szCs w:val="20"/>
                <w:lang w:eastAsia="en-GB"/>
              </w:rPr>
              <w:t xml:space="preserve">Implementation Start </w:t>
            </w:r>
          </w:p>
        </w:tc>
        <w:tc>
          <w:tcPr>
            <w:tcW w:w="6501" w:type="dxa"/>
            <w:shd w:val="clear" w:color="auto" w:fill="auto"/>
            <w:noWrap/>
            <w:vAlign w:val="center"/>
          </w:tcPr>
          <w:p w14:paraId="40EB0D8E" w14:textId="77777777" w:rsidR="005666C9" w:rsidRPr="00AD76AF" w:rsidRDefault="005666C9" w:rsidP="00E926EC">
            <w:pPr>
              <w:spacing w:after="0"/>
              <w:rPr>
                <w:rFonts w:eastAsia="Times New Roman" w:cs="Arial"/>
                <w:color w:val="000000"/>
                <w:sz w:val="20"/>
                <w:szCs w:val="20"/>
                <w:lang w:eastAsia="en-GB"/>
              </w:rPr>
            </w:pPr>
            <w:r w:rsidRPr="00AD76AF">
              <w:rPr>
                <w:rFonts w:eastAsia="Times New Roman" w:cs="Arial"/>
                <w:color w:val="000000"/>
                <w:sz w:val="20"/>
                <w:szCs w:val="20"/>
                <w:lang w:eastAsia="en-GB"/>
              </w:rPr>
              <w:t>Date project starts implementation (effectiveness date)</w:t>
            </w:r>
          </w:p>
        </w:tc>
      </w:tr>
      <w:tr w:rsidR="005666C9" w:rsidRPr="00AD76AF" w14:paraId="2DFC6BD3" w14:textId="77777777" w:rsidTr="005666C9">
        <w:trPr>
          <w:trHeight w:val="293"/>
        </w:trPr>
        <w:tc>
          <w:tcPr>
            <w:tcW w:w="2541" w:type="dxa"/>
            <w:shd w:val="clear" w:color="auto" w:fill="auto"/>
            <w:noWrap/>
            <w:vAlign w:val="center"/>
          </w:tcPr>
          <w:p w14:paraId="3D8F0240" w14:textId="77777777" w:rsidR="005666C9" w:rsidRPr="00AD76AF" w:rsidRDefault="005666C9" w:rsidP="00E926EC">
            <w:pPr>
              <w:spacing w:after="0"/>
              <w:rPr>
                <w:rFonts w:eastAsia="Times New Roman" w:cs="Arial"/>
                <w:color w:val="000000"/>
                <w:sz w:val="20"/>
                <w:szCs w:val="20"/>
                <w:lang w:eastAsia="en-GB"/>
              </w:rPr>
            </w:pPr>
            <w:r w:rsidRPr="00AD76AF">
              <w:rPr>
                <w:rFonts w:eastAsia="Times New Roman" w:cs="Arial"/>
                <w:color w:val="000000"/>
                <w:sz w:val="20"/>
                <w:szCs w:val="20"/>
                <w:lang w:eastAsia="en-GB"/>
              </w:rPr>
              <w:t>Proposed Implementation End</w:t>
            </w:r>
          </w:p>
        </w:tc>
        <w:tc>
          <w:tcPr>
            <w:tcW w:w="6501" w:type="dxa"/>
            <w:shd w:val="clear" w:color="auto" w:fill="auto"/>
            <w:noWrap/>
            <w:vAlign w:val="center"/>
          </w:tcPr>
          <w:p w14:paraId="325625FF" w14:textId="77777777" w:rsidR="005666C9" w:rsidRPr="00AD76AF" w:rsidRDefault="005666C9" w:rsidP="00E926EC">
            <w:pPr>
              <w:spacing w:after="0"/>
              <w:rPr>
                <w:rFonts w:eastAsia="Times New Roman" w:cs="Arial"/>
                <w:color w:val="000000"/>
                <w:sz w:val="20"/>
                <w:szCs w:val="20"/>
                <w:lang w:eastAsia="en-GB"/>
              </w:rPr>
            </w:pPr>
            <w:r w:rsidRPr="00AD76AF">
              <w:rPr>
                <w:rFonts w:eastAsia="Times New Roman" w:cs="Arial"/>
                <w:color w:val="000000"/>
                <w:sz w:val="20"/>
                <w:szCs w:val="20"/>
                <w:lang w:eastAsia="en-GB"/>
              </w:rPr>
              <w:t>Proposed date for end of implementation planned at CEO endorsement</w:t>
            </w:r>
          </w:p>
        </w:tc>
      </w:tr>
      <w:tr w:rsidR="005666C9" w:rsidRPr="00AD76AF" w14:paraId="37AA8862" w14:textId="77777777" w:rsidTr="005666C9">
        <w:trPr>
          <w:trHeight w:val="293"/>
        </w:trPr>
        <w:tc>
          <w:tcPr>
            <w:tcW w:w="2541" w:type="dxa"/>
            <w:shd w:val="clear" w:color="auto" w:fill="auto"/>
            <w:noWrap/>
            <w:vAlign w:val="center"/>
          </w:tcPr>
          <w:p w14:paraId="47C13C5E" w14:textId="77777777" w:rsidR="005666C9" w:rsidRPr="00AD76AF" w:rsidRDefault="005666C9" w:rsidP="00E926EC">
            <w:pPr>
              <w:spacing w:after="0"/>
              <w:rPr>
                <w:rFonts w:eastAsia="Times New Roman" w:cs="Arial"/>
                <w:color w:val="000000"/>
                <w:sz w:val="20"/>
                <w:szCs w:val="20"/>
                <w:lang w:eastAsia="en-GB"/>
              </w:rPr>
            </w:pPr>
            <w:r w:rsidRPr="00AD76AF">
              <w:rPr>
                <w:rFonts w:eastAsia="Times New Roman" w:cs="Arial"/>
                <w:color w:val="000000"/>
                <w:sz w:val="20"/>
                <w:szCs w:val="20"/>
                <w:lang w:eastAsia="en-GB"/>
              </w:rPr>
              <w:t>Revised Implementation End</w:t>
            </w:r>
          </w:p>
        </w:tc>
        <w:tc>
          <w:tcPr>
            <w:tcW w:w="6501" w:type="dxa"/>
            <w:shd w:val="clear" w:color="auto" w:fill="auto"/>
            <w:noWrap/>
            <w:vAlign w:val="center"/>
          </w:tcPr>
          <w:p w14:paraId="5B35BD43" w14:textId="77777777" w:rsidR="005666C9" w:rsidRPr="00AD76AF" w:rsidRDefault="005666C9" w:rsidP="00E926EC">
            <w:pPr>
              <w:spacing w:after="0"/>
              <w:rPr>
                <w:rFonts w:eastAsia="Times New Roman" w:cs="Arial"/>
                <w:color w:val="000000"/>
                <w:sz w:val="20"/>
                <w:szCs w:val="20"/>
                <w:lang w:eastAsia="en-GB"/>
              </w:rPr>
            </w:pPr>
            <w:r w:rsidRPr="00AD76AF">
              <w:rPr>
                <w:rFonts w:eastAsia="Times New Roman" w:cs="Arial"/>
                <w:color w:val="000000"/>
                <w:sz w:val="20"/>
                <w:szCs w:val="20"/>
                <w:lang w:eastAsia="en-GB"/>
              </w:rPr>
              <w:t>Revised date for end of implementation (if applicable)</w:t>
            </w:r>
          </w:p>
        </w:tc>
      </w:tr>
      <w:tr w:rsidR="005666C9" w:rsidRPr="00AD76AF" w14:paraId="5CA3E085" w14:textId="77777777" w:rsidTr="005666C9">
        <w:trPr>
          <w:trHeight w:val="293"/>
        </w:trPr>
        <w:tc>
          <w:tcPr>
            <w:tcW w:w="2541" w:type="dxa"/>
            <w:shd w:val="clear" w:color="auto" w:fill="auto"/>
            <w:noWrap/>
            <w:vAlign w:val="center"/>
          </w:tcPr>
          <w:p w14:paraId="243EF7A9" w14:textId="77777777" w:rsidR="005666C9" w:rsidRPr="00AD76AF" w:rsidRDefault="005666C9" w:rsidP="00E926EC">
            <w:pPr>
              <w:spacing w:after="0"/>
              <w:rPr>
                <w:rFonts w:eastAsia="Times New Roman" w:cs="Arial"/>
                <w:color w:val="000000"/>
                <w:sz w:val="20"/>
                <w:szCs w:val="20"/>
                <w:lang w:eastAsia="en-GB"/>
              </w:rPr>
            </w:pPr>
            <w:r w:rsidRPr="00AD76AF">
              <w:rPr>
                <w:rFonts w:eastAsia="Times New Roman" w:cs="Arial"/>
                <w:color w:val="000000"/>
                <w:sz w:val="20"/>
                <w:szCs w:val="20"/>
                <w:lang w:eastAsia="en-GB"/>
              </w:rPr>
              <w:t>Actual Implementation End</w:t>
            </w:r>
          </w:p>
        </w:tc>
        <w:tc>
          <w:tcPr>
            <w:tcW w:w="6501" w:type="dxa"/>
            <w:shd w:val="clear" w:color="auto" w:fill="auto"/>
            <w:noWrap/>
            <w:vAlign w:val="center"/>
          </w:tcPr>
          <w:p w14:paraId="1EAFE2FE" w14:textId="77777777" w:rsidR="005666C9" w:rsidRPr="00AD76AF" w:rsidRDefault="005666C9" w:rsidP="00E926EC">
            <w:pPr>
              <w:spacing w:after="0"/>
              <w:rPr>
                <w:rFonts w:eastAsia="Times New Roman" w:cs="Arial"/>
                <w:color w:val="000000"/>
                <w:sz w:val="20"/>
                <w:szCs w:val="20"/>
                <w:lang w:eastAsia="en-GB"/>
              </w:rPr>
            </w:pPr>
            <w:r w:rsidRPr="00AD76AF">
              <w:rPr>
                <w:rFonts w:eastAsia="Times New Roman" w:cs="Arial"/>
                <w:color w:val="000000"/>
                <w:sz w:val="20"/>
                <w:szCs w:val="20"/>
                <w:lang w:eastAsia="en-GB"/>
              </w:rPr>
              <w:t>Actual date at which project implementation ends</w:t>
            </w:r>
          </w:p>
        </w:tc>
      </w:tr>
      <w:tr w:rsidR="005666C9" w:rsidRPr="00AD76AF" w14:paraId="69E627DA" w14:textId="77777777" w:rsidTr="005666C9">
        <w:trPr>
          <w:trHeight w:val="293"/>
        </w:trPr>
        <w:tc>
          <w:tcPr>
            <w:tcW w:w="2541" w:type="dxa"/>
            <w:shd w:val="clear" w:color="auto" w:fill="auto"/>
            <w:noWrap/>
            <w:vAlign w:val="center"/>
          </w:tcPr>
          <w:p w14:paraId="15E93BA4" w14:textId="77777777" w:rsidR="005666C9" w:rsidRPr="00AD76AF" w:rsidRDefault="005666C9" w:rsidP="00E926EC">
            <w:pPr>
              <w:spacing w:after="0"/>
              <w:rPr>
                <w:rFonts w:eastAsia="Times New Roman" w:cs="Arial"/>
                <w:color w:val="000000"/>
                <w:sz w:val="20"/>
                <w:szCs w:val="20"/>
                <w:lang w:eastAsia="en-GB"/>
              </w:rPr>
            </w:pPr>
            <w:r w:rsidRPr="00AD76AF">
              <w:rPr>
                <w:rFonts w:eastAsia="Times New Roman" w:cs="Arial"/>
                <w:color w:val="000000"/>
                <w:sz w:val="20"/>
                <w:szCs w:val="20"/>
                <w:lang w:eastAsia="en-GB"/>
              </w:rPr>
              <w:t>Disbursement of GEF Grant Amount to date</w:t>
            </w:r>
          </w:p>
        </w:tc>
        <w:tc>
          <w:tcPr>
            <w:tcW w:w="6501" w:type="dxa"/>
            <w:shd w:val="clear" w:color="auto" w:fill="auto"/>
            <w:noWrap/>
            <w:vAlign w:val="center"/>
          </w:tcPr>
          <w:p w14:paraId="2FA1B694" w14:textId="77777777" w:rsidR="005666C9" w:rsidRPr="00AD76AF" w:rsidRDefault="005666C9" w:rsidP="00E926EC">
            <w:pPr>
              <w:spacing w:after="0"/>
              <w:rPr>
                <w:rFonts w:eastAsia="Times New Roman" w:cs="Arial"/>
                <w:color w:val="000000"/>
                <w:sz w:val="20"/>
                <w:szCs w:val="20"/>
                <w:lang w:eastAsia="en-GB"/>
              </w:rPr>
            </w:pPr>
            <w:r w:rsidRPr="00AD76AF">
              <w:rPr>
                <w:rFonts w:eastAsia="Times New Roman" w:cs="Arial"/>
                <w:color w:val="000000"/>
                <w:sz w:val="20"/>
                <w:szCs w:val="20"/>
                <w:lang w:eastAsia="en-GB"/>
              </w:rPr>
              <w:t>Amount of GEF Grant amount disbursed at the end of reporting period</w:t>
            </w:r>
          </w:p>
        </w:tc>
      </w:tr>
      <w:tr w:rsidR="005666C9" w:rsidRPr="00AD76AF" w14:paraId="5ABF75B6" w14:textId="77777777" w:rsidTr="005666C9">
        <w:trPr>
          <w:trHeight w:val="293"/>
        </w:trPr>
        <w:tc>
          <w:tcPr>
            <w:tcW w:w="2541" w:type="dxa"/>
            <w:shd w:val="clear" w:color="auto" w:fill="auto"/>
            <w:noWrap/>
            <w:vAlign w:val="center"/>
          </w:tcPr>
          <w:p w14:paraId="3D93B91A" w14:textId="77777777" w:rsidR="005666C9" w:rsidRPr="00AD76AF" w:rsidRDefault="005666C9" w:rsidP="00E926EC">
            <w:pPr>
              <w:spacing w:after="0"/>
              <w:rPr>
                <w:rFonts w:eastAsia="Times New Roman" w:cs="Arial"/>
                <w:color w:val="000000"/>
                <w:sz w:val="20"/>
                <w:szCs w:val="20"/>
                <w:lang w:eastAsia="en-GB"/>
              </w:rPr>
            </w:pPr>
            <w:r w:rsidRPr="00AD76AF">
              <w:rPr>
                <w:rFonts w:eastAsia="Times New Roman" w:cs="Arial"/>
                <w:color w:val="000000"/>
                <w:sz w:val="20"/>
                <w:szCs w:val="20"/>
                <w:lang w:eastAsia="en-GB"/>
              </w:rPr>
              <w:t xml:space="preserve">Confirmed co-financing at CEO Endorsement </w:t>
            </w:r>
          </w:p>
        </w:tc>
        <w:tc>
          <w:tcPr>
            <w:tcW w:w="6501" w:type="dxa"/>
            <w:shd w:val="clear" w:color="auto" w:fill="auto"/>
            <w:noWrap/>
            <w:vAlign w:val="center"/>
          </w:tcPr>
          <w:p w14:paraId="6730EB4A" w14:textId="77777777" w:rsidR="005666C9" w:rsidRPr="00AD76AF" w:rsidRDefault="005666C9" w:rsidP="00E926EC">
            <w:pPr>
              <w:spacing w:after="0"/>
              <w:rPr>
                <w:rFonts w:eastAsia="Times New Roman" w:cs="Arial"/>
                <w:color w:val="000000"/>
                <w:sz w:val="20"/>
                <w:szCs w:val="20"/>
                <w:lang w:eastAsia="en-GB"/>
              </w:rPr>
            </w:pPr>
            <w:r w:rsidRPr="00AD76AF">
              <w:rPr>
                <w:rFonts w:eastAsia="Times New Roman" w:cs="Arial"/>
                <w:color w:val="000000"/>
                <w:sz w:val="20"/>
                <w:szCs w:val="20"/>
                <w:lang w:eastAsia="en-GB"/>
              </w:rPr>
              <w:t>Amount of co-financing for the project with commitment letter at CEO endorsement</w:t>
            </w:r>
          </w:p>
        </w:tc>
      </w:tr>
      <w:tr w:rsidR="005666C9" w:rsidRPr="00AD76AF" w14:paraId="7BD02903" w14:textId="77777777" w:rsidTr="005666C9">
        <w:trPr>
          <w:trHeight w:val="293"/>
        </w:trPr>
        <w:tc>
          <w:tcPr>
            <w:tcW w:w="2541" w:type="dxa"/>
            <w:shd w:val="clear" w:color="auto" w:fill="auto"/>
            <w:noWrap/>
            <w:vAlign w:val="center"/>
          </w:tcPr>
          <w:p w14:paraId="7E139C4F" w14:textId="77777777" w:rsidR="005666C9" w:rsidRPr="00AD76AF" w:rsidRDefault="005666C9" w:rsidP="00E926EC">
            <w:pPr>
              <w:spacing w:after="0"/>
              <w:rPr>
                <w:rFonts w:eastAsia="Times New Roman" w:cs="Arial"/>
                <w:color w:val="000000"/>
                <w:sz w:val="20"/>
                <w:szCs w:val="20"/>
                <w:lang w:eastAsia="en-GB"/>
              </w:rPr>
            </w:pPr>
            <w:r w:rsidRPr="00AD76AF">
              <w:rPr>
                <w:rFonts w:eastAsia="Times New Roman" w:cs="Arial"/>
                <w:color w:val="000000"/>
                <w:sz w:val="20"/>
                <w:szCs w:val="20"/>
                <w:lang w:eastAsia="en-GB"/>
              </w:rPr>
              <w:t xml:space="preserve">Materialized co-financing at project mid-term </w:t>
            </w:r>
          </w:p>
        </w:tc>
        <w:tc>
          <w:tcPr>
            <w:tcW w:w="6501" w:type="dxa"/>
            <w:shd w:val="clear" w:color="auto" w:fill="auto"/>
            <w:noWrap/>
            <w:vAlign w:val="center"/>
          </w:tcPr>
          <w:p w14:paraId="516070B1" w14:textId="77777777" w:rsidR="005666C9" w:rsidRPr="00AD76AF" w:rsidRDefault="005666C9" w:rsidP="00E926EC">
            <w:pPr>
              <w:spacing w:after="0"/>
              <w:rPr>
                <w:rFonts w:eastAsia="Times New Roman" w:cs="Arial"/>
                <w:color w:val="000000"/>
                <w:sz w:val="20"/>
                <w:szCs w:val="20"/>
                <w:lang w:eastAsia="en-GB"/>
              </w:rPr>
            </w:pPr>
            <w:r w:rsidRPr="00AD76AF">
              <w:rPr>
                <w:rFonts w:eastAsia="Times New Roman" w:cs="Arial"/>
                <w:color w:val="000000"/>
                <w:sz w:val="20"/>
                <w:szCs w:val="20"/>
                <w:lang w:eastAsia="en-GB"/>
              </w:rPr>
              <w:t>Actual co-financing amount for the project received by mid-term</w:t>
            </w:r>
          </w:p>
        </w:tc>
      </w:tr>
      <w:tr w:rsidR="005666C9" w:rsidRPr="00AD76AF" w14:paraId="12836F71" w14:textId="77777777" w:rsidTr="005666C9">
        <w:trPr>
          <w:trHeight w:val="293"/>
        </w:trPr>
        <w:tc>
          <w:tcPr>
            <w:tcW w:w="2541" w:type="dxa"/>
            <w:shd w:val="clear" w:color="auto" w:fill="auto"/>
            <w:noWrap/>
            <w:vAlign w:val="center"/>
          </w:tcPr>
          <w:p w14:paraId="7BC25BCF" w14:textId="77777777" w:rsidR="005666C9" w:rsidRPr="00AD76AF" w:rsidRDefault="005666C9" w:rsidP="00E926EC">
            <w:pPr>
              <w:spacing w:after="0"/>
              <w:rPr>
                <w:rFonts w:eastAsia="Times New Roman" w:cs="Arial"/>
                <w:color w:val="000000"/>
                <w:sz w:val="20"/>
                <w:szCs w:val="20"/>
                <w:lang w:eastAsia="en-GB"/>
              </w:rPr>
            </w:pPr>
            <w:r w:rsidRPr="00AD76AF">
              <w:rPr>
                <w:rFonts w:eastAsia="Times New Roman" w:cs="Arial"/>
                <w:color w:val="000000"/>
                <w:sz w:val="20"/>
                <w:szCs w:val="20"/>
                <w:lang w:eastAsia="en-GB"/>
              </w:rPr>
              <w:t>Materialized co-financing at project completion</w:t>
            </w:r>
          </w:p>
        </w:tc>
        <w:tc>
          <w:tcPr>
            <w:tcW w:w="6501" w:type="dxa"/>
            <w:shd w:val="clear" w:color="auto" w:fill="auto"/>
            <w:noWrap/>
            <w:vAlign w:val="center"/>
          </w:tcPr>
          <w:p w14:paraId="6A4920FD" w14:textId="77777777" w:rsidR="005666C9" w:rsidRPr="00AD76AF" w:rsidRDefault="005666C9" w:rsidP="00E926EC">
            <w:pPr>
              <w:spacing w:after="0"/>
              <w:rPr>
                <w:rFonts w:eastAsia="Times New Roman" w:cs="Arial"/>
                <w:color w:val="000000"/>
                <w:sz w:val="20"/>
                <w:szCs w:val="20"/>
                <w:lang w:eastAsia="en-GB"/>
              </w:rPr>
            </w:pPr>
            <w:r w:rsidRPr="00AD76AF">
              <w:rPr>
                <w:rFonts w:eastAsia="Times New Roman" w:cs="Arial"/>
                <w:color w:val="000000"/>
                <w:sz w:val="20"/>
                <w:szCs w:val="20"/>
                <w:lang w:eastAsia="en-GB"/>
              </w:rPr>
              <w:t>Actual co-financing amount for the project received by project completion</w:t>
            </w:r>
          </w:p>
        </w:tc>
      </w:tr>
      <w:tr w:rsidR="005666C9" w:rsidRPr="00AD76AF" w14:paraId="126D0DFC" w14:textId="77777777" w:rsidTr="005666C9">
        <w:trPr>
          <w:trHeight w:val="293"/>
        </w:trPr>
        <w:tc>
          <w:tcPr>
            <w:tcW w:w="2541" w:type="dxa"/>
            <w:shd w:val="clear" w:color="auto" w:fill="auto"/>
            <w:noWrap/>
            <w:vAlign w:val="center"/>
          </w:tcPr>
          <w:p w14:paraId="5756FA3F" w14:textId="77777777" w:rsidR="005666C9" w:rsidRPr="00AD76AF" w:rsidRDefault="005666C9" w:rsidP="00E926EC">
            <w:pPr>
              <w:spacing w:after="0"/>
              <w:rPr>
                <w:rFonts w:eastAsia="Times New Roman" w:cs="Arial"/>
                <w:color w:val="000000"/>
                <w:sz w:val="20"/>
                <w:szCs w:val="20"/>
                <w:lang w:eastAsia="en-GB"/>
              </w:rPr>
            </w:pPr>
            <w:r w:rsidRPr="00AD76AF">
              <w:rPr>
                <w:rFonts w:eastAsia="Times New Roman" w:cs="Arial"/>
                <w:color w:val="000000"/>
                <w:sz w:val="20"/>
                <w:szCs w:val="20"/>
                <w:lang w:eastAsia="en-GB"/>
              </w:rPr>
              <w:t>DO Rating</w:t>
            </w:r>
          </w:p>
        </w:tc>
        <w:tc>
          <w:tcPr>
            <w:tcW w:w="6501" w:type="dxa"/>
            <w:shd w:val="clear" w:color="auto" w:fill="auto"/>
            <w:noWrap/>
            <w:vAlign w:val="center"/>
          </w:tcPr>
          <w:p w14:paraId="3ECB2591" w14:textId="77777777" w:rsidR="005666C9" w:rsidRPr="00AD76AF" w:rsidRDefault="005666C9" w:rsidP="00E926EC">
            <w:pPr>
              <w:spacing w:after="0"/>
              <w:rPr>
                <w:rFonts w:eastAsia="Times New Roman" w:cs="Arial"/>
                <w:color w:val="000000"/>
                <w:sz w:val="20"/>
                <w:szCs w:val="20"/>
                <w:lang w:eastAsia="en-GB"/>
              </w:rPr>
            </w:pPr>
            <w:r w:rsidRPr="00AD76AF">
              <w:rPr>
                <w:rFonts w:eastAsia="Times New Roman" w:cs="Arial"/>
                <w:color w:val="000000"/>
                <w:sz w:val="20"/>
                <w:szCs w:val="20"/>
                <w:lang w:eastAsia="en-GB"/>
              </w:rPr>
              <w:t>Development/Global Environment Objectives Rating – Assess how well the project is meeting its development objective/s or the global environment objective/s it set out to meet</w:t>
            </w:r>
          </w:p>
        </w:tc>
      </w:tr>
      <w:tr w:rsidR="005666C9" w:rsidRPr="00AD76AF" w14:paraId="0F18DE3E" w14:textId="77777777" w:rsidTr="005666C9">
        <w:trPr>
          <w:trHeight w:val="293"/>
        </w:trPr>
        <w:tc>
          <w:tcPr>
            <w:tcW w:w="2541" w:type="dxa"/>
            <w:shd w:val="clear" w:color="auto" w:fill="auto"/>
            <w:noWrap/>
            <w:vAlign w:val="center"/>
          </w:tcPr>
          <w:p w14:paraId="7CBE3C02" w14:textId="77777777" w:rsidR="005666C9" w:rsidRPr="00AD76AF" w:rsidRDefault="005666C9" w:rsidP="00E926EC">
            <w:pPr>
              <w:spacing w:after="0"/>
              <w:rPr>
                <w:rFonts w:eastAsia="Times New Roman" w:cs="Arial"/>
                <w:color w:val="000000"/>
                <w:sz w:val="20"/>
                <w:szCs w:val="20"/>
                <w:lang w:eastAsia="en-GB"/>
              </w:rPr>
            </w:pPr>
            <w:r w:rsidRPr="00AD76AF">
              <w:rPr>
                <w:rFonts w:eastAsia="Times New Roman" w:cs="Arial"/>
                <w:color w:val="000000"/>
                <w:sz w:val="20"/>
                <w:szCs w:val="20"/>
                <w:lang w:eastAsia="en-GB"/>
              </w:rPr>
              <w:t>IP Rating</w:t>
            </w:r>
          </w:p>
        </w:tc>
        <w:tc>
          <w:tcPr>
            <w:tcW w:w="6501" w:type="dxa"/>
            <w:shd w:val="clear" w:color="auto" w:fill="auto"/>
            <w:noWrap/>
            <w:vAlign w:val="center"/>
          </w:tcPr>
          <w:p w14:paraId="29111329" w14:textId="77777777" w:rsidR="005666C9" w:rsidRPr="00AD76AF" w:rsidRDefault="005666C9" w:rsidP="00E926EC">
            <w:pPr>
              <w:spacing w:after="0"/>
              <w:rPr>
                <w:rFonts w:eastAsia="Times New Roman" w:cs="Arial"/>
                <w:color w:val="000000"/>
                <w:sz w:val="20"/>
                <w:szCs w:val="20"/>
                <w:lang w:eastAsia="en-GB"/>
              </w:rPr>
            </w:pPr>
            <w:r w:rsidRPr="00AD76AF">
              <w:rPr>
                <w:rFonts w:eastAsia="Times New Roman" w:cs="Arial"/>
                <w:color w:val="000000"/>
                <w:sz w:val="20"/>
                <w:szCs w:val="20"/>
                <w:lang w:eastAsia="en-GB"/>
              </w:rPr>
              <w:t>Implementation Progress Rating – Assess the progress of project implementation</w:t>
            </w:r>
          </w:p>
        </w:tc>
      </w:tr>
      <w:tr w:rsidR="005666C9" w:rsidRPr="00AD76AF" w14:paraId="754943FE" w14:textId="77777777" w:rsidTr="005666C9">
        <w:trPr>
          <w:trHeight w:val="293"/>
        </w:trPr>
        <w:tc>
          <w:tcPr>
            <w:tcW w:w="2541" w:type="dxa"/>
            <w:shd w:val="clear" w:color="auto" w:fill="auto"/>
            <w:noWrap/>
            <w:vAlign w:val="center"/>
          </w:tcPr>
          <w:p w14:paraId="4812BBE7" w14:textId="77777777" w:rsidR="005666C9" w:rsidRPr="00AD76AF" w:rsidRDefault="005666C9" w:rsidP="00E926EC">
            <w:pPr>
              <w:spacing w:after="0"/>
              <w:rPr>
                <w:rFonts w:eastAsia="Times New Roman" w:cs="Arial"/>
                <w:color w:val="000000"/>
                <w:sz w:val="20"/>
                <w:szCs w:val="20"/>
                <w:lang w:eastAsia="en-GB"/>
              </w:rPr>
            </w:pPr>
            <w:r w:rsidRPr="00AD76AF">
              <w:rPr>
                <w:rFonts w:eastAsia="Times New Roman" w:cs="Arial"/>
                <w:color w:val="000000"/>
                <w:sz w:val="20"/>
                <w:szCs w:val="20"/>
                <w:lang w:eastAsia="en-GB"/>
              </w:rPr>
              <w:t>PPG</w:t>
            </w:r>
          </w:p>
        </w:tc>
        <w:tc>
          <w:tcPr>
            <w:tcW w:w="6501" w:type="dxa"/>
            <w:shd w:val="clear" w:color="auto" w:fill="auto"/>
            <w:noWrap/>
            <w:vAlign w:val="center"/>
          </w:tcPr>
          <w:p w14:paraId="11BF5C6C" w14:textId="77777777" w:rsidR="005666C9" w:rsidRPr="00AD76AF" w:rsidRDefault="005666C9" w:rsidP="00E926EC">
            <w:pPr>
              <w:spacing w:after="0"/>
              <w:rPr>
                <w:rFonts w:eastAsia="Times New Roman" w:cs="Arial"/>
                <w:color w:val="000000"/>
                <w:sz w:val="20"/>
                <w:szCs w:val="20"/>
                <w:lang w:eastAsia="en-GB"/>
              </w:rPr>
            </w:pPr>
            <w:r w:rsidRPr="00AD76AF">
              <w:rPr>
                <w:rFonts w:eastAsia="Times New Roman" w:cs="Arial"/>
                <w:color w:val="000000"/>
                <w:sz w:val="20"/>
                <w:szCs w:val="20"/>
                <w:lang w:eastAsia="en-GB"/>
              </w:rPr>
              <w:t>Project Preparation Grant</w:t>
            </w:r>
          </w:p>
        </w:tc>
      </w:tr>
      <w:tr w:rsidR="005666C9" w:rsidRPr="00AD76AF" w14:paraId="767E0807" w14:textId="77777777" w:rsidTr="005666C9">
        <w:trPr>
          <w:trHeight w:val="293"/>
        </w:trPr>
        <w:tc>
          <w:tcPr>
            <w:tcW w:w="2541" w:type="dxa"/>
            <w:shd w:val="clear" w:color="auto" w:fill="auto"/>
            <w:noWrap/>
            <w:vAlign w:val="center"/>
          </w:tcPr>
          <w:p w14:paraId="16C26049" w14:textId="77777777" w:rsidR="005666C9" w:rsidRPr="00AD76AF" w:rsidRDefault="005666C9" w:rsidP="00E926EC">
            <w:pPr>
              <w:spacing w:after="0"/>
              <w:rPr>
                <w:rFonts w:eastAsia="Times New Roman" w:cs="Arial"/>
                <w:color w:val="000000"/>
                <w:sz w:val="20"/>
                <w:szCs w:val="20"/>
                <w:lang w:eastAsia="en-GB"/>
              </w:rPr>
            </w:pPr>
            <w:r w:rsidRPr="00AD76AF">
              <w:rPr>
                <w:rFonts w:eastAsia="Times New Roman" w:cs="Arial"/>
                <w:color w:val="000000"/>
                <w:sz w:val="20"/>
                <w:szCs w:val="20"/>
                <w:lang w:eastAsia="en-GB"/>
              </w:rPr>
              <w:t>PPG Fee</w:t>
            </w:r>
          </w:p>
        </w:tc>
        <w:tc>
          <w:tcPr>
            <w:tcW w:w="6501" w:type="dxa"/>
            <w:shd w:val="clear" w:color="auto" w:fill="auto"/>
            <w:noWrap/>
            <w:vAlign w:val="center"/>
          </w:tcPr>
          <w:p w14:paraId="39F4917C" w14:textId="77777777" w:rsidR="005666C9" w:rsidRPr="00AD76AF" w:rsidRDefault="005666C9" w:rsidP="00E926EC">
            <w:pPr>
              <w:spacing w:after="0"/>
              <w:rPr>
                <w:rFonts w:eastAsia="Times New Roman" w:cs="Arial"/>
                <w:color w:val="000000"/>
                <w:sz w:val="20"/>
                <w:szCs w:val="20"/>
                <w:lang w:eastAsia="en-GB"/>
              </w:rPr>
            </w:pPr>
            <w:r w:rsidRPr="00AD76AF">
              <w:rPr>
                <w:rFonts w:eastAsia="Times New Roman" w:cs="Arial"/>
                <w:color w:val="000000"/>
                <w:sz w:val="20"/>
                <w:szCs w:val="20"/>
                <w:lang w:eastAsia="en-GB"/>
              </w:rPr>
              <w:t>Fees associated with the PPG</w:t>
            </w:r>
          </w:p>
        </w:tc>
      </w:tr>
      <w:tr w:rsidR="005666C9" w:rsidRPr="00AD76AF" w14:paraId="6289F92B" w14:textId="77777777" w:rsidTr="005666C9">
        <w:trPr>
          <w:trHeight w:val="293"/>
        </w:trPr>
        <w:tc>
          <w:tcPr>
            <w:tcW w:w="2541" w:type="dxa"/>
            <w:shd w:val="clear" w:color="auto" w:fill="auto"/>
            <w:noWrap/>
            <w:vAlign w:val="center"/>
          </w:tcPr>
          <w:p w14:paraId="5C06E768" w14:textId="77777777" w:rsidR="005666C9" w:rsidRPr="00AD76AF" w:rsidRDefault="005666C9" w:rsidP="00E926EC">
            <w:pPr>
              <w:spacing w:after="0"/>
              <w:rPr>
                <w:rFonts w:eastAsia="Times New Roman" w:cs="Arial"/>
                <w:color w:val="000000"/>
                <w:sz w:val="20"/>
                <w:szCs w:val="20"/>
                <w:lang w:eastAsia="en-GB"/>
              </w:rPr>
            </w:pPr>
            <w:r w:rsidRPr="00AD76AF">
              <w:rPr>
                <w:rFonts w:eastAsia="Times New Roman" w:cs="Arial"/>
                <w:color w:val="000000"/>
                <w:sz w:val="20"/>
                <w:szCs w:val="20"/>
                <w:lang w:eastAsia="en-GB"/>
              </w:rPr>
              <w:t>Project GEF ID #</w:t>
            </w:r>
          </w:p>
        </w:tc>
        <w:tc>
          <w:tcPr>
            <w:tcW w:w="6501" w:type="dxa"/>
            <w:shd w:val="clear" w:color="auto" w:fill="auto"/>
            <w:noWrap/>
            <w:vAlign w:val="center"/>
          </w:tcPr>
          <w:p w14:paraId="0FE86C28" w14:textId="77777777" w:rsidR="005666C9" w:rsidRPr="00AD76AF" w:rsidRDefault="005666C9" w:rsidP="00E926EC">
            <w:pPr>
              <w:spacing w:after="0"/>
              <w:rPr>
                <w:rFonts w:eastAsia="Times New Roman" w:cs="Arial"/>
                <w:color w:val="000000"/>
                <w:sz w:val="20"/>
                <w:szCs w:val="20"/>
                <w:lang w:eastAsia="en-GB"/>
              </w:rPr>
            </w:pPr>
            <w:r w:rsidRPr="00AD76AF">
              <w:rPr>
                <w:rFonts w:eastAsia="Times New Roman" w:cs="Arial"/>
                <w:color w:val="000000"/>
                <w:sz w:val="20"/>
                <w:szCs w:val="20"/>
                <w:lang w:eastAsia="en-GB"/>
              </w:rPr>
              <w:t xml:space="preserve">ID of Project as given by the GEF </w:t>
            </w:r>
          </w:p>
        </w:tc>
      </w:tr>
      <w:tr w:rsidR="005666C9" w:rsidRPr="00AD76AF" w14:paraId="33E11FDA" w14:textId="77777777" w:rsidTr="005666C9">
        <w:trPr>
          <w:trHeight w:val="293"/>
        </w:trPr>
        <w:tc>
          <w:tcPr>
            <w:tcW w:w="2541" w:type="dxa"/>
            <w:shd w:val="clear" w:color="auto" w:fill="auto"/>
            <w:noWrap/>
            <w:vAlign w:val="center"/>
          </w:tcPr>
          <w:p w14:paraId="6228E121" w14:textId="77777777" w:rsidR="005666C9" w:rsidRPr="00AD76AF" w:rsidRDefault="005666C9" w:rsidP="00E926EC">
            <w:pPr>
              <w:spacing w:after="0"/>
              <w:rPr>
                <w:rFonts w:eastAsia="Times New Roman" w:cs="Arial"/>
                <w:color w:val="000000"/>
                <w:sz w:val="20"/>
                <w:szCs w:val="20"/>
                <w:lang w:eastAsia="en-GB"/>
              </w:rPr>
            </w:pPr>
            <w:r w:rsidRPr="00AD76AF">
              <w:rPr>
                <w:rFonts w:eastAsia="Times New Roman" w:cs="Arial"/>
                <w:color w:val="000000"/>
                <w:sz w:val="20"/>
                <w:szCs w:val="20"/>
                <w:lang w:eastAsia="en-GB"/>
              </w:rPr>
              <w:t>Risk Rating</w:t>
            </w:r>
          </w:p>
        </w:tc>
        <w:tc>
          <w:tcPr>
            <w:tcW w:w="6501" w:type="dxa"/>
            <w:shd w:val="clear" w:color="auto" w:fill="auto"/>
            <w:noWrap/>
            <w:vAlign w:val="center"/>
          </w:tcPr>
          <w:p w14:paraId="55518827" w14:textId="77777777" w:rsidR="005666C9" w:rsidRPr="00AD76AF" w:rsidRDefault="005666C9" w:rsidP="00E926EC">
            <w:pPr>
              <w:spacing w:after="0"/>
              <w:rPr>
                <w:rFonts w:eastAsia="Times New Roman" w:cs="Arial"/>
                <w:color w:val="000000"/>
                <w:sz w:val="20"/>
                <w:szCs w:val="20"/>
                <w:lang w:eastAsia="en-GB"/>
              </w:rPr>
            </w:pPr>
            <w:r w:rsidRPr="00AD76AF">
              <w:rPr>
                <w:rFonts w:eastAsia="Times New Roman" w:cs="Arial"/>
                <w:color w:val="000000"/>
                <w:sz w:val="20"/>
                <w:szCs w:val="20"/>
                <w:lang w:eastAsia="en-GB"/>
              </w:rPr>
              <w:t>Rating of risk associated with the project</w:t>
            </w:r>
          </w:p>
        </w:tc>
      </w:tr>
      <w:tr w:rsidR="005666C9" w:rsidRPr="00AD76AF" w14:paraId="3ECABD75" w14:textId="77777777" w:rsidTr="005666C9">
        <w:trPr>
          <w:trHeight w:val="352"/>
        </w:trPr>
        <w:tc>
          <w:tcPr>
            <w:tcW w:w="2541" w:type="dxa"/>
            <w:shd w:val="clear" w:color="auto" w:fill="auto"/>
            <w:noWrap/>
            <w:vAlign w:val="center"/>
          </w:tcPr>
          <w:p w14:paraId="5E8FC64F" w14:textId="77777777" w:rsidR="005666C9" w:rsidRPr="00AD76AF" w:rsidRDefault="005666C9" w:rsidP="00E926EC">
            <w:pPr>
              <w:spacing w:after="0"/>
              <w:rPr>
                <w:rFonts w:eastAsia="Times New Roman" w:cs="Arial"/>
                <w:color w:val="000000"/>
                <w:sz w:val="20"/>
                <w:szCs w:val="20"/>
                <w:lang w:eastAsia="en-GB"/>
              </w:rPr>
            </w:pPr>
            <w:r w:rsidRPr="00AD76AF">
              <w:rPr>
                <w:rFonts w:eastAsia="Times New Roman" w:cs="Arial"/>
                <w:color w:val="000000"/>
                <w:sz w:val="20"/>
                <w:szCs w:val="20"/>
                <w:lang w:eastAsia="en-GB"/>
              </w:rPr>
              <w:t>Status of Implementation</w:t>
            </w:r>
          </w:p>
        </w:tc>
        <w:tc>
          <w:tcPr>
            <w:tcW w:w="6501" w:type="dxa"/>
            <w:shd w:val="clear" w:color="auto" w:fill="auto"/>
            <w:noWrap/>
            <w:vAlign w:val="center"/>
          </w:tcPr>
          <w:p w14:paraId="4CB7B5EA" w14:textId="77777777" w:rsidR="005666C9" w:rsidRPr="00AD76AF" w:rsidRDefault="005666C9" w:rsidP="00E926EC">
            <w:pPr>
              <w:spacing w:after="0"/>
              <w:rPr>
                <w:rFonts w:eastAsia="Times New Roman" w:cs="Arial"/>
                <w:color w:val="000000"/>
                <w:sz w:val="20"/>
                <w:szCs w:val="20"/>
                <w:lang w:eastAsia="en-GB"/>
              </w:rPr>
            </w:pPr>
            <w:r w:rsidRPr="00AD76AF">
              <w:rPr>
                <w:rFonts w:eastAsia="Times New Roman" w:cs="Arial"/>
                <w:color w:val="000000"/>
                <w:sz w:val="20"/>
                <w:szCs w:val="20"/>
                <w:lang w:eastAsia="en-GB"/>
              </w:rPr>
              <w:t>Stage of Implementation the project is at (e.g. 1</w:t>
            </w:r>
            <w:r w:rsidRPr="00AD76AF">
              <w:rPr>
                <w:rFonts w:eastAsia="Times New Roman" w:cs="Arial"/>
                <w:color w:val="000000"/>
                <w:sz w:val="20"/>
                <w:szCs w:val="20"/>
                <w:vertAlign w:val="superscript"/>
                <w:lang w:eastAsia="en-GB"/>
              </w:rPr>
              <w:t>st</w:t>
            </w:r>
            <w:r w:rsidRPr="00AD76AF">
              <w:rPr>
                <w:rFonts w:eastAsia="Times New Roman" w:cs="Arial"/>
                <w:color w:val="000000"/>
                <w:sz w:val="20"/>
                <w:szCs w:val="20"/>
                <w:lang w:eastAsia="en-GB"/>
              </w:rPr>
              <w:t xml:space="preserve"> PIR, 2</w:t>
            </w:r>
            <w:r w:rsidRPr="00AD76AF">
              <w:rPr>
                <w:rFonts w:eastAsia="Times New Roman" w:cs="Arial"/>
                <w:color w:val="000000"/>
                <w:sz w:val="20"/>
                <w:szCs w:val="20"/>
                <w:vertAlign w:val="superscript"/>
                <w:lang w:eastAsia="en-GB"/>
              </w:rPr>
              <w:t>nd</w:t>
            </w:r>
            <w:r w:rsidRPr="00AD76AF">
              <w:rPr>
                <w:rFonts w:eastAsia="Times New Roman" w:cs="Arial"/>
                <w:color w:val="000000"/>
                <w:sz w:val="20"/>
                <w:szCs w:val="20"/>
                <w:lang w:eastAsia="en-GB"/>
              </w:rPr>
              <w:t xml:space="preserve"> PIR, final PIR, etc.)</w:t>
            </w:r>
          </w:p>
        </w:tc>
      </w:tr>
      <w:tr w:rsidR="005666C9" w:rsidRPr="00AD76AF" w14:paraId="3D4CBE7E" w14:textId="77777777" w:rsidTr="005666C9">
        <w:trPr>
          <w:trHeight w:val="293"/>
        </w:trPr>
        <w:tc>
          <w:tcPr>
            <w:tcW w:w="2541" w:type="dxa"/>
            <w:shd w:val="clear" w:color="auto" w:fill="auto"/>
            <w:noWrap/>
            <w:vAlign w:val="center"/>
          </w:tcPr>
          <w:p w14:paraId="02D2F71E" w14:textId="77777777" w:rsidR="005666C9" w:rsidRPr="00AD76AF" w:rsidRDefault="005666C9" w:rsidP="00E926EC">
            <w:pPr>
              <w:spacing w:after="0"/>
              <w:rPr>
                <w:rFonts w:eastAsia="Times New Roman" w:cs="Arial"/>
                <w:color w:val="000000"/>
                <w:sz w:val="20"/>
                <w:szCs w:val="20"/>
                <w:lang w:eastAsia="en-GB"/>
              </w:rPr>
            </w:pPr>
            <w:r w:rsidRPr="00AD76AF">
              <w:rPr>
                <w:rFonts w:eastAsia="Times New Roman" w:cs="Arial"/>
                <w:color w:val="000000"/>
                <w:sz w:val="20"/>
                <w:szCs w:val="20"/>
                <w:lang w:eastAsia="en-GB"/>
              </w:rPr>
              <w:t>Tracking Tools</w:t>
            </w:r>
          </w:p>
        </w:tc>
        <w:tc>
          <w:tcPr>
            <w:tcW w:w="6501" w:type="dxa"/>
            <w:shd w:val="clear" w:color="auto" w:fill="auto"/>
            <w:noWrap/>
            <w:vAlign w:val="center"/>
          </w:tcPr>
          <w:p w14:paraId="725EE38E" w14:textId="77777777" w:rsidR="005666C9" w:rsidRPr="00AD76AF" w:rsidRDefault="005666C9" w:rsidP="00E926EC">
            <w:pPr>
              <w:spacing w:after="0"/>
              <w:rPr>
                <w:rFonts w:eastAsia="Times New Roman" w:cs="Arial"/>
                <w:color w:val="000000"/>
                <w:sz w:val="20"/>
                <w:szCs w:val="20"/>
                <w:lang w:eastAsia="en-GB"/>
              </w:rPr>
            </w:pPr>
            <w:r w:rsidRPr="00AD76AF">
              <w:rPr>
                <w:rFonts w:eastAsia="Times New Roman" w:cs="Arial"/>
                <w:color w:val="000000"/>
                <w:sz w:val="20"/>
                <w:szCs w:val="20"/>
                <w:lang w:eastAsia="en-GB"/>
              </w:rPr>
              <w:t>Intended to roll up indicators from the individual project level to the portfolio level and track overall portfolio performance in focal areas</w:t>
            </w:r>
          </w:p>
        </w:tc>
      </w:tr>
      <w:tr w:rsidR="005666C9" w:rsidRPr="00AD76AF" w14:paraId="6778812A" w14:textId="77777777" w:rsidTr="005666C9">
        <w:trPr>
          <w:trHeight w:val="293"/>
        </w:trPr>
        <w:tc>
          <w:tcPr>
            <w:tcW w:w="2541" w:type="dxa"/>
            <w:shd w:val="clear" w:color="auto" w:fill="auto"/>
            <w:noWrap/>
            <w:vAlign w:val="center"/>
          </w:tcPr>
          <w:p w14:paraId="4434B493" w14:textId="77777777" w:rsidR="005666C9" w:rsidRPr="00AD76AF" w:rsidRDefault="005666C9" w:rsidP="00E926EC">
            <w:pPr>
              <w:spacing w:after="0"/>
              <w:rPr>
                <w:rFonts w:eastAsia="Times New Roman" w:cs="Arial"/>
                <w:color w:val="000000"/>
                <w:sz w:val="20"/>
                <w:szCs w:val="20"/>
                <w:lang w:eastAsia="en-GB"/>
              </w:rPr>
            </w:pPr>
            <w:r w:rsidRPr="00AD76AF">
              <w:rPr>
                <w:rFonts w:eastAsia="Times New Roman" w:cs="Arial"/>
                <w:color w:val="000000"/>
                <w:sz w:val="20"/>
                <w:szCs w:val="20"/>
                <w:lang w:eastAsia="en-GB"/>
              </w:rPr>
              <w:t>Mid-term Review</w:t>
            </w:r>
          </w:p>
        </w:tc>
        <w:tc>
          <w:tcPr>
            <w:tcW w:w="6501" w:type="dxa"/>
            <w:shd w:val="clear" w:color="auto" w:fill="auto"/>
            <w:noWrap/>
            <w:vAlign w:val="center"/>
          </w:tcPr>
          <w:p w14:paraId="35004C36" w14:textId="77777777" w:rsidR="005666C9" w:rsidRPr="00AD76AF" w:rsidRDefault="005666C9" w:rsidP="00E926EC">
            <w:pPr>
              <w:spacing w:after="0"/>
              <w:rPr>
                <w:rFonts w:eastAsia="Times New Roman" w:cs="Arial"/>
                <w:color w:val="000000"/>
                <w:sz w:val="20"/>
                <w:szCs w:val="20"/>
                <w:lang w:eastAsia="en-GB"/>
              </w:rPr>
            </w:pPr>
            <w:r w:rsidRPr="00AD76AF">
              <w:rPr>
                <w:rFonts w:eastAsia="Times New Roman" w:cs="Arial"/>
                <w:color w:val="000000"/>
                <w:sz w:val="20"/>
                <w:szCs w:val="20"/>
                <w:lang w:eastAsia="en-GB"/>
              </w:rPr>
              <w:t>Review of project progress toward results at mid-course of project life with a view to assessing likelihood of project delivery per original design and identifying necessary corrective measures</w:t>
            </w:r>
          </w:p>
        </w:tc>
      </w:tr>
      <w:tr w:rsidR="005666C9" w:rsidRPr="00AD76AF" w14:paraId="009705A3" w14:textId="77777777" w:rsidTr="005666C9">
        <w:trPr>
          <w:trHeight w:val="293"/>
        </w:trPr>
        <w:tc>
          <w:tcPr>
            <w:tcW w:w="2541" w:type="dxa"/>
            <w:shd w:val="clear" w:color="auto" w:fill="auto"/>
            <w:noWrap/>
            <w:vAlign w:val="center"/>
          </w:tcPr>
          <w:p w14:paraId="15002863" w14:textId="77777777" w:rsidR="005666C9" w:rsidRPr="00AD76AF" w:rsidRDefault="005666C9" w:rsidP="00E926EC">
            <w:pPr>
              <w:spacing w:after="0"/>
              <w:rPr>
                <w:rFonts w:eastAsia="Times New Roman" w:cs="Arial"/>
                <w:color w:val="000000"/>
                <w:sz w:val="20"/>
                <w:szCs w:val="20"/>
                <w:lang w:eastAsia="en-GB"/>
              </w:rPr>
            </w:pPr>
            <w:r w:rsidRPr="00AD76AF">
              <w:rPr>
                <w:rFonts w:eastAsia="Times New Roman" w:cs="Arial"/>
                <w:color w:val="000000"/>
                <w:sz w:val="20"/>
                <w:szCs w:val="20"/>
                <w:lang w:eastAsia="en-GB"/>
              </w:rPr>
              <w:t>Terminal Evaluation</w:t>
            </w:r>
          </w:p>
        </w:tc>
        <w:tc>
          <w:tcPr>
            <w:tcW w:w="6501" w:type="dxa"/>
            <w:shd w:val="clear" w:color="auto" w:fill="auto"/>
            <w:noWrap/>
            <w:vAlign w:val="center"/>
          </w:tcPr>
          <w:p w14:paraId="421A28AB" w14:textId="77777777" w:rsidR="005666C9" w:rsidRPr="00AD76AF" w:rsidRDefault="005666C9" w:rsidP="00E926EC">
            <w:pPr>
              <w:spacing w:after="0"/>
              <w:rPr>
                <w:rFonts w:eastAsia="Times New Roman" w:cs="Arial"/>
                <w:color w:val="000000"/>
                <w:sz w:val="20"/>
                <w:szCs w:val="20"/>
                <w:lang w:eastAsia="en-GB"/>
              </w:rPr>
            </w:pPr>
            <w:r w:rsidRPr="00AD76AF">
              <w:rPr>
                <w:rFonts w:eastAsia="Times New Roman" w:cs="Arial"/>
                <w:color w:val="000000"/>
                <w:sz w:val="20"/>
                <w:szCs w:val="20"/>
                <w:lang w:eastAsia="en-GB"/>
              </w:rPr>
              <w:t xml:space="preserve">Evaluation of projects nearing completion (or just completed) with a view to providing a comprehensive and systematic account of results achieved by the project and their sustainability, as well as identification of lessons learned to inform future projects’ design </w:t>
            </w:r>
          </w:p>
        </w:tc>
      </w:tr>
    </w:tbl>
    <w:p w14:paraId="3CBFE5B4" w14:textId="77777777" w:rsidR="005666C9" w:rsidRPr="00AD76AF" w:rsidRDefault="005666C9" w:rsidP="005666C9">
      <w:pPr>
        <w:rPr>
          <w:rFonts w:cs="Arial"/>
          <w:sz w:val="20"/>
          <w:szCs w:val="20"/>
        </w:rPr>
      </w:pPr>
    </w:p>
    <w:p w14:paraId="28DBF9AB" w14:textId="77777777" w:rsidR="005666C9" w:rsidRPr="00AD76AF" w:rsidRDefault="005666C9" w:rsidP="005666C9">
      <w:pPr>
        <w:pStyle w:val="Heading1"/>
        <w:pageBreakBefore/>
        <w:spacing w:before="0"/>
        <w:rPr>
          <w:rFonts w:asciiTheme="minorHAnsi" w:hAnsiTheme="minorHAnsi" w:cs="Arial"/>
        </w:rPr>
      </w:pPr>
      <w:r w:rsidRPr="00AD76AF">
        <w:rPr>
          <w:rFonts w:asciiTheme="minorHAnsi" w:hAnsiTheme="minorHAnsi" w:cs="Arial"/>
        </w:rPr>
        <w:lastRenderedPageBreak/>
        <w:t>Annex 2. Definition of GEF Ratings</w:t>
      </w:r>
    </w:p>
    <w:p w14:paraId="1A05DACF" w14:textId="77777777" w:rsidR="005666C9" w:rsidRPr="00AD76AF" w:rsidRDefault="005666C9" w:rsidP="005666C9">
      <w:pPr>
        <w:pStyle w:val="Heading2"/>
        <w:spacing w:before="0"/>
        <w:ind w:left="720" w:hanging="360"/>
        <w:rPr>
          <w:rFonts w:asciiTheme="minorHAnsi" w:hAnsiTheme="minorHAnsi" w:cs="Arial"/>
        </w:rPr>
      </w:pPr>
    </w:p>
    <w:p w14:paraId="6DA7E7D3" w14:textId="77777777" w:rsidR="005666C9" w:rsidRPr="00AD76AF" w:rsidRDefault="005666C9" w:rsidP="005666C9">
      <w:pPr>
        <w:pStyle w:val="Heading2"/>
        <w:spacing w:before="0"/>
        <w:ind w:left="720" w:hanging="360"/>
        <w:rPr>
          <w:rFonts w:asciiTheme="minorHAnsi" w:hAnsiTheme="minorHAnsi" w:cs="Arial"/>
        </w:rPr>
      </w:pPr>
      <w:r w:rsidRPr="00AD76AF">
        <w:rPr>
          <w:rFonts w:asciiTheme="minorHAnsi" w:hAnsiTheme="minorHAnsi" w:cs="Arial"/>
        </w:rPr>
        <w:t>Implementation Progress Ratings</w:t>
      </w:r>
    </w:p>
    <w:tbl>
      <w:tblPr>
        <w:tblW w:w="8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2"/>
        <w:gridCol w:w="6766"/>
      </w:tblGrid>
      <w:tr w:rsidR="005666C9" w:rsidRPr="00AD76AF" w14:paraId="350F1146" w14:textId="77777777" w:rsidTr="005666C9">
        <w:trPr>
          <w:trHeight w:val="516"/>
        </w:trPr>
        <w:tc>
          <w:tcPr>
            <w:tcW w:w="0" w:type="auto"/>
          </w:tcPr>
          <w:p w14:paraId="5D75856F" w14:textId="77777777" w:rsidR="005666C9" w:rsidRPr="00AD76AF" w:rsidRDefault="005666C9" w:rsidP="005666C9">
            <w:pPr>
              <w:keepNext/>
              <w:keepLines/>
              <w:spacing w:after="0"/>
              <w:rPr>
                <w:rFonts w:cs="Arial"/>
                <w:b/>
                <w:sz w:val="20"/>
              </w:rPr>
            </w:pPr>
            <w:r w:rsidRPr="00AD76AF">
              <w:rPr>
                <w:rFonts w:cs="Arial"/>
                <w:b/>
                <w:sz w:val="20"/>
              </w:rPr>
              <w:t>Highly Satisfactory (HS):</w:t>
            </w:r>
          </w:p>
        </w:tc>
        <w:tc>
          <w:tcPr>
            <w:tcW w:w="0" w:type="auto"/>
          </w:tcPr>
          <w:p w14:paraId="008CCFDD" w14:textId="77777777" w:rsidR="005666C9" w:rsidRPr="00AD76AF" w:rsidRDefault="005666C9" w:rsidP="005666C9">
            <w:pPr>
              <w:keepNext/>
              <w:keepLines/>
              <w:spacing w:after="0"/>
              <w:rPr>
                <w:rFonts w:cs="Arial"/>
                <w:sz w:val="20"/>
              </w:rPr>
            </w:pPr>
            <w:r w:rsidRPr="00AD76AF">
              <w:rPr>
                <w:rFonts w:cs="Arial"/>
                <w:sz w:val="20"/>
              </w:rPr>
              <w:t xml:space="preserve">Implementation of </w:t>
            </w:r>
            <w:r w:rsidRPr="00AD76AF">
              <w:rPr>
                <w:rFonts w:cs="Arial"/>
                <w:b/>
                <w:sz w:val="20"/>
              </w:rPr>
              <w:t>all</w:t>
            </w:r>
            <w:r w:rsidRPr="00AD76AF">
              <w:rPr>
                <w:rFonts w:cs="Arial"/>
                <w:sz w:val="20"/>
              </w:rPr>
              <w:t xml:space="preserve"> components is in substantial compliance with the original/formally revised implementation plan for the project.  The project can be presented as “good practice”. </w:t>
            </w:r>
          </w:p>
        </w:tc>
      </w:tr>
      <w:tr w:rsidR="005666C9" w:rsidRPr="00AD76AF" w14:paraId="546B396B" w14:textId="77777777" w:rsidTr="005666C9">
        <w:trPr>
          <w:trHeight w:val="507"/>
        </w:trPr>
        <w:tc>
          <w:tcPr>
            <w:tcW w:w="0" w:type="auto"/>
          </w:tcPr>
          <w:p w14:paraId="1E1688EB" w14:textId="77777777" w:rsidR="005666C9" w:rsidRPr="00AD76AF" w:rsidRDefault="005666C9" w:rsidP="005666C9">
            <w:pPr>
              <w:keepNext/>
              <w:keepLines/>
              <w:spacing w:after="0"/>
              <w:rPr>
                <w:rFonts w:cs="Arial"/>
                <w:b/>
                <w:sz w:val="20"/>
              </w:rPr>
            </w:pPr>
            <w:r w:rsidRPr="00AD76AF">
              <w:rPr>
                <w:rFonts w:cs="Arial"/>
                <w:b/>
                <w:sz w:val="20"/>
              </w:rPr>
              <w:t>Satisfactory (S):</w:t>
            </w:r>
          </w:p>
        </w:tc>
        <w:tc>
          <w:tcPr>
            <w:tcW w:w="0" w:type="auto"/>
          </w:tcPr>
          <w:p w14:paraId="618F6038" w14:textId="77777777" w:rsidR="005666C9" w:rsidRPr="00AD76AF" w:rsidRDefault="005666C9" w:rsidP="005666C9">
            <w:pPr>
              <w:keepNext/>
              <w:keepLines/>
              <w:spacing w:after="0"/>
              <w:rPr>
                <w:rFonts w:cs="Arial"/>
                <w:sz w:val="20"/>
              </w:rPr>
            </w:pPr>
            <w:r w:rsidRPr="00AD76AF">
              <w:rPr>
                <w:rFonts w:cs="Arial"/>
                <w:sz w:val="20"/>
              </w:rPr>
              <w:t xml:space="preserve">Implementation of </w:t>
            </w:r>
            <w:r w:rsidRPr="00AD76AF">
              <w:rPr>
                <w:rFonts w:cs="Arial"/>
                <w:b/>
                <w:sz w:val="20"/>
              </w:rPr>
              <w:t>most</w:t>
            </w:r>
            <w:r w:rsidRPr="00AD76AF">
              <w:rPr>
                <w:rFonts w:cs="Arial"/>
                <w:sz w:val="20"/>
              </w:rPr>
              <w:t xml:space="preserve"> components is in substantial compliance with the original/formally revised plan except for only few that are subject to remedial action. </w:t>
            </w:r>
          </w:p>
        </w:tc>
      </w:tr>
      <w:tr w:rsidR="005666C9" w:rsidRPr="00AD76AF" w14:paraId="6695A12B" w14:textId="77777777" w:rsidTr="005666C9">
        <w:trPr>
          <w:trHeight w:val="516"/>
        </w:trPr>
        <w:tc>
          <w:tcPr>
            <w:tcW w:w="0" w:type="auto"/>
          </w:tcPr>
          <w:p w14:paraId="3086A3C6" w14:textId="77777777" w:rsidR="005666C9" w:rsidRPr="00AD76AF" w:rsidRDefault="005666C9" w:rsidP="005666C9">
            <w:pPr>
              <w:spacing w:after="0"/>
              <w:rPr>
                <w:rFonts w:cs="Arial"/>
                <w:b/>
                <w:sz w:val="20"/>
              </w:rPr>
            </w:pPr>
            <w:r w:rsidRPr="00AD76AF">
              <w:rPr>
                <w:rFonts w:cs="Arial"/>
                <w:b/>
                <w:sz w:val="20"/>
              </w:rPr>
              <w:t>Moderately Satisfactory (MS):</w:t>
            </w:r>
          </w:p>
        </w:tc>
        <w:tc>
          <w:tcPr>
            <w:tcW w:w="0" w:type="auto"/>
          </w:tcPr>
          <w:p w14:paraId="3845BDF8" w14:textId="77777777" w:rsidR="005666C9" w:rsidRPr="00AD76AF" w:rsidRDefault="005666C9" w:rsidP="005666C9">
            <w:pPr>
              <w:tabs>
                <w:tab w:val="left" w:pos="3420"/>
                <w:tab w:val="left" w:pos="3600"/>
                <w:tab w:val="left" w:pos="4320"/>
              </w:tabs>
              <w:spacing w:after="0"/>
              <w:rPr>
                <w:rFonts w:cs="Arial"/>
                <w:sz w:val="20"/>
              </w:rPr>
            </w:pPr>
            <w:r w:rsidRPr="00AD76AF">
              <w:rPr>
                <w:rFonts w:cs="Arial"/>
                <w:sz w:val="20"/>
              </w:rPr>
              <w:t xml:space="preserve">Implementation of </w:t>
            </w:r>
            <w:r w:rsidRPr="00AD76AF">
              <w:rPr>
                <w:rFonts w:cs="Arial"/>
                <w:b/>
                <w:sz w:val="20"/>
              </w:rPr>
              <w:t>some</w:t>
            </w:r>
            <w:r w:rsidRPr="00AD76AF">
              <w:rPr>
                <w:rFonts w:cs="Arial"/>
                <w:sz w:val="20"/>
              </w:rPr>
              <w:t xml:space="preserve"> components is in substantial compliance with the original/formally revised plan with </w:t>
            </w:r>
            <w:r w:rsidRPr="00AD76AF">
              <w:rPr>
                <w:rFonts w:cs="Arial"/>
                <w:b/>
                <w:bCs/>
                <w:sz w:val="20"/>
              </w:rPr>
              <w:t>some</w:t>
            </w:r>
            <w:r w:rsidRPr="00AD76AF">
              <w:rPr>
                <w:rFonts w:cs="Arial"/>
                <w:sz w:val="20"/>
              </w:rPr>
              <w:t xml:space="preserve"> components requiring remedial action. </w:t>
            </w:r>
          </w:p>
        </w:tc>
      </w:tr>
      <w:tr w:rsidR="005666C9" w:rsidRPr="00AD76AF" w14:paraId="7D64246E" w14:textId="77777777" w:rsidTr="005666C9">
        <w:trPr>
          <w:trHeight w:val="507"/>
        </w:trPr>
        <w:tc>
          <w:tcPr>
            <w:tcW w:w="0" w:type="auto"/>
          </w:tcPr>
          <w:p w14:paraId="1554D2CE" w14:textId="77777777" w:rsidR="005666C9" w:rsidRPr="00AD76AF" w:rsidRDefault="005666C9" w:rsidP="005666C9">
            <w:pPr>
              <w:spacing w:after="0"/>
              <w:rPr>
                <w:rFonts w:cs="Arial"/>
                <w:b/>
                <w:sz w:val="20"/>
              </w:rPr>
            </w:pPr>
            <w:r w:rsidRPr="00AD76AF">
              <w:rPr>
                <w:rFonts w:cs="Arial"/>
                <w:b/>
                <w:sz w:val="20"/>
              </w:rPr>
              <w:t>Moderately Unsatisfactory (MU):</w:t>
            </w:r>
          </w:p>
        </w:tc>
        <w:tc>
          <w:tcPr>
            <w:tcW w:w="0" w:type="auto"/>
          </w:tcPr>
          <w:p w14:paraId="7227D6B0" w14:textId="77777777" w:rsidR="005666C9" w:rsidRPr="00AD76AF" w:rsidRDefault="005666C9" w:rsidP="005666C9">
            <w:pPr>
              <w:spacing w:after="0"/>
              <w:rPr>
                <w:rFonts w:cs="Arial"/>
                <w:b/>
                <w:sz w:val="20"/>
              </w:rPr>
            </w:pPr>
            <w:r w:rsidRPr="00AD76AF">
              <w:rPr>
                <w:rFonts w:cs="Arial"/>
                <w:sz w:val="20"/>
              </w:rPr>
              <w:t xml:space="preserve">Implementation of </w:t>
            </w:r>
            <w:r w:rsidRPr="00AD76AF">
              <w:rPr>
                <w:rFonts w:cs="Arial"/>
                <w:b/>
                <w:sz w:val="20"/>
              </w:rPr>
              <w:t>some</w:t>
            </w:r>
            <w:r w:rsidRPr="00AD76AF">
              <w:rPr>
                <w:rFonts w:cs="Arial"/>
                <w:sz w:val="20"/>
              </w:rPr>
              <w:t xml:space="preserve"> components is not in substantial compliance with the original/formally revised plan with </w:t>
            </w:r>
            <w:r w:rsidRPr="00AD76AF">
              <w:rPr>
                <w:rFonts w:cs="Arial"/>
                <w:b/>
                <w:bCs/>
                <w:sz w:val="20"/>
              </w:rPr>
              <w:t>most</w:t>
            </w:r>
            <w:r w:rsidRPr="00AD76AF">
              <w:rPr>
                <w:rFonts w:cs="Arial"/>
                <w:sz w:val="20"/>
              </w:rPr>
              <w:t xml:space="preserve"> components requiring remedial action.</w:t>
            </w:r>
          </w:p>
        </w:tc>
      </w:tr>
      <w:tr w:rsidR="005666C9" w:rsidRPr="00AD76AF" w14:paraId="0BAD8D1A" w14:textId="77777777" w:rsidTr="005666C9">
        <w:trPr>
          <w:trHeight w:val="374"/>
        </w:trPr>
        <w:tc>
          <w:tcPr>
            <w:tcW w:w="0" w:type="auto"/>
          </w:tcPr>
          <w:p w14:paraId="05D691F7" w14:textId="77777777" w:rsidR="005666C9" w:rsidRPr="00AD76AF" w:rsidRDefault="005666C9" w:rsidP="005666C9">
            <w:pPr>
              <w:spacing w:after="0"/>
              <w:rPr>
                <w:rFonts w:cs="Arial"/>
                <w:b/>
                <w:sz w:val="20"/>
              </w:rPr>
            </w:pPr>
            <w:r w:rsidRPr="00AD76AF">
              <w:rPr>
                <w:rFonts w:cs="Arial"/>
                <w:b/>
                <w:sz w:val="20"/>
              </w:rPr>
              <w:t>Unsatisfactory (U):</w:t>
            </w:r>
          </w:p>
        </w:tc>
        <w:tc>
          <w:tcPr>
            <w:tcW w:w="0" w:type="auto"/>
          </w:tcPr>
          <w:p w14:paraId="13AA69E7" w14:textId="77777777" w:rsidR="005666C9" w:rsidRPr="00AD76AF" w:rsidRDefault="005666C9" w:rsidP="005666C9">
            <w:pPr>
              <w:tabs>
                <w:tab w:val="left" w:pos="3420"/>
                <w:tab w:val="left" w:pos="3600"/>
                <w:tab w:val="left" w:pos="4320"/>
              </w:tabs>
              <w:spacing w:after="0"/>
              <w:rPr>
                <w:rFonts w:cs="Arial"/>
                <w:sz w:val="20"/>
              </w:rPr>
            </w:pPr>
            <w:r w:rsidRPr="00AD76AF">
              <w:rPr>
                <w:rFonts w:cs="Arial"/>
                <w:sz w:val="20"/>
              </w:rPr>
              <w:t xml:space="preserve">Implementation of </w:t>
            </w:r>
            <w:r w:rsidRPr="00AD76AF">
              <w:rPr>
                <w:rFonts w:cs="Arial"/>
                <w:b/>
                <w:sz w:val="20"/>
              </w:rPr>
              <w:t xml:space="preserve">most </w:t>
            </w:r>
            <w:r w:rsidRPr="00AD76AF">
              <w:rPr>
                <w:rFonts w:cs="Arial"/>
                <w:sz w:val="20"/>
              </w:rPr>
              <w:t xml:space="preserve">components is </w:t>
            </w:r>
            <w:r w:rsidRPr="00AD76AF">
              <w:rPr>
                <w:rFonts w:cs="Arial"/>
                <w:bCs/>
                <w:sz w:val="20"/>
              </w:rPr>
              <w:t>not</w:t>
            </w:r>
            <w:r w:rsidRPr="00AD76AF">
              <w:rPr>
                <w:rFonts w:cs="Arial"/>
                <w:sz w:val="20"/>
              </w:rPr>
              <w:t xml:space="preserve"> in substantial compliance with the original/formally revised plan. </w:t>
            </w:r>
          </w:p>
        </w:tc>
      </w:tr>
      <w:tr w:rsidR="005666C9" w:rsidRPr="00AD76AF" w14:paraId="4DA16103" w14:textId="77777777" w:rsidTr="005666C9">
        <w:trPr>
          <w:trHeight w:val="382"/>
        </w:trPr>
        <w:tc>
          <w:tcPr>
            <w:tcW w:w="0" w:type="auto"/>
          </w:tcPr>
          <w:p w14:paraId="1C0ACB2E" w14:textId="77777777" w:rsidR="005666C9" w:rsidRPr="00AD76AF" w:rsidRDefault="005666C9" w:rsidP="005666C9">
            <w:pPr>
              <w:spacing w:after="0"/>
              <w:rPr>
                <w:rFonts w:cs="Arial"/>
                <w:b/>
                <w:sz w:val="20"/>
              </w:rPr>
            </w:pPr>
            <w:r w:rsidRPr="00AD76AF">
              <w:rPr>
                <w:rFonts w:cs="Arial"/>
                <w:b/>
                <w:sz w:val="20"/>
              </w:rPr>
              <w:t>Highly Unsatisfactory (HU):</w:t>
            </w:r>
          </w:p>
        </w:tc>
        <w:tc>
          <w:tcPr>
            <w:tcW w:w="0" w:type="auto"/>
          </w:tcPr>
          <w:p w14:paraId="6521680B" w14:textId="77777777" w:rsidR="005666C9" w:rsidRPr="00AD76AF" w:rsidRDefault="005666C9" w:rsidP="005666C9">
            <w:pPr>
              <w:spacing w:after="0"/>
              <w:rPr>
                <w:rFonts w:cs="Arial"/>
                <w:sz w:val="20"/>
              </w:rPr>
            </w:pPr>
            <w:r w:rsidRPr="00AD76AF">
              <w:rPr>
                <w:rFonts w:cs="Arial"/>
                <w:sz w:val="20"/>
              </w:rPr>
              <w:t xml:space="preserve">Implementation of </w:t>
            </w:r>
            <w:r w:rsidRPr="00AD76AF">
              <w:rPr>
                <w:rFonts w:cs="Arial"/>
                <w:b/>
                <w:sz w:val="20"/>
              </w:rPr>
              <w:t>none</w:t>
            </w:r>
            <w:r w:rsidRPr="00AD76AF">
              <w:rPr>
                <w:rFonts w:cs="Arial"/>
                <w:sz w:val="20"/>
              </w:rPr>
              <w:t xml:space="preserve"> of the components is in substantial compliance with the original/formally revised plan. </w:t>
            </w:r>
          </w:p>
        </w:tc>
      </w:tr>
    </w:tbl>
    <w:p w14:paraId="431382F6" w14:textId="77777777" w:rsidR="005666C9" w:rsidRPr="00AD76AF" w:rsidRDefault="005666C9" w:rsidP="005666C9">
      <w:pPr>
        <w:pStyle w:val="Heading2"/>
        <w:spacing w:before="0"/>
        <w:ind w:left="720" w:hanging="360"/>
        <w:rPr>
          <w:rFonts w:asciiTheme="minorHAnsi" w:hAnsiTheme="minorHAnsi" w:cs="Arial"/>
          <w:sz w:val="18"/>
        </w:rPr>
      </w:pPr>
    </w:p>
    <w:p w14:paraId="5E93ED29" w14:textId="77777777" w:rsidR="005666C9" w:rsidRPr="00AD76AF" w:rsidRDefault="005666C9" w:rsidP="005666C9">
      <w:pPr>
        <w:pStyle w:val="Heading2"/>
        <w:spacing w:before="0"/>
        <w:ind w:left="720" w:hanging="360"/>
        <w:rPr>
          <w:rFonts w:asciiTheme="minorHAnsi" w:hAnsiTheme="minorHAnsi" w:cs="Arial"/>
        </w:rPr>
      </w:pPr>
      <w:r w:rsidRPr="00AD76AF">
        <w:rPr>
          <w:rFonts w:asciiTheme="minorHAnsi" w:hAnsiTheme="minorHAnsi" w:cs="Arial"/>
        </w:rPr>
        <w:t>Global Environment Objective/Development Objective Ratings</w:t>
      </w:r>
    </w:p>
    <w:tbl>
      <w:tblPr>
        <w:tblW w:w="8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4"/>
        <w:gridCol w:w="7060"/>
      </w:tblGrid>
      <w:tr w:rsidR="005666C9" w:rsidRPr="00AD76AF" w14:paraId="5C186EC2" w14:textId="77777777" w:rsidTr="005666C9">
        <w:trPr>
          <w:trHeight w:val="901"/>
        </w:trPr>
        <w:tc>
          <w:tcPr>
            <w:tcW w:w="1704" w:type="dxa"/>
            <w:vAlign w:val="center"/>
          </w:tcPr>
          <w:p w14:paraId="6BFE16E8" w14:textId="77777777" w:rsidR="005666C9" w:rsidRPr="00AD76AF" w:rsidRDefault="005666C9" w:rsidP="005666C9">
            <w:pPr>
              <w:spacing w:after="0"/>
              <w:rPr>
                <w:rFonts w:cs="Arial"/>
                <w:b/>
                <w:sz w:val="20"/>
              </w:rPr>
            </w:pPr>
            <w:r w:rsidRPr="00AD76AF">
              <w:rPr>
                <w:rFonts w:cs="Arial"/>
                <w:b/>
                <w:sz w:val="20"/>
              </w:rPr>
              <w:t>Highly Satisfactory (HS):</w:t>
            </w:r>
          </w:p>
        </w:tc>
        <w:tc>
          <w:tcPr>
            <w:tcW w:w="7060" w:type="dxa"/>
            <w:vAlign w:val="center"/>
          </w:tcPr>
          <w:p w14:paraId="0DC1BA65" w14:textId="77777777" w:rsidR="005666C9" w:rsidRPr="00AD76AF" w:rsidRDefault="005666C9" w:rsidP="005666C9">
            <w:pPr>
              <w:spacing w:after="0"/>
              <w:ind w:right="-108"/>
              <w:rPr>
                <w:rFonts w:cs="Arial"/>
                <w:sz w:val="20"/>
              </w:rPr>
            </w:pPr>
            <w:r w:rsidRPr="00AD76AF">
              <w:rPr>
                <w:rFonts w:cs="Arial"/>
                <w:sz w:val="20"/>
              </w:rPr>
              <w:t xml:space="preserve">Project is expected to achieve or exceed </w:t>
            </w:r>
            <w:r w:rsidRPr="00AD76AF">
              <w:rPr>
                <w:rFonts w:cs="Arial"/>
                <w:b/>
                <w:sz w:val="20"/>
              </w:rPr>
              <w:t xml:space="preserve">all </w:t>
            </w:r>
            <w:r w:rsidRPr="00AD76AF">
              <w:rPr>
                <w:rFonts w:cs="Arial"/>
                <w:sz w:val="20"/>
              </w:rPr>
              <w:t>its major global environmental objectives, and yield substantial global environmental benefits, without major shortcomings. The project can be presented as “good practice”.</w:t>
            </w:r>
          </w:p>
        </w:tc>
      </w:tr>
      <w:tr w:rsidR="005666C9" w:rsidRPr="00AD76AF" w14:paraId="35B56E49" w14:textId="77777777" w:rsidTr="005666C9">
        <w:trPr>
          <w:trHeight w:val="664"/>
        </w:trPr>
        <w:tc>
          <w:tcPr>
            <w:tcW w:w="1704" w:type="dxa"/>
            <w:vAlign w:val="center"/>
          </w:tcPr>
          <w:p w14:paraId="305DFFEA" w14:textId="77777777" w:rsidR="005666C9" w:rsidRPr="00AD76AF" w:rsidRDefault="005666C9" w:rsidP="005666C9">
            <w:pPr>
              <w:spacing w:after="0"/>
              <w:rPr>
                <w:rFonts w:cs="Arial"/>
                <w:b/>
                <w:sz w:val="20"/>
              </w:rPr>
            </w:pPr>
            <w:r w:rsidRPr="00AD76AF">
              <w:rPr>
                <w:rFonts w:cs="Arial"/>
                <w:b/>
                <w:sz w:val="20"/>
              </w:rPr>
              <w:t>Satisfactory (S):</w:t>
            </w:r>
          </w:p>
        </w:tc>
        <w:tc>
          <w:tcPr>
            <w:tcW w:w="7060" w:type="dxa"/>
            <w:vAlign w:val="center"/>
          </w:tcPr>
          <w:p w14:paraId="212F7C04" w14:textId="77777777" w:rsidR="005666C9" w:rsidRPr="00AD76AF" w:rsidRDefault="005666C9" w:rsidP="005666C9">
            <w:pPr>
              <w:spacing w:after="0"/>
              <w:ind w:right="-108"/>
              <w:rPr>
                <w:rFonts w:cs="Arial"/>
                <w:sz w:val="20"/>
              </w:rPr>
            </w:pPr>
            <w:r w:rsidRPr="00AD76AF">
              <w:rPr>
                <w:rFonts w:cs="Arial"/>
                <w:sz w:val="20"/>
              </w:rPr>
              <w:t xml:space="preserve">Project is expected to achieve </w:t>
            </w:r>
            <w:r w:rsidRPr="00AD76AF">
              <w:rPr>
                <w:rFonts w:cs="Arial"/>
                <w:b/>
                <w:sz w:val="20"/>
              </w:rPr>
              <w:t xml:space="preserve">most </w:t>
            </w:r>
            <w:r w:rsidRPr="00AD76AF">
              <w:rPr>
                <w:rFonts w:cs="Arial"/>
                <w:sz w:val="20"/>
              </w:rPr>
              <w:t>of its major global environmental objectives, and yield satisfactory global environmental benefits, with only minor shortcomings.</w:t>
            </w:r>
          </w:p>
        </w:tc>
      </w:tr>
      <w:tr w:rsidR="005666C9" w:rsidRPr="00AD76AF" w14:paraId="3051320A" w14:textId="77777777" w:rsidTr="005666C9">
        <w:trPr>
          <w:trHeight w:val="1154"/>
        </w:trPr>
        <w:tc>
          <w:tcPr>
            <w:tcW w:w="1704" w:type="dxa"/>
            <w:vAlign w:val="center"/>
          </w:tcPr>
          <w:p w14:paraId="0C54AF47" w14:textId="77777777" w:rsidR="005666C9" w:rsidRPr="00AD76AF" w:rsidRDefault="005666C9" w:rsidP="005666C9">
            <w:pPr>
              <w:spacing w:after="0"/>
              <w:rPr>
                <w:rFonts w:cs="Arial"/>
                <w:b/>
                <w:sz w:val="20"/>
              </w:rPr>
            </w:pPr>
            <w:r w:rsidRPr="00AD76AF">
              <w:rPr>
                <w:rFonts w:cs="Arial"/>
                <w:b/>
                <w:sz w:val="20"/>
              </w:rPr>
              <w:t>Moderately Satisfactory (MS):</w:t>
            </w:r>
          </w:p>
        </w:tc>
        <w:tc>
          <w:tcPr>
            <w:tcW w:w="7060" w:type="dxa"/>
            <w:vAlign w:val="center"/>
          </w:tcPr>
          <w:p w14:paraId="27D4F895" w14:textId="77777777" w:rsidR="005666C9" w:rsidRPr="00AD76AF" w:rsidRDefault="005666C9" w:rsidP="005666C9">
            <w:pPr>
              <w:spacing w:after="0"/>
              <w:ind w:right="-108"/>
              <w:rPr>
                <w:rFonts w:cs="Arial"/>
                <w:sz w:val="20"/>
              </w:rPr>
            </w:pPr>
            <w:r w:rsidRPr="00AD76AF">
              <w:rPr>
                <w:rFonts w:cs="Arial"/>
                <w:sz w:val="20"/>
              </w:rPr>
              <w:t xml:space="preserve">Project is expected to achieve </w:t>
            </w:r>
            <w:r w:rsidRPr="00AD76AF">
              <w:rPr>
                <w:rFonts w:cs="Arial"/>
                <w:b/>
                <w:sz w:val="20"/>
              </w:rPr>
              <w:t>most</w:t>
            </w:r>
            <w:r w:rsidRPr="00AD76AF">
              <w:rPr>
                <w:rFonts w:cs="Arial"/>
                <w:sz w:val="20"/>
              </w:rPr>
              <w:t xml:space="preserve"> of its major relevant objectives but with either significant shortcomings or moderate overall relevance. Project is expected not to achieve some of its major global environmental objectives or yield some of the expected global environment benefits.</w:t>
            </w:r>
          </w:p>
        </w:tc>
      </w:tr>
      <w:tr w:rsidR="005666C9" w:rsidRPr="00AD76AF" w14:paraId="248A0383" w14:textId="77777777" w:rsidTr="005666C9">
        <w:trPr>
          <w:trHeight w:val="917"/>
        </w:trPr>
        <w:tc>
          <w:tcPr>
            <w:tcW w:w="1704" w:type="dxa"/>
            <w:vAlign w:val="center"/>
          </w:tcPr>
          <w:p w14:paraId="35F96F2B" w14:textId="77777777" w:rsidR="005666C9" w:rsidRPr="00AD76AF" w:rsidRDefault="005666C9" w:rsidP="005666C9">
            <w:pPr>
              <w:spacing w:after="0"/>
              <w:rPr>
                <w:rFonts w:cs="Arial"/>
                <w:b/>
                <w:sz w:val="20"/>
              </w:rPr>
            </w:pPr>
            <w:r w:rsidRPr="00AD76AF">
              <w:rPr>
                <w:rFonts w:cs="Arial"/>
                <w:b/>
                <w:sz w:val="20"/>
              </w:rPr>
              <w:t>Moderately Unsatisfactory (MU):</w:t>
            </w:r>
          </w:p>
        </w:tc>
        <w:tc>
          <w:tcPr>
            <w:tcW w:w="7060" w:type="dxa"/>
            <w:vAlign w:val="center"/>
          </w:tcPr>
          <w:p w14:paraId="3D2A8DAD" w14:textId="77777777" w:rsidR="005666C9" w:rsidRPr="00AD76AF" w:rsidRDefault="005666C9" w:rsidP="005666C9">
            <w:pPr>
              <w:spacing w:after="0"/>
              <w:ind w:right="-108"/>
              <w:rPr>
                <w:rFonts w:cs="Arial"/>
                <w:sz w:val="20"/>
              </w:rPr>
            </w:pPr>
            <w:r w:rsidRPr="00AD76AF">
              <w:rPr>
                <w:rFonts w:cs="Arial"/>
                <w:sz w:val="20"/>
              </w:rPr>
              <w:t>Project is expected to achieve</w:t>
            </w:r>
            <w:r w:rsidRPr="00AD76AF">
              <w:rPr>
                <w:rFonts w:cs="Arial"/>
                <w:b/>
                <w:sz w:val="20"/>
              </w:rPr>
              <w:t xml:space="preserve"> some </w:t>
            </w:r>
            <w:r w:rsidRPr="00AD76AF">
              <w:rPr>
                <w:rFonts w:cs="Arial"/>
                <w:sz w:val="20"/>
              </w:rPr>
              <w:t xml:space="preserve">of its major global environmental objectives with major shortcomings or is expected to achieve only </w:t>
            </w:r>
            <w:r w:rsidRPr="00AD76AF">
              <w:rPr>
                <w:rFonts w:cs="Arial"/>
                <w:b/>
                <w:sz w:val="20"/>
              </w:rPr>
              <w:t xml:space="preserve">some </w:t>
            </w:r>
            <w:r w:rsidRPr="00AD76AF">
              <w:rPr>
                <w:rFonts w:cs="Arial"/>
                <w:sz w:val="20"/>
              </w:rPr>
              <w:t xml:space="preserve">of its major global environmental objectives. </w:t>
            </w:r>
          </w:p>
        </w:tc>
      </w:tr>
      <w:tr w:rsidR="005666C9" w:rsidRPr="00AD76AF" w14:paraId="02E4B462" w14:textId="77777777" w:rsidTr="005666C9">
        <w:trPr>
          <w:trHeight w:val="664"/>
        </w:trPr>
        <w:tc>
          <w:tcPr>
            <w:tcW w:w="1704" w:type="dxa"/>
            <w:vAlign w:val="center"/>
          </w:tcPr>
          <w:p w14:paraId="5DB56E03" w14:textId="77777777" w:rsidR="005666C9" w:rsidRPr="00AD76AF" w:rsidRDefault="005666C9" w:rsidP="005666C9">
            <w:pPr>
              <w:spacing w:after="0"/>
              <w:rPr>
                <w:rFonts w:cs="Arial"/>
                <w:b/>
                <w:sz w:val="20"/>
              </w:rPr>
            </w:pPr>
            <w:r w:rsidRPr="00AD76AF">
              <w:rPr>
                <w:rFonts w:cs="Arial"/>
                <w:b/>
                <w:sz w:val="20"/>
              </w:rPr>
              <w:t>Unsatisfactory (U):</w:t>
            </w:r>
          </w:p>
        </w:tc>
        <w:tc>
          <w:tcPr>
            <w:tcW w:w="7060" w:type="dxa"/>
            <w:vAlign w:val="center"/>
          </w:tcPr>
          <w:p w14:paraId="144A567D" w14:textId="77777777" w:rsidR="005666C9" w:rsidRPr="00AD76AF" w:rsidRDefault="005666C9" w:rsidP="005666C9">
            <w:pPr>
              <w:spacing w:after="0"/>
              <w:ind w:right="-108"/>
              <w:rPr>
                <w:rFonts w:cs="Arial"/>
                <w:sz w:val="20"/>
              </w:rPr>
            </w:pPr>
            <w:r w:rsidRPr="00AD76AF">
              <w:rPr>
                <w:rFonts w:cs="Arial"/>
                <w:sz w:val="20"/>
              </w:rPr>
              <w:t xml:space="preserve">Project is expected not to achieve </w:t>
            </w:r>
            <w:r w:rsidRPr="00AD76AF">
              <w:rPr>
                <w:rFonts w:cs="Arial"/>
                <w:b/>
                <w:sz w:val="20"/>
              </w:rPr>
              <w:t>most</w:t>
            </w:r>
            <w:r w:rsidRPr="00AD76AF">
              <w:rPr>
                <w:rFonts w:cs="Arial"/>
                <w:sz w:val="20"/>
              </w:rPr>
              <w:t xml:space="preserve"> of its major global environment objectives or to yield any satisfactory global environmental benefits.</w:t>
            </w:r>
          </w:p>
        </w:tc>
      </w:tr>
      <w:tr w:rsidR="005666C9" w:rsidRPr="00AD76AF" w14:paraId="789E5F4F" w14:textId="77777777" w:rsidTr="005666C9">
        <w:trPr>
          <w:trHeight w:val="917"/>
        </w:trPr>
        <w:tc>
          <w:tcPr>
            <w:tcW w:w="1704" w:type="dxa"/>
            <w:vAlign w:val="center"/>
          </w:tcPr>
          <w:p w14:paraId="1AE8C535" w14:textId="77777777" w:rsidR="005666C9" w:rsidRPr="00AD76AF" w:rsidRDefault="005666C9" w:rsidP="005666C9">
            <w:pPr>
              <w:spacing w:after="0"/>
              <w:rPr>
                <w:rFonts w:cs="Arial"/>
                <w:b/>
                <w:sz w:val="20"/>
              </w:rPr>
            </w:pPr>
            <w:r w:rsidRPr="00AD76AF">
              <w:rPr>
                <w:rFonts w:cs="Arial"/>
                <w:b/>
                <w:sz w:val="20"/>
              </w:rPr>
              <w:t>Highly Unsatisfactory (HU):</w:t>
            </w:r>
          </w:p>
        </w:tc>
        <w:tc>
          <w:tcPr>
            <w:tcW w:w="7060" w:type="dxa"/>
            <w:vAlign w:val="center"/>
          </w:tcPr>
          <w:p w14:paraId="6EE23F2C" w14:textId="77777777" w:rsidR="005666C9" w:rsidRPr="00AD76AF" w:rsidRDefault="005666C9" w:rsidP="005666C9">
            <w:pPr>
              <w:spacing w:after="0"/>
              <w:ind w:right="-108"/>
              <w:rPr>
                <w:rFonts w:cs="Arial"/>
                <w:sz w:val="20"/>
              </w:rPr>
            </w:pPr>
            <w:r w:rsidRPr="00AD76AF">
              <w:rPr>
                <w:rFonts w:cs="Arial"/>
                <w:sz w:val="20"/>
              </w:rPr>
              <w:t xml:space="preserve">The project has failed to achieve, and is not expected to achieve, </w:t>
            </w:r>
            <w:r w:rsidRPr="00AD76AF">
              <w:rPr>
                <w:rFonts w:cs="Arial"/>
                <w:b/>
                <w:sz w:val="20"/>
              </w:rPr>
              <w:t>any</w:t>
            </w:r>
            <w:r w:rsidRPr="00AD76AF">
              <w:rPr>
                <w:rFonts w:cs="Arial"/>
                <w:sz w:val="20"/>
              </w:rPr>
              <w:t xml:space="preserve"> of its major global environment objectives with </w:t>
            </w:r>
            <w:r w:rsidRPr="00AD76AF">
              <w:rPr>
                <w:rFonts w:cs="Arial"/>
                <w:b/>
                <w:sz w:val="20"/>
              </w:rPr>
              <w:t>no</w:t>
            </w:r>
            <w:r w:rsidRPr="00AD76AF">
              <w:rPr>
                <w:rFonts w:cs="Arial"/>
                <w:sz w:val="20"/>
              </w:rPr>
              <w:t xml:space="preserve"> worthwhile benefits.</w:t>
            </w:r>
          </w:p>
        </w:tc>
      </w:tr>
    </w:tbl>
    <w:p w14:paraId="6EBB624A" w14:textId="77777777" w:rsidR="005666C9" w:rsidRPr="00AD76AF" w:rsidRDefault="005666C9" w:rsidP="005666C9">
      <w:pPr>
        <w:pStyle w:val="Heading2"/>
        <w:spacing w:before="0"/>
        <w:ind w:left="720" w:hanging="360"/>
        <w:rPr>
          <w:rFonts w:asciiTheme="minorHAnsi" w:hAnsiTheme="minorHAnsi" w:cs="Arial"/>
          <w:sz w:val="18"/>
        </w:rPr>
      </w:pPr>
    </w:p>
    <w:p w14:paraId="25B6B62F" w14:textId="77777777" w:rsidR="005666C9" w:rsidRPr="00AD76AF" w:rsidRDefault="005666C9" w:rsidP="005666C9">
      <w:pPr>
        <w:pStyle w:val="Heading2"/>
        <w:spacing w:before="0"/>
        <w:ind w:left="720" w:hanging="360"/>
        <w:rPr>
          <w:rFonts w:asciiTheme="minorHAnsi" w:hAnsiTheme="minorHAnsi" w:cs="Arial"/>
        </w:rPr>
      </w:pPr>
      <w:r w:rsidRPr="00AD76AF">
        <w:rPr>
          <w:rFonts w:asciiTheme="minorHAnsi" w:hAnsiTheme="minorHAnsi" w:cs="Arial"/>
        </w:rPr>
        <w:t>Development/Adaptation Objective Ratings (For LDCF/SCCF/SPA)</w:t>
      </w:r>
    </w:p>
    <w:tbl>
      <w:tblP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2"/>
        <w:gridCol w:w="6871"/>
      </w:tblGrid>
      <w:tr w:rsidR="005666C9" w:rsidRPr="00AD76AF" w14:paraId="18C598DC" w14:textId="77777777" w:rsidTr="0023744A">
        <w:trPr>
          <w:trHeight w:val="256"/>
        </w:trPr>
        <w:tc>
          <w:tcPr>
            <w:tcW w:w="1124" w:type="pct"/>
            <w:vAlign w:val="center"/>
          </w:tcPr>
          <w:p w14:paraId="6D77E1F1" w14:textId="77777777" w:rsidR="005666C9" w:rsidRPr="00AD76AF" w:rsidRDefault="005666C9" w:rsidP="005666C9">
            <w:pPr>
              <w:spacing w:after="0"/>
              <w:rPr>
                <w:rFonts w:cs="Arial"/>
                <w:b/>
                <w:sz w:val="20"/>
              </w:rPr>
            </w:pPr>
            <w:r w:rsidRPr="00AD76AF">
              <w:rPr>
                <w:rFonts w:cs="Arial"/>
                <w:b/>
                <w:sz w:val="20"/>
              </w:rPr>
              <w:t>Highly Satisfactory (HS):</w:t>
            </w:r>
          </w:p>
        </w:tc>
        <w:tc>
          <w:tcPr>
            <w:tcW w:w="3876" w:type="pct"/>
            <w:vAlign w:val="center"/>
          </w:tcPr>
          <w:p w14:paraId="2B23D596" w14:textId="77777777" w:rsidR="005666C9" w:rsidRPr="00AD76AF" w:rsidRDefault="005666C9" w:rsidP="005666C9">
            <w:pPr>
              <w:spacing w:after="0"/>
              <w:rPr>
                <w:rFonts w:cs="Arial"/>
                <w:sz w:val="20"/>
              </w:rPr>
            </w:pPr>
            <w:r w:rsidRPr="00AD76AF">
              <w:rPr>
                <w:rFonts w:cs="Arial"/>
                <w:sz w:val="20"/>
              </w:rPr>
              <w:t>Project is expected to achieve or exceed all its major development/adaptation objectives, and yield substantial adaptation benefits, without major shortcomings. The project can be presented as “good practice”.</w:t>
            </w:r>
          </w:p>
        </w:tc>
      </w:tr>
      <w:tr w:rsidR="005666C9" w:rsidRPr="00AD76AF" w14:paraId="537C2148" w14:textId="77777777" w:rsidTr="0023744A">
        <w:trPr>
          <w:trHeight w:val="144"/>
        </w:trPr>
        <w:tc>
          <w:tcPr>
            <w:tcW w:w="1124" w:type="pct"/>
            <w:vAlign w:val="center"/>
          </w:tcPr>
          <w:p w14:paraId="6F8600B1" w14:textId="77777777" w:rsidR="005666C9" w:rsidRPr="00AD76AF" w:rsidRDefault="005666C9" w:rsidP="005666C9">
            <w:pPr>
              <w:spacing w:after="0"/>
              <w:rPr>
                <w:rFonts w:cs="Arial"/>
                <w:b/>
                <w:sz w:val="20"/>
              </w:rPr>
            </w:pPr>
            <w:r w:rsidRPr="00AD76AF">
              <w:rPr>
                <w:rFonts w:cs="Arial"/>
                <w:b/>
                <w:sz w:val="20"/>
              </w:rPr>
              <w:t>Satisfactory (S):</w:t>
            </w:r>
          </w:p>
        </w:tc>
        <w:tc>
          <w:tcPr>
            <w:tcW w:w="3876" w:type="pct"/>
            <w:vAlign w:val="center"/>
          </w:tcPr>
          <w:p w14:paraId="02D57F2A" w14:textId="77777777" w:rsidR="005666C9" w:rsidRPr="00AD76AF" w:rsidRDefault="005666C9" w:rsidP="005666C9">
            <w:pPr>
              <w:spacing w:after="0"/>
              <w:rPr>
                <w:rFonts w:cs="Arial"/>
                <w:sz w:val="20"/>
              </w:rPr>
            </w:pPr>
            <w:r w:rsidRPr="00AD76AF">
              <w:rPr>
                <w:rFonts w:cs="Arial"/>
                <w:sz w:val="20"/>
              </w:rPr>
              <w:t xml:space="preserve">Project is expected to achieve </w:t>
            </w:r>
            <w:r w:rsidRPr="00AD76AF">
              <w:rPr>
                <w:rFonts w:cs="Arial"/>
                <w:b/>
                <w:sz w:val="20"/>
              </w:rPr>
              <w:t xml:space="preserve">most </w:t>
            </w:r>
            <w:r w:rsidRPr="00AD76AF">
              <w:rPr>
                <w:rFonts w:cs="Arial"/>
                <w:sz w:val="20"/>
              </w:rPr>
              <w:t>of its major development/adaptation objectives, and yield satisfactory adaptation benefits, with only minor shortcomings.</w:t>
            </w:r>
          </w:p>
        </w:tc>
      </w:tr>
      <w:tr w:rsidR="005666C9" w:rsidRPr="00AD76AF" w14:paraId="7F915B59" w14:textId="77777777" w:rsidTr="0023744A">
        <w:trPr>
          <w:trHeight w:val="144"/>
        </w:trPr>
        <w:tc>
          <w:tcPr>
            <w:tcW w:w="1124" w:type="pct"/>
            <w:vAlign w:val="center"/>
          </w:tcPr>
          <w:p w14:paraId="5C15BBBF" w14:textId="77777777" w:rsidR="005666C9" w:rsidRPr="00AD76AF" w:rsidRDefault="005666C9" w:rsidP="005666C9">
            <w:pPr>
              <w:spacing w:after="0"/>
              <w:rPr>
                <w:rFonts w:cs="Arial"/>
                <w:b/>
                <w:sz w:val="20"/>
              </w:rPr>
            </w:pPr>
            <w:r w:rsidRPr="00AD76AF">
              <w:rPr>
                <w:rFonts w:cs="Arial"/>
                <w:b/>
                <w:sz w:val="20"/>
              </w:rPr>
              <w:t>Marginally Satisfactory (MS):</w:t>
            </w:r>
          </w:p>
        </w:tc>
        <w:tc>
          <w:tcPr>
            <w:tcW w:w="3876" w:type="pct"/>
            <w:vAlign w:val="center"/>
          </w:tcPr>
          <w:p w14:paraId="48D07124" w14:textId="77777777" w:rsidR="005666C9" w:rsidRPr="00AD76AF" w:rsidRDefault="005666C9" w:rsidP="005666C9">
            <w:pPr>
              <w:spacing w:after="0"/>
              <w:rPr>
                <w:rFonts w:cs="Arial"/>
                <w:sz w:val="20"/>
              </w:rPr>
            </w:pPr>
            <w:r w:rsidRPr="00AD76AF">
              <w:rPr>
                <w:rFonts w:cs="Arial"/>
                <w:sz w:val="20"/>
              </w:rPr>
              <w:t xml:space="preserve">Project is expected to achieve </w:t>
            </w:r>
            <w:r w:rsidRPr="00AD76AF">
              <w:rPr>
                <w:rFonts w:cs="Arial"/>
                <w:b/>
                <w:sz w:val="20"/>
              </w:rPr>
              <w:t>most</w:t>
            </w:r>
            <w:r w:rsidRPr="00AD76AF">
              <w:rPr>
                <w:rFonts w:cs="Arial"/>
                <w:sz w:val="20"/>
              </w:rPr>
              <w:t xml:space="preserve"> of its major relevant development/adaptation objectives but with either significant shortcomings or moderate overall relevance. Project is expected not to achieve </w:t>
            </w:r>
            <w:r w:rsidRPr="00AD76AF">
              <w:rPr>
                <w:rFonts w:cs="Arial"/>
                <w:b/>
                <w:sz w:val="20"/>
              </w:rPr>
              <w:t>some</w:t>
            </w:r>
            <w:r w:rsidRPr="00AD76AF">
              <w:rPr>
                <w:rFonts w:cs="Arial"/>
                <w:sz w:val="20"/>
              </w:rPr>
              <w:t xml:space="preserve"> of its major </w:t>
            </w:r>
            <w:r w:rsidRPr="00AD76AF">
              <w:rPr>
                <w:rFonts w:cs="Arial"/>
                <w:sz w:val="20"/>
              </w:rPr>
              <w:lastRenderedPageBreak/>
              <w:t>development objectives or yield some of the expected adaptation benefits.</w:t>
            </w:r>
          </w:p>
        </w:tc>
      </w:tr>
      <w:tr w:rsidR="005666C9" w:rsidRPr="00AD76AF" w14:paraId="156CD8F6" w14:textId="77777777" w:rsidTr="0023744A">
        <w:trPr>
          <w:trHeight w:val="144"/>
        </w:trPr>
        <w:tc>
          <w:tcPr>
            <w:tcW w:w="1124" w:type="pct"/>
            <w:vAlign w:val="center"/>
          </w:tcPr>
          <w:p w14:paraId="066A6D68" w14:textId="77777777" w:rsidR="005666C9" w:rsidRPr="00AD76AF" w:rsidRDefault="005666C9" w:rsidP="005666C9">
            <w:pPr>
              <w:spacing w:after="0"/>
              <w:rPr>
                <w:rFonts w:cs="Arial"/>
                <w:b/>
                <w:sz w:val="20"/>
              </w:rPr>
            </w:pPr>
            <w:r w:rsidRPr="00AD76AF">
              <w:rPr>
                <w:rFonts w:cs="Arial"/>
                <w:b/>
                <w:sz w:val="20"/>
              </w:rPr>
              <w:lastRenderedPageBreak/>
              <w:t>Marginally Unsatisfactory (MU):</w:t>
            </w:r>
          </w:p>
        </w:tc>
        <w:tc>
          <w:tcPr>
            <w:tcW w:w="3876" w:type="pct"/>
            <w:vAlign w:val="center"/>
          </w:tcPr>
          <w:p w14:paraId="3BF3DCDD" w14:textId="77777777" w:rsidR="005666C9" w:rsidRPr="00AD76AF" w:rsidRDefault="005666C9" w:rsidP="005666C9">
            <w:pPr>
              <w:spacing w:after="0"/>
              <w:rPr>
                <w:rFonts w:cs="Arial"/>
                <w:sz w:val="20"/>
              </w:rPr>
            </w:pPr>
            <w:r w:rsidRPr="00AD76AF">
              <w:rPr>
                <w:rFonts w:cs="Arial"/>
                <w:sz w:val="20"/>
              </w:rPr>
              <w:t xml:space="preserve">Project is expected to achieve </w:t>
            </w:r>
            <w:r w:rsidRPr="00AD76AF">
              <w:rPr>
                <w:rFonts w:cs="Arial"/>
                <w:b/>
                <w:sz w:val="20"/>
              </w:rPr>
              <w:t xml:space="preserve">some </w:t>
            </w:r>
            <w:r w:rsidRPr="00AD76AF">
              <w:rPr>
                <w:rFonts w:cs="Arial"/>
                <w:sz w:val="20"/>
              </w:rPr>
              <w:t xml:space="preserve">of its major development/adaptation objectives with major shortcomings or is expected to achieve only </w:t>
            </w:r>
            <w:r w:rsidRPr="00AD76AF">
              <w:rPr>
                <w:rFonts w:cs="Arial"/>
                <w:b/>
                <w:sz w:val="20"/>
              </w:rPr>
              <w:t>some</w:t>
            </w:r>
            <w:r w:rsidRPr="00AD76AF">
              <w:rPr>
                <w:rFonts w:cs="Arial"/>
                <w:sz w:val="20"/>
              </w:rPr>
              <w:t xml:space="preserve"> of its major adaptation objectives.</w:t>
            </w:r>
          </w:p>
        </w:tc>
      </w:tr>
      <w:tr w:rsidR="005666C9" w:rsidRPr="00AD76AF" w14:paraId="6E7C0203" w14:textId="77777777" w:rsidTr="0023744A">
        <w:trPr>
          <w:trHeight w:val="144"/>
        </w:trPr>
        <w:tc>
          <w:tcPr>
            <w:tcW w:w="1124" w:type="pct"/>
            <w:vAlign w:val="center"/>
          </w:tcPr>
          <w:p w14:paraId="0BCC2492" w14:textId="77777777" w:rsidR="005666C9" w:rsidRPr="00AD76AF" w:rsidRDefault="005666C9" w:rsidP="005666C9">
            <w:pPr>
              <w:spacing w:after="0"/>
              <w:rPr>
                <w:rFonts w:cs="Arial"/>
                <w:b/>
                <w:sz w:val="20"/>
              </w:rPr>
            </w:pPr>
            <w:r w:rsidRPr="00AD76AF">
              <w:rPr>
                <w:rFonts w:cs="Arial"/>
                <w:b/>
                <w:sz w:val="20"/>
              </w:rPr>
              <w:t>Unsatisfactory (U):</w:t>
            </w:r>
          </w:p>
        </w:tc>
        <w:tc>
          <w:tcPr>
            <w:tcW w:w="3876" w:type="pct"/>
            <w:vAlign w:val="center"/>
          </w:tcPr>
          <w:p w14:paraId="31A3A84B" w14:textId="77777777" w:rsidR="005666C9" w:rsidRPr="00AD76AF" w:rsidRDefault="005666C9" w:rsidP="005666C9">
            <w:pPr>
              <w:spacing w:after="0"/>
              <w:rPr>
                <w:rFonts w:cs="Arial"/>
                <w:sz w:val="20"/>
              </w:rPr>
            </w:pPr>
            <w:r w:rsidRPr="00AD76AF">
              <w:rPr>
                <w:rFonts w:cs="Arial"/>
                <w:sz w:val="20"/>
              </w:rPr>
              <w:t xml:space="preserve">Project is expected not to achieve </w:t>
            </w:r>
            <w:r w:rsidRPr="00AD76AF">
              <w:rPr>
                <w:rFonts w:cs="Arial"/>
                <w:b/>
                <w:sz w:val="20"/>
              </w:rPr>
              <w:t xml:space="preserve">most </w:t>
            </w:r>
            <w:r w:rsidRPr="00AD76AF">
              <w:rPr>
                <w:rFonts w:cs="Arial"/>
                <w:sz w:val="20"/>
              </w:rPr>
              <w:t>of its major development/adaptation objectives or to yield any satisfactory adaptation benefits.</w:t>
            </w:r>
          </w:p>
        </w:tc>
      </w:tr>
      <w:tr w:rsidR="005666C9" w:rsidRPr="00AD76AF" w14:paraId="1E61381A" w14:textId="77777777" w:rsidTr="0023744A">
        <w:trPr>
          <w:trHeight w:val="144"/>
        </w:trPr>
        <w:tc>
          <w:tcPr>
            <w:tcW w:w="1124" w:type="pct"/>
            <w:vAlign w:val="center"/>
          </w:tcPr>
          <w:p w14:paraId="266612D8" w14:textId="77777777" w:rsidR="005666C9" w:rsidRPr="00AD76AF" w:rsidRDefault="005666C9" w:rsidP="005666C9">
            <w:pPr>
              <w:spacing w:after="0"/>
              <w:rPr>
                <w:rFonts w:cs="Arial"/>
                <w:b/>
                <w:sz w:val="20"/>
              </w:rPr>
            </w:pPr>
            <w:r w:rsidRPr="00AD76AF">
              <w:rPr>
                <w:rFonts w:cs="Arial"/>
                <w:b/>
                <w:sz w:val="20"/>
              </w:rPr>
              <w:t>Highly Unsatisfactory (HU):</w:t>
            </w:r>
          </w:p>
        </w:tc>
        <w:tc>
          <w:tcPr>
            <w:tcW w:w="3876" w:type="pct"/>
            <w:vAlign w:val="center"/>
          </w:tcPr>
          <w:p w14:paraId="34EDB5B9" w14:textId="77777777" w:rsidR="005666C9" w:rsidRPr="00AD76AF" w:rsidRDefault="005666C9" w:rsidP="005666C9">
            <w:pPr>
              <w:spacing w:after="0"/>
              <w:rPr>
                <w:rFonts w:cs="Arial"/>
                <w:sz w:val="20"/>
              </w:rPr>
            </w:pPr>
            <w:r w:rsidRPr="00AD76AF">
              <w:rPr>
                <w:rFonts w:cs="Arial"/>
                <w:sz w:val="20"/>
              </w:rPr>
              <w:t>The project has failed to achieve, and is not expected to achieve</w:t>
            </w:r>
            <w:r w:rsidRPr="00AD76AF">
              <w:rPr>
                <w:rFonts w:cs="Arial"/>
                <w:b/>
                <w:sz w:val="20"/>
              </w:rPr>
              <w:t xml:space="preserve"> any</w:t>
            </w:r>
            <w:r w:rsidRPr="00AD76AF">
              <w:rPr>
                <w:rFonts w:cs="Arial"/>
                <w:sz w:val="20"/>
              </w:rPr>
              <w:t xml:space="preserve"> of its major development/adaptation objectives with no worthwhile adaptation benefits.</w:t>
            </w:r>
          </w:p>
        </w:tc>
      </w:tr>
    </w:tbl>
    <w:p w14:paraId="12B1F246" w14:textId="77777777" w:rsidR="005666C9" w:rsidRPr="00AD76AF" w:rsidRDefault="005666C9" w:rsidP="005666C9">
      <w:pPr>
        <w:pStyle w:val="Heading2"/>
        <w:spacing w:before="0"/>
        <w:ind w:left="720" w:hanging="360"/>
        <w:rPr>
          <w:rFonts w:asciiTheme="minorHAnsi" w:hAnsiTheme="minorHAnsi" w:cs="Arial"/>
        </w:rPr>
      </w:pPr>
    </w:p>
    <w:p w14:paraId="4FA81D14" w14:textId="77777777" w:rsidR="005666C9" w:rsidRPr="00AD76AF" w:rsidRDefault="005666C9" w:rsidP="005666C9">
      <w:pPr>
        <w:pStyle w:val="Heading2"/>
        <w:spacing w:before="0"/>
        <w:ind w:left="720" w:hanging="360"/>
        <w:rPr>
          <w:rFonts w:asciiTheme="minorHAnsi" w:hAnsiTheme="minorHAnsi" w:cs="Arial"/>
        </w:rPr>
      </w:pPr>
      <w:r w:rsidRPr="00AD76AF">
        <w:rPr>
          <w:rFonts w:asciiTheme="minorHAnsi" w:hAnsiTheme="minorHAnsi" w:cs="Arial"/>
        </w:rPr>
        <w:t>Risk Ratings</w:t>
      </w:r>
    </w:p>
    <w:tbl>
      <w:tblPr>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9"/>
        <w:gridCol w:w="7140"/>
      </w:tblGrid>
      <w:tr w:rsidR="005666C9" w:rsidRPr="00AD76AF" w14:paraId="2658182A" w14:textId="77777777" w:rsidTr="0023744A">
        <w:trPr>
          <w:trHeight w:val="784"/>
        </w:trPr>
        <w:tc>
          <w:tcPr>
            <w:tcW w:w="1729" w:type="dxa"/>
            <w:vAlign w:val="center"/>
          </w:tcPr>
          <w:p w14:paraId="7F706433" w14:textId="77777777" w:rsidR="005666C9" w:rsidRPr="00AD76AF" w:rsidRDefault="005666C9" w:rsidP="005666C9">
            <w:pPr>
              <w:keepNext/>
              <w:keepLines/>
              <w:spacing w:after="0"/>
              <w:rPr>
                <w:rFonts w:cs="Arial"/>
                <w:b/>
                <w:sz w:val="20"/>
              </w:rPr>
            </w:pPr>
            <w:r w:rsidRPr="00AD76AF">
              <w:rPr>
                <w:rFonts w:cs="Arial"/>
                <w:b/>
                <w:sz w:val="20"/>
              </w:rPr>
              <w:t>High Risk (H):</w:t>
            </w:r>
          </w:p>
        </w:tc>
        <w:tc>
          <w:tcPr>
            <w:tcW w:w="7140" w:type="dxa"/>
            <w:vAlign w:val="center"/>
          </w:tcPr>
          <w:p w14:paraId="15C0F3DD" w14:textId="77777777" w:rsidR="005666C9" w:rsidRPr="00AD76AF" w:rsidRDefault="005666C9" w:rsidP="005666C9">
            <w:pPr>
              <w:spacing w:after="0"/>
              <w:rPr>
                <w:rFonts w:cs="Arial"/>
                <w:sz w:val="20"/>
              </w:rPr>
            </w:pPr>
            <w:r w:rsidRPr="00AD76AF">
              <w:rPr>
                <w:rFonts w:cs="Arial"/>
                <w:sz w:val="20"/>
              </w:rPr>
              <w:t>There is a probability of greater than 75% that assumptions may fail to hold or materialize, and/or the project may face high risks.</w:t>
            </w:r>
          </w:p>
        </w:tc>
      </w:tr>
      <w:tr w:rsidR="005666C9" w:rsidRPr="00AD76AF" w14:paraId="5B948DC9" w14:textId="77777777" w:rsidTr="0023744A">
        <w:trPr>
          <w:trHeight w:val="766"/>
        </w:trPr>
        <w:tc>
          <w:tcPr>
            <w:tcW w:w="1729" w:type="dxa"/>
            <w:vAlign w:val="center"/>
          </w:tcPr>
          <w:p w14:paraId="1CA3C38C" w14:textId="77777777" w:rsidR="005666C9" w:rsidRPr="00AD76AF" w:rsidRDefault="005666C9" w:rsidP="005666C9">
            <w:pPr>
              <w:keepNext/>
              <w:keepLines/>
              <w:spacing w:after="0"/>
              <w:rPr>
                <w:rFonts w:cs="Arial"/>
                <w:b/>
                <w:sz w:val="20"/>
              </w:rPr>
            </w:pPr>
            <w:r w:rsidRPr="00AD76AF">
              <w:rPr>
                <w:rFonts w:cs="Arial"/>
                <w:b/>
                <w:sz w:val="20"/>
              </w:rPr>
              <w:t>Substantial Risk (S):</w:t>
            </w:r>
          </w:p>
        </w:tc>
        <w:tc>
          <w:tcPr>
            <w:tcW w:w="7140" w:type="dxa"/>
            <w:vAlign w:val="center"/>
          </w:tcPr>
          <w:p w14:paraId="5191A5DA" w14:textId="77777777" w:rsidR="005666C9" w:rsidRPr="00AD76AF" w:rsidRDefault="005666C9" w:rsidP="005666C9">
            <w:pPr>
              <w:spacing w:after="0"/>
              <w:rPr>
                <w:rFonts w:cs="Arial"/>
                <w:sz w:val="20"/>
              </w:rPr>
            </w:pPr>
            <w:r w:rsidRPr="00AD76AF">
              <w:rPr>
                <w:rFonts w:cs="Arial"/>
                <w:sz w:val="20"/>
              </w:rPr>
              <w:t>There is a probability of between 51% and 75% that assumptions may fail to hold and/or the project may face substantial risks.</w:t>
            </w:r>
          </w:p>
        </w:tc>
      </w:tr>
      <w:tr w:rsidR="005666C9" w:rsidRPr="00AD76AF" w14:paraId="6734E233" w14:textId="77777777" w:rsidTr="0023744A">
        <w:trPr>
          <w:trHeight w:val="766"/>
        </w:trPr>
        <w:tc>
          <w:tcPr>
            <w:tcW w:w="1729" w:type="dxa"/>
            <w:vAlign w:val="center"/>
          </w:tcPr>
          <w:p w14:paraId="6D103FF1" w14:textId="77777777" w:rsidR="005666C9" w:rsidRPr="00AD76AF" w:rsidRDefault="005666C9" w:rsidP="005666C9">
            <w:pPr>
              <w:keepNext/>
              <w:keepLines/>
              <w:spacing w:after="0"/>
              <w:rPr>
                <w:rFonts w:cs="Arial"/>
                <w:b/>
                <w:sz w:val="20"/>
              </w:rPr>
            </w:pPr>
            <w:r w:rsidRPr="00AD76AF">
              <w:rPr>
                <w:rFonts w:cs="Arial"/>
                <w:b/>
                <w:sz w:val="20"/>
              </w:rPr>
              <w:t>Moderate</w:t>
            </w:r>
            <w:r w:rsidRPr="00AD76AF">
              <w:rPr>
                <w:rFonts w:cs="Arial"/>
                <w:sz w:val="20"/>
              </w:rPr>
              <w:t xml:space="preserve"> </w:t>
            </w:r>
            <w:r w:rsidRPr="00AD76AF">
              <w:rPr>
                <w:rFonts w:cs="Arial"/>
                <w:b/>
                <w:sz w:val="20"/>
              </w:rPr>
              <w:t>Risk (M):</w:t>
            </w:r>
          </w:p>
        </w:tc>
        <w:tc>
          <w:tcPr>
            <w:tcW w:w="7140" w:type="dxa"/>
            <w:vAlign w:val="center"/>
          </w:tcPr>
          <w:p w14:paraId="2371FE48" w14:textId="77777777" w:rsidR="005666C9" w:rsidRPr="00AD76AF" w:rsidRDefault="005666C9" w:rsidP="005666C9">
            <w:pPr>
              <w:spacing w:after="0"/>
              <w:rPr>
                <w:rFonts w:cs="Arial"/>
                <w:sz w:val="20"/>
              </w:rPr>
            </w:pPr>
            <w:r w:rsidRPr="00AD76AF">
              <w:rPr>
                <w:rFonts w:cs="Arial"/>
                <w:sz w:val="20"/>
              </w:rPr>
              <w:t>There is a probability of between 26% and 50% that assumptions may fail to hold or materialize, and/or the project may face only moderate risks.</w:t>
            </w:r>
          </w:p>
        </w:tc>
      </w:tr>
      <w:tr w:rsidR="005666C9" w:rsidRPr="00D55B3A" w14:paraId="2B317092" w14:textId="77777777" w:rsidTr="0023744A">
        <w:trPr>
          <w:trHeight w:val="766"/>
        </w:trPr>
        <w:tc>
          <w:tcPr>
            <w:tcW w:w="1729" w:type="dxa"/>
            <w:vAlign w:val="center"/>
          </w:tcPr>
          <w:p w14:paraId="72D6BAC1" w14:textId="77777777" w:rsidR="005666C9" w:rsidRPr="00AD76AF" w:rsidRDefault="005666C9" w:rsidP="005666C9">
            <w:pPr>
              <w:spacing w:after="0"/>
              <w:rPr>
                <w:rFonts w:cs="Arial"/>
                <w:b/>
                <w:sz w:val="20"/>
              </w:rPr>
            </w:pPr>
            <w:r w:rsidRPr="00AD76AF">
              <w:rPr>
                <w:rFonts w:cs="Arial"/>
                <w:b/>
                <w:sz w:val="20"/>
              </w:rPr>
              <w:t>Low Risk (L):</w:t>
            </w:r>
          </w:p>
        </w:tc>
        <w:tc>
          <w:tcPr>
            <w:tcW w:w="7140" w:type="dxa"/>
            <w:vAlign w:val="center"/>
          </w:tcPr>
          <w:p w14:paraId="32C78476" w14:textId="77777777" w:rsidR="005666C9" w:rsidRPr="00D55B3A" w:rsidRDefault="005666C9" w:rsidP="005666C9">
            <w:pPr>
              <w:spacing w:after="0"/>
              <w:rPr>
                <w:rFonts w:cs="Arial"/>
                <w:sz w:val="20"/>
              </w:rPr>
            </w:pPr>
            <w:r w:rsidRPr="00AD76AF">
              <w:rPr>
                <w:rFonts w:cs="Arial"/>
                <w:sz w:val="20"/>
              </w:rPr>
              <w:t>There is a probability of up to 25% that assumptions may fail to hold or materialize, and/or the project may face only low risks.</w:t>
            </w:r>
            <w:r w:rsidRPr="00D55B3A">
              <w:rPr>
                <w:rFonts w:cs="Arial"/>
                <w:sz w:val="20"/>
              </w:rPr>
              <w:t xml:space="preserve"> </w:t>
            </w:r>
          </w:p>
        </w:tc>
      </w:tr>
    </w:tbl>
    <w:p w14:paraId="22B85261" w14:textId="77777777" w:rsidR="005666C9" w:rsidRPr="00D55B3A" w:rsidRDefault="005666C9" w:rsidP="005666C9">
      <w:pPr>
        <w:rPr>
          <w:rFonts w:cs="Arial"/>
          <w:sz w:val="18"/>
          <w:szCs w:val="20"/>
        </w:rPr>
      </w:pPr>
    </w:p>
    <w:p w14:paraId="143D15B4" w14:textId="77777777" w:rsidR="005666C9" w:rsidRPr="00D55B3A" w:rsidRDefault="005666C9" w:rsidP="005666C9"/>
    <w:p w14:paraId="0676524A" w14:textId="77777777" w:rsidR="00356A83" w:rsidRPr="00D55B3A" w:rsidRDefault="00356A83" w:rsidP="00746C3E">
      <w:pPr>
        <w:pStyle w:val="ListParagraph"/>
        <w:ind w:left="1080"/>
      </w:pPr>
    </w:p>
    <w:p w14:paraId="043FA7B2" w14:textId="77777777" w:rsidR="00356A83" w:rsidRDefault="00356A83" w:rsidP="0077140D"/>
    <w:p w14:paraId="1910FDBB" w14:textId="77777777" w:rsidR="00356A83" w:rsidRPr="0077140D" w:rsidRDefault="00356A83" w:rsidP="0077140D"/>
    <w:sectPr w:rsidR="00356A83" w:rsidRPr="0077140D" w:rsidSect="00513DFC">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77B82" w14:textId="77777777" w:rsidR="00D56B74" w:rsidRDefault="00D56B74" w:rsidP="00D018BF">
      <w:pPr>
        <w:spacing w:after="0" w:line="240" w:lineRule="auto"/>
      </w:pPr>
      <w:r>
        <w:separator/>
      </w:r>
    </w:p>
  </w:endnote>
  <w:endnote w:type="continuationSeparator" w:id="0">
    <w:p w14:paraId="5D87290E" w14:textId="77777777" w:rsidR="00D56B74" w:rsidRDefault="00D56B74" w:rsidP="00D01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3E140" w14:textId="0EE97041" w:rsidR="005004D6" w:rsidRDefault="002B3403" w:rsidP="002B3403">
    <w:pPr>
      <w:pStyle w:val="Footer"/>
      <w:jc w:val="center"/>
    </w:pPr>
    <w:fldSimple w:instr=" DOCPROPERTY bjFooterEvenPageDocProperty \* MERGEFORMAT " w:fldLock="1">
      <w:r w:rsidRPr="002B3403">
        <w:rPr>
          <w:rFonts w:ascii="Arial" w:hAnsi="Arial" w:cs="Arial"/>
          <w:color w:val="0000FF"/>
          <w:sz w:val="18"/>
        </w:rPr>
        <w:t>OFFICIAL USE</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CA4FB" w14:textId="77777777" w:rsidR="005004D6" w:rsidRPr="002B3840" w:rsidRDefault="005004D6" w:rsidP="004571A9">
    <w:pPr>
      <w:spacing w:after="0"/>
      <w:rPr>
        <w:b/>
      </w:rPr>
    </w:pPr>
    <w:r w:rsidRPr="002B3840">
      <w:rPr>
        <w:b/>
      </w:rPr>
      <w:t>EBRD Donor Co-financing</w:t>
    </w:r>
  </w:p>
  <w:p w14:paraId="3731D8E5" w14:textId="47BA00BC" w:rsidR="005004D6" w:rsidRDefault="005004D6" w:rsidP="004571A9">
    <w:pPr>
      <w:spacing w:after="0"/>
    </w:pPr>
    <w:r>
      <w:t>Log: Final Version</w:t>
    </w:r>
  </w:p>
  <w:p w14:paraId="0E5AAD60" w14:textId="0338CCFF" w:rsidR="005004D6" w:rsidRPr="00187B10" w:rsidRDefault="005004D6" w:rsidP="004571A9">
    <w:pPr>
      <w:spacing w:after="0"/>
    </w:pPr>
    <w:r>
      <w:t>15 October 2019</w:t>
    </w:r>
  </w:p>
  <w:p w14:paraId="15406A33" w14:textId="77777777" w:rsidR="005004D6" w:rsidRDefault="005004D6">
    <w:pPr>
      <w:pStyle w:val="Footer"/>
    </w:pPr>
  </w:p>
  <w:p w14:paraId="6336ED1C" w14:textId="0743AD31" w:rsidR="005004D6" w:rsidRDefault="002B3403" w:rsidP="002B3403">
    <w:pPr>
      <w:pStyle w:val="Footer"/>
      <w:jc w:val="center"/>
    </w:pPr>
    <w:fldSimple w:instr=" DOCPROPERTY bjFooterBothDocProperty \* MERGEFORMAT " w:fldLock="1">
      <w:r w:rsidRPr="002B3403">
        <w:rPr>
          <w:rFonts w:ascii="Arial" w:hAnsi="Arial" w:cs="Arial"/>
          <w:color w:val="0000FF"/>
          <w:sz w:val="18"/>
        </w:rPr>
        <w:t>OFFICIAL USE</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9379C" w14:textId="75CC3B9C" w:rsidR="005004D6" w:rsidRDefault="002B3403" w:rsidP="002B3403">
    <w:pPr>
      <w:pStyle w:val="Footer"/>
      <w:jc w:val="center"/>
    </w:pPr>
    <w:fldSimple w:instr=" DOCPROPERTY bjFooterFirstPageDocProperty \* MERGEFORMAT " w:fldLock="1">
      <w:r w:rsidRPr="002B3403">
        <w:rPr>
          <w:rFonts w:ascii="Arial" w:hAnsi="Arial" w:cs="Arial"/>
          <w:color w:val="0000FF"/>
          <w:sz w:val="18"/>
        </w:rPr>
        <w:t>OFFICIAL USE</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22432" w14:textId="77777777" w:rsidR="005004D6" w:rsidRDefault="005004D6">
    <w:pPr>
      <w:pStyle w:val="Footer"/>
    </w:pPr>
  </w:p>
  <w:p w14:paraId="49235FCA" w14:textId="193721E1" w:rsidR="005004D6" w:rsidRDefault="002B3403" w:rsidP="002B3403">
    <w:pPr>
      <w:pStyle w:val="Footer"/>
      <w:jc w:val="center"/>
    </w:pPr>
    <w:fldSimple w:instr=" DOCPROPERTY bjFooterBothDocProperty \* MERGEFORMAT " w:fldLock="1">
      <w:r w:rsidRPr="002B3403">
        <w:rPr>
          <w:rFonts w:ascii="Arial" w:hAnsi="Arial" w:cs="Arial"/>
          <w:color w:val="0000FF"/>
          <w:sz w:val="18"/>
        </w:rPr>
        <w:t>OFFICIAL USE</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042509"/>
      <w:docPartObj>
        <w:docPartGallery w:val="Page Numbers (Bottom of Page)"/>
        <w:docPartUnique/>
      </w:docPartObj>
    </w:sdtPr>
    <w:sdtEndPr>
      <w:rPr>
        <w:noProof/>
      </w:rPr>
    </w:sdtEndPr>
    <w:sdtContent>
      <w:p w14:paraId="157F89BC" w14:textId="59D56618" w:rsidR="005004D6" w:rsidRDefault="005004D6" w:rsidP="00695402">
        <w:pPr>
          <w:pStyle w:val="Footer"/>
          <w:jc w:val="right"/>
        </w:pPr>
        <w:r>
          <w:fldChar w:fldCharType="begin"/>
        </w:r>
        <w:r>
          <w:instrText xml:space="preserve"> PAGE  \* Arabic  \* MERGEFORMAT </w:instrText>
        </w:r>
        <w:r>
          <w:fldChar w:fldCharType="separate"/>
        </w:r>
        <w:r w:rsidR="002B3403">
          <w:rPr>
            <w:noProof/>
          </w:rPr>
          <w:t>17</w:t>
        </w:r>
        <w:r>
          <w:fldChar w:fldCharType="end"/>
        </w:r>
      </w:p>
    </w:sdtContent>
  </w:sdt>
  <w:p w14:paraId="58D39DE1" w14:textId="0BFEC182" w:rsidR="005004D6" w:rsidRDefault="002B3403" w:rsidP="002B3403">
    <w:pPr>
      <w:pStyle w:val="Footer"/>
      <w:jc w:val="center"/>
    </w:pPr>
    <w:fldSimple w:instr=" DOCPROPERTY bjFooterBothDocProperty \* MERGEFORMAT " w:fldLock="1">
      <w:r w:rsidRPr="002B3403">
        <w:rPr>
          <w:rFonts w:ascii="Arial" w:hAnsi="Arial" w:cs="Arial"/>
          <w:color w:val="0000FF"/>
          <w:sz w:val="18"/>
        </w:rPr>
        <w:t>OFFICIAL USE</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3D192" w14:textId="77777777" w:rsidR="00D56B74" w:rsidRDefault="00D56B74" w:rsidP="00D018BF">
      <w:pPr>
        <w:spacing w:after="0" w:line="240" w:lineRule="auto"/>
      </w:pPr>
      <w:r>
        <w:separator/>
      </w:r>
    </w:p>
  </w:footnote>
  <w:footnote w:type="continuationSeparator" w:id="0">
    <w:p w14:paraId="608D671B" w14:textId="77777777" w:rsidR="00D56B74" w:rsidRDefault="00D56B74" w:rsidP="00D018BF">
      <w:pPr>
        <w:spacing w:after="0" w:line="240" w:lineRule="auto"/>
      </w:pPr>
      <w:r>
        <w:continuationSeparator/>
      </w:r>
    </w:p>
  </w:footnote>
  <w:footnote w:id="1">
    <w:p w14:paraId="69559023" w14:textId="77777777" w:rsidR="005004D6" w:rsidRDefault="005004D6" w:rsidP="002B3840">
      <w:pPr>
        <w:pStyle w:val="FootnoteText"/>
      </w:pPr>
      <w:r>
        <w:rPr>
          <w:rStyle w:val="FootnoteReference"/>
        </w:rPr>
        <w:footnoteRef/>
      </w:r>
      <w:r>
        <w:t xml:space="preserve"> Based on a 30 month duration from the project start date.</w:t>
      </w:r>
    </w:p>
  </w:footnote>
  <w:footnote w:id="2">
    <w:p w14:paraId="36F7DC5B" w14:textId="77777777" w:rsidR="005004D6" w:rsidRPr="00FB35B7" w:rsidRDefault="005004D6" w:rsidP="004321AF">
      <w:pPr>
        <w:pStyle w:val="FootnoteText"/>
        <w:rPr>
          <w:sz w:val="18"/>
        </w:rPr>
      </w:pPr>
      <w:r w:rsidRPr="00FB35B7">
        <w:rPr>
          <w:rStyle w:val="FootnoteReference"/>
          <w:sz w:val="18"/>
        </w:rPr>
        <w:footnoteRef/>
      </w:r>
      <w:r w:rsidRPr="00FB35B7">
        <w:rPr>
          <w:sz w:val="18"/>
        </w:rPr>
        <w:t xml:space="preserve"> </w:t>
      </w:r>
      <w:r w:rsidRPr="00FB35B7">
        <w:rPr>
          <w:i/>
          <w:sz w:val="18"/>
        </w:rPr>
        <w:t>This breakdown as follows GEF TF: $9,090,909 +  SCCF: $1,818,182</w:t>
      </w:r>
    </w:p>
  </w:footnote>
  <w:footnote w:id="3">
    <w:p w14:paraId="40DD31E5" w14:textId="7224EBC8" w:rsidR="005004D6" w:rsidRPr="00FB35B7" w:rsidRDefault="005004D6">
      <w:pPr>
        <w:pStyle w:val="FootnoteText"/>
        <w:rPr>
          <w:sz w:val="18"/>
        </w:rPr>
      </w:pPr>
      <w:r w:rsidRPr="00FB35B7">
        <w:rPr>
          <w:rStyle w:val="FootnoteReference"/>
          <w:sz w:val="18"/>
        </w:rPr>
        <w:footnoteRef/>
      </w:r>
      <w:r w:rsidRPr="00FB35B7">
        <w:rPr>
          <w:sz w:val="18"/>
        </w:rPr>
        <w:t xml:space="preserve"> This FINTECC project includes </w:t>
      </w:r>
      <w:r w:rsidRPr="005C3229">
        <w:rPr>
          <w:sz w:val="18"/>
        </w:rPr>
        <w:t>a Technical Assistance and Non-Technical Assistance Components. For the Non-TA component, the FINTECC model operates a results based financing mechanism. Funds are “committed” and</w:t>
      </w:r>
      <w:r>
        <w:rPr>
          <w:sz w:val="18"/>
        </w:rPr>
        <w:t xml:space="preserve"> signed </w:t>
      </w:r>
      <w:r w:rsidRPr="00FB35B7">
        <w:rPr>
          <w:sz w:val="18"/>
        </w:rPr>
        <w:t>to projects, and overtime “disbursed”. The</w:t>
      </w:r>
      <w:r>
        <w:rPr>
          <w:sz w:val="18"/>
        </w:rPr>
        <w:t>refore</w:t>
      </w:r>
      <w:r w:rsidRPr="00FB35B7">
        <w:rPr>
          <w:sz w:val="18"/>
        </w:rPr>
        <w:t xml:space="preserve"> total funds allocated under the project is the Committed + Disbursed Funds. As of the reporting period the following was recorded, noting this is subject to fluctuations</w:t>
      </w:r>
      <w:r>
        <w:rPr>
          <w:sz w:val="18"/>
        </w:rPr>
        <w:t xml:space="preserve"> and small adjustments need to be accounted for USD:EUR exchange rates</w:t>
      </w:r>
      <w:r w:rsidRPr="00FB35B7">
        <w:rPr>
          <w:sz w:val="18"/>
        </w:rPr>
        <w:t xml:space="preserve">. </w:t>
      </w:r>
      <w:r>
        <w:rPr>
          <w:sz w:val="18"/>
        </w:rPr>
        <w:t xml:space="preserve"> [1] Technical Assistance [$1.43m disbursed / $0.99m remains to be disbursed] [2] Non-technical cooperation [$1.64m was disbursed and on-top of this $3.37m has been committed /$2.7m remains to be allocated ]. In total c.$6.44m is committed and disbursed and $3.69m remains to be allocated.</w:t>
      </w:r>
    </w:p>
  </w:footnote>
  <w:footnote w:id="4">
    <w:p w14:paraId="7614A372" w14:textId="2E6487E4" w:rsidR="005004D6" w:rsidRDefault="005004D6">
      <w:pPr>
        <w:pStyle w:val="FootnoteText"/>
      </w:pPr>
      <w:r>
        <w:rPr>
          <w:rStyle w:val="FootnoteReference"/>
        </w:rPr>
        <w:footnoteRef/>
      </w:r>
      <w:r>
        <w:t xml:space="preserve"> </w:t>
      </w:r>
      <w:r w:rsidRPr="00AD76AF">
        <w:rPr>
          <w:rFonts w:cs="Arial"/>
          <w:iCs/>
          <w:sz w:val="18"/>
          <w:szCs w:val="18"/>
        </w:rPr>
        <w:t>Note that a total of USD 198.3 million has been mobilized in terms of EBRD funding, of which USD 47.6 million is for “Green Economy Transition” investment components which are supported by the GEF-funded FINTECC grant.</w:t>
      </w:r>
    </w:p>
  </w:footnote>
  <w:footnote w:id="5">
    <w:p w14:paraId="19B0ABFB" w14:textId="5A9EF9C0" w:rsidR="005004D6" w:rsidRPr="005C3229" w:rsidRDefault="005004D6">
      <w:pPr>
        <w:pStyle w:val="FootnoteText"/>
        <w:rPr>
          <w:sz w:val="18"/>
          <w:szCs w:val="18"/>
        </w:rPr>
      </w:pPr>
      <w:r>
        <w:rPr>
          <w:rStyle w:val="FootnoteReference"/>
        </w:rPr>
        <w:footnoteRef/>
      </w:r>
      <w:r>
        <w:t xml:space="preserve"> </w:t>
      </w:r>
      <w:r w:rsidRPr="005C3229">
        <w:rPr>
          <w:sz w:val="18"/>
          <w:szCs w:val="18"/>
        </w:rPr>
        <w:t>Please note,</w:t>
      </w:r>
      <w:r>
        <w:t xml:space="preserve"> </w:t>
      </w:r>
      <w:r w:rsidRPr="005C3229">
        <w:rPr>
          <w:sz w:val="18"/>
          <w:szCs w:val="18"/>
        </w:rPr>
        <w:t xml:space="preserve">the 540,000 tco2eq was the target as reported in the final versions of the CEO Endorsement and Tracking Tool. The 0.89mt co2eq reported in prior years represents an old figure from prior versions of the RCE. To ensure accuracy with the approved RCE, the figure has been updated in FY2019. </w:t>
      </w:r>
    </w:p>
  </w:footnote>
  <w:footnote w:id="6">
    <w:p w14:paraId="33B7E19D" w14:textId="77777777" w:rsidR="005004D6" w:rsidRPr="007F19D6" w:rsidRDefault="005004D6">
      <w:pPr>
        <w:pStyle w:val="FootnoteText"/>
        <w:rPr>
          <w:rFonts w:cs="Arial"/>
          <w:sz w:val="18"/>
          <w:szCs w:val="18"/>
          <w:lang w:val="en-US"/>
        </w:rPr>
      </w:pPr>
      <w:r w:rsidRPr="00C844DB">
        <w:rPr>
          <w:rStyle w:val="FootnoteReference"/>
          <w:rFonts w:cs="Arial"/>
          <w:sz w:val="18"/>
          <w:szCs w:val="18"/>
        </w:rPr>
        <w:footnoteRef/>
      </w:r>
      <w:r w:rsidRPr="00C844DB">
        <w:rPr>
          <w:rFonts w:cs="Arial"/>
          <w:sz w:val="18"/>
          <w:szCs w:val="18"/>
        </w:rPr>
        <w:t xml:space="preserve"> </w:t>
      </w:r>
      <w:r w:rsidRPr="00E16B0B">
        <w:rPr>
          <w:rFonts w:cs="Arial"/>
          <w:iCs/>
          <w:sz w:val="18"/>
          <w:szCs w:val="18"/>
        </w:rPr>
        <w:t>Additionally, FINTECC projects signed in countries outside of the project scope (i.e. SEMED region) using EBRD Shareholder Special Fund (SSF) funding and EBRD lending are due to achieve GHG emission savings of 210,980 tCO</w:t>
      </w:r>
      <w:r w:rsidRPr="00D26892">
        <w:rPr>
          <w:rFonts w:cs="Arial"/>
          <w:iCs/>
          <w:sz w:val="18"/>
          <w:szCs w:val="18"/>
          <w:vertAlign w:val="subscript"/>
        </w:rPr>
        <w:t>2</w:t>
      </w:r>
      <w:r w:rsidRPr="007F19D6">
        <w:rPr>
          <w:rFonts w:cs="Arial"/>
          <w:iCs/>
          <w:sz w:val="18"/>
          <w:szCs w:val="18"/>
        </w:rPr>
        <w:t>e over 10 years.</w:t>
      </w:r>
    </w:p>
  </w:footnote>
  <w:footnote w:id="7">
    <w:p w14:paraId="34542C78" w14:textId="082E2824" w:rsidR="005004D6" w:rsidRPr="005C3229" w:rsidRDefault="005004D6">
      <w:pPr>
        <w:pStyle w:val="FootnoteText"/>
        <w:rPr>
          <w:sz w:val="18"/>
          <w:szCs w:val="18"/>
        </w:rPr>
      </w:pPr>
      <w:r w:rsidRPr="005C3229">
        <w:rPr>
          <w:rStyle w:val="FootnoteReference"/>
          <w:sz w:val="18"/>
          <w:szCs w:val="18"/>
        </w:rPr>
        <w:footnoteRef/>
      </w:r>
      <w:r w:rsidRPr="005C3229">
        <w:rPr>
          <w:sz w:val="18"/>
          <w:szCs w:val="18"/>
        </w:rPr>
        <w:t xml:space="preserve"> For the Terminal Evaluation, an additional metric needs to be examined as follows: </w:t>
      </w:r>
      <w:r w:rsidRPr="005C3229">
        <w:rPr>
          <w:i/>
          <w:sz w:val="18"/>
          <w:szCs w:val="18"/>
        </w:rPr>
        <w:t>“Total investment in low-carbon and climate resilient technologies supported by FIN-TeCC in participating ETCs increases by more than 30% in 5 years”</w:t>
      </w:r>
      <w:r w:rsidRPr="005C3229">
        <w:rPr>
          <w:sz w:val="18"/>
          <w:szCs w:val="18"/>
        </w:rPr>
        <w:t>. This has been omitted as difficult to track on an annual basis.</w:t>
      </w:r>
    </w:p>
  </w:footnote>
  <w:footnote w:id="8">
    <w:p w14:paraId="30572272" w14:textId="77777777" w:rsidR="005004D6" w:rsidRPr="00D26892" w:rsidRDefault="005004D6">
      <w:pPr>
        <w:pStyle w:val="FootnoteText"/>
        <w:rPr>
          <w:rFonts w:cs="Arial"/>
          <w:sz w:val="18"/>
          <w:szCs w:val="18"/>
          <w:lang w:val="en-US"/>
        </w:rPr>
      </w:pPr>
      <w:r w:rsidRPr="00C844DB">
        <w:rPr>
          <w:rStyle w:val="FootnoteReference"/>
          <w:rFonts w:cs="Arial"/>
          <w:sz w:val="18"/>
          <w:szCs w:val="18"/>
        </w:rPr>
        <w:footnoteRef/>
      </w:r>
      <w:r w:rsidRPr="00C844DB">
        <w:rPr>
          <w:rFonts w:cs="Arial"/>
          <w:sz w:val="18"/>
          <w:szCs w:val="18"/>
        </w:rPr>
        <w:t xml:space="preserve"> </w:t>
      </w:r>
      <w:r w:rsidRPr="00E16B0B">
        <w:rPr>
          <w:rFonts w:cs="Arial"/>
          <w:iCs/>
          <w:sz w:val="18"/>
          <w:szCs w:val="18"/>
        </w:rPr>
        <w:t>Additionally, FINTECC projects signed in countries outside of the project scope (i.e. SEMED region) using EBRD Shareholder Special Fund (SSF) funding and EBRD lending have mobilised approximately USD 17.8 million of “Green Economy Transition” investment so far.</w:t>
      </w:r>
    </w:p>
  </w:footnote>
  <w:footnote w:id="9">
    <w:p w14:paraId="19D14429" w14:textId="77777777" w:rsidR="005004D6" w:rsidRPr="004D4018" w:rsidRDefault="005004D6">
      <w:pPr>
        <w:pStyle w:val="FootnoteText"/>
      </w:pPr>
      <w:r w:rsidRPr="00AD76AF">
        <w:rPr>
          <w:rStyle w:val="FootnoteReference"/>
          <w:sz w:val="18"/>
          <w:szCs w:val="18"/>
        </w:rPr>
        <w:footnoteRef/>
      </w:r>
      <w:r w:rsidRPr="00AD76AF">
        <w:rPr>
          <w:sz w:val="18"/>
          <w:szCs w:val="18"/>
        </w:rPr>
        <w:t xml:space="preserve"> </w:t>
      </w:r>
      <w:r w:rsidRPr="00AD76AF">
        <w:rPr>
          <w:rFonts w:cs="Arial"/>
          <w:iCs/>
          <w:sz w:val="18"/>
          <w:szCs w:val="18"/>
        </w:rPr>
        <w:t>Note that a total of USD 198.3 million has been mobilized in terms of EBRD funding, of which USD 47.6 million is for “Green Economy Transition” investment components which are supported by the GEF-funded FINTECC grant.</w:t>
      </w:r>
    </w:p>
  </w:footnote>
  <w:footnote w:id="10">
    <w:p w14:paraId="0BBC2AA7" w14:textId="3268BDA0" w:rsidR="005004D6" w:rsidRDefault="005004D6">
      <w:pPr>
        <w:pStyle w:val="FootnoteText"/>
      </w:pPr>
      <w:r w:rsidRPr="005C3229">
        <w:rPr>
          <w:rStyle w:val="FootnoteReference"/>
          <w:sz w:val="18"/>
        </w:rPr>
        <w:footnoteRef/>
      </w:r>
      <w:r w:rsidRPr="005C3229">
        <w:rPr>
          <w:sz w:val="18"/>
        </w:rPr>
        <w:t xml:space="preserve"> This has a sub- target as follows: “At least 75% found the outputs of the Networks to be satisfactory or above”</w:t>
      </w:r>
    </w:p>
  </w:footnote>
  <w:footnote w:id="11">
    <w:p w14:paraId="0C309D15" w14:textId="77777777" w:rsidR="005004D6" w:rsidRPr="00AD76AF" w:rsidRDefault="005004D6" w:rsidP="003663DE">
      <w:pPr>
        <w:pStyle w:val="FootnoteText"/>
        <w:rPr>
          <w:rFonts w:cs="Arial"/>
          <w:color w:val="000000"/>
          <w:sz w:val="18"/>
          <w:szCs w:val="18"/>
        </w:rPr>
      </w:pPr>
      <w:r w:rsidRPr="00AD76AF">
        <w:rPr>
          <w:rStyle w:val="FootnoteReference"/>
          <w:rFonts w:cs="Arial"/>
          <w:sz w:val="18"/>
          <w:szCs w:val="18"/>
        </w:rPr>
        <w:footnoteRef/>
      </w:r>
      <w:r w:rsidRPr="00AD76AF">
        <w:rPr>
          <w:rFonts w:cs="Arial"/>
          <w:sz w:val="18"/>
          <w:szCs w:val="18"/>
        </w:rPr>
        <w:t xml:space="preserve"> </w:t>
      </w:r>
      <w:r w:rsidRPr="00AD76AF">
        <w:rPr>
          <w:rFonts w:cs="Arial"/>
          <w:b/>
          <w:color w:val="000000"/>
          <w:sz w:val="18"/>
          <w:szCs w:val="18"/>
        </w:rPr>
        <w:t xml:space="preserve">Score (1-3) disaggregated by gender: </w:t>
      </w:r>
      <w:r w:rsidRPr="00AD76AF">
        <w:rPr>
          <w:rFonts w:cs="Arial"/>
          <w:color w:val="000000"/>
          <w:sz w:val="18"/>
          <w:szCs w:val="18"/>
        </w:rPr>
        <w:t>1. No capacity achieved (&lt; 50% correct); 2. Moderate capacity achieved (50-75%); 3. High capacity achieved (&gt;75% correct)</w:t>
      </w:r>
    </w:p>
  </w:footnote>
  <w:footnote w:id="12">
    <w:p w14:paraId="4006ED58" w14:textId="77777777" w:rsidR="005004D6" w:rsidRPr="00AD76AF" w:rsidRDefault="005004D6" w:rsidP="003663DE">
      <w:pPr>
        <w:pStyle w:val="FootnoteText"/>
        <w:rPr>
          <w:rFonts w:cs="Arial"/>
          <w:sz w:val="18"/>
          <w:szCs w:val="18"/>
          <w:lang w:val="en-US"/>
        </w:rPr>
      </w:pPr>
      <w:r w:rsidRPr="00AD76AF">
        <w:rPr>
          <w:rStyle w:val="FootnoteReference"/>
          <w:rFonts w:cs="Arial"/>
          <w:sz w:val="18"/>
          <w:szCs w:val="18"/>
        </w:rPr>
        <w:footnoteRef/>
      </w:r>
      <w:r w:rsidRPr="00AD76AF">
        <w:rPr>
          <w:rFonts w:cs="Arial"/>
          <w:sz w:val="18"/>
          <w:szCs w:val="18"/>
        </w:rPr>
        <w:t xml:space="preserve"> </w:t>
      </w:r>
      <w:r w:rsidRPr="00AD76AF">
        <w:rPr>
          <w:rFonts w:cs="Arial"/>
          <w:b/>
          <w:sz w:val="18"/>
          <w:szCs w:val="18"/>
          <w:lang w:val="en-US"/>
        </w:rPr>
        <w:t>Score (0-5). Explanation of the rankings:</w:t>
      </w:r>
    </w:p>
    <w:p w14:paraId="64CC2414" w14:textId="77777777" w:rsidR="005004D6" w:rsidRPr="000C6494" w:rsidRDefault="005004D6" w:rsidP="003663DE">
      <w:pPr>
        <w:pStyle w:val="FootnoteText"/>
        <w:rPr>
          <w:rFonts w:ascii="Arial" w:hAnsi="Arial" w:cs="Arial"/>
          <w:color w:val="000000"/>
        </w:rPr>
      </w:pPr>
      <w:r w:rsidRPr="00AD76AF">
        <w:rPr>
          <w:rFonts w:cs="Arial"/>
          <w:color w:val="000000"/>
          <w:sz w:val="18"/>
          <w:szCs w:val="18"/>
          <w:lang w:val="en-US"/>
        </w:rPr>
        <w:t xml:space="preserve">0. </w:t>
      </w:r>
      <w:r w:rsidRPr="00AD76AF">
        <w:rPr>
          <w:rFonts w:cs="Arial"/>
          <w:color w:val="000000"/>
          <w:sz w:val="18"/>
          <w:szCs w:val="18"/>
        </w:rPr>
        <w:t>Not an objective/component</w:t>
      </w:r>
      <w:r w:rsidRPr="00AD76AF">
        <w:rPr>
          <w:rFonts w:cs="Arial"/>
          <w:color w:val="000000"/>
          <w:sz w:val="18"/>
          <w:szCs w:val="18"/>
          <w:lang w:val="en-US"/>
        </w:rPr>
        <w:t xml:space="preserve">, 1. </w:t>
      </w:r>
      <w:r w:rsidRPr="00AD76AF">
        <w:rPr>
          <w:rFonts w:cs="Arial"/>
          <w:color w:val="000000"/>
          <w:sz w:val="18"/>
          <w:szCs w:val="18"/>
        </w:rPr>
        <w:t>No policy/regulation/strategy in place</w:t>
      </w:r>
      <w:r w:rsidRPr="00AD76AF">
        <w:rPr>
          <w:rFonts w:cs="Arial"/>
          <w:color w:val="000000"/>
          <w:sz w:val="18"/>
          <w:szCs w:val="18"/>
          <w:lang w:val="en-US"/>
        </w:rPr>
        <w:t xml:space="preserve">, 2. </w:t>
      </w:r>
      <w:r w:rsidRPr="00AD76AF">
        <w:rPr>
          <w:rFonts w:cs="Arial"/>
          <w:color w:val="000000"/>
          <w:sz w:val="18"/>
          <w:szCs w:val="18"/>
        </w:rPr>
        <w:t>Policy/regulation/strategy discussed and proposed</w:t>
      </w:r>
      <w:r w:rsidRPr="00AD76AF">
        <w:rPr>
          <w:rFonts w:cs="Arial"/>
          <w:color w:val="000000"/>
          <w:sz w:val="18"/>
          <w:szCs w:val="18"/>
          <w:lang w:val="en-US"/>
        </w:rPr>
        <w:t xml:space="preserve">, 3. </w:t>
      </w:r>
      <w:r w:rsidRPr="00AD76AF">
        <w:rPr>
          <w:rFonts w:cs="Arial"/>
          <w:color w:val="000000"/>
          <w:sz w:val="18"/>
          <w:szCs w:val="18"/>
        </w:rPr>
        <w:t>Policy/regulation/strategy proposed but not adopted</w:t>
      </w:r>
      <w:r w:rsidRPr="00AD76AF">
        <w:rPr>
          <w:rFonts w:cs="Arial"/>
          <w:color w:val="000000"/>
          <w:sz w:val="18"/>
          <w:szCs w:val="18"/>
          <w:lang w:val="en-US"/>
        </w:rPr>
        <w:t xml:space="preserve">, 4. </w:t>
      </w:r>
      <w:r w:rsidRPr="00AD76AF">
        <w:rPr>
          <w:rFonts w:cs="Arial"/>
          <w:color w:val="000000"/>
          <w:sz w:val="18"/>
          <w:szCs w:val="18"/>
        </w:rPr>
        <w:t>Policy/regulation/strategy adopted but not enforced</w:t>
      </w:r>
      <w:r w:rsidRPr="00AD76AF">
        <w:rPr>
          <w:rFonts w:cs="Arial"/>
          <w:color w:val="000000"/>
          <w:sz w:val="18"/>
          <w:szCs w:val="18"/>
          <w:lang w:val="en-US"/>
        </w:rPr>
        <w:t xml:space="preserve">, 5. </w:t>
      </w:r>
      <w:r w:rsidRPr="00AD76AF">
        <w:rPr>
          <w:rFonts w:cs="Arial"/>
          <w:color w:val="000000"/>
          <w:sz w:val="18"/>
          <w:szCs w:val="18"/>
        </w:rPr>
        <w:t>Policy/regulation/strategy enforced</w:t>
      </w:r>
    </w:p>
  </w:footnote>
  <w:footnote w:id="13">
    <w:p w14:paraId="06910EAD" w14:textId="77777777" w:rsidR="005004D6" w:rsidRPr="00AD76AF" w:rsidRDefault="005004D6" w:rsidP="003663DE">
      <w:pPr>
        <w:pStyle w:val="FootnoteText"/>
        <w:rPr>
          <w:rFonts w:cs="Arial"/>
          <w:b/>
          <w:sz w:val="18"/>
          <w:szCs w:val="18"/>
          <w:lang w:val="en-US"/>
        </w:rPr>
      </w:pPr>
      <w:r w:rsidRPr="00AD76AF">
        <w:rPr>
          <w:rStyle w:val="FootnoteReference"/>
          <w:rFonts w:cs="Arial"/>
          <w:sz w:val="18"/>
          <w:szCs w:val="18"/>
        </w:rPr>
        <w:footnoteRef/>
      </w:r>
      <w:r w:rsidRPr="00AD76AF">
        <w:rPr>
          <w:rFonts w:cs="Arial"/>
          <w:sz w:val="18"/>
          <w:szCs w:val="18"/>
        </w:rPr>
        <w:t xml:space="preserve"> </w:t>
      </w:r>
      <w:r w:rsidRPr="00AD76AF">
        <w:rPr>
          <w:rFonts w:cs="Arial"/>
          <w:b/>
          <w:sz w:val="18"/>
          <w:szCs w:val="18"/>
          <w:lang w:val="en-US"/>
        </w:rPr>
        <w:t>Score (0-5). Explanation of the rankings:</w:t>
      </w:r>
    </w:p>
    <w:p w14:paraId="05ECBC8C" w14:textId="77777777" w:rsidR="005004D6" w:rsidRPr="00AD76AF" w:rsidRDefault="005004D6" w:rsidP="003663DE">
      <w:pPr>
        <w:pStyle w:val="FootnoteText"/>
        <w:rPr>
          <w:rFonts w:cs="Arial"/>
          <w:sz w:val="18"/>
          <w:szCs w:val="18"/>
        </w:rPr>
      </w:pPr>
      <w:r w:rsidRPr="00AD76AF">
        <w:rPr>
          <w:rFonts w:cs="Arial"/>
          <w:color w:val="000000"/>
          <w:sz w:val="18"/>
          <w:szCs w:val="18"/>
        </w:rPr>
        <w:t>0: not an objective/component</w:t>
      </w:r>
      <w:r w:rsidRPr="00AD76AF">
        <w:rPr>
          <w:rFonts w:cs="Arial"/>
          <w:color w:val="000000"/>
          <w:sz w:val="18"/>
          <w:szCs w:val="18"/>
          <w:lang w:val="en-US"/>
        </w:rPr>
        <w:t xml:space="preserve">, </w:t>
      </w:r>
      <w:r w:rsidRPr="00AD76AF">
        <w:rPr>
          <w:rFonts w:cs="Arial"/>
          <w:color w:val="000000"/>
          <w:sz w:val="18"/>
          <w:szCs w:val="18"/>
        </w:rPr>
        <w:t>1: no facility in place</w:t>
      </w:r>
      <w:r w:rsidRPr="00AD76AF">
        <w:rPr>
          <w:rFonts w:cs="Arial"/>
          <w:color w:val="000000"/>
          <w:sz w:val="18"/>
          <w:szCs w:val="18"/>
          <w:lang w:val="en-US"/>
        </w:rPr>
        <w:t xml:space="preserve">, </w:t>
      </w:r>
      <w:r w:rsidRPr="00AD76AF">
        <w:rPr>
          <w:rFonts w:cs="Arial"/>
          <w:color w:val="000000"/>
          <w:sz w:val="18"/>
          <w:szCs w:val="18"/>
        </w:rPr>
        <w:t>2: facilities discussed and proposed</w:t>
      </w:r>
      <w:r w:rsidRPr="00AD76AF">
        <w:rPr>
          <w:rFonts w:cs="Arial"/>
          <w:color w:val="000000"/>
          <w:sz w:val="18"/>
          <w:szCs w:val="18"/>
          <w:lang w:val="en-US"/>
        </w:rPr>
        <w:t xml:space="preserve">, </w:t>
      </w:r>
      <w:r w:rsidRPr="00AD76AF">
        <w:rPr>
          <w:rFonts w:cs="Arial"/>
          <w:color w:val="000000"/>
          <w:sz w:val="18"/>
          <w:szCs w:val="18"/>
        </w:rPr>
        <w:t>3: facilities proposed but not operationalized/funded</w:t>
      </w:r>
      <w:r w:rsidRPr="00AD76AF">
        <w:rPr>
          <w:rFonts w:cs="Arial"/>
          <w:color w:val="000000"/>
          <w:sz w:val="18"/>
          <w:szCs w:val="18"/>
          <w:lang w:val="en-US"/>
        </w:rPr>
        <w:t xml:space="preserve">, </w:t>
      </w:r>
      <w:r w:rsidRPr="00AD76AF">
        <w:rPr>
          <w:rFonts w:cs="Arial"/>
          <w:color w:val="000000"/>
          <w:sz w:val="18"/>
          <w:szCs w:val="18"/>
        </w:rPr>
        <w:t>4: facilities operationalized/funded but have no demand</w:t>
      </w:r>
      <w:r w:rsidRPr="00AD76AF">
        <w:rPr>
          <w:rFonts w:cs="Arial"/>
          <w:color w:val="000000"/>
          <w:sz w:val="18"/>
          <w:szCs w:val="18"/>
          <w:lang w:val="en-US"/>
        </w:rPr>
        <w:t xml:space="preserve">, </w:t>
      </w:r>
      <w:r w:rsidRPr="00AD76AF">
        <w:rPr>
          <w:rFonts w:cs="Arial"/>
          <w:color w:val="000000"/>
          <w:sz w:val="18"/>
          <w:szCs w:val="18"/>
        </w:rPr>
        <w:t>5: facilities operationalized/funded and have sufficient demand</w:t>
      </w:r>
    </w:p>
  </w:footnote>
  <w:footnote w:id="14">
    <w:p w14:paraId="6609F517" w14:textId="77777777" w:rsidR="005004D6" w:rsidRPr="00AD76AF" w:rsidRDefault="005004D6" w:rsidP="003663DE">
      <w:pPr>
        <w:pStyle w:val="FootnoteText"/>
        <w:rPr>
          <w:rFonts w:cs="Arial"/>
          <w:sz w:val="18"/>
          <w:szCs w:val="18"/>
          <w:lang w:val="en-US"/>
        </w:rPr>
      </w:pPr>
      <w:r w:rsidRPr="00AD76AF">
        <w:rPr>
          <w:rStyle w:val="FootnoteReference"/>
          <w:rFonts w:cs="Arial"/>
          <w:sz w:val="18"/>
          <w:szCs w:val="18"/>
        </w:rPr>
        <w:footnoteRef/>
      </w:r>
      <w:r w:rsidRPr="00AD76AF">
        <w:rPr>
          <w:rFonts w:cs="Arial"/>
          <w:sz w:val="18"/>
          <w:szCs w:val="18"/>
        </w:rPr>
        <w:t xml:space="preserve"> </w:t>
      </w:r>
      <w:r w:rsidRPr="00AD76AF">
        <w:rPr>
          <w:rFonts w:cs="Arial"/>
          <w:b/>
          <w:sz w:val="18"/>
          <w:szCs w:val="18"/>
          <w:lang w:val="en-US"/>
        </w:rPr>
        <w:t>Score (0-5). Explanation of the rankings:</w:t>
      </w:r>
    </w:p>
    <w:p w14:paraId="270C4FF8" w14:textId="77777777" w:rsidR="005004D6" w:rsidRPr="000C6494" w:rsidRDefault="005004D6" w:rsidP="003663DE">
      <w:pPr>
        <w:pStyle w:val="FootnoteText"/>
        <w:rPr>
          <w:rFonts w:ascii="Arial" w:hAnsi="Arial" w:cs="Arial"/>
          <w:color w:val="000000"/>
          <w:sz w:val="18"/>
          <w:szCs w:val="18"/>
          <w:lang w:val="en-US"/>
        </w:rPr>
      </w:pPr>
      <w:r w:rsidRPr="00AD76AF">
        <w:rPr>
          <w:rFonts w:cs="Arial"/>
          <w:color w:val="000000"/>
          <w:sz w:val="18"/>
          <w:szCs w:val="18"/>
        </w:rPr>
        <w:t>0: not an objective/component</w:t>
      </w:r>
      <w:r w:rsidRPr="00AD76AF">
        <w:rPr>
          <w:rFonts w:cs="Arial"/>
          <w:color w:val="000000"/>
          <w:sz w:val="18"/>
          <w:szCs w:val="18"/>
          <w:lang w:val="en-US"/>
        </w:rPr>
        <w:t xml:space="preserve">, </w:t>
      </w:r>
      <w:r w:rsidRPr="00AD76AF">
        <w:rPr>
          <w:rFonts w:cs="Arial"/>
          <w:color w:val="000000"/>
          <w:sz w:val="18"/>
          <w:szCs w:val="18"/>
        </w:rPr>
        <w:t>1: no facility in place</w:t>
      </w:r>
      <w:r w:rsidRPr="00AD76AF">
        <w:rPr>
          <w:rFonts w:cs="Arial"/>
          <w:color w:val="000000"/>
          <w:sz w:val="18"/>
          <w:szCs w:val="18"/>
          <w:lang w:val="en-US"/>
        </w:rPr>
        <w:t xml:space="preserve">, </w:t>
      </w:r>
      <w:r w:rsidRPr="00AD76AF">
        <w:rPr>
          <w:rFonts w:cs="Arial"/>
          <w:color w:val="000000"/>
          <w:sz w:val="18"/>
          <w:szCs w:val="18"/>
        </w:rPr>
        <w:t>2: facilities discussed and proposed</w:t>
      </w:r>
      <w:r w:rsidRPr="00AD76AF">
        <w:rPr>
          <w:rFonts w:cs="Arial"/>
          <w:color w:val="000000"/>
          <w:sz w:val="18"/>
          <w:szCs w:val="18"/>
          <w:lang w:val="en-US"/>
        </w:rPr>
        <w:t xml:space="preserve">, </w:t>
      </w:r>
      <w:r w:rsidRPr="00AD76AF">
        <w:rPr>
          <w:rFonts w:cs="Arial"/>
          <w:color w:val="000000"/>
          <w:sz w:val="18"/>
          <w:szCs w:val="18"/>
        </w:rPr>
        <w:t>3: facilities proposed but not operationalized/funded</w:t>
      </w:r>
      <w:r w:rsidRPr="00AD76AF">
        <w:rPr>
          <w:rFonts w:cs="Arial"/>
          <w:color w:val="000000"/>
          <w:sz w:val="18"/>
          <w:szCs w:val="18"/>
          <w:lang w:val="en-US"/>
        </w:rPr>
        <w:t xml:space="preserve">, </w:t>
      </w:r>
      <w:r w:rsidRPr="00AD76AF">
        <w:rPr>
          <w:rFonts w:cs="Arial"/>
          <w:color w:val="000000"/>
          <w:sz w:val="18"/>
          <w:szCs w:val="18"/>
        </w:rPr>
        <w:t>4: facilities operationalized/funded but have no demand</w:t>
      </w:r>
      <w:r w:rsidRPr="00AD76AF">
        <w:rPr>
          <w:rFonts w:cs="Arial"/>
          <w:color w:val="000000"/>
          <w:sz w:val="18"/>
          <w:szCs w:val="18"/>
          <w:lang w:val="en-US"/>
        </w:rPr>
        <w:t xml:space="preserve">, </w:t>
      </w:r>
      <w:r w:rsidRPr="00AD76AF">
        <w:rPr>
          <w:rFonts w:cs="Arial"/>
          <w:color w:val="000000"/>
          <w:sz w:val="18"/>
          <w:szCs w:val="18"/>
        </w:rPr>
        <w:t xml:space="preserve">5: facilities operationalized/funded and have sufficient </w:t>
      </w:r>
      <w:r w:rsidRPr="00AD76AF">
        <w:rPr>
          <w:rFonts w:cs="Arial"/>
          <w:color w:val="000000"/>
          <w:sz w:val="18"/>
          <w:szCs w:val="18"/>
          <w:lang w:val="en-US"/>
        </w:rPr>
        <w:t>demand.</w:t>
      </w:r>
    </w:p>
  </w:footnote>
  <w:footnote w:id="15">
    <w:p w14:paraId="67A984F8" w14:textId="75FD92C2" w:rsidR="005004D6" w:rsidRDefault="005004D6">
      <w:pPr>
        <w:pStyle w:val="FootnoteText"/>
      </w:pPr>
      <w:r>
        <w:rPr>
          <w:rStyle w:val="FootnoteReference"/>
        </w:rPr>
        <w:footnoteRef/>
      </w:r>
      <w:r>
        <w:t xml:space="preserve"> </w:t>
      </w:r>
      <w:r>
        <w:rPr>
          <w:rFonts w:cs="Arial"/>
        </w:rPr>
        <w:t xml:space="preserve">It should be noted, </w:t>
      </w:r>
      <w:r w:rsidRPr="00AD76AF">
        <w:rPr>
          <w:rFonts w:cs="Arial"/>
        </w:rPr>
        <w:t>EBRD’s first adaptation-focused credit line CLIMADAPT launched in February 2016 in Tajikistan, has been completed in June 2019. The Facility disbursed USD 10 million to eligible sub-projects, supporting over 3500 beneficiaries and financing more than 20 climate resilience technologies. The Facility has contributed to the dissemination of various technologies such as drip irrigation, greenhouses, energy efficient windows and boilers, heat insulation, rain water harvesting and water storages, solar panels and equipment modernization. Experiences gained through the implementation of CLIMADAPT are now being integrated into EBRD’s Green Economy Financing Facilities.</w:t>
      </w:r>
    </w:p>
  </w:footnote>
  <w:footnote w:id="16">
    <w:p w14:paraId="1E64A40E" w14:textId="77777777" w:rsidR="005004D6" w:rsidRPr="00AD76AF" w:rsidRDefault="005004D6" w:rsidP="003663DE">
      <w:pPr>
        <w:pStyle w:val="FootnoteText"/>
        <w:rPr>
          <w:rFonts w:cs="Arial"/>
          <w:sz w:val="18"/>
          <w:szCs w:val="18"/>
          <w:lang w:val="en-US"/>
        </w:rPr>
      </w:pPr>
      <w:r w:rsidRPr="00AD76AF">
        <w:rPr>
          <w:rStyle w:val="FootnoteReference"/>
          <w:rFonts w:cs="Arial"/>
          <w:sz w:val="18"/>
          <w:szCs w:val="18"/>
        </w:rPr>
        <w:footnoteRef/>
      </w:r>
      <w:r w:rsidRPr="00AD76AF">
        <w:rPr>
          <w:rFonts w:cs="Arial"/>
          <w:sz w:val="18"/>
          <w:szCs w:val="18"/>
        </w:rPr>
        <w:t xml:space="preserve"> </w:t>
      </w:r>
      <w:r w:rsidRPr="00AD76AF">
        <w:rPr>
          <w:rFonts w:cs="Arial"/>
          <w:b/>
          <w:sz w:val="18"/>
          <w:szCs w:val="18"/>
          <w:lang w:val="en-US"/>
        </w:rPr>
        <w:t>Score (0-5). Explanation of the rankings:</w:t>
      </w:r>
    </w:p>
    <w:p w14:paraId="15F66117" w14:textId="77777777" w:rsidR="005004D6" w:rsidRPr="000C6494" w:rsidRDefault="005004D6" w:rsidP="003663DE">
      <w:pPr>
        <w:pStyle w:val="FootnoteText"/>
        <w:rPr>
          <w:rFonts w:ascii="Arial" w:hAnsi="Arial" w:cs="Arial"/>
          <w:sz w:val="18"/>
          <w:szCs w:val="18"/>
        </w:rPr>
      </w:pPr>
      <w:r w:rsidRPr="00AD76AF">
        <w:rPr>
          <w:rFonts w:cs="Arial"/>
          <w:color w:val="000000"/>
          <w:sz w:val="18"/>
          <w:szCs w:val="18"/>
        </w:rPr>
        <w:t>0: no suitable technologies are in place</w:t>
      </w:r>
      <w:r w:rsidRPr="00AD76AF">
        <w:rPr>
          <w:rFonts w:cs="Arial"/>
          <w:color w:val="000000"/>
          <w:sz w:val="18"/>
          <w:szCs w:val="18"/>
          <w:lang w:val="en-US"/>
        </w:rPr>
        <w:t xml:space="preserve">, </w:t>
      </w:r>
      <w:r w:rsidRPr="00AD76AF">
        <w:rPr>
          <w:rFonts w:cs="Arial"/>
          <w:color w:val="000000"/>
          <w:sz w:val="18"/>
          <w:szCs w:val="18"/>
        </w:rPr>
        <w:t>1: technologies have been identified and assessed</w:t>
      </w:r>
      <w:r w:rsidRPr="00AD76AF">
        <w:rPr>
          <w:rFonts w:cs="Arial"/>
          <w:color w:val="000000"/>
          <w:sz w:val="18"/>
          <w:szCs w:val="18"/>
          <w:lang w:val="en-US"/>
        </w:rPr>
        <w:t xml:space="preserve">, </w:t>
      </w:r>
      <w:r w:rsidRPr="00AD76AF">
        <w:rPr>
          <w:rFonts w:cs="Arial"/>
          <w:color w:val="000000"/>
          <w:sz w:val="18"/>
          <w:szCs w:val="18"/>
        </w:rPr>
        <w:t>2: technologies have been demonstrated on a pilot basis</w:t>
      </w:r>
      <w:r w:rsidRPr="00AD76AF">
        <w:rPr>
          <w:rFonts w:cs="Arial"/>
          <w:color w:val="000000"/>
          <w:sz w:val="18"/>
          <w:szCs w:val="18"/>
          <w:lang w:val="en-US"/>
        </w:rPr>
        <w:t xml:space="preserve">, </w:t>
      </w:r>
      <w:r w:rsidRPr="00AD76AF">
        <w:rPr>
          <w:rFonts w:cs="Arial"/>
          <w:color w:val="000000"/>
          <w:sz w:val="18"/>
          <w:szCs w:val="18"/>
        </w:rPr>
        <w:t>3: technologies have been deployed</w:t>
      </w:r>
      <w:r w:rsidRPr="00AD76AF">
        <w:rPr>
          <w:rFonts w:cs="Arial"/>
          <w:color w:val="000000"/>
          <w:sz w:val="18"/>
          <w:szCs w:val="18"/>
          <w:lang w:val="en-US"/>
        </w:rPr>
        <w:t xml:space="preserve">, </w:t>
      </w:r>
      <w:r w:rsidRPr="00AD76AF">
        <w:rPr>
          <w:rFonts w:cs="Arial"/>
          <w:color w:val="000000"/>
          <w:sz w:val="18"/>
          <w:szCs w:val="18"/>
        </w:rPr>
        <w:t>4: technologies have been diffused widely with investments</w:t>
      </w:r>
      <w:r w:rsidRPr="00AD76AF">
        <w:rPr>
          <w:rFonts w:cs="Arial"/>
          <w:color w:val="000000"/>
          <w:sz w:val="18"/>
          <w:szCs w:val="18"/>
          <w:lang w:val="en-US"/>
        </w:rPr>
        <w:t xml:space="preserve">, </w:t>
      </w:r>
      <w:r w:rsidRPr="00AD76AF">
        <w:rPr>
          <w:rFonts w:cs="Arial"/>
          <w:color w:val="000000"/>
          <w:sz w:val="18"/>
          <w:szCs w:val="18"/>
        </w:rPr>
        <w:t>5: technologies have reached market potential</w:t>
      </w:r>
    </w:p>
  </w:footnote>
  <w:footnote w:id="17">
    <w:p w14:paraId="27F76515" w14:textId="77777777" w:rsidR="005004D6" w:rsidRPr="00AD76AF" w:rsidRDefault="005004D6" w:rsidP="00337F5F">
      <w:pPr>
        <w:pStyle w:val="FootnoteText"/>
        <w:rPr>
          <w:sz w:val="18"/>
          <w:szCs w:val="18"/>
        </w:rPr>
      </w:pPr>
      <w:r w:rsidRPr="00AD76AF">
        <w:rPr>
          <w:rStyle w:val="FootnoteReference"/>
          <w:sz w:val="18"/>
          <w:szCs w:val="18"/>
        </w:rPr>
        <w:footnoteRef/>
      </w:r>
      <w:r w:rsidRPr="00AD76AF">
        <w:rPr>
          <w:sz w:val="18"/>
          <w:szCs w:val="18"/>
        </w:rPr>
        <w:t xml:space="preserve"> </w:t>
      </w:r>
      <w:r w:rsidRPr="00AD76AF">
        <w:rPr>
          <w:rFonts w:cs="Arial"/>
          <w:iCs/>
          <w:sz w:val="18"/>
          <w:szCs w:val="18"/>
        </w:rPr>
        <w:t>Note that a total of USD 198.3 million has been mobilized in terms of EBRD funding in these countries for these investments, of which USD 47.6 million is for “Green Economy Transition” components of the investments.</w:t>
      </w:r>
    </w:p>
  </w:footnote>
  <w:footnote w:id="18">
    <w:p w14:paraId="58ED932B" w14:textId="77777777" w:rsidR="005004D6" w:rsidRPr="000C6494" w:rsidRDefault="005004D6" w:rsidP="00337F5F">
      <w:pPr>
        <w:rPr>
          <w:rFonts w:ascii="Arial" w:eastAsia="Times New Roman" w:hAnsi="Arial" w:cs="Arial"/>
          <w:iCs/>
          <w:sz w:val="18"/>
          <w:szCs w:val="20"/>
        </w:rPr>
      </w:pPr>
      <w:r w:rsidRPr="00AD76AF">
        <w:rPr>
          <w:rStyle w:val="FootnoteReference"/>
          <w:rFonts w:cs="Arial"/>
          <w:sz w:val="18"/>
          <w:szCs w:val="18"/>
        </w:rPr>
        <w:footnoteRef/>
      </w:r>
      <w:r w:rsidRPr="00AD76AF">
        <w:rPr>
          <w:rFonts w:cs="Arial"/>
          <w:sz w:val="18"/>
          <w:szCs w:val="18"/>
        </w:rPr>
        <w:t xml:space="preserve"> </w:t>
      </w:r>
      <w:r w:rsidRPr="00AD76AF">
        <w:rPr>
          <w:rFonts w:cs="Arial"/>
          <w:iCs/>
          <w:sz w:val="18"/>
          <w:szCs w:val="18"/>
        </w:rPr>
        <w:t xml:space="preserve">Additionally, FINTECC projects signed in countries outside of the project scope (i.e. SEMED region) using EBRD Shareholder Special Fund (SSF) funding and EBRD lending </w:t>
      </w:r>
      <w:r w:rsidRPr="00AD76AF">
        <w:rPr>
          <w:rFonts w:eastAsia="Times New Roman" w:cs="Arial"/>
          <w:iCs/>
          <w:sz w:val="18"/>
          <w:szCs w:val="18"/>
        </w:rPr>
        <w:t xml:space="preserve">have mobilised approximately USD 17.8 million </w:t>
      </w:r>
      <w:r w:rsidRPr="00AD76AF">
        <w:rPr>
          <w:rFonts w:cs="Arial"/>
          <w:iCs/>
          <w:sz w:val="18"/>
          <w:szCs w:val="18"/>
        </w:rPr>
        <w:t xml:space="preserve">of “Green Economy Transition” investment </w:t>
      </w:r>
      <w:r w:rsidRPr="00AD76AF">
        <w:rPr>
          <w:rFonts w:eastAsia="Times New Roman" w:cs="Arial"/>
          <w:iCs/>
          <w:sz w:val="18"/>
          <w:szCs w:val="18"/>
        </w:rPr>
        <w:t>so far.</w:t>
      </w:r>
    </w:p>
  </w:footnote>
  <w:footnote w:id="19">
    <w:p w14:paraId="2D33CFD5" w14:textId="77777777" w:rsidR="005004D6" w:rsidRPr="00AD76AF" w:rsidRDefault="005004D6" w:rsidP="003663DE">
      <w:pPr>
        <w:pStyle w:val="FootnoteText"/>
        <w:rPr>
          <w:rFonts w:cs="Arial"/>
          <w:sz w:val="18"/>
          <w:szCs w:val="18"/>
          <w:lang w:val="en-US"/>
        </w:rPr>
      </w:pPr>
      <w:r w:rsidRPr="00AD76AF">
        <w:rPr>
          <w:rStyle w:val="FootnoteReference"/>
          <w:rFonts w:cs="Arial"/>
          <w:sz w:val="18"/>
          <w:szCs w:val="18"/>
        </w:rPr>
        <w:footnoteRef/>
      </w:r>
      <w:r w:rsidRPr="00AD76AF">
        <w:rPr>
          <w:rFonts w:cs="Arial"/>
          <w:sz w:val="18"/>
          <w:szCs w:val="18"/>
        </w:rPr>
        <w:t xml:space="preserve"> </w:t>
      </w:r>
      <w:r w:rsidRPr="00AD76AF">
        <w:rPr>
          <w:rFonts w:cs="Arial"/>
          <w:sz w:val="18"/>
          <w:szCs w:val="18"/>
          <w:lang w:val="en-US"/>
        </w:rPr>
        <w:t xml:space="preserve">Described in the RCE as both political </w:t>
      </w:r>
      <w:r w:rsidRPr="00AD76AF">
        <w:rPr>
          <w:rFonts w:cs="Arial"/>
          <w:sz w:val="18"/>
          <w:szCs w:val="18"/>
        </w:rPr>
        <w:t>(low government commitment) and macroeconomic (instability in participating countries)</w:t>
      </w:r>
    </w:p>
  </w:footnote>
  <w:footnote w:id="20">
    <w:p w14:paraId="37B8F7D8" w14:textId="77777777" w:rsidR="005004D6" w:rsidRPr="00AD76AF" w:rsidRDefault="005004D6" w:rsidP="003663DE">
      <w:pPr>
        <w:pStyle w:val="FootnoteText"/>
        <w:rPr>
          <w:rFonts w:cs="Arial"/>
          <w:sz w:val="18"/>
          <w:szCs w:val="18"/>
          <w:lang w:val="en-US"/>
        </w:rPr>
      </w:pPr>
      <w:r w:rsidRPr="00AD76AF">
        <w:rPr>
          <w:rStyle w:val="FootnoteReference"/>
          <w:rFonts w:cs="Arial"/>
          <w:sz w:val="18"/>
          <w:szCs w:val="18"/>
        </w:rPr>
        <w:footnoteRef/>
      </w:r>
      <w:r w:rsidRPr="00AD76AF">
        <w:rPr>
          <w:rFonts w:cs="Arial"/>
          <w:sz w:val="18"/>
          <w:szCs w:val="18"/>
        </w:rPr>
        <w:t xml:space="preserve"> </w:t>
      </w:r>
      <w:r w:rsidRPr="00AD76AF">
        <w:rPr>
          <w:rFonts w:cs="Arial"/>
          <w:sz w:val="18"/>
          <w:szCs w:val="18"/>
          <w:lang w:val="en-US"/>
        </w:rPr>
        <w:t>Described in the RCE for both mitigation and adaptation technologies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A4428" w14:textId="2C1B1B85" w:rsidR="005004D6" w:rsidRDefault="002B3403" w:rsidP="002B3403">
    <w:pPr>
      <w:pStyle w:val="Header"/>
      <w:jc w:val="center"/>
    </w:pPr>
    <w:fldSimple w:instr=" DOCPROPERTY bjHeaderEvenPageDocProperty \* MERGEFORMAT " w:fldLock="1">
      <w:r w:rsidRPr="002B3403">
        <w:rPr>
          <w:rFonts w:ascii="Arial" w:hAnsi="Arial" w:cs="Arial"/>
          <w:color w:val="0000FF"/>
          <w:sz w:val="18"/>
        </w:rPr>
        <w:t>OFFICIAL USE</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40A50" w14:textId="723C2438" w:rsidR="005004D6" w:rsidRDefault="002B3403" w:rsidP="002B3403">
    <w:pPr>
      <w:pStyle w:val="Header"/>
      <w:jc w:val="center"/>
    </w:pPr>
    <w:fldSimple w:instr=" DOCPROPERTY bjHeaderBothDocProperty \* MERGEFORMAT " w:fldLock="1">
      <w:r w:rsidRPr="002B3403">
        <w:rPr>
          <w:rFonts w:ascii="Arial" w:hAnsi="Arial" w:cs="Arial"/>
          <w:color w:val="0000FF"/>
          <w:sz w:val="18"/>
        </w:rPr>
        <w:t>OFFICIAL USE</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AEEC7" w14:textId="047994ED" w:rsidR="005004D6" w:rsidRDefault="002B3403" w:rsidP="002B3403">
    <w:pPr>
      <w:pStyle w:val="Header"/>
      <w:jc w:val="center"/>
    </w:pPr>
    <w:fldSimple w:instr=" DOCPROPERTY bjHeaderFirstPageDocProperty \* MERGEFORMAT " w:fldLock="1">
      <w:r w:rsidRPr="002B3403">
        <w:rPr>
          <w:rFonts w:ascii="Arial" w:hAnsi="Arial" w:cs="Arial"/>
          <w:color w:val="0000FF"/>
          <w:sz w:val="18"/>
        </w:rPr>
        <w:t>OFFICIAL USE</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3C2"/>
    <w:multiLevelType w:val="hybridMultilevel"/>
    <w:tmpl w:val="BF360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634FA"/>
    <w:multiLevelType w:val="hybridMultilevel"/>
    <w:tmpl w:val="15A0F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C5199F"/>
    <w:multiLevelType w:val="hybridMultilevel"/>
    <w:tmpl w:val="3EBE5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B142B1C"/>
    <w:multiLevelType w:val="hybridMultilevel"/>
    <w:tmpl w:val="32A0B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985A71"/>
    <w:multiLevelType w:val="hybridMultilevel"/>
    <w:tmpl w:val="9640BAAC"/>
    <w:lvl w:ilvl="0" w:tplc="0809000F">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nsid w:val="0E1F636A"/>
    <w:multiLevelType w:val="hybridMultilevel"/>
    <w:tmpl w:val="5EC2C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3A54D41"/>
    <w:multiLevelType w:val="hybridMultilevel"/>
    <w:tmpl w:val="F48A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DD34C2"/>
    <w:multiLevelType w:val="hybridMultilevel"/>
    <w:tmpl w:val="44165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773E0A"/>
    <w:multiLevelType w:val="hybridMultilevel"/>
    <w:tmpl w:val="8BF00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AD3EFA"/>
    <w:multiLevelType w:val="hybridMultilevel"/>
    <w:tmpl w:val="92149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AA5E58"/>
    <w:multiLevelType w:val="hybridMultilevel"/>
    <w:tmpl w:val="75549A38"/>
    <w:lvl w:ilvl="0" w:tplc="F08EF77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EB5BF0"/>
    <w:multiLevelType w:val="hybridMultilevel"/>
    <w:tmpl w:val="8A847F66"/>
    <w:lvl w:ilvl="0" w:tplc="56DEE23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126E00"/>
    <w:multiLevelType w:val="hybridMultilevel"/>
    <w:tmpl w:val="71CC382A"/>
    <w:lvl w:ilvl="0" w:tplc="18FCDA3E">
      <w:start w:val="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DD700C"/>
    <w:multiLevelType w:val="hybridMultilevel"/>
    <w:tmpl w:val="ADE839FA"/>
    <w:lvl w:ilvl="0" w:tplc="F08EF77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281E69"/>
    <w:multiLevelType w:val="hybridMultilevel"/>
    <w:tmpl w:val="B2AC0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0E759CE"/>
    <w:multiLevelType w:val="hybridMultilevel"/>
    <w:tmpl w:val="DB5E2E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30FA1F16"/>
    <w:multiLevelType w:val="hybridMultilevel"/>
    <w:tmpl w:val="8DC8D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E767BE"/>
    <w:multiLevelType w:val="hybridMultilevel"/>
    <w:tmpl w:val="3F4488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302AE1"/>
    <w:multiLevelType w:val="hybridMultilevel"/>
    <w:tmpl w:val="C34AA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05B3735"/>
    <w:multiLevelType w:val="hybridMultilevel"/>
    <w:tmpl w:val="6756E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3735FA3"/>
    <w:multiLevelType w:val="hybridMultilevel"/>
    <w:tmpl w:val="1338CC1E"/>
    <w:lvl w:ilvl="0" w:tplc="43AC9E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6C821EA"/>
    <w:multiLevelType w:val="hybridMultilevel"/>
    <w:tmpl w:val="AE3E26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1101A7C"/>
    <w:multiLevelType w:val="hybridMultilevel"/>
    <w:tmpl w:val="69488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272288"/>
    <w:multiLevelType w:val="hybridMultilevel"/>
    <w:tmpl w:val="F5542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890648"/>
    <w:multiLevelType w:val="hybridMultilevel"/>
    <w:tmpl w:val="37366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26111F"/>
    <w:multiLevelType w:val="hybridMultilevel"/>
    <w:tmpl w:val="2AD6C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8A2259"/>
    <w:multiLevelType w:val="hybridMultilevel"/>
    <w:tmpl w:val="ED3CB522"/>
    <w:lvl w:ilvl="0" w:tplc="F08EF77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99701B"/>
    <w:multiLevelType w:val="hybridMultilevel"/>
    <w:tmpl w:val="030E9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EE77030"/>
    <w:multiLevelType w:val="hybridMultilevel"/>
    <w:tmpl w:val="0C76859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9">
    <w:nsid w:val="783318E0"/>
    <w:multiLevelType w:val="hybridMultilevel"/>
    <w:tmpl w:val="04242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88A102D"/>
    <w:multiLevelType w:val="hybridMultilevel"/>
    <w:tmpl w:val="2D9C1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A4A3D13"/>
    <w:multiLevelType w:val="hybridMultilevel"/>
    <w:tmpl w:val="9D229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AAE4A26"/>
    <w:multiLevelType w:val="hybridMultilevel"/>
    <w:tmpl w:val="A0E02C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C616D04"/>
    <w:multiLevelType w:val="hybridMultilevel"/>
    <w:tmpl w:val="201AFEEE"/>
    <w:lvl w:ilvl="0" w:tplc="18FCDA3E">
      <w:start w:val="2"/>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0"/>
  </w:num>
  <w:num w:numId="2">
    <w:abstractNumId w:val="28"/>
  </w:num>
  <w:num w:numId="3">
    <w:abstractNumId w:val="27"/>
  </w:num>
  <w:num w:numId="4">
    <w:abstractNumId w:val="33"/>
  </w:num>
  <w:num w:numId="5">
    <w:abstractNumId w:val="0"/>
  </w:num>
  <w:num w:numId="6">
    <w:abstractNumId w:val="4"/>
  </w:num>
  <w:num w:numId="7">
    <w:abstractNumId w:val="8"/>
  </w:num>
  <w:num w:numId="8">
    <w:abstractNumId w:val="31"/>
  </w:num>
  <w:num w:numId="9">
    <w:abstractNumId w:val="2"/>
  </w:num>
  <w:num w:numId="10">
    <w:abstractNumId w:val="29"/>
  </w:num>
  <w:num w:numId="11">
    <w:abstractNumId w:val="19"/>
  </w:num>
  <w:num w:numId="12">
    <w:abstractNumId w:val="14"/>
  </w:num>
  <w:num w:numId="13">
    <w:abstractNumId w:val="5"/>
  </w:num>
  <w:num w:numId="14">
    <w:abstractNumId w:val="17"/>
  </w:num>
  <w:num w:numId="15">
    <w:abstractNumId w:val="21"/>
  </w:num>
  <w:num w:numId="16">
    <w:abstractNumId w:val="12"/>
  </w:num>
  <w:num w:numId="17">
    <w:abstractNumId w:val="32"/>
  </w:num>
  <w:num w:numId="18">
    <w:abstractNumId w:val="18"/>
  </w:num>
  <w:num w:numId="19">
    <w:abstractNumId w:val="11"/>
  </w:num>
  <w:num w:numId="20">
    <w:abstractNumId w:val="23"/>
  </w:num>
  <w:num w:numId="21">
    <w:abstractNumId w:val="25"/>
  </w:num>
  <w:num w:numId="22">
    <w:abstractNumId w:val="15"/>
  </w:num>
  <w:num w:numId="23">
    <w:abstractNumId w:val="6"/>
  </w:num>
  <w:num w:numId="24">
    <w:abstractNumId w:val="1"/>
  </w:num>
  <w:num w:numId="25">
    <w:abstractNumId w:val="3"/>
  </w:num>
  <w:num w:numId="26">
    <w:abstractNumId w:val="7"/>
  </w:num>
  <w:num w:numId="27">
    <w:abstractNumId w:val="22"/>
  </w:num>
  <w:num w:numId="28">
    <w:abstractNumId w:val="16"/>
  </w:num>
  <w:num w:numId="29">
    <w:abstractNumId w:val="24"/>
  </w:num>
  <w:num w:numId="30">
    <w:abstractNumId w:val="9"/>
  </w:num>
  <w:num w:numId="31">
    <w:abstractNumId w:val="10"/>
  </w:num>
  <w:num w:numId="32">
    <w:abstractNumId w:val="26"/>
  </w:num>
  <w:num w:numId="33">
    <w:abstractNumId w:val="1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DAB"/>
    <w:rsid w:val="00021688"/>
    <w:rsid w:val="00022543"/>
    <w:rsid w:val="00022EAC"/>
    <w:rsid w:val="00027F8E"/>
    <w:rsid w:val="000431AA"/>
    <w:rsid w:val="00052D6D"/>
    <w:rsid w:val="00055732"/>
    <w:rsid w:val="00072A76"/>
    <w:rsid w:val="000902C3"/>
    <w:rsid w:val="00091C6F"/>
    <w:rsid w:val="000A35D6"/>
    <w:rsid w:val="000A40A8"/>
    <w:rsid w:val="000A61D3"/>
    <w:rsid w:val="000D7F48"/>
    <w:rsid w:val="000F5209"/>
    <w:rsid w:val="00103A56"/>
    <w:rsid w:val="001043A7"/>
    <w:rsid w:val="00123A46"/>
    <w:rsid w:val="00125DA2"/>
    <w:rsid w:val="001361B6"/>
    <w:rsid w:val="00140089"/>
    <w:rsid w:val="001404B4"/>
    <w:rsid w:val="00161034"/>
    <w:rsid w:val="00177B90"/>
    <w:rsid w:val="00181921"/>
    <w:rsid w:val="00187B10"/>
    <w:rsid w:val="00197683"/>
    <w:rsid w:val="00197B39"/>
    <w:rsid w:val="001A5DAB"/>
    <w:rsid w:val="001C7A6C"/>
    <w:rsid w:val="001D753F"/>
    <w:rsid w:val="001E48A1"/>
    <w:rsid w:val="00210158"/>
    <w:rsid w:val="00225032"/>
    <w:rsid w:val="002335B9"/>
    <w:rsid w:val="00234322"/>
    <w:rsid w:val="00236E57"/>
    <w:rsid w:val="00237191"/>
    <w:rsid w:val="0023744A"/>
    <w:rsid w:val="00244C91"/>
    <w:rsid w:val="00281AE8"/>
    <w:rsid w:val="002827FE"/>
    <w:rsid w:val="0029524B"/>
    <w:rsid w:val="002A019F"/>
    <w:rsid w:val="002A6263"/>
    <w:rsid w:val="002B2E72"/>
    <w:rsid w:val="002B3403"/>
    <w:rsid w:val="002B3840"/>
    <w:rsid w:val="002C038C"/>
    <w:rsid w:val="002D38D0"/>
    <w:rsid w:val="002E7742"/>
    <w:rsid w:val="002F1C2B"/>
    <w:rsid w:val="00302A86"/>
    <w:rsid w:val="00306D13"/>
    <w:rsid w:val="00320DB0"/>
    <w:rsid w:val="00326DF2"/>
    <w:rsid w:val="00331C27"/>
    <w:rsid w:val="00337F5F"/>
    <w:rsid w:val="003426A0"/>
    <w:rsid w:val="00342F81"/>
    <w:rsid w:val="003565D1"/>
    <w:rsid w:val="00356A83"/>
    <w:rsid w:val="003663DE"/>
    <w:rsid w:val="00370734"/>
    <w:rsid w:val="003801D5"/>
    <w:rsid w:val="00384CEE"/>
    <w:rsid w:val="00390F7C"/>
    <w:rsid w:val="00391103"/>
    <w:rsid w:val="00392142"/>
    <w:rsid w:val="00393F52"/>
    <w:rsid w:val="00396356"/>
    <w:rsid w:val="003A3E9F"/>
    <w:rsid w:val="003A713D"/>
    <w:rsid w:val="003B0DFF"/>
    <w:rsid w:val="003B1727"/>
    <w:rsid w:val="003C2036"/>
    <w:rsid w:val="003D1378"/>
    <w:rsid w:val="003D6529"/>
    <w:rsid w:val="003F3D2E"/>
    <w:rsid w:val="003F53D2"/>
    <w:rsid w:val="0041198C"/>
    <w:rsid w:val="00416784"/>
    <w:rsid w:val="0042133B"/>
    <w:rsid w:val="0042647B"/>
    <w:rsid w:val="00430D30"/>
    <w:rsid w:val="004321AF"/>
    <w:rsid w:val="0043278C"/>
    <w:rsid w:val="00435CF1"/>
    <w:rsid w:val="004571A9"/>
    <w:rsid w:val="004633A3"/>
    <w:rsid w:val="004866B7"/>
    <w:rsid w:val="004A0CEC"/>
    <w:rsid w:val="004A14BA"/>
    <w:rsid w:val="004B1F8A"/>
    <w:rsid w:val="004B2D81"/>
    <w:rsid w:val="004B3814"/>
    <w:rsid w:val="004B45AE"/>
    <w:rsid w:val="004C5265"/>
    <w:rsid w:val="004C6E41"/>
    <w:rsid w:val="004D0E2F"/>
    <w:rsid w:val="004E4055"/>
    <w:rsid w:val="004E5C18"/>
    <w:rsid w:val="004F1B66"/>
    <w:rsid w:val="004F7CB9"/>
    <w:rsid w:val="005004D6"/>
    <w:rsid w:val="005071B8"/>
    <w:rsid w:val="00513DFC"/>
    <w:rsid w:val="0052476A"/>
    <w:rsid w:val="00530769"/>
    <w:rsid w:val="00536A92"/>
    <w:rsid w:val="005437AE"/>
    <w:rsid w:val="00543E8F"/>
    <w:rsid w:val="00555944"/>
    <w:rsid w:val="00560FD8"/>
    <w:rsid w:val="00563676"/>
    <w:rsid w:val="005666C9"/>
    <w:rsid w:val="005877F9"/>
    <w:rsid w:val="005B423B"/>
    <w:rsid w:val="005B4DDD"/>
    <w:rsid w:val="005C1031"/>
    <w:rsid w:val="005C3229"/>
    <w:rsid w:val="005C4A8E"/>
    <w:rsid w:val="005D5980"/>
    <w:rsid w:val="005D71D0"/>
    <w:rsid w:val="005F6802"/>
    <w:rsid w:val="00601E0B"/>
    <w:rsid w:val="00612882"/>
    <w:rsid w:val="00612E35"/>
    <w:rsid w:val="00617A95"/>
    <w:rsid w:val="0062184F"/>
    <w:rsid w:val="00623BF6"/>
    <w:rsid w:val="00625D85"/>
    <w:rsid w:val="00641BD0"/>
    <w:rsid w:val="006542FC"/>
    <w:rsid w:val="00654F71"/>
    <w:rsid w:val="00660CF7"/>
    <w:rsid w:val="00667DCF"/>
    <w:rsid w:val="006771E0"/>
    <w:rsid w:val="00684E72"/>
    <w:rsid w:val="00685055"/>
    <w:rsid w:val="0068509A"/>
    <w:rsid w:val="00692770"/>
    <w:rsid w:val="00695402"/>
    <w:rsid w:val="00695BCC"/>
    <w:rsid w:val="006D4B33"/>
    <w:rsid w:val="006E742C"/>
    <w:rsid w:val="006F0B29"/>
    <w:rsid w:val="00701D9F"/>
    <w:rsid w:val="007049D2"/>
    <w:rsid w:val="00707C89"/>
    <w:rsid w:val="00726D38"/>
    <w:rsid w:val="007373D5"/>
    <w:rsid w:val="00737C78"/>
    <w:rsid w:val="007437FA"/>
    <w:rsid w:val="00746C3E"/>
    <w:rsid w:val="00751F21"/>
    <w:rsid w:val="00754011"/>
    <w:rsid w:val="0076381F"/>
    <w:rsid w:val="00763BF4"/>
    <w:rsid w:val="00767635"/>
    <w:rsid w:val="0077140D"/>
    <w:rsid w:val="007730D6"/>
    <w:rsid w:val="007858F9"/>
    <w:rsid w:val="00794FBA"/>
    <w:rsid w:val="007B7E30"/>
    <w:rsid w:val="007C62BF"/>
    <w:rsid w:val="007D25BD"/>
    <w:rsid w:val="007D2600"/>
    <w:rsid w:val="007E6B6F"/>
    <w:rsid w:val="007F19D6"/>
    <w:rsid w:val="007F390E"/>
    <w:rsid w:val="00812DDF"/>
    <w:rsid w:val="00827738"/>
    <w:rsid w:val="00835121"/>
    <w:rsid w:val="0083655E"/>
    <w:rsid w:val="0085372C"/>
    <w:rsid w:val="008669F9"/>
    <w:rsid w:val="0087162E"/>
    <w:rsid w:val="00872D76"/>
    <w:rsid w:val="00880EC2"/>
    <w:rsid w:val="00887BB1"/>
    <w:rsid w:val="008914E0"/>
    <w:rsid w:val="00897FEC"/>
    <w:rsid w:val="008C05BC"/>
    <w:rsid w:val="008C3F34"/>
    <w:rsid w:val="008E3FB7"/>
    <w:rsid w:val="0090402C"/>
    <w:rsid w:val="0090430C"/>
    <w:rsid w:val="009355C5"/>
    <w:rsid w:val="00954666"/>
    <w:rsid w:val="00956155"/>
    <w:rsid w:val="00956E95"/>
    <w:rsid w:val="00960984"/>
    <w:rsid w:val="0096357C"/>
    <w:rsid w:val="009658C9"/>
    <w:rsid w:val="0097783F"/>
    <w:rsid w:val="0098127A"/>
    <w:rsid w:val="00981F94"/>
    <w:rsid w:val="0098458B"/>
    <w:rsid w:val="009B1004"/>
    <w:rsid w:val="009B1330"/>
    <w:rsid w:val="009B2D7A"/>
    <w:rsid w:val="009B4B79"/>
    <w:rsid w:val="009B706B"/>
    <w:rsid w:val="009D63E3"/>
    <w:rsid w:val="009E0279"/>
    <w:rsid w:val="00A0388A"/>
    <w:rsid w:val="00A226FF"/>
    <w:rsid w:val="00A24D6D"/>
    <w:rsid w:val="00A33B3D"/>
    <w:rsid w:val="00A40A01"/>
    <w:rsid w:val="00A70969"/>
    <w:rsid w:val="00A74D99"/>
    <w:rsid w:val="00A77601"/>
    <w:rsid w:val="00A84A13"/>
    <w:rsid w:val="00A919DF"/>
    <w:rsid w:val="00A95DAE"/>
    <w:rsid w:val="00AA253B"/>
    <w:rsid w:val="00AD76AF"/>
    <w:rsid w:val="00AE43A9"/>
    <w:rsid w:val="00AE56B3"/>
    <w:rsid w:val="00AF31C0"/>
    <w:rsid w:val="00AF5D62"/>
    <w:rsid w:val="00AF72F6"/>
    <w:rsid w:val="00B07794"/>
    <w:rsid w:val="00B15B97"/>
    <w:rsid w:val="00B166CE"/>
    <w:rsid w:val="00B20126"/>
    <w:rsid w:val="00B22B3A"/>
    <w:rsid w:val="00B37137"/>
    <w:rsid w:val="00B42BDE"/>
    <w:rsid w:val="00B44654"/>
    <w:rsid w:val="00B63437"/>
    <w:rsid w:val="00B67E98"/>
    <w:rsid w:val="00B72A94"/>
    <w:rsid w:val="00B80839"/>
    <w:rsid w:val="00BA2F04"/>
    <w:rsid w:val="00BA406B"/>
    <w:rsid w:val="00BB56A6"/>
    <w:rsid w:val="00BB7176"/>
    <w:rsid w:val="00BC0141"/>
    <w:rsid w:val="00BC246A"/>
    <w:rsid w:val="00BD22BA"/>
    <w:rsid w:val="00BE1456"/>
    <w:rsid w:val="00BE41F4"/>
    <w:rsid w:val="00BF3A70"/>
    <w:rsid w:val="00BF3BEC"/>
    <w:rsid w:val="00C12752"/>
    <w:rsid w:val="00C2486C"/>
    <w:rsid w:val="00C35731"/>
    <w:rsid w:val="00C55349"/>
    <w:rsid w:val="00C602FB"/>
    <w:rsid w:val="00C807B3"/>
    <w:rsid w:val="00C844DB"/>
    <w:rsid w:val="00C85DD8"/>
    <w:rsid w:val="00C860E0"/>
    <w:rsid w:val="00CA184E"/>
    <w:rsid w:val="00CA4183"/>
    <w:rsid w:val="00CA5F67"/>
    <w:rsid w:val="00CD157E"/>
    <w:rsid w:val="00CD16B1"/>
    <w:rsid w:val="00CD216E"/>
    <w:rsid w:val="00CD2929"/>
    <w:rsid w:val="00CE11EC"/>
    <w:rsid w:val="00CE41C7"/>
    <w:rsid w:val="00CF52D3"/>
    <w:rsid w:val="00D00820"/>
    <w:rsid w:val="00D008DC"/>
    <w:rsid w:val="00D018BF"/>
    <w:rsid w:val="00D01FDB"/>
    <w:rsid w:val="00D05D1C"/>
    <w:rsid w:val="00D24DF9"/>
    <w:rsid w:val="00D26892"/>
    <w:rsid w:val="00D40A53"/>
    <w:rsid w:val="00D54DE9"/>
    <w:rsid w:val="00D55B3A"/>
    <w:rsid w:val="00D56B74"/>
    <w:rsid w:val="00D7482C"/>
    <w:rsid w:val="00D779A9"/>
    <w:rsid w:val="00D87BF3"/>
    <w:rsid w:val="00D91B7F"/>
    <w:rsid w:val="00D93346"/>
    <w:rsid w:val="00D943F3"/>
    <w:rsid w:val="00D97F85"/>
    <w:rsid w:val="00DA51C0"/>
    <w:rsid w:val="00DC08D3"/>
    <w:rsid w:val="00DC1D40"/>
    <w:rsid w:val="00DC5DBB"/>
    <w:rsid w:val="00DD5BC6"/>
    <w:rsid w:val="00DF3C72"/>
    <w:rsid w:val="00DF56FE"/>
    <w:rsid w:val="00DF5E74"/>
    <w:rsid w:val="00E13C94"/>
    <w:rsid w:val="00E16B0B"/>
    <w:rsid w:val="00E32B65"/>
    <w:rsid w:val="00E45025"/>
    <w:rsid w:val="00E469DB"/>
    <w:rsid w:val="00E479E3"/>
    <w:rsid w:val="00E50339"/>
    <w:rsid w:val="00E673B9"/>
    <w:rsid w:val="00E76524"/>
    <w:rsid w:val="00E77DC1"/>
    <w:rsid w:val="00E80505"/>
    <w:rsid w:val="00E86C36"/>
    <w:rsid w:val="00E926EC"/>
    <w:rsid w:val="00ED5C0D"/>
    <w:rsid w:val="00EE47AB"/>
    <w:rsid w:val="00EF0C3F"/>
    <w:rsid w:val="00EF633F"/>
    <w:rsid w:val="00F008F4"/>
    <w:rsid w:val="00F01DC7"/>
    <w:rsid w:val="00F1094C"/>
    <w:rsid w:val="00F173BA"/>
    <w:rsid w:val="00F2558A"/>
    <w:rsid w:val="00F259C2"/>
    <w:rsid w:val="00F32D93"/>
    <w:rsid w:val="00F462EE"/>
    <w:rsid w:val="00F5266F"/>
    <w:rsid w:val="00F77A9A"/>
    <w:rsid w:val="00F8555E"/>
    <w:rsid w:val="00F94364"/>
    <w:rsid w:val="00FB35B7"/>
    <w:rsid w:val="00FB4CD9"/>
    <w:rsid w:val="00FC3409"/>
    <w:rsid w:val="00FC371D"/>
    <w:rsid w:val="00FD556C"/>
    <w:rsid w:val="00FE3288"/>
    <w:rsid w:val="00FE3A18"/>
    <w:rsid w:val="00FE77B8"/>
    <w:rsid w:val="00FF6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24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8BF"/>
  </w:style>
  <w:style w:type="paragraph" w:styleId="Heading1">
    <w:name w:val="heading 1"/>
    <w:basedOn w:val="Normal"/>
    <w:next w:val="Normal"/>
    <w:link w:val="Heading1Char"/>
    <w:uiPriority w:val="9"/>
    <w:qFormat/>
    <w:rsid w:val="00FB4C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666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18BF"/>
    <w:pPr>
      <w:tabs>
        <w:tab w:val="center" w:pos="4513"/>
        <w:tab w:val="right" w:pos="9026"/>
      </w:tabs>
      <w:spacing w:after="0" w:line="240" w:lineRule="auto"/>
    </w:pPr>
  </w:style>
  <w:style w:type="character" w:customStyle="1" w:styleId="HeaderChar">
    <w:name w:val="Header Char"/>
    <w:basedOn w:val="DefaultParagraphFont"/>
    <w:link w:val="Header"/>
    <w:rsid w:val="00D018BF"/>
  </w:style>
  <w:style w:type="paragraph" w:styleId="Footer">
    <w:name w:val="footer"/>
    <w:basedOn w:val="Normal"/>
    <w:link w:val="FooterChar"/>
    <w:uiPriority w:val="99"/>
    <w:unhideWhenUsed/>
    <w:rsid w:val="00D01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8BF"/>
  </w:style>
  <w:style w:type="paragraph" w:styleId="BalloonText">
    <w:name w:val="Balloon Text"/>
    <w:basedOn w:val="Normal"/>
    <w:link w:val="BalloonTextChar"/>
    <w:uiPriority w:val="99"/>
    <w:semiHidden/>
    <w:unhideWhenUsed/>
    <w:rsid w:val="00D01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8BF"/>
    <w:rPr>
      <w:rFonts w:ascii="Tahoma" w:hAnsi="Tahoma" w:cs="Tahoma"/>
      <w:sz w:val="16"/>
      <w:szCs w:val="16"/>
    </w:rPr>
  </w:style>
  <w:style w:type="paragraph" w:styleId="ListParagraph">
    <w:name w:val="List Paragraph"/>
    <w:basedOn w:val="Normal"/>
    <w:uiPriority w:val="34"/>
    <w:qFormat/>
    <w:rsid w:val="003F3D2E"/>
    <w:pPr>
      <w:ind w:left="720"/>
      <w:contextualSpacing/>
    </w:pPr>
  </w:style>
  <w:style w:type="table" w:styleId="TableGrid">
    <w:name w:val="Table Grid"/>
    <w:basedOn w:val="TableNormal"/>
    <w:uiPriority w:val="39"/>
    <w:rsid w:val="003F3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B4CD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B4B79"/>
    <w:rPr>
      <w:color w:val="0000FF" w:themeColor="hyperlink"/>
      <w:u w:val="single"/>
    </w:rPr>
  </w:style>
  <w:style w:type="paragraph" w:styleId="FootnoteText">
    <w:name w:val="footnote text"/>
    <w:aliases w:val="Geneva 9,Font: Geneva 9,Boston 10,f,ADB,Fußnotentextf,Footnote Text Char Char Char,Fußnote,single space,fn,Footnote text,FOOTNOTES,ft,single space Char Char,Fußnotentext Char,Footnote Text Char2 Char,Footno,Footnote,Car,12pt,footnote text"/>
    <w:basedOn w:val="Normal"/>
    <w:link w:val="FootnoteTextChar"/>
    <w:uiPriority w:val="99"/>
    <w:unhideWhenUsed/>
    <w:rsid w:val="00CD216E"/>
    <w:pPr>
      <w:spacing w:after="0" w:line="240" w:lineRule="auto"/>
    </w:pPr>
    <w:rPr>
      <w:sz w:val="20"/>
      <w:szCs w:val="20"/>
    </w:rPr>
  </w:style>
  <w:style w:type="character" w:customStyle="1" w:styleId="FootnoteTextChar">
    <w:name w:val="Footnote Text Char"/>
    <w:aliases w:val="Geneva 9 Char,Font: Geneva 9 Char,Boston 10 Char,f Char,ADB Char,Fußnotentextf Char,Footnote Text Char Char Char Char,Fußnote Char,single space Char,fn Char,Footnote text Char,FOOTNOTES Char,ft Char,single space Char Char Char"/>
    <w:basedOn w:val="DefaultParagraphFont"/>
    <w:link w:val="FootnoteText"/>
    <w:uiPriority w:val="99"/>
    <w:rsid w:val="00CD216E"/>
    <w:rPr>
      <w:sz w:val="20"/>
      <w:szCs w:val="20"/>
    </w:rPr>
  </w:style>
  <w:style w:type="character" w:styleId="FootnoteReference">
    <w:name w:val="footnote reference"/>
    <w:aliases w:val="16 Point,Superscript 6 Point,BVI fnr,ftref,Footnote Reference Number,Footnote Reference_LVL6,Footnote Reference_LVL61,Footnote Reference_LVL62,Footnote Reference_LVL63,Footnote Reference_LVL64,Знак сноски-FN,EN Footnote Reference,fr"/>
    <w:basedOn w:val="DefaultParagraphFont"/>
    <w:uiPriority w:val="99"/>
    <w:unhideWhenUsed/>
    <w:rsid w:val="00CD216E"/>
    <w:rPr>
      <w:vertAlign w:val="superscript"/>
    </w:rPr>
  </w:style>
  <w:style w:type="character" w:styleId="CommentReference">
    <w:name w:val="annotation reference"/>
    <w:basedOn w:val="DefaultParagraphFont"/>
    <w:semiHidden/>
    <w:unhideWhenUsed/>
    <w:rsid w:val="00CD216E"/>
    <w:rPr>
      <w:sz w:val="16"/>
      <w:szCs w:val="16"/>
    </w:rPr>
  </w:style>
  <w:style w:type="paragraph" w:styleId="CommentText">
    <w:name w:val="annotation text"/>
    <w:basedOn w:val="Normal"/>
    <w:link w:val="CommentTextChar"/>
    <w:uiPriority w:val="99"/>
    <w:unhideWhenUsed/>
    <w:rsid w:val="00CD216E"/>
    <w:pPr>
      <w:spacing w:line="240" w:lineRule="auto"/>
    </w:pPr>
    <w:rPr>
      <w:sz w:val="20"/>
      <w:szCs w:val="20"/>
    </w:rPr>
  </w:style>
  <w:style w:type="character" w:customStyle="1" w:styleId="CommentTextChar">
    <w:name w:val="Comment Text Char"/>
    <w:basedOn w:val="DefaultParagraphFont"/>
    <w:link w:val="CommentText"/>
    <w:uiPriority w:val="99"/>
    <w:rsid w:val="00CD216E"/>
    <w:rPr>
      <w:sz w:val="20"/>
      <w:szCs w:val="20"/>
    </w:rPr>
  </w:style>
  <w:style w:type="paragraph" w:styleId="CommentSubject">
    <w:name w:val="annotation subject"/>
    <w:basedOn w:val="CommentText"/>
    <w:next w:val="CommentText"/>
    <w:link w:val="CommentSubjectChar"/>
    <w:uiPriority w:val="99"/>
    <w:semiHidden/>
    <w:unhideWhenUsed/>
    <w:rsid w:val="00CD216E"/>
    <w:rPr>
      <w:b/>
      <w:bCs/>
    </w:rPr>
  </w:style>
  <w:style w:type="character" w:customStyle="1" w:styleId="CommentSubjectChar">
    <w:name w:val="Comment Subject Char"/>
    <w:basedOn w:val="CommentTextChar"/>
    <w:link w:val="CommentSubject"/>
    <w:uiPriority w:val="99"/>
    <w:semiHidden/>
    <w:rsid w:val="00CD216E"/>
    <w:rPr>
      <w:b/>
      <w:bCs/>
      <w:sz w:val="20"/>
      <w:szCs w:val="20"/>
    </w:rPr>
  </w:style>
  <w:style w:type="character" w:styleId="PlaceholderText">
    <w:name w:val="Placeholder Text"/>
    <w:basedOn w:val="DefaultParagraphFont"/>
    <w:uiPriority w:val="99"/>
    <w:semiHidden/>
    <w:rsid w:val="00F173BA"/>
    <w:rPr>
      <w:color w:val="808080"/>
    </w:rPr>
  </w:style>
  <w:style w:type="paragraph" w:styleId="NormalWeb">
    <w:name w:val="Normal (Web)"/>
    <w:aliases w:val=" webb,webb, Знак Знак3, Знак4,Знак4,Обычный (Web) Знак Знак Знак Знак,Обычный (Web) Знак Знак Знак Знак Знак Знак Знак Знак Знак,Обычный (Web) Знак Знак Знак Знак Знак,Обычный (Web) Знак Знак Знак,Знак Знак3,Знак4 Знак Знак,Обычный (Web)1"/>
    <w:basedOn w:val="Normal"/>
    <w:link w:val="NormalWebChar"/>
    <w:uiPriority w:val="99"/>
    <w:rsid w:val="005666C9"/>
    <w:pPr>
      <w:spacing w:beforeLines="1" w:afterLines="1" w:after="0" w:line="240" w:lineRule="auto"/>
    </w:pPr>
    <w:rPr>
      <w:rFonts w:ascii="Times" w:eastAsia="Cambria" w:hAnsi="Times" w:cs="Times New Roman"/>
      <w:sz w:val="20"/>
      <w:szCs w:val="20"/>
      <w:lang w:val="en-US"/>
    </w:rPr>
  </w:style>
  <w:style w:type="character" w:customStyle="1" w:styleId="Heading2Char">
    <w:name w:val="Heading 2 Char"/>
    <w:basedOn w:val="DefaultParagraphFont"/>
    <w:link w:val="Heading2"/>
    <w:uiPriority w:val="9"/>
    <w:semiHidden/>
    <w:rsid w:val="005666C9"/>
    <w:rPr>
      <w:rFonts w:asciiTheme="majorHAnsi" w:eastAsiaTheme="majorEastAsia" w:hAnsiTheme="majorHAnsi" w:cstheme="majorBidi"/>
      <w:b/>
      <w:bCs/>
      <w:color w:val="4F81BD" w:themeColor="accent1"/>
      <w:sz w:val="26"/>
      <w:szCs w:val="26"/>
    </w:rPr>
  </w:style>
  <w:style w:type="paragraph" w:customStyle="1" w:styleId="ColorfulShading-Accent31">
    <w:name w:val="Colorful Shading - Accent 31"/>
    <w:basedOn w:val="Normal"/>
    <w:uiPriority w:val="99"/>
    <w:qFormat/>
    <w:rsid w:val="0097783F"/>
    <w:pPr>
      <w:ind w:left="720"/>
      <w:contextualSpacing/>
    </w:pPr>
    <w:rPr>
      <w:rFonts w:ascii="Times New Roman" w:eastAsia="Times New Roman" w:hAnsi="Times New Roman" w:cs="Times New Roman"/>
      <w:lang w:val="en-US"/>
    </w:rPr>
  </w:style>
  <w:style w:type="character" w:customStyle="1" w:styleId="Style1">
    <w:name w:val="Style1"/>
    <w:basedOn w:val="DefaultParagraphFont"/>
    <w:uiPriority w:val="1"/>
    <w:rsid w:val="005B4DDD"/>
    <w:rPr>
      <w:color w:val="FFFF00"/>
    </w:rPr>
  </w:style>
  <w:style w:type="paragraph" w:customStyle="1" w:styleId="TableHeading">
    <w:name w:val="Table Heading"/>
    <w:basedOn w:val="Normal"/>
    <w:rsid w:val="003663DE"/>
    <w:pPr>
      <w:suppressAutoHyphens/>
      <w:spacing w:after="0" w:line="240" w:lineRule="auto"/>
      <w:jc w:val="center"/>
    </w:pPr>
    <w:rPr>
      <w:rFonts w:ascii="Book Antiqua" w:eastAsia="Times New Roman" w:hAnsi="Book Antiqua" w:cs="Times New Roman"/>
      <w:b/>
      <w:i/>
      <w:szCs w:val="20"/>
    </w:rPr>
  </w:style>
  <w:style w:type="paragraph" w:customStyle="1" w:styleId="LightGrid-Accent31">
    <w:name w:val="Light Grid - Accent 31"/>
    <w:basedOn w:val="Normal"/>
    <w:uiPriority w:val="99"/>
    <w:qFormat/>
    <w:rsid w:val="003663DE"/>
    <w:pPr>
      <w:ind w:left="720"/>
      <w:contextualSpacing/>
    </w:pPr>
    <w:rPr>
      <w:rFonts w:ascii="Times New Roman" w:eastAsia="Times New Roman" w:hAnsi="Times New Roman" w:cs="Times New Roman"/>
      <w:lang w:val="en-US"/>
    </w:rPr>
  </w:style>
  <w:style w:type="paragraph" w:customStyle="1" w:styleId="Default">
    <w:name w:val="Default"/>
    <w:rsid w:val="003663DE"/>
    <w:pPr>
      <w:autoSpaceDE w:val="0"/>
      <w:autoSpaceDN w:val="0"/>
      <w:adjustRightInd w:val="0"/>
      <w:spacing w:after="0" w:line="240" w:lineRule="auto"/>
    </w:pPr>
    <w:rPr>
      <w:rFonts w:ascii="Times New Roman" w:eastAsia="Cambria" w:hAnsi="Times New Roman" w:cs="Times New Roman"/>
      <w:color w:val="000000"/>
      <w:sz w:val="24"/>
      <w:szCs w:val="24"/>
      <w:lang w:eastAsia="en-GB"/>
    </w:rPr>
  </w:style>
  <w:style w:type="paragraph" w:styleId="TOCHeading">
    <w:name w:val="TOC Heading"/>
    <w:basedOn w:val="Heading1"/>
    <w:next w:val="Normal"/>
    <w:uiPriority w:val="39"/>
    <w:unhideWhenUsed/>
    <w:qFormat/>
    <w:rsid w:val="00FE3288"/>
    <w:pPr>
      <w:outlineLvl w:val="9"/>
    </w:pPr>
    <w:rPr>
      <w:lang w:val="en-US" w:eastAsia="ja-JP"/>
    </w:rPr>
  </w:style>
  <w:style w:type="paragraph" w:styleId="TOC1">
    <w:name w:val="toc 1"/>
    <w:basedOn w:val="Normal"/>
    <w:next w:val="Normal"/>
    <w:autoRedefine/>
    <w:uiPriority w:val="39"/>
    <w:semiHidden/>
    <w:unhideWhenUsed/>
    <w:qFormat/>
    <w:rsid w:val="00FE3288"/>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FE3288"/>
    <w:pPr>
      <w:spacing w:after="100"/>
      <w:ind w:left="440"/>
    </w:pPr>
    <w:rPr>
      <w:rFonts w:eastAsiaTheme="minorEastAsia"/>
      <w:lang w:val="en-US" w:eastAsia="ja-JP"/>
    </w:rPr>
  </w:style>
  <w:style w:type="character" w:customStyle="1" w:styleId="NormalWebChar">
    <w:name w:val="Normal (Web) Char"/>
    <w:aliases w:val=" webb Char,webb Char, Знак Знак3 Char, Знак4 Char,Знак4 Char,Обычный (Web) Знак Знак Знак Знак Char,Обычный (Web) Знак Знак Знак Знак Знак Знак Знак Знак Знак Char,Обычный (Web) Знак Знак Знак Знак Знак Char,Знак Знак3 Char"/>
    <w:link w:val="NormalWeb"/>
    <w:uiPriority w:val="99"/>
    <w:rsid w:val="00FE3288"/>
    <w:rPr>
      <w:rFonts w:ascii="Times" w:eastAsia="Cambria" w:hAnsi="Times" w:cs="Times New Roman"/>
      <w:sz w:val="20"/>
      <w:szCs w:val="20"/>
      <w:lang w:val="en-US"/>
    </w:rPr>
  </w:style>
  <w:style w:type="paragraph" w:styleId="Revision">
    <w:name w:val="Revision"/>
    <w:hidden/>
    <w:uiPriority w:val="99"/>
    <w:semiHidden/>
    <w:rsid w:val="00CD16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8BF"/>
  </w:style>
  <w:style w:type="paragraph" w:styleId="Heading1">
    <w:name w:val="heading 1"/>
    <w:basedOn w:val="Normal"/>
    <w:next w:val="Normal"/>
    <w:link w:val="Heading1Char"/>
    <w:uiPriority w:val="9"/>
    <w:qFormat/>
    <w:rsid w:val="00FB4C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666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18BF"/>
    <w:pPr>
      <w:tabs>
        <w:tab w:val="center" w:pos="4513"/>
        <w:tab w:val="right" w:pos="9026"/>
      </w:tabs>
      <w:spacing w:after="0" w:line="240" w:lineRule="auto"/>
    </w:pPr>
  </w:style>
  <w:style w:type="character" w:customStyle="1" w:styleId="HeaderChar">
    <w:name w:val="Header Char"/>
    <w:basedOn w:val="DefaultParagraphFont"/>
    <w:link w:val="Header"/>
    <w:rsid w:val="00D018BF"/>
  </w:style>
  <w:style w:type="paragraph" w:styleId="Footer">
    <w:name w:val="footer"/>
    <w:basedOn w:val="Normal"/>
    <w:link w:val="FooterChar"/>
    <w:uiPriority w:val="99"/>
    <w:unhideWhenUsed/>
    <w:rsid w:val="00D01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8BF"/>
  </w:style>
  <w:style w:type="paragraph" w:styleId="BalloonText">
    <w:name w:val="Balloon Text"/>
    <w:basedOn w:val="Normal"/>
    <w:link w:val="BalloonTextChar"/>
    <w:uiPriority w:val="99"/>
    <w:semiHidden/>
    <w:unhideWhenUsed/>
    <w:rsid w:val="00D01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8BF"/>
    <w:rPr>
      <w:rFonts w:ascii="Tahoma" w:hAnsi="Tahoma" w:cs="Tahoma"/>
      <w:sz w:val="16"/>
      <w:szCs w:val="16"/>
    </w:rPr>
  </w:style>
  <w:style w:type="paragraph" w:styleId="ListParagraph">
    <w:name w:val="List Paragraph"/>
    <w:basedOn w:val="Normal"/>
    <w:uiPriority w:val="34"/>
    <w:qFormat/>
    <w:rsid w:val="003F3D2E"/>
    <w:pPr>
      <w:ind w:left="720"/>
      <w:contextualSpacing/>
    </w:pPr>
  </w:style>
  <w:style w:type="table" w:styleId="TableGrid">
    <w:name w:val="Table Grid"/>
    <w:basedOn w:val="TableNormal"/>
    <w:uiPriority w:val="39"/>
    <w:rsid w:val="003F3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B4CD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B4B79"/>
    <w:rPr>
      <w:color w:val="0000FF" w:themeColor="hyperlink"/>
      <w:u w:val="single"/>
    </w:rPr>
  </w:style>
  <w:style w:type="paragraph" w:styleId="FootnoteText">
    <w:name w:val="footnote text"/>
    <w:aliases w:val="Geneva 9,Font: Geneva 9,Boston 10,f,ADB,Fußnotentextf,Footnote Text Char Char Char,Fußnote,single space,fn,Footnote text,FOOTNOTES,ft,single space Char Char,Fußnotentext Char,Footnote Text Char2 Char,Footno,Footnote,Car,12pt,footnote text"/>
    <w:basedOn w:val="Normal"/>
    <w:link w:val="FootnoteTextChar"/>
    <w:uiPriority w:val="99"/>
    <w:unhideWhenUsed/>
    <w:rsid w:val="00CD216E"/>
    <w:pPr>
      <w:spacing w:after="0" w:line="240" w:lineRule="auto"/>
    </w:pPr>
    <w:rPr>
      <w:sz w:val="20"/>
      <w:szCs w:val="20"/>
    </w:rPr>
  </w:style>
  <w:style w:type="character" w:customStyle="1" w:styleId="FootnoteTextChar">
    <w:name w:val="Footnote Text Char"/>
    <w:aliases w:val="Geneva 9 Char,Font: Geneva 9 Char,Boston 10 Char,f Char,ADB Char,Fußnotentextf Char,Footnote Text Char Char Char Char,Fußnote Char,single space Char,fn Char,Footnote text Char,FOOTNOTES Char,ft Char,single space Char Char Char"/>
    <w:basedOn w:val="DefaultParagraphFont"/>
    <w:link w:val="FootnoteText"/>
    <w:uiPriority w:val="99"/>
    <w:rsid w:val="00CD216E"/>
    <w:rPr>
      <w:sz w:val="20"/>
      <w:szCs w:val="20"/>
    </w:rPr>
  </w:style>
  <w:style w:type="character" w:styleId="FootnoteReference">
    <w:name w:val="footnote reference"/>
    <w:aliases w:val="16 Point,Superscript 6 Point,BVI fnr,ftref,Footnote Reference Number,Footnote Reference_LVL6,Footnote Reference_LVL61,Footnote Reference_LVL62,Footnote Reference_LVL63,Footnote Reference_LVL64,Знак сноски-FN,EN Footnote Reference,fr"/>
    <w:basedOn w:val="DefaultParagraphFont"/>
    <w:uiPriority w:val="99"/>
    <w:unhideWhenUsed/>
    <w:rsid w:val="00CD216E"/>
    <w:rPr>
      <w:vertAlign w:val="superscript"/>
    </w:rPr>
  </w:style>
  <w:style w:type="character" w:styleId="CommentReference">
    <w:name w:val="annotation reference"/>
    <w:basedOn w:val="DefaultParagraphFont"/>
    <w:semiHidden/>
    <w:unhideWhenUsed/>
    <w:rsid w:val="00CD216E"/>
    <w:rPr>
      <w:sz w:val="16"/>
      <w:szCs w:val="16"/>
    </w:rPr>
  </w:style>
  <w:style w:type="paragraph" w:styleId="CommentText">
    <w:name w:val="annotation text"/>
    <w:basedOn w:val="Normal"/>
    <w:link w:val="CommentTextChar"/>
    <w:uiPriority w:val="99"/>
    <w:unhideWhenUsed/>
    <w:rsid w:val="00CD216E"/>
    <w:pPr>
      <w:spacing w:line="240" w:lineRule="auto"/>
    </w:pPr>
    <w:rPr>
      <w:sz w:val="20"/>
      <w:szCs w:val="20"/>
    </w:rPr>
  </w:style>
  <w:style w:type="character" w:customStyle="1" w:styleId="CommentTextChar">
    <w:name w:val="Comment Text Char"/>
    <w:basedOn w:val="DefaultParagraphFont"/>
    <w:link w:val="CommentText"/>
    <w:uiPriority w:val="99"/>
    <w:rsid w:val="00CD216E"/>
    <w:rPr>
      <w:sz w:val="20"/>
      <w:szCs w:val="20"/>
    </w:rPr>
  </w:style>
  <w:style w:type="paragraph" w:styleId="CommentSubject">
    <w:name w:val="annotation subject"/>
    <w:basedOn w:val="CommentText"/>
    <w:next w:val="CommentText"/>
    <w:link w:val="CommentSubjectChar"/>
    <w:uiPriority w:val="99"/>
    <w:semiHidden/>
    <w:unhideWhenUsed/>
    <w:rsid w:val="00CD216E"/>
    <w:rPr>
      <w:b/>
      <w:bCs/>
    </w:rPr>
  </w:style>
  <w:style w:type="character" w:customStyle="1" w:styleId="CommentSubjectChar">
    <w:name w:val="Comment Subject Char"/>
    <w:basedOn w:val="CommentTextChar"/>
    <w:link w:val="CommentSubject"/>
    <w:uiPriority w:val="99"/>
    <w:semiHidden/>
    <w:rsid w:val="00CD216E"/>
    <w:rPr>
      <w:b/>
      <w:bCs/>
      <w:sz w:val="20"/>
      <w:szCs w:val="20"/>
    </w:rPr>
  </w:style>
  <w:style w:type="character" w:styleId="PlaceholderText">
    <w:name w:val="Placeholder Text"/>
    <w:basedOn w:val="DefaultParagraphFont"/>
    <w:uiPriority w:val="99"/>
    <w:semiHidden/>
    <w:rsid w:val="00F173BA"/>
    <w:rPr>
      <w:color w:val="808080"/>
    </w:rPr>
  </w:style>
  <w:style w:type="paragraph" w:styleId="NormalWeb">
    <w:name w:val="Normal (Web)"/>
    <w:aliases w:val=" webb,webb, Знак Знак3, Знак4,Знак4,Обычный (Web) Знак Знак Знак Знак,Обычный (Web) Знак Знак Знак Знак Знак Знак Знак Знак Знак,Обычный (Web) Знак Знак Знак Знак Знак,Обычный (Web) Знак Знак Знак,Знак Знак3,Знак4 Знак Знак,Обычный (Web)1"/>
    <w:basedOn w:val="Normal"/>
    <w:link w:val="NormalWebChar"/>
    <w:uiPriority w:val="99"/>
    <w:rsid w:val="005666C9"/>
    <w:pPr>
      <w:spacing w:beforeLines="1" w:afterLines="1" w:after="0" w:line="240" w:lineRule="auto"/>
    </w:pPr>
    <w:rPr>
      <w:rFonts w:ascii="Times" w:eastAsia="Cambria" w:hAnsi="Times" w:cs="Times New Roman"/>
      <w:sz w:val="20"/>
      <w:szCs w:val="20"/>
      <w:lang w:val="en-US"/>
    </w:rPr>
  </w:style>
  <w:style w:type="character" w:customStyle="1" w:styleId="Heading2Char">
    <w:name w:val="Heading 2 Char"/>
    <w:basedOn w:val="DefaultParagraphFont"/>
    <w:link w:val="Heading2"/>
    <w:uiPriority w:val="9"/>
    <w:semiHidden/>
    <w:rsid w:val="005666C9"/>
    <w:rPr>
      <w:rFonts w:asciiTheme="majorHAnsi" w:eastAsiaTheme="majorEastAsia" w:hAnsiTheme="majorHAnsi" w:cstheme="majorBidi"/>
      <w:b/>
      <w:bCs/>
      <w:color w:val="4F81BD" w:themeColor="accent1"/>
      <w:sz w:val="26"/>
      <w:szCs w:val="26"/>
    </w:rPr>
  </w:style>
  <w:style w:type="paragraph" w:customStyle="1" w:styleId="ColorfulShading-Accent31">
    <w:name w:val="Colorful Shading - Accent 31"/>
    <w:basedOn w:val="Normal"/>
    <w:uiPriority w:val="99"/>
    <w:qFormat/>
    <w:rsid w:val="0097783F"/>
    <w:pPr>
      <w:ind w:left="720"/>
      <w:contextualSpacing/>
    </w:pPr>
    <w:rPr>
      <w:rFonts w:ascii="Times New Roman" w:eastAsia="Times New Roman" w:hAnsi="Times New Roman" w:cs="Times New Roman"/>
      <w:lang w:val="en-US"/>
    </w:rPr>
  </w:style>
  <w:style w:type="character" w:customStyle="1" w:styleId="Style1">
    <w:name w:val="Style1"/>
    <w:basedOn w:val="DefaultParagraphFont"/>
    <w:uiPriority w:val="1"/>
    <w:rsid w:val="005B4DDD"/>
    <w:rPr>
      <w:color w:val="FFFF00"/>
    </w:rPr>
  </w:style>
  <w:style w:type="paragraph" w:customStyle="1" w:styleId="TableHeading">
    <w:name w:val="Table Heading"/>
    <w:basedOn w:val="Normal"/>
    <w:rsid w:val="003663DE"/>
    <w:pPr>
      <w:suppressAutoHyphens/>
      <w:spacing w:after="0" w:line="240" w:lineRule="auto"/>
      <w:jc w:val="center"/>
    </w:pPr>
    <w:rPr>
      <w:rFonts w:ascii="Book Antiqua" w:eastAsia="Times New Roman" w:hAnsi="Book Antiqua" w:cs="Times New Roman"/>
      <w:b/>
      <w:i/>
      <w:szCs w:val="20"/>
    </w:rPr>
  </w:style>
  <w:style w:type="paragraph" w:customStyle="1" w:styleId="LightGrid-Accent31">
    <w:name w:val="Light Grid - Accent 31"/>
    <w:basedOn w:val="Normal"/>
    <w:uiPriority w:val="99"/>
    <w:qFormat/>
    <w:rsid w:val="003663DE"/>
    <w:pPr>
      <w:ind w:left="720"/>
      <w:contextualSpacing/>
    </w:pPr>
    <w:rPr>
      <w:rFonts w:ascii="Times New Roman" w:eastAsia="Times New Roman" w:hAnsi="Times New Roman" w:cs="Times New Roman"/>
      <w:lang w:val="en-US"/>
    </w:rPr>
  </w:style>
  <w:style w:type="paragraph" w:customStyle="1" w:styleId="Default">
    <w:name w:val="Default"/>
    <w:rsid w:val="003663DE"/>
    <w:pPr>
      <w:autoSpaceDE w:val="0"/>
      <w:autoSpaceDN w:val="0"/>
      <w:adjustRightInd w:val="0"/>
      <w:spacing w:after="0" w:line="240" w:lineRule="auto"/>
    </w:pPr>
    <w:rPr>
      <w:rFonts w:ascii="Times New Roman" w:eastAsia="Cambria" w:hAnsi="Times New Roman" w:cs="Times New Roman"/>
      <w:color w:val="000000"/>
      <w:sz w:val="24"/>
      <w:szCs w:val="24"/>
      <w:lang w:eastAsia="en-GB"/>
    </w:rPr>
  </w:style>
  <w:style w:type="paragraph" w:styleId="TOCHeading">
    <w:name w:val="TOC Heading"/>
    <w:basedOn w:val="Heading1"/>
    <w:next w:val="Normal"/>
    <w:uiPriority w:val="39"/>
    <w:unhideWhenUsed/>
    <w:qFormat/>
    <w:rsid w:val="00FE3288"/>
    <w:pPr>
      <w:outlineLvl w:val="9"/>
    </w:pPr>
    <w:rPr>
      <w:lang w:val="en-US" w:eastAsia="ja-JP"/>
    </w:rPr>
  </w:style>
  <w:style w:type="paragraph" w:styleId="TOC1">
    <w:name w:val="toc 1"/>
    <w:basedOn w:val="Normal"/>
    <w:next w:val="Normal"/>
    <w:autoRedefine/>
    <w:uiPriority w:val="39"/>
    <w:semiHidden/>
    <w:unhideWhenUsed/>
    <w:qFormat/>
    <w:rsid w:val="00FE3288"/>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FE3288"/>
    <w:pPr>
      <w:spacing w:after="100"/>
      <w:ind w:left="440"/>
    </w:pPr>
    <w:rPr>
      <w:rFonts w:eastAsiaTheme="minorEastAsia"/>
      <w:lang w:val="en-US" w:eastAsia="ja-JP"/>
    </w:rPr>
  </w:style>
  <w:style w:type="character" w:customStyle="1" w:styleId="NormalWebChar">
    <w:name w:val="Normal (Web) Char"/>
    <w:aliases w:val=" webb Char,webb Char, Знак Знак3 Char, Знак4 Char,Знак4 Char,Обычный (Web) Знак Знак Знак Знак Char,Обычный (Web) Знак Знак Знак Знак Знак Знак Знак Знак Знак Char,Обычный (Web) Знак Знак Знак Знак Знак Char,Знак Знак3 Char"/>
    <w:link w:val="NormalWeb"/>
    <w:uiPriority w:val="99"/>
    <w:rsid w:val="00FE3288"/>
    <w:rPr>
      <w:rFonts w:ascii="Times" w:eastAsia="Cambria" w:hAnsi="Times" w:cs="Times New Roman"/>
      <w:sz w:val="20"/>
      <w:szCs w:val="20"/>
      <w:lang w:val="en-US"/>
    </w:rPr>
  </w:style>
  <w:style w:type="paragraph" w:styleId="Revision">
    <w:name w:val="Revision"/>
    <w:hidden/>
    <w:uiPriority w:val="99"/>
    <w:semiHidden/>
    <w:rsid w:val="00CD16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400">
      <w:bodyDiv w:val="1"/>
      <w:marLeft w:val="0"/>
      <w:marRight w:val="0"/>
      <w:marTop w:val="0"/>
      <w:marBottom w:val="0"/>
      <w:divBdr>
        <w:top w:val="none" w:sz="0" w:space="0" w:color="auto"/>
        <w:left w:val="none" w:sz="0" w:space="0" w:color="auto"/>
        <w:bottom w:val="none" w:sz="0" w:space="0" w:color="auto"/>
        <w:right w:val="none" w:sz="0" w:space="0" w:color="auto"/>
      </w:divBdr>
    </w:div>
    <w:div w:id="1255631207">
      <w:bodyDiv w:val="1"/>
      <w:marLeft w:val="0"/>
      <w:marRight w:val="0"/>
      <w:marTop w:val="0"/>
      <w:marBottom w:val="0"/>
      <w:divBdr>
        <w:top w:val="none" w:sz="0" w:space="0" w:color="auto"/>
        <w:left w:val="none" w:sz="0" w:space="0" w:color="auto"/>
        <w:bottom w:val="none" w:sz="0" w:space="0" w:color="auto"/>
        <w:right w:val="none" w:sz="0" w:space="0" w:color="auto"/>
      </w:divBdr>
    </w:div>
    <w:div w:id="1662848994">
      <w:bodyDiv w:val="1"/>
      <w:marLeft w:val="0"/>
      <w:marRight w:val="0"/>
      <w:marTop w:val="0"/>
      <w:marBottom w:val="0"/>
      <w:divBdr>
        <w:top w:val="none" w:sz="0" w:space="0" w:color="auto"/>
        <w:left w:val="none" w:sz="0" w:space="0" w:color="auto"/>
        <w:bottom w:val="none" w:sz="0" w:space="0" w:color="auto"/>
        <w:right w:val="none" w:sz="0" w:space="0" w:color="auto"/>
      </w:divBdr>
      <w:divsChild>
        <w:div w:id="1749383693">
          <w:marLeft w:val="0"/>
          <w:marRight w:val="0"/>
          <w:marTop w:val="0"/>
          <w:marBottom w:val="0"/>
          <w:divBdr>
            <w:top w:val="none" w:sz="0" w:space="0" w:color="auto"/>
            <w:left w:val="none" w:sz="0" w:space="0" w:color="auto"/>
            <w:bottom w:val="none" w:sz="0" w:space="0" w:color="auto"/>
            <w:right w:val="none" w:sz="0" w:space="0" w:color="auto"/>
          </w:divBdr>
          <w:divsChild>
            <w:div w:id="659046844">
              <w:marLeft w:val="0"/>
              <w:marRight w:val="0"/>
              <w:marTop w:val="0"/>
              <w:marBottom w:val="0"/>
              <w:divBdr>
                <w:top w:val="none" w:sz="0" w:space="0" w:color="auto"/>
                <w:left w:val="none" w:sz="0" w:space="0" w:color="auto"/>
                <w:bottom w:val="none" w:sz="0" w:space="0" w:color="auto"/>
                <w:right w:val="none" w:sz="0" w:space="0" w:color="auto"/>
              </w:divBdr>
              <w:divsChild>
                <w:div w:id="4330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customXml" Target="../customXml/item5.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customXml" Target="../customXml/item4.xml"/><Relationship Id="rId10" Type="http://schemas.openxmlformats.org/officeDocument/2006/relationships/image" Target="media/image1.png"/><Relationship Id="rId19" Type="http://schemas.openxmlformats.org/officeDocument/2006/relationships/hyperlink" Target="http://fintecc.ebrd.com/index.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1d45786f-a737-4735-8af6-df12fb6939a2" origin="defaultValue">
  <element uid="id_classification_generalbusiness" value=""/>
  <element uid="3f2bf68e-965f-4645-8d3a-c9eb7a3821bd" value=""/>
</sisl>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GEF Documents Content Type" ma:contentTypeID="0x01010000FE34C145B86045B63DA32DFB8FDDBE00F30692405A985C4A8B0A6D5A715BB992" ma:contentTypeVersion="19" ma:contentTypeDescription="" ma:contentTypeScope="" ma:versionID="25b3e7f40721bd5f0062645e86eec1bc">
  <xsd:schema xmlns:xsd="http://www.w3.org/2001/XMLSchema" xmlns:xs="http://www.w3.org/2001/XMLSchema" xmlns:p="http://schemas.microsoft.com/office/2006/metadata/properties" xmlns:ns2="ceb00776-aa5c-4fc8-b6fe-5f035152e4b6" xmlns:ns3="c7ede9f9-c657-4e65-88e7-7be717847d9e" xmlns:ns4="3e02667f-0271-471b-bd6e-11a2e16def1d" xmlns:ns5="ff57b53f-0493-42a0-86f6-b9b1333ab06d" xmlns:ns6="b8caa731-411c-4ce8-a2a6-5b517e250d33" targetNamespace="http://schemas.microsoft.com/office/2006/metadata/properties" ma:root="true" ma:fieldsID="39abbc288d8230d35509eb826c3067a1" ns2:_="" ns3:_="" ns4:_="" ns5:_="" ns6:_="">
    <xsd:import namespace="ceb00776-aa5c-4fc8-b6fe-5f035152e4b6"/>
    <xsd:import namespace="c7ede9f9-c657-4e65-88e7-7be717847d9e"/>
    <xsd:import namespace="3e02667f-0271-471b-bd6e-11a2e16def1d"/>
    <xsd:import namespace="ff57b53f-0493-42a0-86f6-b9b1333ab06d"/>
    <xsd:import namespace="b8caa731-411c-4ce8-a2a6-5b517e250d33"/>
    <xsd:element name="properties">
      <xsd:complexType>
        <xsd:sequence>
          <xsd:element name="documentManagement">
            <xsd:complexType>
              <xsd:all>
                <xsd:element ref="ns2:Classification" minOccurs="0"/>
                <xsd:element ref="ns2:Country1" minOccurs="0"/>
                <xsd:element ref="ns2:DocActive" minOccurs="0"/>
                <xsd:element ref="ns2:DocCategory" minOccurs="0"/>
                <xsd:element ref="ns2:DocPrefix" minOccurs="0"/>
                <xsd:element ref="ns2:DocType" minOccurs="0"/>
                <xsd:element ref="ns2:DocumentTitle" minOccurs="0"/>
                <xsd:element ref="ns2:FocalArea" minOccurs="0"/>
                <xsd:element ref="ns2:GEFID" minOccurs="0"/>
                <xsd:element ref="ns2:ProjectTitle" minOccurs="0"/>
                <xsd:element ref="ns2:ProjectType" minOccurs="0"/>
                <xsd:element ref="ns2:TrustFundType" minOccurs="0"/>
                <xsd:element ref="ns3:MediaServiceMetadata" minOccurs="0"/>
                <xsd:element ref="ns3:MediaServiceFastMetadata" minOccurs="0"/>
                <xsd:element ref="ns4:TaxCatchAll" minOccurs="0"/>
                <xsd:element ref="ns2:GEFCountry" minOccurs="0"/>
                <xsd:element ref="ns2:GEFProjectID" minOccurs="0"/>
                <xsd:element ref="ns5:MediaServiceAutoTags" minOccurs="0"/>
                <xsd:element ref="ns5:MediaServiceOCR" minOccurs="0"/>
                <xsd:element ref="ns6:SharedWithUsers" minOccurs="0"/>
                <xsd:element ref="ns6:SharedWithDetails" minOccurs="0"/>
                <xsd:element ref="ns5:MediaServiceDateTaken" minOccurs="0"/>
                <xsd:element ref="ns5:MediaServiceGenerationTime" minOccurs="0"/>
                <xsd:element ref="ns5:MediaServiceEventHashCode" minOccurs="0"/>
                <xsd:element ref="ns5:MediaServiceAutoKeyPoints" minOccurs="0"/>
                <xsd:element ref="ns5:MediaServiceKeyPoint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00776-aa5c-4fc8-b6fe-5f035152e4b6" elementFormDefault="qualified">
    <xsd:import namespace="http://schemas.microsoft.com/office/2006/documentManagement/types"/>
    <xsd:import namespace="http://schemas.microsoft.com/office/infopath/2007/PartnerControls"/>
    <xsd:element name="Classification" ma:index="8" nillable="true" ma:displayName="Classification" ma:internalName="Classification">
      <xsd:simpleType>
        <xsd:restriction base="dms:Text">
          <xsd:maxLength value="255"/>
        </xsd:restriction>
      </xsd:simpleType>
    </xsd:element>
    <xsd:element name="Country1" ma:index="9" nillable="true" ma:displayName="Country" ma:internalName="Country1">
      <xsd:simpleType>
        <xsd:restriction base="dms:Text">
          <xsd:maxLength value="255"/>
        </xsd:restriction>
      </xsd:simpleType>
    </xsd:element>
    <xsd:element name="DocActive" ma:index="10" nillable="true" ma:displayName="DocActive" ma:default="No" ma:format="Dropdown" ma:internalName="DocActive">
      <xsd:simpleType>
        <xsd:restriction base="dms:Choice">
          <xsd:enumeration value="Yes"/>
          <xsd:enumeration value="No"/>
        </xsd:restriction>
      </xsd:simpleType>
    </xsd:element>
    <xsd:element name="DocCategory" ma:index="11" nillable="true" ma:displayName="DocCategory" ma:internalName="DocCategory">
      <xsd:simpleType>
        <xsd:restriction base="dms:Text">
          <xsd:maxLength value="255"/>
        </xsd:restriction>
      </xsd:simpleType>
    </xsd:element>
    <xsd:element name="DocPrefix" ma:index="12" nillable="true" ma:displayName="DocPrefix" ma:internalName="DocPrefix">
      <xsd:simpleType>
        <xsd:restriction base="dms:Text">
          <xsd:maxLength value="255"/>
        </xsd:restriction>
      </xsd:simpleType>
    </xsd:element>
    <xsd:element name="DocType" ma:index="13" nillable="true" ma:displayName="DocType" ma:internalName="DocType">
      <xsd:simpleType>
        <xsd:restriction base="dms:Text">
          <xsd:maxLength value="255"/>
        </xsd:restriction>
      </xsd:simpleType>
    </xsd:element>
    <xsd:element name="DocumentTitle" ma:index="14" nillable="true" ma:displayName="DocumentTitle" ma:internalName="DocumentTitle">
      <xsd:simpleType>
        <xsd:restriction base="dms:Text">
          <xsd:maxLength value="255"/>
        </xsd:restriction>
      </xsd:simpleType>
    </xsd:element>
    <xsd:element name="FocalArea" ma:index="15" nillable="true" ma:displayName="FocalArea" ma:internalName="FocalArea">
      <xsd:simpleType>
        <xsd:restriction base="dms:Text">
          <xsd:maxLength value="255"/>
        </xsd:restriction>
      </xsd:simpleType>
    </xsd:element>
    <xsd:element name="GEFID" ma:index="16" nillable="true" ma:displayName="GEFID" ma:internalName="GEFID">
      <xsd:simpleType>
        <xsd:restriction base="dms:Text">
          <xsd:maxLength value="255"/>
        </xsd:restriction>
      </xsd:simpleType>
    </xsd:element>
    <xsd:element name="ProjectTitle" ma:index="17" nillable="true" ma:displayName="ProjectTitle" ma:internalName="ProjectTitle" ma:readOnly="false">
      <xsd:simpleType>
        <xsd:restriction base="dms:Note">
          <xsd:maxLength value="255"/>
        </xsd:restriction>
      </xsd:simpleType>
    </xsd:element>
    <xsd:element name="ProjectType" ma:index="18" nillable="true" ma:displayName="ProjectType" ma:internalName="ProjectType">
      <xsd:simpleType>
        <xsd:restriction base="dms:Text">
          <xsd:maxLength value="255"/>
        </xsd:restriction>
      </xsd:simpleType>
    </xsd:element>
    <xsd:element name="TrustFundType" ma:index="19" nillable="true" ma:displayName="TrustFundType" ma:internalName="TrustFundType">
      <xsd:simpleType>
        <xsd:restriction base="dms:Text">
          <xsd:maxLength value="255"/>
        </xsd:restriction>
      </xsd:simpleType>
    </xsd:element>
    <xsd:element name="GEFCountry" ma:index="23" nillable="true" ma:displayName="GEFCountry" ma:internalName="GEFCountry">
      <xsd:simpleType>
        <xsd:restriction base="dms:Text">
          <xsd:maxLength value="255"/>
        </xsd:restriction>
      </xsd:simpleType>
    </xsd:element>
    <xsd:element name="GEFProjectID" ma:index="24" nillable="true" ma:displayName="GEFProjectID" ma:internalName="GEFPro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de9f9-c657-4e65-88e7-7be717847d9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0844f6-a59b-4fa4-b58a-6bc4e72871bd}" ma:internalName="TaxCatchAll" ma:showField="CatchAllData" ma:web="ceb00776-aa5c-4fc8-b6fe-5f035152e4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57b53f-0493-42a0-86f6-b9b1333ab06d" elementFormDefault="qualified">
    <xsd:import namespace="http://schemas.microsoft.com/office/2006/documentManagement/types"/>
    <xsd:import namespace="http://schemas.microsoft.com/office/infopath/2007/PartnerControls"/>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caa731-411c-4ce8-a2a6-5b517e250d33"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EFCountry xmlns="ceb00776-aa5c-4fc8-b6fe-5f035152e4b6">Regional</GEFCountry>
    <Classification xmlns="ceb00776-aa5c-4fc8-b6fe-5f035152e4b6">Public</Classification>
    <Country1 xmlns="ceb00776-aa5c-4fc8-b6fe-5f035152e4b6" xsi:nil="true"/>
    <DocPrefix xmlns="ceb00776-aa5c-4fc8-b6fe-5f035152e4b6">Project Implementation Report (PIR)</DocPrefix>
    <GEFID xmlns="ceb00776-aa5c-4fc8-b6fe-5f035152e4b6">4956</GEFID>
    <ProjectType xmlns="ceb00776-aa5c-4fc8-b6fe-5f035152e4b6">FSP</ProjectType>
    <GEFProjectID xmlns="ceb00776-aa5c-4fc8-b6fe-5f035152e4b6">f46edc07-df7c-e811-8124-3863bb2e1360</GEFProjectID>
    <DocActive xmlns="ceb00776-aa5c-4fc8-b6fe-5f035152e4b6">No</DocActive>
    <DocCategory xmlns="ceb00776-aa5c-4fc8-b6fe-5f035152e4b6">M and E Document</DocCategory>
    <FocalArea xmlns="ceb00776-aa5c-4fc8-b6fe-5f035152e4b6">Climate Change</FocalArea>
    <DocType xmlns="ceb00776-aa5c-4fc8-b6fe-5f035152e4b6">PIR</DocType>
    <ProjectTitle xmlns="ceb00776-aa5c-4fc8-b6fe-5f035152e4b6">Finance and Technology Transfer Centre for Climate Change (FIN-TeCC)</ProjectTitle>
    <TrustFundType xmlns="ceb00776-aa5c-4fc8-b6fe-5f035152e4b6">GET</TrustFundType>
    <TaxCatchAll xmlns="3e02667f-0271-471b-bd6e-11a2e16def1d" xsi:nil="true"/>
    <DocumentTitle xmlns="ceb00776-aa5c-4fc8-b6fe-5f035152e4b6">4956_2019 EBRD GEF PIR_FINTECC Regional_Portal</DocumentTitle>
  </documentManagement>
</p:properties>
</file>

<file path=customXml/itemProps1.xml><?xml version="1.0" encoding="utf-8"?>
<ds:datastoreItem xmlns:ds="http://schemas.openxmlformats.org/officeDocument/2006/customXml" ds:itemID="{55A25B0F-099B-4DA2-B733-DB33F5CE7F8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1572182-B4C0-4A87-B6CA-F388F069E020}">
  <ds:schemaRefs>
    <ds:schemaRef ds:uri="http://schemas.openxmlformats.org/officeDocument/2006/bibliography"/>
  </ds:schemaRefs>
</ds:datastoreItem>
</file>

<file path=customXml/itemProps3.xml><?xml version="1.0" encoding="utf-8"?>
<ds:datastoreItem xmlns:ds="http://schemas.openxmlformats.org/officeDocument/2006/customXml" ds:itemID="{078999E2-3709-4D0E-AA23-37CCCAA4A83A}"/>
</file>

<file path=customXml/itemProps4.xml><?xml version="1.0" encoding="utf-8"?>
<ds:datastoreItem xmlns:ds="http://schemas.openxmlformats.org/officeDocument/2006/customXml" ds:itemID="{B97AD733-782B-4F24-9A06-AC4883C959D5}"/>
</file>

<file path=customXml/itemProps5.xml><?xml version="1.0" encoding="utf-8"?>
<ds:datastoreItem xmlns:ds="http://schemas.openxmlformats.org/officeDocument/2006/customXml" ds:itemID="{9C67F9A5-2333-46EA-96E8-B43849FC26EF}"/>
</file>

<file path=docProps/app.xml><?xml version="1.0" encoding="utf-8"?>
<Properties xmlns="http://schemas.openxmlformats.org/officeDocument/2006/extended-properties" xmlns:vt="http://schemas.openxmlformats.org/officeDocument/2006/docPropsVTypes">
  <Template>Normal</Template>
  <TotalTime>4</TotalTime>
  <Pages>22</Pages>
  <Words>5103</Words>
  <Characters>30978</Characters>
  <Application>Microsoft Office Word</Application>
  <DocSecurity>0</DocSecurity>
  <Lines>1290</Lines>
  <Paragraphs>563</Paragraphs>
  <ScaleCrop>false</ScaleCrop>
  <HeadingPairs>
    <vt:vector size="2" baseType="variant">
      <vt:variant>
        <vt:lpstr>Title</vt:lpstr>
      </vt:variant>
      <vt:variant>
        <vt:i4>1</vt:i4>
      </vt:variant>
    </vt:vector>
  </HeadingPairs>
  <TitlesOfParts>
    <vt:vector size="1" baseType="lpstr">
      <vt:lpstr/>
    </vt:vector>
  </TitlesOfParts>
  <Company>EBRD</Company>
  <LinksUpToDate>false</LinksUpToDate>
  <CharactersWithSpaces>35518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HenleyG</dc:creator>
  <cp:keywords>[EBRD/OFFICIAL USE]</cp:keywords>
  <cp:lastModifiedBy>HenleyG</cp:lastModifiedBy>
  <cp:revision>3</cp:revision>
  <cp:lastPrinted>2019-09-18T15:48:00Z</cp:lastPrinted>
  <dcterms:created xsi:type="dcterms:W3CDTF">2019-10-28T09:41:00Z</dcterms:created>
  <dcterms:modified xsi:type="dcterms:W3CDTF">2019-11-06T10:12:00Z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03c3e6e0-ee42-4b71-90f2-a5fe263e86d0</vt:lpwstr>
  </property>
  <property fmtid="{D5CDD505-2E9C-101B-9397-08002B2CF9AE}" pid="3" name="bjDocumentLabelXML">
    <vt:lpwstr>&lt;?xml version="1.0" encoding="us-ascii"?&gt;&lt;sisl xmlns:xsi="http://www.w3.org/2001/XMLSchema-instance" xmlns:xsd="http://www.w3.org/2001/XMLSchema" sislVersion="0" policy="1d45786f-a737-4735-8af6-df12fb6939a2" origin="defaultValue" xmlns="http://www.boldonj</vt:lpwstr>
  </property>
  <property fmtid="{D5CDD505-2E9C-101B-9397-08002B2CF9AE}" pid="4" name="bjDocumentLabelXML-0">
    <vt:lpwstr>ames.com/2008/01/sie/internal/label"&gt;&lt;element uid="id_classification_generalbusiness" value="" /&gt;&lt;element uid="3f2bf68e-965f-4645-8d3a-c9eb7a3821bd" value="" /&gt;&lt;/sisl&gt;</vt:lpwstr>
  </property>
  <property fmtid="{D5CDD505-2E9C-101B-9397-08002B2CF9AE}" pid="5" name="bjDocumentSecurityLabel">
    <vt:lpwstr>OFFICIAL USE</vt:lpwstr>
  </property>
  <property fmtid="{D5CDD505-2E9C-101B-9397-08002B2CF9AE}" pid="6" name="bjHeaderBothDocProperty">
    <vt:lpwstr>OFFICIAL USE</vt:lpwstr>
  </property>
  <property fmtid="{D5CDD505-2E9C-101B-9397-08002B2CF9AE}" pid="7" name="bjHeaderFirstPageDocProperty">
    <vt:lpwstr>OFFICIAL USE</vt:lpwstr>
  </property>
  <property fmtid="{D5CDD505-2E9C-101B-9397-08002B2CF9AE}" pid="8" name="bjHeaderEvenPageDocProperty">
    <vt:lpwstr>OFFICIAL USE</vt:lpwstr>
  </property>
  <property fmtid="{D5CDD505-2E9C-101B-9397-08002B2CF9AE}" pid="9" name="bjFooterBothDocProperty">
    <vt:lpwstr>OFFICIAL USE</vt:lpwstr>
  </property>
  <property fmtid="{D5CDD505-2E9C-101B-9397-08002B2CF9AE}" pid="10" name="bjFooterFirstPageDocProperty">
    <vt:lpwstr>OFFICIAL USE</vt:lpwstr>
  </property>
  <property fmtid="{D5CDD505-2E9C-101B-9397-08002B2CF9AE}" pid="11" name="bjFooterEvenPageDocProperty">
    <vt:lpwstr>OFFICIAL USE</vt:lpwstr>
  </property>
  <property fmtid="{D5CDD505-2E9C-101B-9397-08002B2CF9AE}" pid="12" name="bjSaver">
    <vt:lpwstr>i8q270sG/gVGWcjnNR/e1bta1vlJgQ5p</vt:lpwstr>
  </property>
  <property fmtid="{D5CDD505-2E9C-101B-9397-08002B2CF9AE}" pid="13" name="ContentTypeId">
    <vt:lpwstr>0x01010000FE34C145B86045B63DA32DFB8FDDBE00F30692405A985C4A8B0A6D5A715BB992</vt:lpwstr>
  </property>
</Properties>
</file>