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E2B3F" w14:textId="77777777" w:rsidR="00DA57F0" w:rsidRDefault="00DA57F0" w:rsidP="00DA57F0">
      <w:pPr>
        <w:pStyle w:val="Heading2"/>
        <w:ind w:left="0"/>
        <w:rPr>
          <w:rFonts w:ascii="Calibri" w:hAnsi="Calibri"/>
        </w:rPr>
      </w:pPr>
      <w:bookmarkStart w:id="0" w:name="_Toc487556794"/>
      <w:bookmarkStart w:id="1" w:name="_GoBack"/>
      <w:bookmarkEnd w:id="1"/>
      <w:r w:rsidRPr="00421FD8">
        <w:rPr>
          <w:rFonts w:ascii="Calibri" w:hAnsi="Calibri"/>
        </w:rPr>
        <w:t xml:space="preserve">Annex </w:t>
      </w:r>
      <w:r>
        <w:rPr>
          <w:rFonts w:ascii="Calibri" w:hAnsi="Calibri"/>
        </w:rPr>
        <w:t>F</w:t>
      </w:r>
      <w:r w:rsidRPr="00421FD8">
        <w:rPr>
          <w:rFonts w:ascii="Calibri" w:hAnsi="Calibri"/>
        </w:rPr>
        <w:t>: Gender Analysis and Action Plan</w:t>
      </w:r>
      <w:bookmarkEnd w:id="0"/>
    </w:p>
    <w:p w14:paraId="663DF018" w14:textId="77777777" w:rsidR="00DA57F0" w:rsidRDefault="00DA57F0" w:rsidP="00DA57F0">
      <w:pPr>
        <w:rPr>
          <w:rFonts w:ascii="Times New Roman" w:hAnsi="Times New Roman"/>
          <w:sz w:val="24"/>
          <w:lang w:eastAsia="ja-JP"/>
        </w:rPr>
      </w:pPr>
    </w:p>
    <w:p w14:paraId="7130AB3F" w14:textId="77777777" w:rsidR="00DA57F0" w:rsidRPr="00117779" w:rsidRDefault="00DA57F0" w:rsidP="00DA57F0">
      <w:pPr>
        <w:rPr>
          <w:rFonts w:cs="Calibri"/>
          <w:color w:val="000000"/>
          <w:szCs w:val="20"/>
          <w:lang w:eastAsia="ja-JP"/>
        </w:rPr>
      </w:pPr>
      <w:r w:rsidRPr="00117779">
        <w:rPr>
          <w:rFonts w:cs="Calibri"/>
          <w:color w:val="000000"/>
          <w:szCs w:val="20"/>
          <w:lang w:eastAsia="ja-JP"/>
        </w:rPr>
        <w:t>The experience gained and learned lessons developed from the gender analysis indicate that effective, efficient and equitable management of water resources is only achieved when both women and men, are involved in consultation process and in management and implementation of water related services. Striking a gender balance will ensure that: (</w:t>
      </w:r>
      <w:proofErr w:type="spellStart"/>
      <w:r w:rsidRPr="00117779">
        <w:rPr>
          <w:rFonts w:cs="Calibri"/>
          <w:color w:val="000000"/>
          <w:szCs w:val="20"/>
          <w:lang w:eastAsia="ja-JP"/>
        </w:rPr>
        <w:t>i</w:t>
      </w:r>
      <w:proofErr w:type="spellEnd"/>
      <w:r w:rsidRPr="00117779">
        <w:rPr>
          <w:rFonts w:cs="Calibri"/>
          <w:color w:val="000000"/>
          <w:szCs w:val="20"/>
          <w:lang w:eastAsia="ja-JP"/>
        </w:rPr>
        <w:t>) the roles and responsibilities of women and men are mobilized to best effect the creativity, energy and knowledge of both genders to contribute to making water schemes and eco-systems work better; and (ii) the benefits and costs of water use accrue equitably to all groups.</w:t>
      </w:r>
    </w:p>
    <w:p w14:paraId="73268A9E" w14:textId="77777777" w:rsidR="00DA57F0" w:rsidRPr="00117779" w:rsidRDefault="00DA57F0" w:rsidP="00DA57F0">
      <w:pPr>
        <w:rPr>
          <w:rFonts w:ascii="Times New Roman" w:hAnsi="Times New Roman"/>
          <w:color w:val="000000"/>
          <w:szCs w:val="20"/>
        </w:rPr>
      </w:pPr>
    </w:p>
    <w:p w14:paraId="28A0BD9F" w14:textId="77777777" w:rsidR="00DA57F0" w:rsidRPr="00117779" w:rsidRDefault="00DA57F0" w:rsidP="00DA57F0">
      <w:pPr>
        <w:rPr>
          <w:rFonts w:cs="Calibri"/>
          <w:color w:val="000000"/>
          <w:szCs w:val="20"/>
        </w:rPr>
      </w:pPr>
      <w:r w:rsidRPr="00117779">
        <w:rPr>
          <w:rFonts w:cs="Calibri"/>
          <w:color w:val="000000"/>
          <w:szCs w:val="20"/>
        </w:rPr>
        <w:t xml:space="preserve">There is a better understanding and more awareness of the gender issues involved in water management and a range of initiatives have been introduced to improve the situation in all participating countries. Many countries recognized the benefits of involving women in all aspects of water use and thus most government guidelines, project designs, </w:t>
      </w:r>
      <w:proofErr w:type="spellStart"/>
      <w:r w:rsidRPr="00117779">
        <w:rPr>
          <w:rFonts w:cs="Calibri"/>
          <w:color w:val="000000"/>
          <w:szCs w:val="20"/>
        </w:rPr>
        <w:t>programmes</w:t>
      </w:r>
      <w:proofErr w:type="spellEnd"/>
      <w:r w:rsidRPr="00117779">
        <w:rPr>
          <w:rFonts w:cs="Calibri"/>
          <w:color w:val="000000"/>
          <w:szCs w:val="20"/>
        </w:rPr>
        <w:t xml:space="preserve"> and policies now address gender concerns. However, political and cultural impediments </w:t>
      </w:r>
      <w:r>
        <w:rPr>
          <w:rFonts w:cs="Calibri"/>
          <w:color w:val="000000"/>
          <w:szCs w:val="20"/>
        </w:rPr>
        <w:t xml:space="preserve">exist </w:t>
      </w:r>
      <w:r w:rsidRPr="00117779">
        <w:rPr>
          <w:rFonts w:cs="Calibri"/>
          <w:color w:val="000000"/>
          <w:szCs w:val="20"/>
        </w:rPr>
        <w:t>that are still difficult to eradicate and that require reasonable resources and strong political</w:t>
      </w:r>
      <w:r>
        <w:rPr>
          <w:rFonts w:cs="Calibri"/>
          <w:color w:val="000000"/>
          <w:szCs w:val="20"/>
        </w:rPr>
        <w:t xml:space="preserve"> will.</w:t>
      </w:r>
      <w:r w:rsidRPr="00117779">
        <w:rPr>
          <w:rFonts w:cs="Calibri"/>
          <w:color w:val="000000"/>
          <w:szCs w:val="20"/>
        </w:rPr>
        <w:t xml:space="preserve">  Hence</w:t>
      </w:r>
      <w:r>
        <w:rPr>
          <w:rFonts w:cs="Calibri"/>
          <w:color w:val="000000"/>
          <w:szCs w:val="20"/>
        </w:rPr>
        <w:t>,</w:t>
      </w:r>
      <w:r w:rsidRPr="00117779">
        <w:rPr>
          <w:rFonts w:cs="Calibri"/>
          <w:color w:val="000000"/>
          <w:szCs w:val="20"/>
        </w:rPr>
        <w:t xml:space="preserve"> implementation gaps have been </w:t>
      </w:r>
      <w:r>
        <w:rPr>
          <w:rFonts w:cs="Calibri"/>
          <w:color w:val="000000"/>
          <w:szCs w:val="20"/>
        </w:rPr>
        <w:t>identified</w:t>
      </w:r>
      <w:r w:rsidRPr="00117779">
        <w:rPr>
          <w:rFonts w:cs="Calibri"/>
          <w:color w:val="000000"/>
          <w:szCs w:val="20"/>
        </w:rPr>
        <w:t xml:space="preserve"> in the policies and </w:t>
      </w:r>
      <w:proofErr w:type="spellStart"/>
      <w:r w:rsidRPr="00117779">
        <w:rPr>
          <w:rFonts w:cs="Calibri"/>
          <w:color w:val="000000"/>
          <w:szCs w:val="20"/>
        </w:rPr>
        <w:t>programmes</w:t>
      </w:r>
      <w:proofErr w:type="spellEnd"/>
      <w:r w:rsidRPr="00117779">
        <w:rPr>
          <w:rFonts w:cs="Calibri"/>
          <w:color w:val="000000"/>
          <w:szCs w:val="20"/>
        </w:rPr>
        <w:t xml:space="preserve"> intended to improve access, use and management of water resources, which are the backbones of conjunctive ground water resource management.  The following gaps are identified to guide the development of the gender strategy for the proposed project:</w:t>
      </w:r>
    </w:p>
    <w:p w14:paraId="399737BB" w14:textId="77777777" w:rsidR="00DA57F0" w:rsidRPr="005C4AB4" w:rsidRDefault="00DA57F0" w:rsidP="00DA57F0">
      <w:pPr>
        <w:rPr>
          <w:rFonts w:ascii="Times New Roman" w:hAnsi="Times New Roman"/>
          <w:szCs w:val="20"/>
        </w:rPr>
      </w:pPr>
    </w:p>
    <w:p w14:paraId="7941D8E5" w14:textId="77777777" w:rsidR="00DA57F0" w:rsidRPr="00117779" w:rsidRDefault="00DA57F0" w:rsidP="00DA57F0">
      <w:pPr>
        <w:numPr>
          <w:ilvl w:val="0"/>
          <w:numId w:val="2"/>
        </w:numPr>
        <w:spacing w:after="0" w:line="276" w:lineRule="auto"/>
        <w:rPr>
          <w:rFonts w:cs="Calibri"/>
          <w:bCs/>
          <w:szCs w:val="20"/>
        </w:rPr>
      </w:pPr>
      <w:r w:rsidRPr="00117779">
        <w:rPr>
          <w:rFonts w:cs="Calibri"/>
          <w:bCs/>
          <w:szCs w:val="20"/>
        </w:rPr>
        <w:t xml:space="preserve">Limited participation of women in knowledge </w:t>
      </w:r>
      <w:r>
        <w:rPr>
          <w:rFonts w:cs="Calibri"/>
          <w:bCs/>
          <w:szCs w:val="20"/>
        </w:rPr>
        <w:t>creation and low degree of women</w:t>
      </w:r>
      <w:r w:rsidRPr="00117779">
        <w:rPr>
          <w:rFonts w:cs="Calibri"/>
          <w:bCs/>
          <w:szCs w:val="20"/>
        </w:rPr>
        <w:t xml:space="preserve"> employability</w:t>
      </w:r>
    </w:p>
    <w:p w14:paraId="6E2AD2D5" w14:textId="77777777" w:rsidR="00DA57F0" w:rsidRPr="00117779" w:rsidRDefault="00DA57F0" w:rsidP="00DA57F0">
      <w:pPr>
        <w:numPr>
          <w:ilvl w:val="0"/>
          <w:numId w:val="2"/>
        </w:numPr>
        <w:spacing w:after="0" w:line="276" w:lineRule="auto"/>
        <w:rPr>
          <w:rFonts w:cs="Calibri"/>
          <w:bCs/>
          <w:szCs w:val="20"/>
        </w:rPr>
      </w:pPr>
      <w:r>
        <w:rPr>
          <w:rFonts w:cs="Calibri"/>
          <w:bCs/>
          <w:szCs w:val="20"/>
        </w:rPr>
        <w:t>Limited</w:t>
      </w:r>
      <w:r w:rsidRPr="00117779">
        <w:rPr>
          <w:rFonts w:cs="Calibri"/>
          <w:bCs/>
          <w:szCs w:val="20"/>
        </w:rPr>
        <w:t xml:space="preserve"> knowledge dissemination and communication channels on water-related issues and innovations</w:t>
      </w:r>
    </w:p>
    <w:p w14:paraId="7BE72924" w14:textId="77777777" w:rsidR="00DA57F0" w:rsidRPr="00117779" w:rsidRDefault="00DA57F0" w:rsidP="00DA57F0">
      <w:pPr>
        <w:numPr>
          <w:ilvl w:val="0"/>
          <w:numId w:val="2"/>
        </w:numPr>
        <w:spacing w:after="0" w:line="276" w:lineRule="auto"/>
        <w:rPr>
          <w:rFonts w:cs="Calibri"/>
          <w:bCs/>
          <w:szCs w:val="20"/>
        </w:rPr>
      </w:pPr>
      <w:r w:rsidRPr="00117779">
        <w:rPr>
          <w:rFonts w:cs="Calibri"/>
          <w:bCs/>
          <w:szCs w:val="20"/>
        </w:rPr>
        <w:t xml:space="preserve">Weak national institutional mechanisms </w:t>
      </w:r>
      <w:r>
        <w:rPr>
          <w:rFonts w:cs="Calibri"/>
          <w:bCs/>
          <w:szCs w:val="20"/>
        </w:rPr>
        <w:t xml:space="preserve">for </w:t>
      </w:r>
      <w:r w:rsidRPr="00117779">
        <w:rPr>
          <w:rFonts w:cs="Calibri"/>
          <w:bCs/>
          <w:szCs w:val="20"/>
        </w:rPr>
        <w:t xml:space="preserve">gender </w:t>
      </w:r>
      <w:r>
        <w:rPr>
          <w:rFonts w:cs="Calibri"/>
          <w:bCs/>
          <w:szCs w:val="20"/>
        </w:rPr>
        <w:t xml:space="preserve">mainstreaming </w:t>
      </w:r>
    </w:p>
    <w:p w14:paraId="6E223C57" w14:textId="77777777" w:rsidR="00DA57F0" w:rsidRPr="00117779" w:rsidRDefault="00DA57F0" w:rsidP="00DA57F0">
      <w:pPr>
        <w:numPr>
          <w:ilvl w:val="0"/>
          <w:numId w:val="2"/>
        </w:numPr>
        <w:spacing w:after="0" w:line="276" w:lineRule="auto"/>
        <w:rPr>
          <w:rFonts w:cs="Calibri"/>
          <w:bCs/>
          <w:szCs w:val="20"/>
        </w:rPr>
      </w:pPr>
      <w:r>
        <w:rPr>
          <w:rFonts w:cs="Calibri"/>
          <w:bCs/>
          <w:szCs w:val="20"/>
        </w:rPr>
        <w:t>Limited</w:t>
      </w:r>
      <w:r w:rsidRPr="00117779">
        <w:rPr>
          <w:rFonts w:cs="Calibri"/>
          <w:bCs/>
          <w:szCs w:val="20"/>
        </w:rPr>
        <w:t xml:space="preserve"> integration and implementation of gender in relevant policies</w:t>
      </w:r>
    </w:p>
    <w:p w14:paraId="3271D5F5" w14:textId="77777777" w:rsidR="00DA57F0" w:rsidRPr="00117779" w:rsidRDefault="00DA57F0" w:rsidP="00DA57F0">
      <w:pPr>
        <w:numPr>
          <w:ilvl w:val="0"/>
          <w:numId w:val="2"/>
        </w:numPr>
        <w:spacing w:after="0" w:line="276" w:lineRule="auto"/>
        <w:rPr>
          <w:rFonts w:cs="Calibri"/>
          <w:bCs/>
          <w:szCs w:val="20"/>
        </w:rPr>
      </w:pPr>
      <w:r w:rsidRPr="00117779">
        <w:rPr>
          <w:rFonts w:cs="Calibri"/>
          <w:bCs/>
          <w:szCs w:val="20"/>
        </w:rPr>
        <w:t xml:space="preserve">Gender Inequality in </w:t>
      </w:r>
      <w:r>
        <w:rPr>
          <w:rFonts w:cs="Calibri"/>
          <w:bCs/>
          <w:szCs w:val="20"/>
        </w:rPr>
        <w:t>p</w:t>
      </w:r>
      <w:r w:rsidRPr="00117779">
        <w:rPr>
          <w:rFonts w:cs="Calibri"/>
          <w:bCs/>
          <w:szCs w:val="20"/>
        </w:rPr>
        <w:t xml:space="preserve">ublic </w:t>
      </w:r>
      <w:r>
        <w:rPr>
          <w:rFonts w:cs="Calibri"/>
          <w:bCs/>
          <w:szCs w:val="20"/>
        </w:rPr>
        <w:t>f</w:t>
      </w:r>
      <w:r w:rsidRPr="00117779">
        <w:rPr>
          <w:rFonts w:cs="Calibri"/>
          <w:bCs/>
          <w:szCs w:val="20"/>
        </w:rPr>
        <w:t xml:space="preserve">inance </w:t>
      </w:r>
      <w:r>
        <w:rPr>
          <w:rFonts w:cs="Calibri"/>
          <w:bCs/>
          <w:szCs w:val="20"/>
        </w:rPr>
        <w:t>m</w:t>
      </w:r>
      <w:r w:rsidRPr="00117779">
        <w:rPr>
          <w:rFonts w:cs="Calibri"/>
          <w:bCs/>
          <w:szCs w:val="20"/>
        </w:rPr>
        <w:t>anagement</w:t>
      </w:r>
    </w:p>
    <w:p w14:paraId="5429F7B0" w14:textId="77777777" w:rsidR="00DA57F0" w:rsidRPr="00117779" w:rsidRDefault="00DA57F0" w:rsidP="00DA57F0">
      <w:pPr>
        <w:numPr>
          <w:ilvl w:val="0"/>
          <w:numId w:val="2"/>
        </w:numPr>
        <w:spacing w:after="0" w:line="276" w:lineRule="auto"/>
        <w:ind w:right="60"/>
        <w:rPr>
          <w:rFonts w:eastAsia="Times New Roman" w:cs="Calibri"/>
          <w:bCs/>
          <w:szCs w:val="20"/>
        </w:rPr>
      </w:pPr>
      <w:r w:rsidRPr="00117779">
        <w:rPr>
          <w:rFonts w:eastAsia="Times New Roman" w:cs="Calibri"/>
          <w:bCs/>
          <w:szCs w:val="20"/>
        </w:rPr>
        <w:t xml:space="preserve">Inadequate gender dis-aggregated data and gender statistics to guide </w:t>
      </w:r>
      <w:proofErr w:type="spellStart"/>
      <w:r w:rsidRPr="00117779">
        <w:rPr>
          <w:rFonts w:eastAsia="Times New Roman" w:cs="Calibri"/>
          <w:bCs/>
          <w:szCs w:val="20"/>
        </w:rPr>
        <w:t>programme</w:t>
      </w:r>
      <w:proofErr w:type="spellEnd"/>
      <w:r w:rsidRPr="00117779">
        <w:rPr>
          <w:rFonts w:eastAsia="Times New Roman" w:cs="Calibri"/>
          <w:bCs/>
          <w:szCs w:val="20"/>
        </w:rPr>
        <w:t xml:space="preserve"> design, monitoring and evaluation</w:t>
      </w:r>
    </w:p>
    <w:p w14:paraId="690FF30D" w14:textId="77777777" w:rsidR="00DA57F0" w:rsidRPr="00117779" w:rsidRDefault="00DA57F0" w:rsidP="00DA57F0">
      <w:pPr>
        <w:numPr>
          <w:ilvl w:val="0"/>
          <w:numId w:val="2"/>
        </w:numPr>
        <w:spacing w:after="0" w:line="276" w:lineRule="auto"/>
        <w:ind w:right="60"/>
        <w:rPr>
          <w:rFonts w:eastAsia="Times New Roman" w:cs="Calibri"/>
          <w:szCs w:val="20"/>
        </w:rPr>
      </w:pPr>
      <w:r w:rsidRPr="00117779">
        <w:rPr>
          <w:rFonts w:eastAsia="Times New Roman" w:cs="Calibri"/>
          <w:bCs/>
          <w:szCs w:val="20"/>
        </w:rPr>
        <w:t xml:space="preserve">Weak </w:t>
      </w:r>
      <w:r>
        <w:rPr>
          <w:rFonts w:eastAsia="Times New Roman" w:cs="Calibri"/>
          <w:bCs/>
          <w:szCs w:val="20"/>
        </w:rPr>
        <w:t>m</w:t>
      </w:r>
      <w:r w:rsidRPr="00117779">
        <w:rPr>
          <w:rFonts w:eastAsia="Times New Roman" w:cs="Calibri"/>
          <w:bCs/>
          <w:szCs w:val="20"/>
        </w:rPr>
        <w:t xml:space="preserve">onitoring and </w:t>
      </w:r>
      <w:r>
        <w:rPr>
          <w:rFonts w:eastAsia="Times New Roman" w:cs="Calibri"/>
          <w:bCs/>
          <w:szCs w:val="20"/>
        </w:rPr>
        <w:t>e</w:t>
      </w:r>
      <w:r w:rsidRPr="00117779">
        <w:rPr>
          <w:rFonts w:eastAsia="Times New Roman" w:cs="Calibri"/>
          <w:bCs/>
          <w:szCs w:val="20"/>
        </w:rPr>
        <w:t>valuation framework</w:t>
      </w:r>
    </w:p>
    <w:p w14:paraId="23EC2AF1" w14:textId="77777777" w:rsidR="00DA57F0" w:rsidRPr="00117779" w:rsidRDefault="00DA57F0" w:rsidP="00DA57F0">
      <w:pPr>
        <w:numPr>
          <w:ilvl w:val="0"/>
          <w:numId w:val="2"/>
        </w:numPr>
        <w:spacing w:after="0" w:line="276" w:lineRule="auto"/>
        <w:rPr>
          <w:rFonts w:cs="Calibri"/>
          <w:szCs w:val="20"/>
          <w:lang w:val="en-GB"/>
        </w:rPr>
      </w:pPr>
      <w:r w:rsidRPr="00117779">
        <w:rPr>
          <w:rFonts w:cs="Calibri"/>
          <w:szCs w:val="20"/>
          <w:lang w:val="en-GB"/>
        </w:rPr>
        <w:t xml:space="preserve">Limited engagement of key stakeholders, especially the women’s movement </w:t>
      </w:r>
    </w:p>
    <w:p w14:paraId="363824A3" w14:textId="77777777" w:rsidR="00DA57F0" w:rsidRPr="00117779" w:rsidRDefault="00DA57F0" w:rsidP="00DA57F0">
      <w:pPr>
        <w:numPr>
          <w:ilvl w:val="0"/>
          <w:numId w:val="2"/>
        </w:numPr>
        <w:spacing w:after="0" w:line="276" w:lineRule="auto"/>
        <w:ind w:right="200"/>
        <w:rPr>
          <w:rFonts w:eastAsia="Times New Roman" w:cs="Calibri"/>
          <w:szCs w:val="20"/>
        </w:rPr>
      </w:pPr>
      <w:r w:rsidRPr="00117779">
        <w:rPr>
          <w:rFonts w:eastAsia="Times New Roman" w:cs="Calibri"/>
          <w:szCs w:val="20"/>
        </w:rPr>
        <w:t xml:space="preserve">Poor connection of </w:t>
      </w:r>
      <w:r>
        <w:rPr>
          <w:rFonts w:eastAsia="Times New Roman" w:cs="Calibri"/>
          <w:szCs w:val="20"/>
        </w:rPr>
        <w:t xml:space="preserve">women to </w:t>
      </w:r>
      <w:r w:rsidRPr="00117779">
        <w:rPr>
          <w:rFonts w:eastAsia="Times New Roman" w:cs="Calibri"/>
          <w:szCs w:val="20"/>
        </w:rPr>
        <w:t>water rights to land governance</w:t>
      </w:r>
      <w:r>
        <w:rPr>
          <w:rFonts w:eastAsia="Times New Roman" w:cs="Calibri"/>
          <w:szCs w:val="20"/>
        </w:rPr>
        <w:t>/ownership</w:t>
      </w:r>
    </w:p>
    <w:p w14:paraId="22E246D3" w14:textId="77777777" w:rsidR="00DA57F0" w:rsidRDefault="00DA57F0" w:rsidP="00DA57F0">
      <w:pPr>
        <w:spacing w:after="0" w:line="283" w:lineRule="auto"/>
        <w:ind w:right="200"/>
        <w:rPr>
          <w:rFonts w:eastAsia="Times New Roman" w:cs="Calibri"/>
          <w:szCs w:val="20"/>
        </w:rPr>
      </w:pPr>
    </w:p>
    <w:p w14:paraId="5DC3DCAD" w14:textId="77777777" w:rsidR="00DA57F0" w:rsidRDefault="00DA57F0" w:rsidP="00DA57F0">
      <w:pPr>
        <w:spacing w:after="0" w:line="283" w:lineRule="auto"/>
        <w:ind w:right="200"/>
        <w:rPr>
          <w:rFonts w:eastAsia="Times New Roman" w:cs="Calibri"/>
          <w:szCs w:val="20"/>
        </w:rPr>
      </w:pPr>
      <w:r w:rsidRPr="00117779">
        <w:rPr>
          <w:rFonts w:eastAsia="Times New Roman" w:cs="Calibri"/>
          <w:szCs w:val="20"/>
        </w:rPr>
        <w:t xml:space="preserve">The project will </w:t>
      </w:r>
      <w:r>
        <w:rPr>
          <w:rFonts w:eastAsia="Times New Roman" w:cs="Calibri"/>
          <w:szCs w:val="20"/>
        </w:rPr>
        <w:t>integrate</w:t>
      </w:r>
      <w:r w:rsidRPr="00117779">
        <w:rPr>
          <w:rFonts w:eastAsia="Times New Roman" w:cs="Calibri"/>
          <w:szCs w:val="20"/>
        </w:rPr>
        <w:t xml:space="preserve"> gender </w:t>
      </w:r>
      <w:r>
        <w:rPr>
          <w:rFonts w:eastAsia="Times New Roman" w:cs="Calibri"/>
          <w:szCs w:val="20"/>
        </w:rPr>
        <w:t xml:space="preserve">aspects </w:t>
      </w:r>
      <w:r w:rsidRPr="00117779">
        <w:rPr>
          <w:rFonts w:eastAsia="Times New Roman" w:cs="Calibri"/>
          <w:szCs w:val="20"/>
        </w:rPr>
        <w:t>in all the project components as follows</w:t>
      </w:r>
      <w:r>
        <w:rPr>
          <w:rFonts w:eastAsia="Times New Roman" w:cs="Calibri"/>
          <w:szCs w:val="20"/>
        </w:rPr>
        <w:t xml:space="preserve"> and detailed gender action plan per component of the work is given in table below</w:t>
      </w:r>
    </w:p>
    <w:p w14:paraId="3DF5B263" w14:textId="77777777" w:rsidR="00DA57F0" w:rsidRPr="00117779" w:rsidRDefault="00DA57F0" w:rsidP="00DA57F0">
      <w:pPr>
        <w:spacing w:after="0" w:line="283" w:lineRule="auto"/>
        <w:ind w:right="200"/>
        <w:rPr>
          <w:rFonts w:eastAsia="Times New Roman" w:cs="Calibri"/>
          <w:szCs w:val="20"/>
        </w:rPr>
      </w:pPr>
    </w:p>
    <w:p w14:paraId="15C95C21" w14:textId="77777777" w:rsidR="00DA57F0" w:rsidRPr="00117779" w:rsidRDefault="00DA57F0" w:rsidP="00DA57F0">
      <w:pPr>
        <w:spacing w:after="0" w:line="283" w:lineRule="auto"/>
        <w:ind w:right="200"/>
        <w:rPr>
          <w:rFonts w:eastAsia="Times New Roman" w:cs="Calibri"/>
          <w:szCs w:val="20"/>
        </w:rPr>
      </w:pPr>
      <w:r w:rsidRPr="00117779">
        <w:rPr>
          <w:rFonts w:eastAsia="Times New Roman" w:cs="Calibri"/>
          <w:b/>
          <w:szCs w:val="20"/>
        </w:rPr>
        <w:t>Component 1:</w:t>
      </w:r>
      <w:r w:rsidRPr="00117779">
        <w:rPr>
          <w:rFonts w:eastAsia="Times New Roman" w:cs="Calibri"/>
          <w:szCs w:val="20"/>
        </w:rPr>
        <w:t xml:space="preserve"> Gender consideration will be made in the SADA, gender balance will be maintained in the various training and knowledge derivation activities</w:t>
      </w:r>
    </w:p>
    <w:p w14:paraId="68E0217F" w14:textId="77777777" w:rsidR="00DA57F0" w:rsidRPr="00117779" w:rsidRDefault="00DA57F0" w:rsidP="00DA57F0">
      <w:pPr>
        <w:spacing w:after="0" w:line="283" w:lineRule="auto"/>
        <w:ind w:right="200"/>
        <w:rPr>
          <w:rFonts w:eastAsia="Times New Roman" w:cs="Calibri"/>
          <w:szCs w:val="20"/>
        </w:rPr>
      </w:pPr>
      <w:r w:rsidRPr="00117779">
        <w:rPr>
          <w:rFonts w:eastAsia="Times New Roman" w:cs="Calibri"/>
          <w:b/>
          <w:szCs w:val="20"/>
        </w:rPr>
        <w:t>Component 2:</w:t>
      </w:r>
      <w:r w:rsidRPr="00117779">
        <w:rPr>
          <w:rFonts w:eastAsia="Times New Roman" w:cs="Calibri"/>
          <w:szCs w:val="20"/>
        </w:rPr>
        <w:t xml:space="preserve"> Action plans will factor the benefit of the actions in guaranteeing gender equality</w:t>
      </w:r>
    </w:p>
    <w:p w14:paraId="7971F839" w14:textId="77777777" w:rsidR="00DA57F0" w:rsidRPr="00117779" w:rsidRDefault="00DA57F0" w:rsidP="00DA57F0">
      <w:pPr>
        <w:spacing w:after="0" w:line="283" w:lineRule="auto"/>
        <w:ind w:right="200"/>
        <w:rPr>
          <w:rFonts w:eastAsia="Times New Roman" w:cs="Calibri"/>
          <w:szCs w:val="20"/>
        </w:rPr>
      </w:pPr>
      <w:r w:rsidRPr="00117779">
        <w:rPr>
          <w:rFonts w:eastAsia="Times New Roman" w:cs="Calibri"/>
          <w:b/>
          <w:szCs w:val="20"/>
        </w:rPr>
        <w:t>Component 3:</w:t>
      </w:r>
      <w:r w:rsidRPr="00117779">
        <w:rPr>
          <w:rFonts w:eastAsia="Times New Roman" w:cs="Calibri"/>
          <w:szCs w:val="20"/>
        </w:rPr>
        <w:t xml:space="preserve"> The pilot programs will consider the impacts as well as the benefit women would gain from the outcomes of the pilot programs </w:t>
      </w:r>
    </w:p>
    <w:p w14:paraId="244CA2E9" w14:textId="77777777" w:rsidR="00DA57F0" w:rsidRPr="00117779" w:rsidRDefault="00DA57F0" w:rsidP="00DA57F0">
      <w:pPr>
        <w:spacing w:after="0" w:line="283" w:lineRule="auto"/>
        <w:ind w:right="200"/>
        <w:rPr>
          <w:rFonts w:eastAsia="Times New Roman" w:cs="Calibri"/>
          <w:szCs w:val="20"/>
        </w:rPr>
      </w:pPr>
      <w:r w:rsidRPr="00117779">
        <w:rPr>
          <w:rFonts w:eastAsia="Times New Roman" w:cs="Calibri"/>
          <w:b/>
          <w:szCs w:val="20"/>
        </w:rPr>
        <w:t>Component 4:</w:t>
      </w:r>
      <w:r w:rsidRPr="00117779">
        <w:rPr>
          <w:rFonts w:eastAsia="Times New Roman" w:cs="Calibri"/>
          <w:szCs w:val="20"/>
        </w:rPr>
        <w:t xml:space="preserve">   The various exchange programs, training and capacity building programs will give highest consideration and gender balance among the beneficiaries</w:t>
      </w:r>
    </w:p>
    <w:p w14:paraId="2B129665" w14:textId="77777777" w:rsidR="00DA57F0" w:rsidRDefault="00DA57F0" w:rsidP="00DA57F0">
      <w:pPr>
        <w:spacing w:after="0" w:line="283" w:lineRule="auto"/>
        <w:ind w:right="200"/>
        <w:rPr>
          <w:rFonts w:eastAsia="Times New Roman" w:cs="Calibri"/>
          <w:szCs w:val="20"/>
        </w:rPr>
      </w:pPr>
      <w:r w:rsidRPr="00117779">
        <w:rPr>
          <w:rFonts w:eastAsia="Times New Roman" w:cs="Calibri"/>
          <w:b/>
          <w:szCs w:val="20"/>
        </w:rPr>
        <w:t>Component 5:</w:t>
      </w:r>
      <w:r w:rsidRPr="00117779">
        <w:rPr>
          <w:rFonts w:eastAsia="Times New Roman" w:cs="Calibri"/>
          <w:szCs w:val="20"/>
        </w:rPr>
        <w:t xml:space="preserve"> The KM programs would consider gender aspect in the various messages that shall be packaged </w:t>
      </w:r>
    </w:p>
    <w:p w14:paraId="03205AB1" w14:textId="77777777" w:rsidR="00DA57F0" w:rsidRDefault="00DA57F0" w:rsidP="00DA57F0">
      <w:pPr>
        <w:spacing w:after="0" w:line="283" w:lineRule="auto"/>
        <w:ind w:right="200"/>
        <w:rPr>
          <w:rFonts w:eastAsia="Times New Roman"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8238"/>
      </w:tblGrid>
      <w:tr w:rsidR="00DA57F0" w:rsidRPr="003F1517" w14:paraId="29F0D113" w14:textId="77777777" w:rsidTr="006E1216">
        <w:tc>
          <w:tcPr>
            <w:tcW w:w="4788" w:type="dxa"/>
            <w:shd w:val="clear" w:color="auto" w:fill="auto"/>
          </w:tcPr>
          <w:p w14:paraId="0B43DC0C" w14:textId="77777777" w:rsidR="00DA57F0" w:rsidRPr="003F1517" w:rsidRDefault="00DA57F0" w:rsidP="006E1216">
            <w:pPr>
              <w:spacing w:after="0" w:line="283" w:lineRule="auto"/>
              <w:ind w:right="200"/>
              <w:rPr>
                <w:rFonts w:eastAsia="Times New Roman" w:cs="Calibri"/>
                <w:szCs w:val="20"/>
              </w:rPr>
            </w:pPr>
            <w:r w:rsidRPr="003F1517">
              <w:rPr>
                <w:rFonts w:eastAsia="Times New Roman" w:cs="Calibri"/>
                <w:szCs w:val="20"/>
              </w:rPr>
              <w:t>Output</w:t>
            </w:r>
          </w:p>
        </w:tc>
        <w:tc>
          <w:tcPr>
            <w:tcW w:w="8388" w:type="dxa"/>
            <w:shd w:val="clear" w:color="auto" w:fill="auto"/>
          </w:tcPr>
          <w:p w14:paraId="455D5E20" w14:textId="77777777" w:rsidR="00DA57F0" w:rsidRPr="003F1517" w:rsidRDefault="00DA57F0" w:rsidP="006E1216">
            <w:pPr>
              <w:spacing w:after="0" w:line="283" w:lineRule="auto"/>
              <w:ind w:right="200"/>
              <w:rPr>
                <w:rFonts w:eastAsia="Times New Roman" w:cs="Calibri"/>
                <w:szCs w:val="20"/>
              </w:rPr>
            </w:pPr>
            <w:r w:rsidRPr="003F1517">
              <w:rPr>
                <w:rFonts w:eastAsia="Times New Roman" w:cs="Calibri"/>
                <w:szCs w:val="20"/>
              </w:rPr>
              <w:t>Gender action plan</w:t>
            </w:r>
          </w:p>
        </w:tc>
      </w:tr>
      <w:tr w:rsidR="00DA57F0" w:rsidRPr="003F1517" w14:paraId="3A2FAEC5" w14:textId="77777777" w:rsidTr="006E1216">
        <w:tc>
          <w:tcPr>
            <w:tcW w:w="4788" w:type="dxa"/>
            <w:shd w:val="clear" w:color="auto" w:fill="auto"/>
          </w:tcPr>
          <w:p w14:paraId="1691A032" w14:textId="77777777" w:rsidR="00DA57F0" w:rsidRPr="003F1517" w:rsidRDefault="00DA57F0" w:rsidP="006E1216">
            <w:pPr>
              <w:spacing w:after="0" w:line="283" w:lineRule="auto"/>
              <w:ind w:right="200"/>
              <w:rPr>
                <w:rFonts w:eastAsia="Times New Roman" w:cs="Calibri"/>
                <w:szCs w:val="20"/>
              </w:rPr>
            </w:pPr>
            <w:r w:rsidRPr="003F1517">
              <w:rPr>
                <w:rFonts w:eastAsia="Times New Roman" w:cs="Calibri"/>
                <w:szCs w:val="20"/>
              </w:rPr>
              <w:t xml:space="preserve">Output 1.1: </w:t>
            </w:r>
            <w:r w:rsidRPr="003F1517">
              <w:rPr>
                <w:color w:val="000000"/>
                <w:szCs w:val="20"/>
              </w:rPr>
              <w:t>Shared aquifers diagnostic analysis reports for all selected shared aquifers</w:t>
            </w:r>
          </w:p>
        </w:tc>
        <w:tc>
          <w:tcPr>
            <w:tcW w:w="8388" w:type="dxa"/>
            <w:shd w:val="clear" w:color="auto" w:fill="auto"/>
          </w:tcPr>
          <w:p w14:paraId="6BBB4CEB" w14:textId="77777777" w:rsidR="00DA57F0" w:rsidRPr="003F1517"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m</w:t>
            </w:r>
            <w:r w:rsidRPr="003F1517">
              <w:rPr>
                <w:rFonts w:eastAsia="Times New Roman" w:cs="Calibri"/>
                <w:szCs w:val="20"/>
              </w:rPr>
              <w:t xml:space="preserve">ake sure gender aspect is included in the shared aquifer diagnostic analysis and in the SADA report, </w:t>
            </w:r>
          </w:p>
          <w:p w14:paraId="0B82BA67" w14:textId="77777777" w:rsidR="00DA57F0" w:rsidRPr="003F1517" w:rsidRDefault="00DA57F0" w:rsidP="00DA57F0">
            <w:pPr>
              <w:numPr>
                <w:ilvl w:val="0"/>
                <w:numId w:val="1"/>
              </w:numPr>
              <w:spacing w:after="0" w:line="283" w:lineRule="auto"/>
              <w:ind w:right="200"/>
              <w:rPr>
                <w:rFonts w:eastAsia="Times New Roman" w:cs="Calibri"/>
                <w:szCs w:val="20"/>
              </w:rPr>
            </w:pPr>
            <w:r w:rsidRPr="003F1517">
              <w:rPr>
                <w:rFonts w:eastAsia="Times New Roman" w:cs="Calibri"/>
                <w:szCs w:val="20"/>
              </w:rPr>
              <w:t xml:space="preserve">make sure that the data collection is gender disaggregated whenever applicable, </w:t>
            </w:r>
          </w:p>
          <w:p w14:paraId="3135AB9B" w14:textId="77777777" w:rsidR="00DA57F0" w:rsidRDefault="00DA57F0" w:rsidP="00DA57F0">
            <w:pPr>
              <w:numPr>
                <w:ilvl w:val="0"/>
                <w:numId w:val="1"/>
              </w:numPr>
              <w:spacing w:after="0" w:line="283" w:lineRule="auto"/>
              <w:ind w:right="200"/>
              <w:rPr>
                <w:rFonts w:eastAsia="Times New Roman" w:cs="Calibri"/>
                <w:szCs w:val="20"/>
              </w:rPr>
            </w:pPr>
            <w:r w:rsidRPr="003F1517">
              <w:rPr>
                <w:rFonts w:eastAsia="Times New Roman" w:cs="Calibri"/>
                <w:szCs w:val="20"/>
              </w:rPr>
              <w:t>make sure gender balance is maintained in the various workshops and trainings pertaining to this component</w:t>
            </w:r>
          </w:p>
          <w:p w14:paraId="730516E6" w14:textId="77777777" w:rsidR="00DA57F0" w:rsidRPr="004C0961"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 xml:space="preserve">make sure </w:t>
            </w:r>
            <w:r w:rsidRPr="004C0961">
              <w:rPr>
                <w:rFonts w:eastAsia="Times New Roman" w:cs="Calibri"/>
                <w:szCs w:val="20"/>
              </w:rPr>
              <w:t xml:space="preserve">Influences of gender roles, division of labor, and other socio-cultural beliefs and norms on existing knowledge about availability of groundwater resources are identified and analyzed </w:t>
            </w:r>
          </w:p>
          <w:p w14:paraId="254C5B3C" w14:textId="77777777" w:rsidR="00DA57F0" w:rsidRPr="004C0961"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g</w:t>
            </w:r>
            <w:r w:rsidRPr="004C0961">
              <w:rPr>
                <w:rFonts w:eastAsia="Times New Roman" w:cs="Calibri"/>
                <w:szCs w:val="20"/>
              </w:rPr>
              <w:t>ender dimensions in the identification and shaping of knowledge and understanding of water issues in the community as a core ingredient of solving water-related problems are integrated</w:t>
            </w:r>
          </w:p>
          <w:p w14:paraId="7D54D300" w14:textId="77777777" w:rsidR="00DA57F0" w:rsidRPr="003F1517"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e</w:t>
            </w:r>
            <w:r w:rsidRPr="004C0961">
              <w:rPr>
                <w:rFonts w:eastAsia="Times New Roman" w:cs="Calibri"/>
                <w:szCs w:val="20"/>
              </w:rPr>
              <w:t xml:space="preserve">nsure that qualitative and quantitative methods are used for data collection </w:t>
            </w:r>
            <w:r>
              <w:rPr>
                <w:rFonts w:eastAsia="Times New Roman" w:cs="Calibri"/>
                <w:szCs w:val="20"/>
              </w:rPr>
              <w:t>account for gender disaggregated approaches whenever applicable</w:t>
            </w:r>
          </w:p>
        </w:tc>
      </w:tr>
      <w:tr w:rsidR="00DA57F0" w:rsidRPr="003F1517" w14:paraId="40B3C418" w14:textId="77777777" w:rsidTr="006E1216">
        <w:tc>
          <w:tcPr>
            <w:tcW w:w="4788" w:type="dxa"/>
            <w:shd w:val="clear" w:color="auto" w:fill="auto"/>
          </w:tcPr>
          <w:p w14:paraId="52509A80" w14:textId="77777777" w:rsidR="00DA57F0" w:rsidRPr="003F1517" w:rsidRDefault="00DA57F0" w:rsidP="006E1216">
            <w:pPr>
              <w:spacing w:after="0" w:line="283" w:lineRule="auto"/>
              <w:ind w:right="200"/>
              <w:rPr>
                <w:rFonts w:eastAsia="Times New Roman" w:cs="Calibri"/>
                <w:szCs w:val="20"/>
              </w:rPr>
            </w:pPr>
            <w:r w:rsidRPr="003F1517">
              <w:rPr>
                <w:color w:val="000000"/>
                <w:szCs w:val="20"/>
              </w:rPr>
              <w:t>Output 1.2. A regional groundwater knowledgebase for all shared aquifers</w:t>
            </w:r>
          </w:p>
        </w:tc>
        <w:tc>
          <w:tcPr>
            <w:tcW w:w="8388" w:type="dxa"/>
            <w:shd w:val="clear" w:color="auto" w:fill="auto"/>
          </w:tcPr>
          <w:p w14:paraId="7943FFA8" w14:textId="77777777" w:rsidR="00DA57F0" w:rsidRPr="003F1517" w:rsidRDefault="00DA57F0" w:rsidP="00DA57F0">
            <w:pPr>
              <w:numPr>
                <w:ilvl w:val="0"/>
                <w:numId w:val="1"/>
              </w:numPr>
              <w:spacing w:after="0" w:line="283" w:lineRule="auto"/>
              <w:ind w:right="200"/>
              <w:rPr>
                <w:rFonts w:eastAsia="Times New Roman" w:cs="Calibri"/>
                <w:szCs w:val="20"/>
              </w:rPr>
            </w:pPr>
            <w:r w:rsidRPr="003F1517">
              <w:rPr>
                <w:rFonts w:eastAsia="Times New Roman" w:cs="Calibri"/>
                <w:szCs w:val="20"/>
              </w:rPr>
              <w:t>make sure gender balance is maintained in the various workshops and trainings pertaining to this component</w:t>
            </w:r>
          </w:p>
        </w:tc>
      </w:tr>
      <w:tr w:rsidR="00DA57F0" w:rsidRPr="003F1517" w14:paraId="5DCED5D0" w14:textId="77777777" w:rsidTr="006E1216">
        <w:tc>
          <w:tcPr>
            <w:tcW w:w="4788" w:type="dxa"/>
            <w:shd w:val="clear" w:color="auto" w:fill="auto"/>
          </w:tcPr>
          <w:p w14:paraId="4B76B47E" w14:textId="77777777" w:rsidR="00DA57F0" w:rsidRPr="003F1517" w:rsidRDefault="00DA57F0" w:rsidP="006E1216">
            <w:pPr>
              <w:spacing w:after="0" w:line="283" w:lineRule="auto"/>
              <w:ind w:right="200"/>
              <w:rPr>
                <w:rFonts w:eastAsia="Times New Roman" w:cs="Calibri"/>
                <w:szCs w:val="20"/>
              </w:rPr>
            </w:pPr>
            <w:r w:rsidRPr="003F1517">
              <w:rPr>
                <w:rFonts w:eastAsia="Times New Roman" w:cs="Calibri"/>
                <w:szCs w:val="20"/>
              </w:rPr>
              <w:t xml:space="preserve">Output 1.3 </w:t>
            </w:r>
            <w:r w:rsidRPr="003F1517">
              <w:rPr>
                <w:rFonts w:eastAsia="Calibri"/>
                <w:color w:val="000000"/>
                <w:szCs w:val="22"/>
              </w:rPr>
              <w:t xml:space="preserve">Water balance modelling of the selected aquifers with quantified: recharge, outflows (base flow, deep percolation, </w:t>
            </w:r>
            <w:proofErr w:type="spellStart"/>
            <w:r w:rsidRPr="003F1517">
              <w:rPr>
                <w:rFonts w:eastAsia="Calibri"/>
                <w:color w:val="000000"/>
                <w:szCs w:val="22"/>
              </w:rPr>
              <w:t>etc</w:t>
            </w:r>
            <w:proofErr w:type="spellEnd"/>
            <w:r w:rsidRPr="003F1517">
              <w:rPr>
                <w:rFonts w:eastAsia="Calibri"/>
                <w:color w:val="000000"/>
                <w:szCs w:val="22"/>
              </w:rPr>
              <w:t xml:space="preserve">) and withdrawals modelling of the selected aquifers with quantified: recharge, outflows (base flow, deep percolation, </w:t>
            </w:r>
            <w:proofErr w:type="spellStart"/>
            <w:r w:rsidRPr="003F1517">
              <w:rPr>
                <w:rFonts w:eastAsia="Calibri"/>
                <w:color w:val="000000"/>
                <w:szCs w:val="22"/>
              </w:rPr>
              <w:t>etc</w:t>
            </w:r>
            <w:proofErr w:type="spellEnd"/>
            <w:r w:rsidRPr="003F1517">
              <w:rPr>
                <w:rFonts w:eastAsia="Calibri"/>
                <w:color w:val="000000"/>
                <w:szCs w:val="22"/>
              </w:rPr>
              <w:t>) and withdrawals</w:t>
            </w:r>
            <w:r w:rsidRPr="003F1517">
              <w:rPr>
                <w:rFonts w:eastAsia="Calibri"/>
                <w:b/>
                <w:color w:val="000000"/>
                <w:szCs w:val="22"/>
              </w:rPr>
              <w:t>.</w:t>
            </w:r>
          </w:p>
        </w:tc>
        <w:tc>
          <w:tcPr>
            <w:tcW w:w="8388" w:type="dxa"/>
            <w:shd w:val="clear" w:color="auto" w:fill="auto"/>
          </w:tcPr>
          <w:p w14:paraId="23F73592" w14:textId="77777777" w:rsidR="00DA57F0" w:rsidRPr="003F1517" w:rsidRDefault="00DA57F0" w:rsidP="00DA57F0">
            <w:pPr>
              <w:numPr>
                <w:ilvl w:val="0"/>
                <w:numId w:val="1"/>
              </w:numPr>
              <w:spacing w:after="0" w:line="283" w:lineRule="auto"/>
              <w:ind w:right="200"/>
              <w:rPr>
                <w:rFonts w:eastAsia="Times New Roman" w:cs="Calibri"/>
                <w:szCs w:val="20"/>
              </w:rPr>
            </w:pPr>
            <w:r w:rsidRPr="003F1517">
              <w:rPr>
                <w:rFonts w:eastAsia="Times New Roman" w:cs="Calibri"/>
                <w:szCs w:val="20"/>
              </w:rPr>
              <w:t>make sure gender balance is maintained in the various workshops and trainings pertaining to this component</w:t>
            </w:r>
          </w:p>
        </w:tc>
      </w:tr>
      <w:tr w:rsidR="00DA57F0" w:rsidRPr="003F1517" w14:paraId="5B1C18F0" w14:textId="77777777" w:rsidTr="006E1216">
        <w:tc>
          <w:tcPr>
            <w:tcW w:w="4788" w:type="dxa"/>
            <w:shd w:val="clear" w:color="auto" w:fill="auto"/>
          </w:tcPr>
          <w:p w14:paraId="62ED7A1B" w14:textId="77777777" w:rsidR="00DA57F0" w:rsidRPr="003F1517" w:rsidRDefault="00DA57F0" w:rsidP="006E1216">
            <w:pPr>
              <w:spacing w:after="0" w:line="283" w:lineRule="auto"/>
              <w:ind w:right="200"/>
              <w:rPr>
                <w:rFonts w:eastAsia="Times New Roman" w:cs="Calibri"/>
                <w:szCs w:val="20"/>
              </w:rPr>
            </w:pPr>
            <w:r w:rsidRPr="003F1517">
              <w:rPr>
                <w:rFonts w:eastAsia="Calibri"/>
                <w:color w:val="000000"/>
                <w:szCs w:val="22"/>
              </w:rPr>
              <w:t>Output 1.4. Projection of groundwater availability and use under climate change for selected aquifers</w:t>
            </w:r>
          </w:p>
        </w:tc>
        <w:tc>
          <w:tcPr>
            <w:tcW w:w="8388" w:type="dxa"/>
            <w:shd w:val="clear" w:color="auto" w:fill="auto"/>
          </w:tcPr>
          <w:p w14:paraId="4B724D14" w14:textId="77777777" w:rsidR="00DA57F0" w:rsidRPr="003F1517" w:rsidRDefault="00DA57F0" w:rsidP="00DA57F0">
            <w:pPr>
              <w:numPr>
                <w:ilvl w:val="0"/>
                <w:numId w:val="1"/>
              </w:numPr>
              <w:spacing w:after="0" w:line="283" w:lineRule="auto"/>
              <w:ind w:right="200"/>
              <w:rPr>
                <w:rFonts w:eastAsia="Times New Roman" w:cs="Calibri"/>
                <w:szCs w:val="20"/>
              </w:rPr>
            </w:pPr>
            <w:r w:rsidRPr="003F1517">
              <w:rPr>
                <w:rFonts w:eastAsia="Times New Roman" w:cs="Calibri"/>
                <w:szCs w:val="20"/>
              </w:rPr>
              <w:t>make sure gender balance is maintained in the various workshops and trainings pertaining to this component</w:t>
            </w:r>
          </w:p>
          <w:p w14:paraId="7B03C7FC" w14:textId="77777777" w:rsidR="00DA57F0" w:rsidRPr="003F1517"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m</w:t>
            </w:r>
            <w:r w:rsidRPr="003F1517">
              <w:rPr>
                <w:rFonts w:eastAsia="Times New Roman" w:cs="Calibri"/>
                <w:szCs w:val="20"/>
              </w:rPr>
              <w:t>ake sure the models capture future water availability for various socio-economic groups</w:t>
            </w:r>
          </w:p>
        </w:tc>
      </w:tr>
      <w:tr w:rsidR="00DA57F0" w:rsidRPr="003F1517" w14:paraId="14A1DF46" w14:textId="77777777" w:rsidTr="006E1216">
        <w:tc>
          <w:tcPr>
            <w:tcW w:w="4788" w:type="dxa"/>
            <w:shd w:val="clear" w:color="auto" w:fill="auto"/>
          </w:tcPr>
          <w:p w14:paraId="5FF59BE8" w14:textId="77777777" w:rsidR="00DA57F0" w:rsidRPr="003F1517" w:rsidRDefault="00DA57F0" w:rsidP="006E1216">
            <w:pPr>
              <w:spacing w:after="0" w:line="283" w:lineRule="auto"/>
              <w:ind w:right="200"/>
              <w:rPr>
                <w:rFonts w:eastAsia="Times New Roman" w:cs="Calibri"/>
                <w:szCs w:val="20"/>
              </w:rPr>
            </w:pPr>
            <w:r w:rsidRPr="003F1517">
              <w:rPr>
                <w:rFonts w:eastAsia="Calibri"/>
                <w:color w:val="000000"/>
                <w:szCs w:val="22"/>
              </w:rPr>
              <w:t>Output 2.1: Regional Shared Aquifers Integrated Management Action Plan for strengthening cooperative management and utilization of the selected shared aquifers</w:t>
            </w:r>
          </w:p>
        </w:tc>
        <w:tc>
          <w:tcPr>
            <w:tcW w:w="8388" w:type="dxa"/>
            <w:shd w:val="clear" w:color="auto" w:fill="auto"/>
          </w:tcPr>
          <w:p w14:paraId="6C6B029F" w14:textId="77777777" w:rsidR="00DA57F0"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m</w:t>
            </w:r>
            <w:r w:rsidRPr="003F1517">
              <w:rPr>
                <w:rFonts w:eastAsia="Times New Roman" w:cs="Calibri"/>
                <w:szCs w:val="20"/>
              </w:rPr>
              <w:t xml:space="preserve">ake sure gender aspect is integrated into the various sets of actions plans, policy recommendations, groundwater governance arrangement recommendations </w:t>
            </w:r>
            <w:proofErr w:type="spellStart"/>
            <w:r w:rsidRPr="003F1517">
              <w:rPr>
                <w:rFonts w:eastAsia="Times New Roman" w:cs="Calibri"/>
                <w:szCs w:val="20"/>
              </w:rPr>
              <w:t>etc</w:t>
            </w:r>
            <w:proofErr w:type="spellEnd"/>
            <w:r w:rsidRPr="003F1517">
              <w:rPr>
                <w:rFonts w:eastAsia="Times New Roman" w:cs="Calibri"/>
                <w:szCs w:val="20"/>
              </w:rPr>
              <w:t xml:space="preserve"> </w:t>
            </w:r>
          </w:p>
          <w:p w14:paraId="60508AD1" w14:textId="77777777" w:rsidR="00DA57F0" w:rsidRPr="004C0961"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 xml:space="preserve">make sure </w:t>
            </w:r>
            <w:r w:rsidRPr="004C0961">
              <w:rPr>
                <w:rFonts w:eastAsia="Times New Roman" w:cs="Calibri"/>
                <w:szCs w:val="20"/>
              </w:rPr>
              <w:t>Inconsistencies in integrating gender policies and practices in the water sector and initiatives that have demonstrated results for gender sensitive ground water monitoring are identified</w:t>
            </w:r>
          </w:p>
          <w:p w14:paraId="0CEA53EA" w14:textId="77777777" w:rsidR="00DA57F0" w:rsidRPr="003F1517" w:rsidRDefault="00DA57F0" w:rsidP="00DA57F0">
            <w:pPr>
              <w:numPr>
                <w:ilvl w:val="0"/>
                <w:numId w:val="1"/>
              </w:numPr>
              <w:spacing w:after="0" w:line="283" w:lineRule="auto"/>
              <w:ind w:right="200"/>
              <w:rPr>
                <w:rFonts w:eastAsia="Times New Roman" w:cs="Calibri"/>
                <w:szCs w:val="20"/>
              </w:rPr>
            </w:pPr>
            <w:r w:rsidRPr="00753DCF">
              <w:rPr>
                <w:rFonts w:eastAsia="Times New Roman" w:cs="Calibri"/>
                <w:szCs w:val="20"/>
              </w:rPr>
              <w:t>make sure sufficient evidence on the value of gender mainstreaming in shared aquifer management is gathered to influence implementers and critical Ministries</w:t>
            </w:r>
            <w:r>
              <w:rPr>
                <w:rFonts w:ascii="Times New Roman" w:hAnsi="Times New Roman"/>
                <w:sz w:val="24"/>
              </w:rPr>
              <w:t xml:space="preserve"> </w:t>
            </w:r>
          </w:p>
        </w:tc>
      </w:tr>
      <w:tr w:rsidR="00DA57F0" w:rsidRPr="003F1517" w14:paraId="0AECA3FA" w14:textId="77777777" w:rsidTr="006E1216">
        <w:tc>
          <w:tcPr>
            <w:tcW w:w="4788" w:type="dxa"/>
            <w:shd w:val="clear" w:color="auto" w:fill="auto"/>
          </w:tcPr>
          <w:p w14:paraId="20FF3ACD" w14:textId="77777777" w:rsidR="00DA57F0" w:rsidRPr="003F1517" w:rsidRDefault="00DA57F0" w:rsidP="006E1216">
            <w:pPr>
              <w:spacing w:after="0" w:line="283" w:lineRule="auto"/>
              <w:ind w:right="200"/>
              <w:rPr>
                <w:rFonts w:eastAsia="Times New Roman" w:cs="Calibri"/>
                <w:szCs w:val="20"/>
              </w:rPr>
            </w:pPr>
            <w:r w:rsidRPr="003F1517">
              <w:rPr>
                <w:rFonts w:eastAsia="Calibri"/>
                <w:color w:val="000000"/>
                <w:szCs w:val="22"/>
              </w:rPr>
              <w:t>Output 3.1: Technical guide on integration of groundwater aspects in NBI’s subsidiary action programs for the selected sub-basins targeting key activities</w:t>
            </w:r>
          </w:p>
        </w:tc>
        <w:tc>
          <w:tcPr>
            <w:tcW w:w="8388" w:type="dxa"/>
            <w:shd w:val="clear" w:color="auto" w:fill="auto"/>
          </w:tcPr>
          <w:p w14:paraId="7A7F910D" w14:textId="77777777" w:rsidR="00DA57F0" w:rsidRPr="003F1517"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m</w:t>
            </w:r>
            <w:r w:rsidRPr="003F1517">
              <w:rPr>
                <w:rFonts w:eastAsia="Times New Roman" w:cs="Calibri"/>
                <w:szCs w:val="20"/>
              </w:rPr>
              <w:t>ake sure gender aspect is considered in the technical guides</w:t>
            </w:r>
          </w:p>
        </w:tc>
      </w:tr>
      <w:tr w:rsidR="00DA57F0" w:rsidRPr="003F1517" w14:paraId="6C2703E1" w14:textId="77777777" w:rsidTr="006E1216">
        <w:tc>
          <w:tcPr>
            <w:tcW w:w="4788" w:type="dxa"/>
            <w:shd w:val="clear" w:color="auto" w:fill="auto"/>
          </w:tcPr>
          <w:p w14:paraId="335B51DD" w14:textId="77777777" w:rsidR="00DA57F0" w:rsidRPr="003F1517" w:rsidRDefault="00DA57F0" w:rsidP="006E1216">
            <w:pPr>
              <w:spacing w:after="0" w:line="283" w:lineRule="auto"/>
              <w:ind w:right="200"/>
              <w:rPr>
                <w:rFonts w:eastAsia="Calibri"/>
                <w:color w:val="000000"/>
                <w:szCs w:val="22"/>
              </w:rPr>
            </w:pPr>
            <w:r w:rsidRPr="003F1517">
              <w:rPr>
                <w:rFonts w:eastAsia="Calibri"/>
                <w:color w:val="000000"/>
                <w:szCs w:val="20"/>
              </w:rPr>
              <w:t xml:space="preserve">Output 4.1. </w:t>
            </w:r>
            <w:r w:rsidRPr="003F1517">
              <w:rPr>
                <w:rFonts w:eastAsia="Calibri"/>
                <w:color w:val="000000"/>
                <w:szCs w:val="22"/>
              </w:rPr>
              <w:t>Up to 5 pilots illustrating appropriate innovative techniques for sustainable conjunctive use of groundwater and surface water resources will be implemented during the lifetime of the project.</w:t>
            </w:r>
          </w:p>
          <w:p w14:paraId="51604CEC" w14:textId="77777777" w:rsidR="00DA57F0" w:rsidRPr="003F1517" w:rsidRDefault="00DA57F0" w:rsidP="006E1216">
            <w:pPr>
              <w:spacing w:after="0" w:line="283" w:lineRule="auto"/>
              <w:ind w:right="200"/>
              <w:rPr>
                <w:rFonts w:eastAsia="Times New Roman" w:cs="Calibri"/>
                <w:szCs w:val="20"/>
              </w:rPr>
            </w:pPr>
          </w:p>
        </w:tc>
        <w:tc>
          <w:tcPr>
            <w:tcW w:w="8388" w:type="dxa"/>
            <w:shd w:val="clear" w:color="auto" w:fill="auto"/>
          </w:tcPr>
          <w:p w14:paraId="7673D811" w14:textId="77777777" w:rsidR="00DA57F0" w:rsidRPr="003F1517"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t</w:t>
            </w:r>
            <w:r w:rsidRPr="003F1517">
              <w:rPr>
                <w:rFonts w:eastAsia="Times New Roman" w:cs="Calibri"/>
                <w:szCs w:val="20"/>
              </w:rPr>
              <w:t xml:space="preserve">he pilot programs will consider the impacts as well as the benefit women would gain from the outcomes of the pilot programs </w:t>
            </w:r>
          </w:p>
          <w:p w14:paraId="5534F850" w14:textId="77777777" w:rsidR="00DA57F0" w:rsidRPr="003F1517"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m</w:t>
            </w:r>
            <w:r w:rsidRPr="003F1517">
              <w:rPr>
                <w:rFonts w:eastAsia="Times New Roman" w:cs="Calibri"/>
                <w:szCs w:val="20"/>
              </w:rPr>
              <w:t>ake sure some contents of the KM materials address gender issues in Water resources management</w:t>
            </w:r>
          </w:p>
        </w:tc>
      </w:tr>
      <w:tr w:rsidR="00DA57F0" w:rsidRPr="003F1517" w14:paraId="3576D6A1" w14:textId="77777777" w:rsidTr="006E1216">
        <w:tc>
          <w:tcPr>
            <w:tcW w:w="4788" w:type="dxa"/>
            <w:shd w:val="clear" w:color="auto" w:fill="auto"/>
          </w:tcPr>
          <w:p w14:paraId="2FCCC161" w14:textId="77777777" w:rsidR="00DA57F0" w:rsidRPr="003F1517" w:rsidRDefault="00DA57F0" w:rsidP="006E1216">
            <w:pPr>
              <w:spacing w:after="0" w:line="283" w:lineRule="auto"/>
              <w:ind w:right="200"/>
              <w:rPr>
                <w:rFonts w:eastAsia="Times New Roman" w:cs="Calibri"/>
                <w:szCs w:val="20"/>
              </w:rPr>
            </w:pPr>
            <w:r w:rsidRPr="003F1517">
              <w:rPr>
                <w:rFonts w:eastAsia="Calibri"/>
                <w:color w:val="000000"/>
                <w:szCs w:val="20"/>
              </w:rPr>
              <w:t>Output 5.1: Scaling up strategy: based on the above pilots, a strategy and guideline will be developed for mainstreaming the most successful pilots into operational IWRM activities at national and regional levels</w:t>
            </w:r>
          </w:p>
        </w:tc>
        <w:tc>
          <w:tcPr>
            <w:tcW w:w="8388" w:type="dxa"/>
            <w:shd w:val="clear" w:color="auto" w:fill="auto"/>
          </w:tcPr>
          <w:p w14:paraId="5D237CC7" w14:textId="77777777" w:rsidR="00DA57F0" w:rsidRPr="003F1517"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m</w:t>
            </w:r>
            <w:r w:rsidRPr="003F1517">
              <w:rPr>
                <w:rFonts w:eastAsia="Times New Roman" w:cs="Calibri"/>
                <w:szCs w:val="20"/>
              </w:rPr>
              <w:t>ake sure key sets of scaling up strategy include aspect of gender balance</w:t>
            </w:r>
          </w:p>
        </w:tc>
      </w:tr>
      <w:tr w:rsidR="00DA57F0" w:rsidRPr="003F1517" w14:paraId="6F2DC366" w14:textId="77777777" w:rsidTr="006E1216">
        <w:tc>
          <w:tcPr>
            <w:tcW w:w="4788" w:type="dxa"/>
            <w:shd w:val="clear" w:color="auto" w:fill="auto"/>
          </w:tcPr>
          <w:p w14:paraId="2B14AD64" w14:textId="77777777" w:rsidR="00DA57F0" w:rsidRPr="003F1517" w:rsidRDefault="00DA57F0" w:rsidP="006E1216">
            <w:pPr>
              <w:spacing w:after="0" w:line="283" w:lineRule="auto"/>
              <w:ind w:right="200"/>
              <w:rPr>
                <w:rFonts w:eastAsia="Times New Roman" w:cs="Calibri"/>
                <w:szCs w:val="20"/>
              </w:rPr>
            </w:pPr>
            <w:r w:rsidRPr="003F1517">
              <w:rPr>
                <w:rFonts w:eastAsia="Times New Roman" w:cs="Calibri"/>
                <w:szCs w:val="20"/>
              </w:rPr>
              <w:t>Outputs 6.1, 7.1., 7.2 [Capacity building, technical trainings, exchange programs at various levels]</w:t>
            </w:r>
          </w:p>
        </w:tc>
        <w:tc>
          <w:tcPr>
            <w:tcW w:w="8388" w:type="dxa"/>
            <w:shd w:val="clear" w:color="auto" w:fill="auto"/>
          </w:tcPr>
          <w:p w14:paraId="534C9311" w14:textId="77777777" w:rsidR="00DA57F0" w:rsidRPr="00CE30B6"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m</w:t>
            </w:r>
            <w:r w:rsidRPr="003F1517">
              <w:rPr>
                <w:rFonts w:eastAsia="Times New Roman" w:cs="Calibri"/>
                <w:szCs w:val="20"/>
              </w:rPr>
              <w:t xml:space="preserve">ake sure at least </w:t>
            </w:r>
            <w:r>
              <w:rPr>
                <w:rFonts w:eastAsia="Times New Roman" w:cs="Calibri"/>
                <w:szCs w:val="20"/>
              </w:rPr>
              <w:t>two</w:t>
            </w:r>
            <w:r w:rsidRPr="003F1517">
              <w:rPr>
                <w:rFonts w:eastAsia="Times New Roman" w:cs="Calibri"/>
                <w:szCs w:val="20"/>
              </w:rPr>
              <w:t xml:space="preserve"> training </w:t>
            </w:r>
            <w:proofErr w:type="gramStart"/>
            <w:r w:rsidRPr="003F1517">
              <w:rPr>
                <w:rFonts w:eastAsia="Times New Roman" w:cs="Calibri"/>
                <w:szCs w:val="20"/>
              </w:rPr>
              <w:t>component</w:t>
            </w:r>
            <w:proofErr w:type="gramEnd"/>
            <w:r w:rsidRPr="003F1517">
              <w:rPr>
                <w:rFonts w:eastAsia="Times New Roman" w:cs="Calibri"/>
                <w:szCs w:val="20"/>
              </w:rPr>
              <w:t xml:space="preserve"> is on Gender and Water management</w:t>
            </w:r>
            <w:r>
              <w:rPr>
                <w:rFonts w:eastAsia="Times New Roman" w:cs="Calibri"/>
                <w:szCs w:val="20"/>
              </w:rPr>
              <w:t xml:space="preserve"> (example: a) </w:t>
            </w:r>
            <w:r w:rsidRPr="00CE30B6">
              <w:rPr>
                <w:rFonts w:eastAsia="Times New Roman" w:cs="Calibri"/>
                <w:szCs w:val="20"/>
              </w:rPr>
              <w:t xml:space="preserve">water and gender for the promotion of gender equality and women empowerment, and </w:t>
            </w:r>
            <w:r>
              <w:rPr>
                <w:rFonts w:eastAsia="Times New Roman" w:cs="Calibri"/>
                <w:szCs w:val="20"/>
              </w:rPr>
              <w:t xml:space="preserve">b) </w:t>
            </w:r>
            <w:r w:rsidRPr="00CE30B6">
              <w:rPr>
                <w:rFonts w:eastAsia="Times New Roman" w:cs="Calibri"/>
                <w:szCs w:val="20"/>
              </w:rPr>
              <w:t>on the collection of gender disaggregated data using the UNESCO WWAP Toolkit</w:t>
            </w:r>
          </w:p>
          <w:p w14:paraId="3BB2E6CA" w14:textId="77777777" w:rsidR="00DA57F0" w:rsidRPr="003F1517" w:rsidRDefault="00DA57F0" w:rsidP="006E1216">
            <w:pPr>
              <w:spacing w:after="0" w:line="283" w:lineRule="auto"/>
              <w:ind w:left="360" w:right="200"/>
              <w:rPr>
                <w:rFonts w:eastAsia="Times New Roman" w:cs="Calibri"/>
                <w:szCs w:val="20"/>
              </w:rPr>
            </w:pPr>
          </w:p>
          <w:p w14:paraId="594CB7A3" w14:textId="77777777" w:rsidR="00DA57F0" w:rsidRPr="003F1517"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m</w:t>
            </w:r>
            <w:r w:rsidRPr="003F1517">
              <w:rPr>
                <w:rFonts w:eastAsia="Times New Roman" w:cs="Calibri"/>
                <w:szCs w:val="20"/>
              </w:rPr>
              <w:t>ake sure gender balance is maintained in the various capacity building sub components</w:t>
            </w:r>
          </w:p>
        </w:tc>
      </w:tr>
      <w:tr w:rsidR="00DA57F0" w:rsidRPr="003F1517" w14:paraId="6FEF9847" w14:textId="77777777" w:rsidTr="006E1216">
        <w:tc>
          <w:tcPr>
            <w:tcW w:w="4788" w:type="dxa"/>
            <w:shd w:val="clear" w:color="auto" w:fill="auto"/>
          </w:tcPr>
          <w:p w14:paraId="49AE226E" w14:textId="77777777" w:rsidR="00DA57F0" w:rsidRPr="003F1517" w:rsidRDefault="00DA57F0" w:rsidP="006E1216">
            <w:pPr>
              <w:spacing w:after="0" w:line="283" w:lineRule="auto"/>
              <w:ind w:right="200"/>
              <w:rPr>
                <w:rFonts w:eastAsia="Times New Roman" w:cs="Calibri"/>
                <w:szCs w:val="20"/>
              </w:rPr>
            </w:pPr>
            <w:r w:rsidRPr="003F1517">
              <w:rPr>
                <w:rFonts w:eastAsia="Times New Roman" w:cs="Calibri"/>
                <w:szCs w:val="20"/>
              </w:rPr>
              <w:t>Output 8.1, 8.2 [Awareness and KM activities</w:t>
            </w:r>
            <w:r>
              <w:rPr>
                <w:rFonts w:eastAsia="Times New Roman" w:cs="Calibri"/>
                <w:szCs w:val="20"/>
              </w:rPr>
              <w:t>, M and E</w:t>
            </w:r>
            <w:r w:rsidRPr="003F1517">
              <w:rPr>
                <w:rFonts w:eastAsia="Times New Roman" w:cs="Calibri"/>
                <w:szCs w:val="20"/>
              </w:rPr>
              <w:t>]</w:t>
            </w:r>
          </w:p>
        </w:tc>
        <w:tc>
          <w:tcPr>
            <w:tcW w:w="8388" w:type="dxa"/>
            <w:shd w:val="clear" w:color="auto" w:fill="auto"/>
          </w:tcPr>
          <w:p w14:paraId="386BB1E6" w14:textId="77777777" w:rsidR="00DA57F0" w:rsidRPr="003F1517"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m</w:t>
            </w:r>
            <w:r w:rsidRPr="003F1517">
              <w:rPr>
                <w:rFonts w:eastAsia="Times New Roman" w:cs="Calibri"/>
                <w:szCs w:val="20"/>
              </w:rPr>
              <w:t xml:space="preserve">ake sure the various knowledge products </w:t>
            </w:r>
            <w:r>
              <w:rPr>
                <w:rFonts w:eastAsia="Times New Roman" w:cs="Calibri"/>
                <w:szCs w:val="20"/>
              </w:rPr>
              <w:t xml:space="preserve">and messages to be disseminated </w:t>
            </w:r>
            <w:r w:rsidRPr="003F1517">
              <w:rPr>
                <w:rFonts w:eastAsia="Times New Roman" w:cs="Calibri"/>
                <w:szCs w:val="20"/>
              </w:rPr>
              <w:t>give gender considerations</w:t>
            </w:r>
          </w:p>
          <w:p w14:paraId="16949987" w14:textId="77777777" w:rsidR="00DA57F0" w:rsidRDefault="00DA57F0" w:rsidP="00DA57F0">
            <w:pPr>
              <w:numPr>
                <w:ilvl w:val="0"/>
                <w:numId w:val="1"/>
              </w:numPr>
              <w:spacing w:after="0" w:line="283" w:lineRule="auto"/>
              <w:ind w:right="200"/>
              <w:rPr>
                <w:rFonts w:eastAsia="Times New Roman" w:cs="Calibri"/>
                <w:szCs w:val="20"/>
              </w:rPr>
            </w:pPr>
            <w:r w:rsidRPr="00753DCF">
              <w:rPr>
                <w:rFonts w:eastAsia="Times New Roman" w:cs="Calibri"/>
                <w:szCs w:val="20"/>
              </w:rPr>
              <w:t>The section on gender equality and women empowerment in the project website is regularly updated</w:t>
            </w:r>
          </w:p>
          <w:p w14:paraId="5DD282C5" w14:textId="77777777" w:rsidR="00DA57F0" w:rsidRPr="003F1517" w:rsidRDefault="00DA57F0" w:rsidP="00DA57F0">
            <w:pPr>
              <w:numPr>
                <w:ilvl w:val="0"/>
                <w:numId w:val="1"/>
              </w:numPr>
              <w:spacing w:after="0" w:line="283" w:lineRule="auto"/>
              <w:ind w:right="200"/>
              <w:rPr>
                <w:rFonts w:eastAsia="Times New Roman" w:cs="Calibri"/>
                <w:szCs w:val="20"/>
              </w:rPr>
            </w:pPr>
            <w:r>
              <w:rPr>
                <w:rFonts w:eastAsia="Times New Roman" w:cs="Calibri"/>
                <w:szCs w:val="20"/>
              </w:rPr>
              <w:t>make sure that the M and E gathers sufficient information on the gender outcomes of the project</w:t>
            </w:r>
          </w:p>
        </w:tc>
      </w:tr>
    </w:tbl>
    <w:p w14:paraId="55B1DE64" w14:textId="77777777" w:rsidR="00DA57F0" w:rsidRPr="00117779" w:rsidRDefault="00DA57F0" w:rsidP="00DA57F0">
      <w:pPr>
        <w:spacing w:after="0" w:line="283" w:lineRule="auto"/>
        <w:ind w:right="200"/>
        <w:rPr>
          <w:rFonts w:eastAsia="Times New Roman" w:cs="Calibri"/>
          <w:szCs w:val="20"/>
        </w:rPr>
      </w:pPr>
    </w:p>
    <w:p w14:paraId="52FDEC05" w14:textId="77777777" w:rsidR="00362240" w:rsidRDefault="00362240"/>
    <w:sectPr w:rsidR="00362240" w:rsidSect="00DA57F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CEC"/>
    <w:multiLevelType w:val="hybridMultilevel"/>
    <w:tmpl w:val="5F2CA7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25835"/>
    <w:multiLevelType w:val="hybridMultilevel"/>
    <w:tmpl w:val="24F6569A"/>
    <w:lvl w:ilvl="0" w:tplc="619652CA">
      <w:numFmt w:val="bullet"/>
      <w:lvlText w:val="-"/>
      <w:lvlJc w:val="left"/>
      <w:pPr>
        <w:ind w:left="360" w:hanging="360"/>
      </w:pPr>
      <w:rPr>
        <w:rFonts w:ascii="Calibri" w:eastAsia="Calibri" w:hAnsi="Calibri" w:cs="Times New Roman"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F0"/>
    <w:rsid w:val="00362240"/>
    <w:rsid w:val="00DA57F0"/>
    <w:rsid w:val="00FC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4C91"/>
  <w15:chartTrackingRefBased/>
  <w15:docId w15:val="{DA45955E-1A54-4ECD-BDCC-310F9CF4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F0"/>
    <w:pPr>
      <w:spacing w:after="60" w:line="240" w:lineRule="auto"/>
      <w:jc w:val="both"/>
    </w:pPr>
    <w:rPr>
      <w:rFonts w:ascii="Calibri" w:eastAsia="SimSun" w:hAnsi="Calibri" w:cs="Times New Roman"/>
      <w:sz w:val="20"/>
      <w:szCs w:val="24"/>
    </w:rPr>
  </w:style>
  <w:style w:type="paragraph" w:styleId="Heading2">
    <w:name w:val="heading 2"/>
    <w:basedOn w:val="Normal"/>
    <w:next w:val="Normal"/>
    <w:link w:val="Heading2Char1"/>
    <w:qFormat/>
    <w:rsid w:val="00DA57F0"/>
    <w:pPr>
      <w:keepNext/>
      <w:ind w:left="720"/>
      <w:outlineLvl w:val="1"/>
    </w:pPr>
    <w:rPr>
      <w:rFonts w:ascii="Cambria" w:hAnsi="Cambria"/>
      <w:b/>
      <w:bCs/>
      <w:i/>
      <w:iCs/>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A57F0"/>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locked/>
    <w:rsid w:val="00DA57F0"/>
    <w:rPr>
      <w:rFonts w:ascii="Cambria" w:eastAsia="SimSun" w:hAnsi="Cambria" w:cs="Times New Roman"/>
      <w:b/>
      <w:bCs/>
      <w:i/>
      <w:iCs/>
      <w:sz w:val="28"/>
      <w:szCs w:val="2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Regional</GEFCountry>
    <Classification xmlns="ceb00776-aa5c-4fc8-b6fe-5f035152e4b6">Public</Classification>
    <Country1 xmlns="ceb00776-aa5c-4fc8-b6fe-5f035152e4b6" xsi:nil="true"/>
    <DocPrefix xmlns="ceb00776-aa5c-4fc8-b6fe-5f035152e4b6">Others</DocPrefix>
    <GEFID xmlns="ceb00776-aa5c-4fc8-b6fe-5f035152e4b6">9912</GEFID>
    <ProjectType xmlns="ceb00776-aa5c-4fc8-b6fe-5f035152e4b6">FSP</ProjectType>
    <GEFProjectID xmlns="ceb00776-aa5c-4fc8-b6fe-5f035152e4b6">69a26170-df7c-e811-8124-3863bb2e1360</GEFProjectID>
    <DocActive xmlns="ceb00776-aa5c-4fc8-b6fe-5f035152e4b6">No</DocActive>
    <DocCategory xmlns="ceb00776-aa5c-4fc8-b6fe-5f035152e4b6">Project Supporting Document</DocCategory>
    <FocalArea xmlns="ceb00776-aa5c-4fc8-b6fe-5f035152e4b6">International Waters</FocalArea>
    <DocType xmlns="ceb00776-aa5c-4fc8-b6fe-5f035152e4b6">Roadmap</DocType>
    <ProjectTitle xmlns="ceb00776-aa5c-4fc8-b6fe-5f035152e4b6">Enhancing Conjunctive Management of Surface and Groundwater Resources in Selected Transboundary Aquifers: Case Study for Selected Shared Groundwater Bodies in the Nile Basin </ProjectTitle>
    <TrustFundType xmlns="ceb00776-aa5c-4fc8-b6fe-5f035152e4b6">GET</TrustFundType>
    <TaxCatchAll xmlns="3e02667f-0271-471b-bd6e-11a2e16def1d"/>
    <DocumentTitle xmlns="ceb00776-aa5c-4fc8-b6fe-5f035152e4b6">5783_Annex F - Gender Analysis and Action plan annex</DocumentTitle>
  </documentManagement>
</p:properties>
</file>

<file path=customXml/itemProps1.xml><?xml version="1.0" encoding="utf-8"?>
<ds:datastoreItem xmlns:ds="http://schemas.openxmlformats.org/officeDocument/2006/customXml" ds:itemID="{D6A6A785-5E0A-4129-8370-DA7B3EF671CC}"/>
</file>

<file path=customXml/itemProps2.xml><?xml version="1.0" encoding="utf-8"?>
<ds:datastoreItem xmlns:ds="http://schemas.openxmlformats.org/officeDocument/2006/customXml" ds:itemID="{7CD3CEC7-573A-4EAD-9ED9-1E9AF2C0D492}"/>
</file>

<file path=customXml/itemProps3.xml><?xml version="1.0" encoding="utf-8"?>
<ds:datastoreItem xmlns:ds="http://schemas.openxmlformats.org/officeDocument/2006/customXml" ds:itemID="{92D995BB-A254-4942-86CF-0A0792A1F6B2}"/>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Seifu Kebede</dc:creator>
  <cp:keywords/>
  <dc:description/>
  <cp:lastModifiedBy>Carline Jean-Louis</cp:lastModifiedBy>
  <cp:revision>2</cp:revision>
  <dcterms:created xsi:type="dcterms:W3CDTF">2019-05-29T21:12:00Z</dcterms:created>
  <dcterms:modified xsi:type="dcterms:W3CDTF">2019-05-29T21:12:00Z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