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CA53" w14:textId="4203CEEC" w:rsidR="008305FD" w:rsidRPr="00336657" w:rsidRDefault="008305FD" w:rsidP="00ED10A4">
      <w:pPr>
        <w:pStyle w:val="Newpage"/>
        <w:tabs>
          <w:tab w:val="clear" w:pos="1440"/>
          <w:tab w:val="clear" w:pos="3060"/>
        </w:tabs>
        <w:spacing w:before="0"/>
        <w:rPr>
          <w:rFonts w:ascii="ArialMT" w:hAnsi="ArialMT"/>
          <w:bCs/>
          <w:sz w:val="28"/>
          <w:szCs w:val="28"/>
        </w:rPr>
      </w:pPr>
      <w:r w:rsidRPr="00336657">
        <w:rPr>
          <w:rFonts w:ascii="ArialMT" w:hAnsi="ArialMT"/>
          <w:bCs/>
          <w:sz w:val="28"/>
          <w:szCs w:val="28"/>
        </w:rPr>
        <w:t>Project Implementation Report (PIR)</w:t>
      </w:r>
    </w:p>
    <w:p w14:paraId="6A35BFEC" w14:textId="0CDABE63" w:rsidR="008305FD" w:rsidRPr="00336657" w:rsidRDefault="008305FD" w:rsidP="00ED10A4">
      <w:pPr>
        <w:pStyle w:val="Newpage"/>
        <w:tabs>
          <w:tab w:val="clear" w:pos="1440"/>
          <w:tab w:val="clear" w:pos="3060"/>
        </w:tabs>
        <w:spacing w:before="0"/>
        <w:rPr>
          <w:rFonts w:ascii="ArialMT" w:hAnsi="ArialMT"/>
          <w:bCs/>
          <w:sz w:val="28"/>
          <w:szCs w:val="28"/>
        </w:rPr>
      </w:pPr>
      <w:r w:rsidRPr="00336657">
        <w:rPr>
          <w:rFonts w:ascii="ArialMT" w:hAnsi="ArialMT"/>
          <w:bCs/>
          <w:sz w:val="28"/>
          <w:szCs w:val="28"/>
        </w:rPr>
        <w:t>FY</w:t>
      </w:r>
      <w:r w:rsidR="00D67C8D" w:rsidRPr="00336657">
        <w:rPr>
          <w:rFonts w:ascii="ArialMT" w:hAnsi="ArialMT"/>
          <w:bCs/>
          <w:sz w:val="28"/>
          <w:szCs w:val="28"/>
        </w:rPr>
        <w:t xml:space="preserve"> 20</w:t>
      </w:r>
      <w:r w:rsidR="008421E0" w:rsidRPr="00336657">
        <w:rPr>
          <w:rFonts w:ascii="ArialMT" w:hAnsi="ArialMT"/>
          <w:bCs/>
          <w:sz w:val="28"/>
          <w:szCs w:val="28"/>
        </w:rPr>
        <w:t>2</w:t>
      </w:r>
      <w:r w:rsidR="00667273" w:rsidRPr="00336657">
        <w:rPr>
          <w:rFonts w:ascii="ArialMT" w:hAnsi="ArialMT"/>
          <w:bCs/>
          <w:sz w:val="28"/>
          <w:szCs w:val="28"/>
        </w:rPr>
        <w:t>1</w:t>
      </w:r>
    </w:p>
    <w:p w14:paraId="2B109E8C" w14:textId="77777777" w:rsidR="008305FD" w:rsidRPr="00336657" w:rsidRDefault="008305FD" w:rsidP="00ED10A4">
      <w:pPr>
        <w:pStyle w:val="Newpage"/>
        <w:tabs>
          <w:tab w:val="clear" w:pos="1440"/>
          <w:tab w:val="clear" w:pos="3060"/>
        </w:tabs>
        <w:spacing w:before="0"/>
        <w:rPr>
          <w:rFonts w:ascii="ArialMT" w:hAnsi="ArialMT"/>
          <w:bCs/>
          <w:sz w:val="28"/>
          <w:szCs w:val="28"/>
        </w:rPr>
      </w:pPr>
    </w:p>
    <w:p w14:paraId="379F2439" w14:textId="0C437ACA" w:rsidR="008305FD" w:rsidRPr="00336657" w:rsidRDefault="008305FD" w:rsidP="00ED10A4">
      <w:pPr>
        <w:pStyle w:val="Newpage"/>
        <w:tabs>
          <w:tab w:val="clear" w:pos="1440"/>
          <w:tab w:val="clear" w:pos="3060"/>
        </w:tabs>
        <w:spacing w:before="0"/>
        <w:rPr>
          <w:rFonts w:ascii="ArialMT" w:hAnsi="ArialMT"/>
          <w:bCs/>
          <w:szCs w:val="24"/>
        </w:rPr>
      </w:pPr>
      <w:r w:rsidRPr="00336657">
        <w:rPr>
          <w:rFonts w:ascii="ArialMT" w:hAnsi="ArialMT"/>
          <w:bCs/>
          <w:szCs w:val="24"/>
        </w:rPr>
        <w:t xml:space="preserve">GEF </w:t>
      </w:r>
      <w:r w:rsidR="00B041EF" w:rsidRPr="00336657">
        <w:rPr>
          <w:rFonts w:ascii="ArialMT" w:hAnsi="ArialMT"/>
          <w:bCs/>
          <w:szCs w:val="24"/>
        </w:rPr>
        <w:t>-</w:t>
      </w:r>
      <w:r w:rsidRPr="00336657">
        <w:rPr>
          <w:rFonts w:ascii="ArialMT" w:hAnsi="ArialMT"/>
          <w:bCs/>
          <w:szCs w:val="24"/>
        </w:rPr>
        <w:t xml:space="preserve"> IDB</w:t>
      </w:r>
    </w:p>
    <w:p w14:paraId="5CA55FBF" w14:textId="192741D0" w:rsidR="00D54171" w:rsidRPr="00336657" w:rsidRDefault="00D54171" w:rsidP="00ED10A4">
      <w:pPr>
        <w:pStyle w:val="Newpage"/>
        <w:tabs>
          <w:tab w:val="clear" w:pos="1440"/>
          <w:tab w:val="clear" w:pos="3060"/>
        </w:tabs>
        <w:spacing w:before="0"/>
        <w:rPr>
          <w:rFonts w:ascii="ArialMT" w:hAnsi="ArialMT"/>
          <w:bCs/>
          <w:sz w:val="22"/>
          <w:szCs w:val="22"/>
        </w:rPr>
      </w:pPr>
      <w:r w:rsidRPr="00336657">
        <w:rPr>
          <w:rFonts w:ascii="ArialMT" w:hAnsi="ArialMT"/>
          <w:bCs/>
          <w:sz w:val="22"/>
          <w:szCs w:val="22"/>
        </w:rPr>
        <w:t>PIR</w:t>
      </w:r>
      <w:r w:rsidR="00B041EF" w:rsidRPr="00336657">
        <w:rPr>
          <w:rFonts w:ascii="ArialMT" w:hAnsi="ArialMT"/>
          <w:bCs/>
          <w:sz w:val="22"/>
          <w:szCs w:val="22"/>
        </w:rPr>
        <w:t xml:space="preserve"> #</w:t>
      </w:r>
      <w:r w:rsidR="0094100D" w:rsidRPr="00336657">
        <w:rPr>
          <w:rFonts w:ascii="ArialMT" w:hAnsi="ArialMT"/>
          <w:bCs/>
          <w:sz w:val="22"/>
          <w:szCs w:val="22"/>
        </w:rPr>
        <w:t xml:space="preserve"> 3</w:t>
      </w:r>
    </w:p>
    <w:p w14:paraId="459D1793" w14:textId="77777777" w:rsidR="002917CB" w:rsidRPr="00336657" w:rsidRDefault="002917CB" w:rsidP="008305FD">
      <w:pPr>
        <w:pStyle w:val="Newpage"/>
        <w:tabs>
          <w:tab w:val="clear" w:pos="3060"/>
          <w:tab w:val="left" w:pos="2995"/>
          <w:tab w:val="left" w:pos="4680"/>
          <w:tab w:val="left" w:pos="5155"/>
          <w:tab w:val="left" w:pos="7675"/>
          <w:tab w:val="left" w:pos="10555"/>
        </w:tabs>
        <w:spacing w:before="0"/>
        <w:rPr>
          <w:rFonts w:ascii="ArialMT" w:hAnsi="ArialMT"/>
          <w:bCs/>
        </w:rPr>
      </w:pPr>
    </w:p>
    <w:p w14:paraId="5C6888F3" w14:textId="3930DED5" w:rsidR="006D569D" w:rsidRPr="00336657" w:rsidRDefault="0083476F" w:rsidP="00F45968">
      <w:pPr>
        <w:tabs>
          <w:tab w:val="left" w:pos="8565"/>
        </w:tabs>
        <w:spacing w:after="0"/>
        <w:jc w:val="center"/>
        <w:rPr>
          <w:rFonts w:ascii="ArialMT" w:hAnsi="ArialMT"/>
          <w:b/>
          <w:sz w:val="18"/>
          <w:szCs w:val="18"/>
        </w:rPr>
      </w:pPr>
      <w:r w:rsidRPr="00336657">
        <w:rPr>
          <w:rFonts w:ascii="ArialMT" w:hAnsi="ArialMT"/>
          <w:b/>
          <w:sz w:val="18"/>
          <w:szCs w:val="18"/>
        </w:rPr>
        <w:t>IMPORTANT: The repo</w:t>
      </w:r>
      <w:r w:rsidR="00640F3C" w:rsidRPr="00336657">
        <w:rPr>
          <w:rFonts w:ascii="ArialMT" w:hAnsi="ArialMT"/>
          <w:b/>
          <w:sz w:val="18"/>
          <w:szCs w:val="18"/>
        </w:rPr>
        <w:t>rting period is GEF Fiscal Year (July 1</w:t>
      </w:r>
      <w:r w:rsidR="006D765A" w:rsidRPr="00336657">
        <w:rPr>
          <w:rFonts w:ascii="ArialMT" w:hAnsi="ArialMT"/>
          <w:b/>
          <w:sz w:val="18"/>
          <w:szCs w:val="18"/>
          <w:vertAlign w:val="superscript"/>
        </w:rPr>
        <w:t>st</w:t>
      </w:r>
      <w:r w:rsidR="00EF5957" w:rsidRPr="00336657">
        <w:rPr>
          <w:rFonts w:ascii="ArialMT" w:hAnsi="ArialMT"/>
          <w:b/>
          <w:sz w:val="18"/>
          <w:szCs w:val="18"/>
        </w:rPr>
        <w:t>,</w:t>
      </w:r>
      <w:r w:rsidR="00640F3C" w:rsidRPr="00336657">
        <w:rPr>
          <w:rFonts w:ascii="ArialMT" w:hAnsi="ArialMT"/>
          <w:b/>
          <w:sz w:val="18"/>
          <w:szCs w:val="18"/>
        </w:rPr>
        <w:t xml:space="preserve"> </w:t>
      </w:r>
      <w:proofErr w:type="gramStart"/>
      <w:r w:rsidR="00DA2EA5" w:rsidRPr="00336657">
        <w:rPr>
          <w:rFonts w:ascii="ArialMT" w:hAnsi="ArialMT"/>
          <w:b/>
          <w:sz w:val="18"/>
          <w:szCs w:val="18"/>
        </w:rPr>
        <w:t>20</w:t>
      </w:r>
      <w:r w:rsidR="00DA07EB" w:rsidRPr="00336657">
        <w:rPr>
          <w:rFonts w:ascii="ArialMT" w:hAnsi="ArialMT"/>
          <w:b/>
          <w:sz w:val="18"/>
          <w:szCs w:val="18"/>
        </w:rPr>
        <w:t>20</w:t>
      </w:r>
      <w:proofErr w:type="gramEnd"/>
      <w:r w:rsidR="00EF5957" w:rsidRPr="00336657">
        <w:rPr>
          <w:rFonts w:ascii="ArialMT" w:hAnsi="ArialMT"/>
          <w:b/>
          <w:sz w:val="18"/>
          <w:szCs w:val="18"/>
        </w:rPr>
        <w:t xml:space="preserve"> </w:t>
      </w:r>
      <w:r w:rsidR="00640F3C" w:rsidRPr="00336657">
        <w:rPr>
          <w:rFonts w:ascii="ArialMT" w:hAnsi="ArialMT"/>
          <w:b/>
          <w:sz w:val="18"/>
          <w:szCs w:val="18"/>
        </w:rPr>
        <w:t>to June 30</w:t>
      </w:r>
      <w:r w:rsidR="006D765A" w:rsidRPr="00336657">
        <w:rPr>
          <w:rFonts w:ascii="ArialMT" w:hAnsi="ArialMT"/>
          <w:b/>
          <w:sz w:val="18"/>
          <w:szCs w:val="18"/>
          <w:vertAlign w:val="superscript"/>
        </w:rPr>
        <w:t>th</w:t>
      </w:r>
      <w:r w:rsidR="00DA2EA5" w:rsidRPr="00336657">
        <w:rPr>
          <w:rFonts w:ascii="ArialMT" w:hAnsi="ArialMT"/>
          <w:b/>
          <w:sz w:val="18"/>
          <w:szCs w:val="18"/>
        </w:rPr>
        <w:t>, 20</w:t>
      </w:r>
      <w:r w:rsidR="008421E0" w:rsidRPr="00336657">
        <w:rPr>
          <w:rFonts w:ascii="ArialMT" w:hAnsi="ArialMT"/>
          <w:b/>
          <w:sz w:val="18"/>
          <w:szCs w:val="18"/>
        </w:rPr>
        <w:t>2</w:t>
      </w:r>
      <w:r w:rsidR="00DA07EB" w:rsidRPr="00336657">
        <w:rPr>
          <w:rFonts w:ascii="ArialMT" w:hAnsi="ArialMT"/>
          <w:b/>
          <w:sz w:val="18"/>
          <w:szCs w:val="18"/>
        </w:rPr>
        <w:t>1</w:t>
      </w:r>
      <w:r w:rsidRPr="00336657">
        <w:rPr>
          <w:rFonts w:ascii="ArialMT" w:hAnsi="ArialMT"/>
          <w:b/>
          <w:sz w:val="18"/>
          <w:szCs w:val="18"/>
        </w:rPr>
        <w:t>)</w:t>
      </w:r>
    </w:p>
    <w:p w14:paraId="7EC349FB" w14:textId="77777777" w:rsidR="006D569D" w:rsidRPr="00336657" w:rsidRDefault="006D569D" w:rsidP="008305FD">
      <w:pPr>
        <w:spacing w:after="0"/>
        <w:rPr>
          <w:rFonts w:ascii="ArialMT" w:hAnsi="ArialMT"/>
          <w:b/>
          <w:bCs/>
          <w:highlight w:val="yellow"/>
        </w:rPr>
      </w:pPr>
    </w:p>
    <w:tbl>
      <w:tblPr>
        <w:tblStyle w:val="TableGrid"/>
        <w:tblW w:w="0" w:type="auto"/>
        <w:tblLook w:val="04A0" w:firstRow="1" w:lastRow="0" w:firstColumn="1" w:lastColumn="0" w:noHBand="0" w:noVBand="1"/>
      </w:tblPr>
      <w:tblGrid>
        <w:gridCol w:w="2065"/>
        <w:gridCol w:w="1170"/>
        <w:gridCol w:w="1800"/>
        <w:gridCol w:w="1440"/>
        <w:gridCol w:w="1890"/>
        <w:gridCol w:w="1980"/>
        <w:gridCol w:w="4045"/>
      </w:tblGrid>
      <w:tr w:rsidR="00B93DFA" w:rsidRPr="00336657" w14:paraId="1D6BC824" w14:textId="77777777" w:rsidTr="00F667BB">
        <w:tc>
          <w:tcPr>
            <w:tcW w:w="1439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4535EE1" w14:textId="03987855" w:rsidR="00B93DFA" w:rsidRPr="00336657" w:rsidRDefault="001B0453" w:rsidP="008305FD">
            <w:pPr>
              <w:rPr>
                <w:rFonts w:ascii="ArialMT" w:hAnsi="ArialMT"/>
                <w:sz w:val="18"/>
                <w:szCs w:val="18"/>
              </w:rPr>
            </w:pPr>
            <w:r w:rsidRPr="00336657">
              <w:rPr>
                <w:rFonts w:ascii="ArialMT" w:hAnsi="ArialMT" w:cs="Arial-BoldMT"/>
                <w:b/>
                <w:bCs/>
                <w:color w:val="000066"/>
                <w:sz w:val="18"/>
                <w:szCs w:val="18"/>
              </w:rPr>
              <w:t>PROJECT GENERAL INFORMATION</w:t>
            </w:r>
          </w:p>
        </w:tc>
      </w:tr>
      <w:tr w:rsidR="00396FE1" w:rsidRPr="00336657" w14:paraId="46CADED7" w14:textId="77777777" w:rsidTr="00580589">
        <w:tc>
          <w:tcPr>
            <w:tcW w:w="14390" w:type="dxa"/>
            <w:gridSpan w:val="7"/>
            <w:tcBorders>
              <w:top w:val="single" w:sz="4" w:space="0" w:color="D9D9D9" w:themeColor="background1" w:themeShade="D9"/>
              <w:left w:val="nil"/>
              <w:bottom w:val="single" w:sz="4" w:space="0" w:color="D9D9D9" w:themeColor="background1" w:themeShade="D9"/>
              <w:right w:val="nil"/>
            </w:tcBorders>
          </w:tcPr>
          <w:p w14:paraId="4F107E52" w14:textId="77777777" w:rsidR="00396FE1" w:rsidRPr="00336657" w:rsidRDefault="00396FE1" w:rsidP="00D77BDC">
            <w:pPr>
              <w:rPr>
                <w:rFonts w:ascii="ArialMT" w:hAnsi="ArialMT"/>
                <w:sz w:val="18"/>
                <w:szCs w:val="18"/>
              </w:rPr>
            </w:pPr>
          </w:p>
        </w:tc>
      </w:tr>
      <w:tr w:rsidR="007E1865" w:rsidRPr="00336657" w14:paraId="4BF5308D" w14:textId="77777777" w:rsidTr="00241741">
        <w:tc>
          <w:tcPr>
            <w:tcW w:w="20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E9BDDB" w14:textId="183ED3F6" w:rsidR="007E1865" w:rsidRPr="00336657" w:rsidRDefault="007E1865" w:rsidP="00691227">
            <w:pPr>
              <w:spacing w:before="80" w:after="80"/>
              <w:rPr>
                <w:rFonts w:ascii="ArialMT" w:hAnsi="ArialMT" w:cs="Arial-BoldMT"/>
                <w:b/>
                <w:bCs/>
                <w:color w:val="222222"/>
                <w:sz w:val="20"/>
                <w:szCs w:val="20"/>
              </w:rPr>
            </w:pPr>
            <w:r w:rsidRPr="00336657">
              <w:rPr>
                <w:rFonts w:ascii="ArialMT" w:hAnsi="ArialMT" w:cs="Arial-BoldMT"/>
                <w:b/>
                <w:bCs/>
                <w:color w:val="222222"/>
                <w:sz w:val="20"/>
                <w:szCs w:val="20"/>
              </w:rPr>
              <w:t>Project Name:</w:t>
            </w:r>
          </w:p>
        </w:tc>
        <w:tc>
          <w:tcPr>
            <w:tcW w:w="1232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4E17D6" w14:textId="51736AE6" w:rsidR="007E1865" w:rsidRPr="00336657" w:rsidRDefault="00241D51" w:rsidP="00691227">
            <w:pPr>
              <w:spacing w:before="80" w:after="80"/>
              <w:rPr>
                <w:rFonts w:ascii="ArialMT" w:hAnsi="ArialMT" w:cs="ArialMT"/>
                <w:color w:val="222222"/>
                <w:sz w:val="20"/>
                <w:szCs w:val="20"/>
              </w:rPr>
            </w:pPr>
            <w:r w:rsidRPr="00336657">
              <w:rPr>
                <w:rFonts w:ascii="ArialMT" w:hAnsi="ArialMT" w:cs="ArialMT"/>
                <w:color w:val="222222"/>
                <w:sz w:val="20"/>
                <w:szCs w:val="20"/>
              </w:rPr>
              <w:t>Capacity Building and Institutional Strengthening on the National Framework for Access and Benefit Sharing under the Nagoya Protocol</w:t>
            </w:r>
          </w:p>
        </w:tc>
      </w:tr>
      <w:tr w:rsidR="00B22FB1" w:rsidRPr="00336657" w14:paraId="3FEEFBB8" w14:textId="77777777" w:rsidTr="007E51EA">
        <w:tc>
          <w:tcPr>
            <w:tcW w:w="20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5479D3" w14:textId="4D837A3C" w:rsidR="00B22FB1" w:rsidRPr="00336657" w:rsidRDefault="00B22FB1" w:rsidP="00691227">
            <w:pPr>
              <w:spacing w:before="80" w:after="80"/>
              <w:rPr>
                <w:rFonts w:ascii="ArialMT" w:hAnsi="ArialMT" w:cs="Arial-BoldMT"/>
                <w:b/>
                <w:bCs/>
                <w:color w:val="222222"/>
                <w:sz w:val="20"/>
                <w:szCs w:val="20"/>
              </w:rPr>
            </w:pPr>
            <w:r w:rsidRPr="00336657">
              <w:rPr>
                <w:rFonts w:ascii="ArialMT" w:hAnsi="ArialMT" w:cs="Arial-BoldMT"/>
                <w:b/>
                <w:bCs/>
                <w:color w:val="222222"/>
                <w:sz w:val="20"/>
                <w:szCs w:val="20"/>
              </w:rPr>
              <w:t>Project’s GEF ID:</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D25D01" w14:textId="231F787C" w:rsidR="00B22FB1" w:rsidRPr="00336657" w:rsidRDefault="00241D51" w:rsidP="00691227">
            <w:pPr>
              <w:spacing w:before="80" w:after="80"/>
              <w:rPr>
                <w:rFonts w:ascii="ArialMT" w:hAnsi="ArialMT"/>
                <w:sz w:val="20"/>
                <w:szCs w:val="20"/>
              </w:rPr>
            </w:pPr>
            <w:r w:rsidRPr="00336657">
              <w:rPr>
                <w:rFonts w:ascii="ArialMT" w:hAnsi="ArialMT" w:cs="ArialMT"/>
                <w:color w:val="222222"/>
                <w:sz w:val="20"/>
                <w:szCs w:val="20"/>
              </w:rPr>
              <w:t>5760</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46E8E5" w14:textId="52978787" w:rsidR="00B22FB1" w:rsidRPr="00336657" w:rsidRDefault="00B22FB1" w:rsidP="00691227">
            <w:pPr>
              <w:spacing w:before="80" w:after="80"/>
              <w:rPr>
                <w:rFonts w:ascii="ArialMT" w:hAnsi="ArialMT" w:cs="Arial-BoldMT"/>
                <w:b/>
                <w:bCs/>
                <w:color w:val="222222"/>
                <w:sz w:val="20"/>
                <w:szCs w:val="20"/>
              </w:rPr>
            </w:pPr>
            <w:r w:rsidRPr="00336657">
              <w:rPr>
                <w:rFonts w:ascii="ArialMT" w:hAnsi="ArialMT" w:cs="Arial-BoldMT"/>
                <w:b/>
                <w:bCs/>
                <w:color w:val="222222"/>
                <w:sz w:val="20"/>
                <w:szCs w:val="20"/>
              </w:rPr>
              <w:t>Project’s IDB ID: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618B02" w14:textId="1123BF30" w:rsidR="00B22FB1" w:rsidRPr="00336657" w:rsidRDefault="002D1D71" w:rsidP="00691227">
            <w:pPr>
              <w:spacing w:before="80" w:after="80"/>
              <w:rPr>
                <w:rFonts w:ascii="ArialMT" w:hAnsi="ArialMT"/>
                <w:sz w:val="20"/>
                <w:szCs w:val="20"/>
              </w:rPr>
            </w:pPr>
            <w:r w:rsidRPr="00336657">
              <w:rPr>
                <w:rFonts w:ascii="ArialMT" w:hAnsi="ArialMT" w:cs="ArialMT"/>
                <w:color w:val="222222"/>
                <w:sz w:val="20"/>
                <w:szCs w:val="20"/>
              </w:rPr>
              <w:t>BR-T1304</w:t>
            </w:r>
          </w:p>
        </w:tc>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1EA231" w14:textId="1A3735C4" w:rsidR="00B22FB1" w:rsidRPr="00336657" w:rsidRDefault="00B22FB1" w:rsidP="00691227">
            <w:pPr>
              <w:spacing w:before="80" w:after="80"/>
              <w:rPr>
                <w:rFonts w:ascii="ArialMT" w:hAnsi="ArialMT"/>
                <w:sz w:val="20"/>
                <w:szCs w:val="20"/>
              </w:rPr>
            </w:pPr>
            <w:r w:rsidRPr="00336657">
              <w:rPr>
                <w:rFonts w:ascii="ArialMT" w:hAnsi="ArialMT" w:cs="Arial-BoldMT"/>
                <w:b/>
                <w:bCs/>
                <w:color w:val="222222"/>
                <w:sz w:val="20"/>
                <w:szCs w:val="20"/>
              </w:rPr>
              <w:t>Overall Stage:</w:t>
            </w:r>
          </w:p>
        </w:tc>
        <w:tc>
          <w:tcPr>
            <w:tcW w:w="60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41232B" w14:textId="1603B086" w:rsidR="00B22FB1" w:rsidRPr="00336657" w:rsidRDefault="002D1D71" w:rsidP="00691227">
            <w:pPr>
              <w:spacing w:before="80" w:after="80"/>
              <w:rPr>
                <w:rFonts w:ascii="ArialMT" w:hAnsi="ArialMT" w:cs="ArialMT"/>
                <w:color w:val="222222"/>
                <w:sz w:val="20"/>
                <w:szCs w:val="20"/>
              </w:rPr>
            </w:pPr>
            <w:r w:rsidRPr="00336657">
              <w:rPr>
                <w:rFonts w:ascii="ArialMT" w:hAnsi="ArialMT" w:cs="ArialMT"/>
                <w:color w:val="222222"/>
                <w:sz w:val="20"/>
                <w:szCs w:val="20"/>
              </w:rPr>
              <w:t>Disbursing (From eligibility until all the Operations are closed)</w:t>
            </w:r>
          </w:p>
        </w:tc>
      </w:tr>
      <w:tr w:rsidR="00196B8E" w:rsidRPr="00336657" w14:paraId="25159914" w14:textId="77777777" w:rsidTr="00241741">
        <w:tc>
          <w:tcPr>
            <w:tcW w:w="20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09EF0" w14:textId="6E56B7AB" w:rsidR="00196B8E" w:rsidRPr="00336657" w:rsidRDefault="00196B8E" w:rsidP="00691227">
            <w:pPr>
              <w:spacing w:before="80" w:after="80"/>
              <w:rPr>
                <w:rFonts w:ascii="ArialMT" w:hAnsi="ArialMT"/>
                <w:b/>
                <w:sz w:val="20"/>
                <w:szCs w:val="20"/>
              </w:rPr>
            </w:pPr>
            <w:r w:rsidRPr="00336657">
              <w:rPr>
                <w:rFonts w:ascii="ArialMT" w:hAnsi="ArialMT" w:cs="Arial-BoldMT"/>
                <w:b/>
                <w:bCs/>
                <w:color w:val="222222"/>
                <w:sz w:val="20"/>
                <w:szCs w:val="20"/>
              </w:rPr>
              <w:t>Country/ies:</w:t>
            </w:r>
          </w:p>
        </w:tc>
        <w:tc>
          <w:tcPr>
            <w:tcW w:w="1232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B4BF25" w14:textId="29211E6F" w:rsidR="00196B8E" w:rsidRPr="00336657" w:rsidRDefault="002D1D71" w:rsidP="00691227">
            <w:pPr>
              <w:spacing w:before="80" w:after="80"/>
              <w:rPr>
                <w:rFonts w:ascii="ArialMT" w:hAnsi="ArialMT"/>
                <w:sz w:val="20"/>
                <w:szCs w:val="20"/>
              </w:rPr>
            </w:pPr>
            <w:r w:rsidRPr="00336657">
              <w:rPr>
                <w:rFonts w:ascii="ArialMT" w:hAnsi="ArialMT" w:cs="ArialMT"/>
                <w:color w:val="222222"/>
                <w:sz w:val="20"/>
                <w:szCs w:val="20"/>
              </w:rPr>
              <w:t>Brazil</w:t>
            </w:r>
          </w:p>
        </w:tc>
      </w:tr>
      <w:tr w:rsidR="00196B8E" w:rsidRPr="00336657" w14:paraId="2158B1C8" w14:textId="77777777" w:rsidTr="00241741">
        <w:tc>
          <w:tcPr>
            <w:tcW w:w="20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6E9E7F" w14:textId="0B405980" w:rsidR="00196B8E" w:rsidRPr="00336657" w:rsidRDefault="00196B8E" w:rsidP="00691227">
            <w:pPr>
              <w:spacing w:before="80" w:after="80"/>
              <w:rPr>
                <w:rFonts w:ascii="ArialMT" w:hAnsi="ArialMT" w:cs="Arial-BoldMT"/>
                <w:b/>
                <w:bCs/>
                <w:color w:val="222222"/>
                <w:sz w:val="20"/>
                <w:szCs w:val="20"/>
              </w:rPr>
            </w:pPr>
            <w:r w:rsidRPr="00336657">
              <w:rPr>
                <w:rFonts w:ascii="ArialMT" w:hAnsi="ArialMT" w:cs="Arial-BoldMT"/>
                <w:b/>
                <w:bCs/>
                <w:color w:val="222222"/>
                <w:sz w:val="20"/>
                <w:szCs w:val="20"/>
              </w:rPr>
              <w:t>GEF Focal Area:</w:t>
            </w:r>
          </w:p>
        </w:tc>
        <w:tc>
          <w:tcPr>
            <w:tcW w:w="1232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E0C7AB" w14:textId="1BA8B148" w:rsidR="00196B8E" w:rsidRPr="00336657" w:rsidRDefault="002C20F3" w:rsidP="00691227">
            <w:pPr>
              <w:spacing w:before="80" w:after="80"/>
              <w:rPr>
                <w:rFonts w:ascii="ArialMT" w:hAnsi="ArialMT"/>
                <w:sz w:val="20"/>
                <w:szCs w:val="20"/>
              </w:rPr>
            </w:pPr>
            <w:r w:rsidRPr="00336657">
              <w:rPr>
                <w:rFonts w:ascii="ArialMT" w:hAnsi="ArialMT" w:cs="ArialMT"/>
                <w:color w:val="222222"/>
                <w:sz w:val="20"/>
                <w:szCs w:val="20"/>
              </w:rPr>
              <w:t>Biodiversity</w:t>
            </w:r>
          </w:p>
        </w:tc>
      </w:tr>
      <w:tr w:rsidR="00196B8E" w:rsidRPr="00336657" w14:paraId="44E4270C" w14:textId="77777777" w:rsidTr="00241741">
        <w:tc>
          <w:tcPr>
            <w:tcW w:w="20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A5AFB1" w14:textId="1B595372" w:rsidR="00196B8E" w:rsidRPr="00336657" w:rsidRDefault="00196B8E" w:rsidP="00691227">
            <w:pPr>
              <w:spacing w:before="80" w:after="80"/>
              <w:rPr>
                <w:rFonts w:ascii="ArialMT" w:hAnsi="ArialMT" w:cs="Arial-BoldMT"/>
                <w:b/>
                <w:bCs/>
                <w:color w:val="222222"/>
                <w:sz w:val="20"/>
                <w:szCs w:val="20"/>
              </w:rPr>
            </w:pPr>
            <w:r w:rsidRPr="00336657">
              <w:rPr>
                <w:rFonts w:ascii="ArialMT" w:hAnsi="ArialMT" w:cs="Arial-BoldMT"/>
                <w:b/>
                <w:bCs/>
                <w:color w:val="222222"/>
                <w:sz w:val="20"/>
                <w:szCs w:val="20"/>
              </w:rPr>
              <w:t>Executing Agency:</w:t>
            </w:r>
          </w:p>
        </w:tc>
        <w:tc>
          <w:tcPr>
            <w:tcW w:w="1232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09B150" w14:textId="35A9ABEC" w:rsidR="00196B8E" w:rsidRPr="00336657" w:rsidRDefault="002C20F3" w:rsidP="00691227">
            <w:pPr>
              <w:autoSpaceDE w:val="0"/>
              <w:autoSpaceDN w:val="0"/>
              <w:adjustRightInd w:val="0"/>
              <w:spacing w:before="80" w:after="80"/>
              <w:rPr>
                <w:rFonts w:ascii="ArialMT" w:hAnsi="ArialMT"/>
                <w:sz w:val="20"/>
                <w:szCs w:val="20"/>
              </w:rPr>
            </w:pPr>
            <w:r w:rsidRPr="00336657">
              <w:rPr>
                <w:rFonts w:ascii="ArialMT" w:hAnsi="ArialMT" w:cs="ArialMT"/>
                <w:color w:val="222222"/>
                <w:sz w:val="20"/>
                <w:szCs w:val="20"/>
              </w:rPr>
              <w:t>UNITED NATIONS DEVELOPMENT PROGRAM</w:t>
            </w:r>
          </w:p>
        </w:tc>
      </w:tr>
      <w:tr w:rsidR="00D32544" w:rsidRPr="00336657" w14:paraId="4A560C97" w14:textId="77777777" w:rsidTr="007E51EA">
        <w:tc>
          <w:tcPr>
            <w:tcW w:w="20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A6FDBA" w14:textId="7FCE5E66" w:rsidR="00D32544" w:rsidRPr="00336657" w:rsidRDefault="00D32544" w:rsidP="00691227">
            <w:pPr>
              <w:spacing w:before="80" w:after="80"/>
              <w:rPr>
                <w:rFonts w:ascii="ArialMT" w:hAnsi="ArialMT" w:cs="Arial-BoldMT"/>
                <w:b/>
                <w:bCs/>
                <w:color w:val="222222"/>
                <w:sz w:val="20"/>
                <w:szCs w:val="20"/>
              </w:rPr>
            </w:pPr>
            <w:r w:rsidRPr="00336657">
              <w:rPr>
                <w:rFonts w:ascii="ArialMT" w:hAnsi="ArialMT" w:cs="Arial-BoldMT"/>
                <w:b/>
                <w:bCs/>
                <w:color w:val="222222"/>
                <w:sz w:val="20"/>
                <w:szCs w:val="20"/>
              </w:rPr>
              <w:t>Project Finance:</w:t>
            </w: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6097B1" w14:textId="71400C65" w:rsidR="00D32544" w:rsidRPr="00336657" w:rsidRDefault="00596785" w:rsidP="00691227">
            <w:pPr>
              <w:spacing w:before="80" w:after="80"/>
              <w:rPr>
                <w:rFonts w:ascii="ArialMT" w:hAnsi="ArialMT"/>
                <w:sz w:val="20"/>
                <w:szCs w:val="20"/>
              </w:rPr>
            </w:pPr>
            <w:r w:rsidRPr="00336657">
              <w:rPr>
                <w:rFonts w:ascii="ArialMT" w:hAnsi="ArialMT" w:cs="ArialMT"/>
                <w:color w:val="222222"/>
                <w:sz w:val="20"/>
                <w:szCs w:val="20"/>
              </w:rPr>
              <w:t>Total disbursements of GEF Grant resources as of end of June 30th, 2021 (cumulative)</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58D7A7" w14:textId="4AE76E3E" w:rsidR="00D32544" w:rsidRPr="00336657" w:rsidRDefault="002E06AE" w:rsidP="00691227">
            <w:pPr>
              <w:spacing w:before="80" w:after="80"/>
              <w:rPr>
                <w:rFonts w:ascii="ArialMT" w:hAnsi="ArialMT"/>
                <w:sz w:val="20"/>
                <w:szCs w:val="20"/>
              </w:rPr>
            </w:pPr>
            <w:r w:rsidRPr="00336657">
              <w:rPr>
                <w:rFonts w:ascii="ArialMT" w:hAnsi="ArialMT"/>
                <w:sz w:val="20"/>
                <w:szCs w:val="20"/>
              </w:rPr>
              <w:t>US</w:t>
            </w:r>
            <w:r w:rsidR="008E7803" w:rsidRPr="00336657">
              <w:rPr>
                <w:rFonts w:ascii="ArialMT" w:hAnsi="ArialMT" w:cs="ArialMT"/>
                <w:color w:val="222222"/>
                <w:sz w:val="20"/>
                <w:szCs w:val="20"/>
              </w:rPr>
              <w:t>$</w:t>
            </w:r>
            <w:r w:rsidR="0094100D" w:rsidRPr="00336657">
              <w:rPr>
                <w:rFonts w:ascii="ArialMT" w:hAnsi="ArialMT" w:cs="ArialMT"/>
                <w:color w:val="222222"/>
                <w:sz w:val="20"/>
                <w:szCs w:val="20"/>
              </w:rPr>
              <w:t>1,340,403.05</w:t>
            </w:r>
          </w:p>
        </w:tc>
      </w:tr>
      <w:tr w:rsidR="008D52EA" w:rsidRPr="00336657" w14:paraId="7B745AD1" w14:textId="77777777" w:rsidTr="007E51EA">
        <w:tc>
          <w:tcPr>
            <w:tcW w:w="206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FBAE51" w14:textId="24780E1E" w:rsidR="008D52EA" w:rsidRPr="00336657" w:rsidRDefault="008D52EA" w:rsidP="00691227">
            <w:pPr>
              <w:spacing w:before="80" w:after="80"/>
              <w:rPr>
                <w:rFonts w:ascii="ArialMT" w:hAnsi="ArialMT" w:cs="Arial-BoldMT"/>
                <w:b/>
                <w:bCs/>
                <w:color w:val="222222"/>
                <w:sz w:val="20"/>
                <w:szCs w:val="20"/>
              </w:rPr>
            </w:pPr>
            <w:r w:rsidRPr="00336657">
              <w:rPr>
                <w:rFonts w:ascii="ArialMT" w:hAnsi="ArialMT" w:cs="Arial-BoldMT"/>
                <w:b/>
                <w:bCs/>
                <w:color w:val="222222"/>
                <w:sz w:val="20"/>
                <w:szCs w:val="20"/>
              </w:rPr>
              <w:t>Project Dates:</w:t>
            </w: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5B4147" w14:textId="0588A68E" w:rsidR="008D52EA" w:rsidRPr="00336657" w:rsidRDefault="008D52EA" w:rsidP="00691227">
            <w:pPr>
              <w:spacing w:before="80" w:after="80"/>
              <w:rPr>
                <w:rFonts w:ascii="ArialMT" w:hAnsi="ArialMT" w:cs="ArialMT"/>
                <w:color w:val="222222"/>
                <w:sz w:val="20"/>
                <w:szCs w:val="20"/>
              </w:rPr>
            </w:pPr>
            <w:r w:rsidRPr="00336657">
              <w:rPr>
                <w:rFonts w:ascii="ArialMT" w:hAnsi="ArialMT" w:cs="ArialMT"/>
                <w:color w:val="222222"/>
                <w:sz w:val="20"/>
                <w:szCs w:val="20"/>
              </w:rPr>
              <w:t>Date of First Disbursement</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E41131" w14:textId="3F6A9505" w:rsidR="008D52EA" w:rsidRPr="00336657" w:rsidRDefault="0094100D" w:rsidP="00691227">
            <w:pPr>
              <w:spacing w:before="80" w:after="80"/>
              <w:rPr>
                <w:rFonts w:ascii="ArialMT" w:hAnsi="ArialMT"/>
                <w:sz w:val="20"/>
                <w:szCs w:val="20"/>
              </w:rPr>
            </w:pPr>
            <w:r w:rsidRPr="00336657">
              <w:rPr>
                <w:rFonts w:ascii="ArialMT" w:hAnsi="ArialMT"/>
                <w:sz w:val="20"/>
                <w:szCs w:val="20"/>
              </w:rPr>
              <w:t>8/15/2018</w:t>
            </w:r>
          </w:p>
        </w:tc>
      </w:tr>
      <w:tr w:rsidR="00073723" w:rsidRPr="00336657" w14:paraId="359EC6F6" w14:textId="77777777" w:rsidTr="007E51EA">
        <w:tc>
          <w:tcPr>
            <w:tcW w:w="20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F3CE5F" w14:textId="77777777" w:rsidR="00073723" w:rsidRPr="00336657" w:rsidRDefault="00073723" w:rsidP="00691227">
            <w:pPr>
              <w:spacing w:before="80" w:after="80"/>
              <w:rPr>
                <w:rFonts w:ascii="ArialMT" w:hAnsi="ArialMT" w:cs="Arial-BoldMT"/>
                <w:b/>
                <w:bCs/>
                <w:color w:val="222222"/>
                <w:sz w:val="20"/>
                <w:szCs w:val="20"/>
              </w:rPr>
            </w:pP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410C46" w14:textId="7459E846" w:rsidR="00073723" w:rsidRPr="00336657" w:rsidRDefault="00073723" w:rsidP="00691227">
            <w:pPr>
              <w:spacing w:before="80" w:after="80"/>
              <w:rPr>
                <w:rFonts w:ascii="ArialMT" w:hAnsi="ArialMT" w:cs="ArialMT"/>
                <w:color w:val="222222"/>
                <w:sz w:val="20"/>
                <w:szCs w:val="20"/>
              </w:rPr>
            </w:pPr>
            <w:r w:rsidRPr="00336657">
              <w:rPr>
                <w:rFonts w:ascii="ArialMT" w:hAnsi="ArialMT" w:cs="ArialMT"/>
                <w:color w:val="222222"/>
                <w:sz w:val="20"/>
                <w:szCs w:val="20"/>
              </w:rPr>
              <w:t>Agency Approval Date</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809346" w14:textId="08B84A83" w:rsidR="00073723" w:rsidRPr="00336657" w:rsidRDefault="004956E5" w:rsidP="00691227">
            <w:pPr>
              <w:spacing w:before="80" w:after="80"/>
              <w:rPr>
                <w:rFonts w:ascii="ArialMT" w:hAnsi="ArialMT"/>
                <w:sz w:val="20"/>
                <w:szCs w:val="20"/>
              </w:rPr>
            </w:pPr>
            <w:r w:rsidRPr="00336657">
              <w:rPr>
                <w:rFonts w:ascii="ArialMT" w:hAnsi="ArialMT" w:cs="ArialMT"/>
                <w:color w:val="222222"/>
                <w:sz w:val="20"/>
                <w:szCs w:val="20"/>
              </w:rPr>
              <w:t>5/18/2017</w:t>
            </w:r>
          </w:p>
        </w:tc>
      </w:tr>
      <w:tr w:rsidR="00AC7478" w:rsidRPr="00336657" w14:paraId="5807AE5C" w14:textId="77777777" w:rsidTr="007E51EA">
        <w:tc>
          <w:tcPr>
            <w:tcW w:w="20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615F9" w14:textId="77777777" w:rsidR="00AC7478" w:rsidRPr="00336657" w:rsidRDefault="00AC7478" w:rsidP="00691227">
            <w:pPr>
              <w:spacing w:before="80" w:after="80"/>
              <w:rPr>
                <w:rFonts w:ascii="ArialMT" w:hAnsi="ArialMT" w:cs="Arial-BoldMT"/>
                <w:b/>
                <w:bCs/>
                <w:color w:val="222222"/>
                <w:sz w:val="20"/>
                <w:szCs w:val="20"/>
              </w:rPr>
            </w:pP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75D6FC" w14:textId="08DC7907" w:rsidR="00AC7478" w:rsidRPr="00336657" w:rsidRDefault="00AC7478" w:rsidP="00691227">
            <w:pPr>
              <w:spacing w:before="80" w:after="80"/>
              <w:rPr>
                <w:rFonts w:ascii="ArialMT" w:hAnsi="ArialMT" w:cs="ArialMT"/>
                <w:color w:val="222222"/>
                <w:sz w:val="20"/>
                <w:szCs w:val="20"/>
              </w:rPr>
            </w:pPr>
            <w:r w:rsidRPr="00336657">
              <w:rPr>
                <w:rFonts w:ascii="ArialMT" w:hAnsi="ArialMT" w:cs="ArialMT"/>
                <w:color w:val="222222"/>
                <w:sz w:val="20"/>
                <w:szCs w:val="20"/>
              </w:rPr>
              <w:t>Effectiveness (Start) Date</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C5602F" w14:textId="2087BE2C" w:rsidR="00AC7478" w:rsidRPr="00336657" w:rsidRDefault="00B23411" w:rsidP="00691227">
            <w:pPr>
              <w:spacing w:before="80" w:after="80"/>
              <w:rPr>
                <w:rFonts w:ascii="ArialMT" w:hAnsi="ArialMT"/>
                <w:sz w:val="20"/>
                <w:szCs w:val="20"/>
              </w:rPr>
            </w:pPr>
            <w:r w:rsidRPr="00336657">
              <w:rPr>
                <w:rFonts w:ascii="ArialMT" w:hAnsi="ArialMT" w:cs="ArialMT"/>
                <w:color w:val="222222"/>
                <w:sz w:val="20"/>
                <w:szCs w:val="20"/>
              </w:rPr>
              <w:t>11/8/2017</w:t>
            </w:r>
          </w:p>
        </w:tc>
      </w:tr>
      <w:tr w:rsidR="0090276F" w:rsidRPr="00336657" w14:paraId="2F427E51" w14:textId="77777777" w:rsidTr="007E51EA">
        <w:tc>
          <w:tcPr>
            <w:tcW w:w="20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875DB3" w14:textId="77777777" w:rsidR="0090276F" w:rsidRPr="00336657" w:rsidRDefault="0090276F" w:rsidP="00691227">
            <w:pPr>
              <w:spacing w:before="80" w:after="80"/>
              <w:rPr>
                <w:rFonts w:ascii="ArialMT" w:hAnsi="ArialMT" w:cs="Arial-BoldMT"/>
                <w:b/>
                <w:bCs/>
                <w:color w:val="222222"/>
                <w:sz w:val="20"/>
                <w:szCs w:val="20"/>
              </w:rPr>
            </w:pP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224CA7" w14:textId="173A42C2" w:rsidR="0090276F" w:rsidRPr="00336657" w:rsidRDefault="0090276F" w:rsidP="00691227">
            <w:pPr>
              <w:spacing w:before="80" w:after="80"/>
              <w:rPr>
                <w:rFonts w:ascii="ArialMT" w:hAnsi="ArialMT" w:cs="ArialMT"/>
                <w:color w:val="222222"/>
                <w:sz w:val="20"/>
                <w:szCs w:val="20"/>
              </w:rPr>
            </w:pPr>
            <w:r w:rsidRPr="00336657">
              <w:rPr>
                <w:rFonts w:ascii="ArialMT" w:hAnsi="ArialMT" w:cs="ArialMT"/>
                <w:color w:val="222222"/>
                <w:sz w:val="20"/>
                <w:szCs w:val="20"/>
              </w:rPr>
              <w:t>Original Last Disbursement Expiration Date</w:t>
            </w:r>
            <w:r w:rsidRPr="00336657">
              <w:rPr>
                <w:rFonts w:ascii="ArialMT" w:hAnsi="ArialMT" w:cs="ArialMT"/>
                <w:color w:val="222222"/>
                <w:sz w:val="20"/>
                <w:szCs w:val="20"/>
                <w:vertAlign w:val="superscript"/>
              </w:rPr>
              <w:footnoteReference w:id="1"/>
            </w:r>
            <w:r w:rsidRPr="00336657">
              <w:rPr>
                <w:rFonts w:ascii="ArialMT" w:hAnsi="ArialMT" w:cs="ArialMT"/>
                <w:color w:val="222222"/>
                <w:sz w:val="20"/>
                <w:szCs w:val="20"/>
              </w:rPr>
              <w:t xml:space="preserve"> (OED)</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E39E73" w14:textId="4D400C65" w:rsidR="0090276F" w:rsidRPr="00336657" w:rsidRDefault="0094100D" w:rsidP="00691227">
            <w:pPr>
              <w:spacing w:before="80" w:after="80"/>
              <w:rPr>
                <w:rFonts w:ascii="ArialMT" w:hAnsi="ArialMT"/>
                <w:sz w:val="20"/>
                <w:szCs w:val="20"/>
              </w:rPr>
            </w:pPr>
            <w:r w:rsidRPr="00336657">
              <w:rPr>
                <w:rFonts w:ascii="ArialMT" w:hAnsi="ArialMT"/>
                <w:sz w:val="20"/>
                <w:szCs w:val="20"/>
              </w:rPr>
              <w:t>3/8/2022</w:t>
            </w:r>
          </w:p>
        </w:tc>
      </w:tr>
      <w:tr w:rsidR="00AE3342" w:rsidRPr="00336657" w14:paraId="414C019E" w14:textId="77777777" w:rsidTr="007E51EA">
        <w:tc>
          <w:tcPr>
            <w:tcW w:w="20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45377C" w14:textId="77777777" w:rsidR="00AE3342" w:rsidRPr="00336657" w:rsidRDefault="00AE3342" w:rsidP="00691227">
            <w:pPr>
              <w:spacing w:before="80" w:after="80"/>
              <w:rPr>
                <w:rFonts w:ascii="ArialMT" w:hAnsi="ArialMT" w:cs="Arial-BoldMT"/>
                <w:b/>
                <w:bCs/>
                <w:color w:val="222222"/>
                <w:sz w:val="20"/>
                <w:szCs w:val="20"/>
              </w:rPr>
            </w:pP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6E8E74" w14:textId="696573A4" w:rsidR="00AE3342" w:rsidRPr="00336657" w:rsidRDefault="00AE3342" w:rsidP="00691227">
            <w:pPr>
              <w:spacing w:before="80" w:after="80"/>
              <w:rPr>
                <w:rFonts w:ascii="ArialMT" w:hAnsi="ArialMT" w:cs="ArialMT"/>
                <w:color w:val="222222"/>
                <w:sz w:val="20"/>
                <w:szCs w:val="20"/>
              </w:rPr>
            </w:pPr>
            <w:r w:rsidRPr="00336657">
              <w:rPr>
                <w:rFonts w:ascii="ArialMT" w:hAnsi="ArialMT" w:cs="ArialMT"/>
                <w:color w:val="222222"/>
                <w:sz w:val="20"/>
                <w:szCs w:val="20"/>
              </w:rPr>
              <w:t xml:space="preserve">Current </w:t>
            </w:r>
            <w:r w:rsidR="0094100D" w:rsidRPr="00336657">
              <w:rPr>
                <w:rFonts w:ascii="ArialMT" w:hAnsi="ArialMT" w:cs="ArialMT"/>
                <w:color w:val="222222"/>
                <w:sz w:val="20"/>
                <w:szCs w:val="20"/>
              </w:rPr>
              <w:t>CED</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5BBC1B" w14:textId="0AC88D05" w:rsidR="00AE3342" w:rsidRPr="00336657" w:rsidRDefault="0094100D" w:rsidP="00691227">
            <w:pPr>
              <w:spacing w:before="80" w:after="80"/>
              <w:rPr>
                <w:rFonts w:ascii="ArialMT" w:hAnsi="ArialMT"/>
                <w:sz w:val="20"/>
                <w:szCs w:val="20"/>
              </w:rPr>
            </w:pPr>
            <w:r w:rsidRPr="00336657">
              <w:rPr>
                <w:rFonts w:ascii="ArialMT" w:hAnsi="ArialMT"/>
                <w:sz w:val="20"/>
                <w:szCs w:val="20"/>
              </w:rPr>
              <w:t>3/8/2022</w:t>
            </w:r>
          </w:p>
        </w:tc>
      </w:tr>
      <w:tr w:rsidR="006E0C9F" w:rsidRPr="00336657" w14:paraId="46DF3663" w14:textId="77777777" w:rsidTr="007E51EA">
        <w:tc>
          <w:tcPr>
            <w:tcW w:w="20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A040D3" w14:textId="77777777" w:rsidR="006E0C9F" w:rsidRPr="00336657" w:rsidRDefault="006E0C9F" w:rsidP="00691227">
            <w:pPr>
              <w:spacing w:before="80" w:after="80"/>
              <w:rPr>
                <w:rFonts w:ascii="ArialMT" w:hAnsi="ArialMT" w:cs="Arial-BoldMT"/>
                <w:b/>
                <w:bCs/>
                <w:color w:val="222222"/>
                <w:sz w:val="20"/>
                <w:szCs w:val="20"/>
              </w:rPr>
            </w:pP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E3D377" w14:textId="6C2440F9" w:rsidR="006E0C9F" w:rsidRPr="00336657" w:rsidRDefault="006E0C9F" w:rsidP="00691227">
            <w:pPr>
              <w:spacing w:before="80" w:after="80"/>
              <w:rPr>
                <w:rFonts w:ascii="ArialMT" w:hAnsi="ArialMT" w:cs="ArialMT"/>
                <w:color w:val="222222"/>
                <w:sz w:val="20"/>
                <w:szCs w:val="20"/>
              </w:rPr>
            </w:pPr>
            <w:r w:rsidRPr="00336657">
              <w:rPr>
                <w:rFonts w:ascii="ArialMT" w:hAnsi="ArialMT" w:cs="ArialMT"/>
                <w:color w:val="222222"/>
                <w:sz w:val="20"/>
                <w:szCs w:val="20"/>
              </w:rPr>
              <w:t>Estimated Operational Close Date</w:t>
            </w:r>
            <w:r w:rsidRPr="00336657">
              <w:rPr>
                <w:rFonts w:ascii="ArialMT" w:hAnsi="ArialMT" w:cs="ArialMT"/>
                <w:color w:val="222222"/>
                <w:sz w:val="20"/>
                <w:szCs w:val="20"/>
                <w:vertAlign w:val="superscript"/>
              </w:rPr>
              <w:footnoteReference w:id="2"/>
            </w:r>
            <w:r w:rsidRPr="00336657">
              <w:rPr>
                <w:rFonts w:ascii="ArialMT" w:hAnsi="ArialMT" w:cs="ArialMT"/>
                <w:color w:val="222222"/>
                <w:sz w:val="20"/>
                <w:szCs w:val="20"/>
              </w:rPr>
              <w:t xml:space="preserve"> (EOC)</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345CF6" w14:textId="77167421" w:rsidR="006E0C9F" w:rsidRPr="00336657" w:rsidRDefault="0094100D" w:rsidP="00691227">
            <w:pPr>
              <w:spacing w:before="80" w:after="80"/>
              <w:rPr>
                <w:rFonts w:ascii="ArialMT" w:hAnsi="ArialMT"/>
                <w:sz w:val="20"/>
                <w:szCs w:val="20"/>
              </w:rPr>
            </w:pPr>
            <w:r w:rsidRPr="00336657">
              <w:rPr>
                <w:rFonts w:ascii="ArialMT" w:hAnsi="ArialMT"/>
                <w:sz w:val="20"/>
                <w:szCs w:val="20"/>
              </w:rPr>
              <w:t>6/6/2022</w:t>
            </w:r>
          </w:p>
        </w:tc>
      </w:tr>
      <w:tr w:rsidR="0024122B" w:rsidRPr="00336657" w14:paraId="5F2510A9" w14:textId="77777777" w:rsidTr="007E51EA">
        <w:tc>
          <w:tcPr>
            <w:tcW w:w="20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CCF1D9" w14:textId="77777777" w:rsidR="0024122B" w:rsidRPr="00336657" w:rsidRDefault="0024122B" w:rsidP="00691227">
            <w:pPr>
              <w:spacing w:before="80" w:after="80"/>
              <w:rPr>
                <w:rFonts w:ascii="ArialMT" w:hAnsi="ArialMT" w:cs="Arial-BoldMT"/>
                <w:b/>
                <w:bCs/>
                <w:color w:val="222222"/>
                <w:sz w:val="20"/>
                <w:szCs w:val="20"/>
              </w:rPr>
            </w:pP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6D74B" w14:textId="74931D03" w:rsidR="0024122B" w:rsidRPr="00336657" w:rsidRDefault="0024122B" w:rsidP="00691227">
            <w:pPr>
              <w:spacing w:before="80" w:after="80"/>
              <w:rPr>
                <w:rFonts w:ascii="ArialMT" w:hAnsi="ArialMT" w:cs="ArialMT"/>
                <w:color w:val="222222"/>
                <w:sz w:val="20"/>
                <w:szCs w:val="20"/>
              </w:rPr>
            </w:pPr>
            <w:r w:rsidRPr="00336657">
              <w:rPr>
                <w:rFonts w:ascii="ArialMT" w:hAnsi="ArialMT" w:cs="ArialMT"/>
                <w:color w:val="222222"/>
                <w:sz w:val="20"/>
                <w:szCs w:val="20"/>
              </w:rPr>
              <w:t>Actual Date of EOC, if applicable</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5E1A56" w14:textId="5D8DD909" w:rsidR="0024122B" w:rsidRPr="00336657" w:rsidRDefault="0024122B" w:rsidP="00691227">
            <w:pPr>
              <w:spacing w:before="80" w:after="80"/>
              <w:rPr>
                <w:rFonts w:ascii="ArialMT" w:hAnsi="ArialMT"/>
                <w:sz w:val="20"/>
                <w:szCs w:val="20"/>
              </w:rPr>
            </w:pPr>
          </w:p>
        </w:tc>
      </w:tr>
      <w:tr w:rsidR="00DD31CF" w:rsidRPr="00336657" w14:paraId="44321A74" w14:textId="77777777" w:rsidTr="007E51EA">
        <w:tc>
          <w:tcPr>
            <w:tcW w:w="206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9A56B0" w14:textId="2F075264" w:rsidR="00DD31CF" w:rsidRPr="00336657" w:rsidRDefault="00DD31CF" w:rsidP="00691227">
            <w:pPr>
              <w:spacing w:before="80" w:after="80"/>
              <w:rPr>
                <w:rFonts w:ascii="ArialMT" w:hAnsi="ArialMT" w:cs="Arial-BoldMT"/>
                <w:b/>
                <w:bCs/>
                <w:color w:val="222222"/>
                <w:sz w:val="20"/>
                <w:szCs w:val="20"/>
              </w:rPr>
            </w:pPr>
            <w:r w:rsidRPr="00336657">
              <w:rPr>
                <w:rFonts w:ascii="ArialMT" w:hAnsi="ArialMT" w:cs="Arial-BoldMT"/>
                <w:b/>
                <w:bCs/>
                <w:color w:val="222222"/>
                <w:sz w:val="20"/>
                <w:szCs w:val="20"/>
              </w:rPr>
              <w:t>Project Evaluation:</w:t>
            </w: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C650C" w14:textId="06940992" w:rsidR="00DD31CF" w:rsidRPr="00336657" w:rsidRDefault="00DD31CF" w:rsidP="00691227">
            <w:pPr>
              <w:spacing w:before="80" w:after="80"/>
              <w:rPr>
                <w:rFonts w:ascii="ArialMT" w:hAnsi="ArialMT" w:cs="ArialMT"/>
                <w:color w:val="222222"/>
                <w:sz w:val="20"/>
                <w:szCs w:val="20"/>
              </w:rPr>
            </w:pPr>
            <w:r w:rsidRPr="00336657">
              <w:rPr>
                <w:rFonts w:ascii="ArialMT" w:hAnsi="ArialMT" w:cs="ArialMT"/>
                <w:color w:val="222222"/>
                <w:sz w:val="20"/>
                <w:szCs w:val="20"/>
              </w:rPr>
              <w:t>Mid-term Date (Expected)</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BD3F4C" w14:textId="380F95AE" w:rsidR="00DD31CF" w:rsidRPr="00336657" w:rsidRDefault="00B85309" w:rsidP="00691227">
            <w:pPr>
              <w:spacing w:before="80" w:after="80"/>
              <w:rPr>
                <w:rFonts w:ascii="ArialMT" w:hAnsi="ArialMT"/>
                <w:sz w:val="20"/>
                <w:szCs w:val="20"/>
              </w:rPr>
            </w:pPr>
            <w:r w:rsidRPr="00336657">
              <w:rPr>
                <w:rFonts w:ascii="ArialMT" w:hAnsi="ArialMT"/>
                <w:sz w:val="20"/>
                <w:szCs w:val="20"/>
              </w:rPr>
              <w:t>8/10/2021</w:t>
            </w:r>
          </w:p>
        </w:tc>
      </w:tr>
      <w:tr w:rsidR="00C976C3" w:rsidRPr="00336657" w14:paraId="5290F640" w14:textId="77777777" w:rsidTr="007E51EA">
        <w:tc>
          <w:tcPr>
            <w:tcW w:w="20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912042" w14:textId="77777777" w:rsidR="00C976C3" w:rsidRPr="00336657" w:rsidRDefault="00C976C3" w:rsidP="00691227">
            <w:pPr>
              <w:spacing w:before="80" w:after="80"/>
              <w:rPr>
                <w:rFonts w:ascii="ArialMT" w:hAnsi="ArialMT" w:cs="Arial-BoldMT"/>
                <w:b/>
                <w:bCs/>
                <w:color w:val="222222"/>
                <w:sz w:val="20"/>
                <w:szCs w:val="20"/>
              </w:rPr>
            </w:pPr>
          </w:p>
        </w:tc>
        <w:tc>
          <w:tcPr>
            <w:tcW w:w="82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8F5CFD" w14:textId="2513DAE9" w:rsidR="00C976C3" w:rsidRPr="00336657" w:rsidRDefault="00C976C3" w:rsidP="00691227">
            <w:pPr>
              <w:spacing w:before="80" w:after="80"/>
              <w:rPr>
                <w:rFonts w:ascii="ArialMT" w:hAnsi="ArialMT" w:cs="ArialMT"/>
                <w:color w:val="222222"/>
                <w:sz w:val="20"/>
                <w:szCs w:val="20"/>
              </w:rPr>
            </w:pPr>
            <w:r w:rsidRPr="00336657">
              <w:rPr>
                <w:rFonts w:ascii="ArialMT" w:hAnsi="ArialMT" w:cs="ArialMT"/>
                <w:color w:val="222222"/>
                <w:sz w:val="20"/>
                <w:szCs w:val="20"/>
              </w:rPr>
              <w:t>Terminal evaluation Date (Expected)</w:t>
            </w:r>
          </w:p>
        </w:tc>
        <w:tc>
          <w:tcPr>
            <w:tcW w:w="4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EF4E06" w14:textId="337B29EB" w:rsidR="00C976C3" w:rsidRPr="00336657" w:rsidRDefault="00B85309" w:rsidP="00691227">
            <w:pPr>
              <w:spacing w:before="80" w:after="80"/>
              <w:rPr>
                <w:rFonts w:ascii="ArialMT" w:hAnsi="ArialMT"/>
                <w:sz w:val="20"/>
                <w:szCs w:val="20"/>
              </w:rPr>
            </w:pPr>
            <w:r w:rsidRPr="00336657">
              <w:rPr>
                <w:rFonts w:ascii="ArialMT" w:hAnsi="ArialMT"/>
                <w:sz w:val="20"/>
                <w:szCs w:val="20"/>
              </w:rPr>
              <w:t>6/8/2022</w:t>
            </w:r>
          </w:p>
        </w:tc>
      </w:tr>
    </w:tbl>
    <w:p w14:paraId="6495C6DC" w14:textId="77777777" w:rsidR="009E05DC" w:rsidRPr="00336657" w:rsidRDefault="009E05DC" w:rsidP="008A360E">
      <w:pPr>
        <w:jc w:val="right"/>
        <w:rPr>
          <w:rFonts w:ascii="ArialMT" w:hAnsi="ArialMT"/>
        </w:rPr>
      </w:pPr>
    </w:p>
    <w:tbl>
      <w:tblPr>
        <w:tblStyle w:val="TableGrid"/>
        <w:tblW w:w="0" w:type="auto"/>
        <w:tblLook w:val="04A0" w:firstRow="1" w:lastRow="0" w:firstColumn="1" w:lastColumn="0" w:noHBand="0" w:noVBand="1"/>
      </w:tblPr>
      <w:tblGrid>
        <w:gridCol w:w="12415"/>
        <w:gridCol w:w="990"/>
        <w:gridCol w:w="985"/>
      </w:tblGrid>
      <w:tr w:rsidR="00FF235A" w:rsidRPr="00336657" w14:paraId="37D71FC5" w14:textId="77777777" w:rsidTr="002A3798">
        <w:tc>
          <w:tcPr>
            <w:tcW w:w="1439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DAAADB8" w14:textId="3C9988F3" w:rsidR="00FF235A" w:rsidRPr="00336657" w:rsidRDefault="00EA3FEC" w:rsidP="002A3798">
            <w:pPr>
              <w:rPr>
                <w:rFonts w:ascii="ArialMT" w:hAnsi="ArialMT"/>
              </w:rPr>
            </w:pPr>
            <w:r w:rsidRPr="00336657">
              <w:rPr>
                <w:rFonts w:ascii="ArialMT" w:hAnsi="ArialMT" w:cs="Arial-BoldMT"/>
                <w:b/>
                <w:bCs/>
                <w:color w:val="000066"/>
              </w:rPr>
              <w:t>DEVELOPMENT OBJECTIVE RATING (DO) &amp; ASSESSMENT</w:t>
            </w:r>
          </w:p>
        </w:tc>
      </w:tr>
      <w:tr w:rsidR="00EE137D" w:rsidRPr="00336657" w14:paraId="3A38C96B" w14:textId="77777777" w:rsidTr="003F1AF0">
        <w:tc>
          <w:tcPr>
            <w:tcW w:w="14390" w:type="dxa"/>
            <w:gridSpan w:val="3"/>
            <w:tcBorders>
              <w:top w:val="single" w:sz="4" w:space="0" w:color="D9D9D9" w:themeColor="background1" w:themeShade="D9"/>
              <w:left w:val="nil"/>
              <w:bottom w:val="single" w:sz="4" w:space="0" w:color="D9D9D9" w:themeColor="background1" w:themeShade="D9"/>
              <w:right w:val="nil"/>
            </w:tcBorders>
          </w:tcPr>
          <w:p w14:paraId="0DB0299B" w14:textId="6CE29876" w:rsidR="00EE137D" w:rsidRPr="00336657" w:rsidRDefault="006A3CFB" w:rsidP="000C59CC">
            <w:pPr>
              <w:spacing w:before="60" w:after="60"/>
              <w:rPr>
                <w:rFonts w:ascii="ArialMT" w:hAnsi="ArialMT"/>
                <w:color w:val="000066"/>
                <w:sz w:val="18"/>
                <w:szCs w:val="18"/>
              </w:rPr>
            </w:pPr>
            <w:r w:rsidRPr="00336657">
              <w:rPr>
                <w:rFonts w:ascii="ArialMT" w:hAnsi="ArialMT"/>
                <w:color w:val="000066"/>
                <w:sz w:val="18"/>
                <w:szCs w:val="18"/>
              </w:rPr>
              <w:t>Make</w:t>
            </w:r>
            <w:r w:rsidR="00EE137D" w:rsidRPr="00336657">
              <w:rPr>
                <w:rFonts w:ascii="ArialMT" w:hAnsi="ArialMT"/>
                <w:color w:val="000066"/>
                <w:sz w:val="18"/>
                <w:szCs w:val="18"/>
              </w:rPr>
              <w:t xml:space="preserve"> an overall assessment and provide a rating</w:t>
            </w:r>
            <w:r w:rsidR="00EE137D" w:rsidRPr="00336657">
              <w:rPr>
                <w:rFonts w:ascii="ArialMT" w:hAnsi="ArialMT" w:cs="ArialMT"/>
                <w:color w:val="000066"/>
                <w:sz w:val="18"/>
                <w:szCs w:val="18"/>
                <w:vertAlign w:val="superscript"/>
              </w:rPr>
              <w:footnoteReference w:id="3"/>
            </w:r>
            <w:r w:rsidR="00EE137D" w:rsidRPr="00336657">
              <w:rPr>
                <w:rFonts w:ascii="ArialMT" w:hAnsi="ArialMT" w:cs="ArialMT"/>
                <w:color w:val="000066"/>
                <w:sz w:val="18"/>
                <w:szCs w:val="18"/>
              </w:rPr>
              <w:t xml:space="preserve"> </w:t>
            </w:r>
            <w:r w:rsidR="00EE137D" w:rsidRPr="00336657">
              <w:rPr>
                <w:rFonts w:ascii="ArialMT" w:hAnsi="ArialMT"/>
                <w:color w:val="000066"/>
                <w:sz w:val="18"/>
                <w:szCs w:val="18"/>
              </w:rPr>
              <w:t>of “likelihood of achieving project objective” during the period (2020-2021). Describe any significant environmental or other changes attributable to project implementation.</w:t>
            </w:r>
          </w:p>
        </w:tc>
      </w:tr>
      <w:tr w:rsidR="002579A7" w:rsidRPr="00336657" w14:paraId="695E382E" w14:textId="77777777" w:rsidTr="00E45B63">
        <w:tc>
          <w:tcPr>
            <w:tcW w:w="1439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A5BD5B" w14:textId="7A3BA197" w:rsidR="002579A7" w:rsidRPr="00336657" w:rsidRDefault="00186F4C" w:rsidP="004B0C63">
            <w:pPr>
              <w:autoSpaceDE w:val="0"/>
              <w:autoSpaceDN w:val="0"/>
              <w:adjustRightInd w:val="0"/>
              <w:spacing w:before="120" w:after="120"/>
              <w:rPr>
                <w:rFonts w:ascii="ArialMT" w:hAnsi="ArialMT"/>
              </w:rPr>
            </w:pPr>
            <w:r w:rsidRPr="00336657">
              <w:rPr>
                <w:rFonts w:ascii="ArialMT" w:hAnsi="ArialMT" w:cs="ArialMT"/>
                <w:b/>
                <w:bCs/>
                <w:color w:val="222222"/>
              </w:rPr>
              <w:t>Project Objective:</w:t>
            </w:r>
            <w:r w:rsidRPr="00336657">
              <w:rPr>
                <w:rFonts w:ascii="ArialMT" w:hAnsi="ArialMT" w:cs="ArialMT"/>
                <w:color w:val="222222"/>
              </w:rPr>
              <w:t xml:space="preserve"> </w:t>
            </w:r>
            <w:r w:rsidR="00F159AF" w:rsidRPr="00336657">
              <w:rPr>
                <w:rFonts w:ascii="ArialMT" w:hAnsi="ArialMT" w:cs="ArialMT"/>
                <w:color w:val="222222"/>
              </w:rPr>
              <w:t>Support Brazil implement a clear, robust, and transparent national legal and regulatory framework, the governance and institutional capacity necessary to manage the access and benefit sharing of</w:t>
            </w:r>
            <w:r w:rsidR="00CF0D8C" w:rsidRPr="00336657">
              <w:rPr>
                <w:rFonts w:ascii="ArialMT" w:hAnsi="ArialMT" w:cs="ArialMT"/>
                <w:color w:val="222222"/>
              </w:rPr>
              <w:t xml:space="preserve"> </w:t>
            </w:r>
            <w:r w:rsidR="00F159AF" w:rsidRPr="00336657">
              <w:rPr>
                <w:rFonts w:ascii="ArialMT" w:hAnsi="ArialMT" w:cs="ArialMT"/>
                <w:color w:val="222222"/>
              </w:rPr>
              <w:t>genetic resources (ABS) and associated traditional knowledge (ATK</w:t>
            </w:r>
            <w:r w:rsidR="00CF0D8C" w:rsidRPr="00336657">
              <w:rPr>
                <w:rFonts w:ascii="ArialMT" w:hAnsi="ArialMT" w:cs="ArialMT"/>
                <w:color w:val="222222"/>
              </w:rPr>
              <w:t>) and</w:t>
            </w:r>
            <w:r w:rsidR="00F159AF" w:rsidRPr="00336657">
              <w:rPr>
                <w:rFonts w:ascii="ArialMT" w:hAnsi="ArialMT" w:cs="ArialMT"/>
                <w:color w:val="222222"/>
              </w:rPr>
              <w:t xml:space="preserve"> improve knowledge of providers and users of such resources, enabling Brazil to fulfill the ABS provisions of the Convention on Biological Diversity and the Nagoya Protocol.</w:t>
            </w:r>
          </w:p>
        </w:tc>
      </w:tr>
      <w:tr w:rsidR="00EE137D" w:rsidRPr="00336657" w14:paraId="604C1482" w14:textId="77777777" w:rsidTr="00A9323B">
        <w:tc>
          <w:tcPr>
            <w:tcW w:w="124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7E0F82" w14:textId="4250FBD5" w:rsidR="00EE137D" w:rsidRPr="00336657" w:rsidRDefault="00EE137D" w:rsidP="00A9323B">
            <w:pPr>
              <w:spacing w:before="60" w:after="60"/>
              <w:jc w:val="center"/>
              <w:rPr>
                <w:rFonts w:ascii="ArialMT" w:hAnsi="ArialMT"/>
                <w:sz w:val="14"/>
                <w:szCs w:val="14"/>
              </w:rPr>
            </w:pPr>
            <w:r w:rsidRPr="00336657">
              <w:rPr>
                <w:rFonts w:ascii="ArialMT" w:hAnsi="ArialMT" w:cs="ArialMT"/>
                <w:color w:val="222222"/>
                <w:sz w:val="14"/>
                <w:szCs w:val="14"/>
              </w:rPr>
              <w:t>OVERALL ASSESSMENT (DO)</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725B81B" w14:textId="104D1A9A" w:rsidR="00EE137D" w:rsidRPr="00336657" w:rsidRDefault="00EE137D" w:rsidP="00E51327">
            <w:pPr>
              <w:autoSpaceDE w:val="0"/>
              <w:autoSpaceDN w:val="0"/>
              <w:adjustRightInd w:val="0"/>
              <w:spacing w:before="60" w:after="60"/>
              <w:jc w:val="center"/>
              <w:rPr>
                <w:rFonts w:ascii="ArialMT" w:hAnsi="ArialMT"/>
                <w:sz w:val="14"/>
                <w:szCs w:val="14"/>
              </w:rPr>
            </w:pPr>
            <w:r w:rsidRPr="00336657">
              <w:rPr>
                <w:rFonts w:ascii="ArialMT" w:hAnsi="ArialMT" w:cs="ArialMT"/>
                <w:color w:val="222222"/>
                <w:sz w:val="14"/>
                <w:szCs w:val="14"/>
              </w:rPr>
              <w:t>PREVIOUS</w:t>
            </w:r>
            <w:r w:rsidRPr="00336657">
              <w:rPr>
                <w:rFonts w:ascii="ArialMT" w:hAnsi="ArialMT" w:cs="ArialMT"/>
                <w:color w:val="222222"/>
                <w:sz w:val="14"/>
                <w:szCs w:val="14"/>
              </w:rPr>
              <w:br/>
              <w:t>RATING</w:t>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D14C165" w14:textId="661F6D5E" w:rsidR="00EE137D" w:rsidRPr="00336657" w:rsidRDefault="00EE137D" w:rsidP="00E51327">
            <w:pPr>
              <w:spacing w:before="60" w:after="60"/>
              <w:jc w:val="center"/>
              <w:rPr>
                <w:rFonts w:ascii="ArialMT" w:hAnsi="ArialMT"/>
                <w:sz w:val="14"/>
                <w:szCs w:val="14"/>
              </w:rPr>
            </w:pPr>
            <w:r w:rsidRPr="00336657">
              <w:rPr>
                <w:rFonts w:ascii="ArialMT" w:hAnsi="ArialMT" w:cs="ArialMT"/>
                <w:color w:val="222222"/>
                <w:sz w:val="14"/>
                <w:szCs w:val="14"/>
              </w:rPr>
              <w:t>NEW RATING</w:t>
            </w:r>
          </w:p>
        </w:tc>
      </w:tr>
      <w:tr w:rsidR="00EE137D" w:rsidRPr="00336657" w14:paraId="6ECF290D" w14:textId="77777777" w:rsidTr="00E51327">
        <w:tc>
          <w:tcPr>
            <w:tcW w:w="124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5AAEC1" w14:textId="5EA4E530" w:rsidR="00EE137D" w:rsidRPr="00336657" w:rsidRDefault="0009392F" w:rsidP="004B0C63">
            <w:pPr>
              <w:autoSpaceDE w:val="0"/>
              <w:autoSpaceDN w:val="0"/>
              <w:adjustRightInd w:val="0"/>
              <w:spacing w:before="120" w:after="120"/>
              <w:rPr>
                <w:rFonts w:ascii="ArialMT" w:hAnsi="ArialMT"/>
              </w:rPr>
            </w:pPr>
            <w:r w:rsidRPr="00336657">
              <w:rPr>
                <w:rFonts w:ascii="ArialMT" w:hAnsi="ArialMT" w:cs="ArialMT"/>
                <w:color w:val="222222"/>
              </w:rPr>
              <w:t xml:space="preserve">Overall performance by the Project is considered Moderately Unsatisfactory. Despite 2020/2021 being </w:t>
            </w:r>
            <w:r w:rsidR="00387627" w:rsidRPr="00336657">
              <w:rPr>
                <w:rFonts w:ascii="ArialMT" w:hAnsi="ArialMT" w:cs="ArialMT"/>
                <w:color w:val="222222"/>
              </w:rPr>
              <w:t>challenging</w:t>
            </w:r>
            <w:r w:rsidRPr="00336657">
              <w:rPr>
                <w:rFonts w:ascii="ArialMT" w:hAnsi="ArialMT" w:cs="ArialMT"/>
                <w:color w:val="222222"/>
              </w:rPr>
              <w:t xml:space="preserve"> years, due to the severe impacts of Covid-19 pandemic in Brazil, which strongly impacted the implementation, particularly of components 1 and 3, governance issues persisted and constant structural </w:t>
            </w:r>
            <w:r w:rsidR="00387627" w:rsidRPr="00336657">
              <w:rPr>
                <w:rFonts w:ascii="ArialMT" w:hAnsi="ArialMT" w:cs="ArialMT"/>
                <w:color w:val="222222"/>
              </w:rPr>
              <w:t>changes</w:t>
            </w:r>
            <w:r w:rsidRPr="00336657">
              <w:rPr>
                <w:rFonts w:ascii="ArialMT" w:hAnsi="ArialMT" w:cs="ArialMT"/>
                <w:color w:val="222222"/>
              </w:rPr>
              <w:t xml:space="preserve"> in the Ministry of </w:t>
            </w:r>
            <w:r w:rsidR="00387627" w:rsidRPr="00336657">
              <w:rPr>
                <w:rFonts w:ascii="ArialMT" w:hAnsi="ArialMT" w:cs="ArialMT"/>
                <w:color w:val="222222"/>
              </w:rPr>
              <w:t>Environment</w:t>
            </w:r>
            <w:r w:rsidRPr="00336657">
              <w:rPr>
                <w:rFonts w:ascii="ArialMT" w:hAnsi="ArialMT" w:cs="ArialMT"/>
                <w:color w:val="222222"/>
              </w:rPr>
              <w:t xml:space="preserve"> (MMA), resulted in further delays considering the time required for new teams and management to be up to speed and, mainly, changes in directives for the project execution with impacts on ongoing processes, </w:t>
            </w:r>
            <w:r w:rsidR="00387627" w:rsidRPr="00336657">
              <w:rPr>
                <w:rFonts w:ascii="ArialMT" w:hAnsi="ArialMT" w:cs="ArialMT"/>
                <w:color w:val="222222"/>
              </w:rPr>
              <w:t>cancelation</w:t>
            </w:r>
            <w:r w:rsidRPr="00336657">
              <w:rPr>
                <w:rFonts w:ascii="ArialMT" w:hAnsi="ArialMT" w:cs="ArialMT"/>
                <w:color w:val="222222"/>
              </w:rPr>
              <w:t xml:space="preserve"> of contracts and product analysis. As reported for the last reporting cycle, components 1 and 2 presented good progress with the development of the National System for the Management of Genetic Heritage and Associated Traditional Knowledge (</w:t>
            </w:r>
            <w:proofErr w:type="spellStart"/>
            <w:r w:rsidRPr="00336657">
              <w:rPr>
                <w:rFonts w:ascii="ArialMT" w:hAnsi="ArialMT" w:cs="ArialMT"/>
                <w:color w:val="222222"/>
              </w:rPr>
              <w:t>SisGen</w:t>
            </w:r>
            <w:proofErr w:type="spellEnd"/>
            <w:r w:rsidRPr="00336657">
              <w:rPr>
                <w:rFonts w:ascii="ArialMT" w:hAnsi="ArialMT" w:cs="ArialMT"/>
                <w:color w:val="222222"/>
              </w:rPr>
              <w:t xml:space="preserve">), under component 2, which was crucial in creating the enabling conditions for Congress´ </w:t>
            </w:r>
            <w:r w:rsidR="00BE375B" w:rsidRPr="00336657">
              <w:rPr>
                <w:rFonts w:ascii="ArialMT" w:hAnsi="ArialMT" w:cs="ArialMT"/>
                <w:color w:val="222222"/>
              </w:rPr>
              <w:t>ratification</w:t>
            </w:r>
            <w:r w:rsidRPr="00336657">
              <w:rPr>
                <w:rFonts w:ascii="ArialMT" w:hAnsi="ArialMT" w:cs="ArialMT"/>
                <w:color w:val="222222"/>
              </w:rPr>
              <w:t xml:space="preserve"> of the Nagoya Protocol in </w:t>
            </w:r>
            <w:r w:rsidR="00BE375B" w:rsidRPr="00336657">
              <w:rPr>
                <w:rFonts w:ascii="ArialMT" w:hAnsi="ArialMT" w:cs="ArialMT"/>
                <w:color w:val="222222"/>
              </w:rPr>
              <w:t>July</w:t>
            </w:r>
            <w:r w:rsidRPr="00336657">
              <w:rPr>
                <w:rFonts w:ascii="ArialMT" w:hAnsi="ArialMT" w:cs="ArialMT"/>
                <w:color w:val="222222"/>
              </w:rPr>
              <w:t xml:space="preserve"> 2020. The </w:t>
            </w:r>
            <w:r w:rsidR="00033A6F" w:rsidRPr="00336657">
              <w:rPr>
                <w:rFonts w:ascii="ArialMT" w:hAnsi="ArialMT" w:cs="ArialMT"/>
                <w:color w:val="222222"/>
              </w:rPr>
              <w:t>new</w:t>
            </w:r>
            <w:r w:rsidRPr="00336657">
              <w:rPr>
                <w:rFonts w:ascii="ArialMT" w:hAnsi="ArialMT" w:cs="ArialMT"/>
                <w:color w:val="222222"/>
              </w:rPr>
              <w:t xml:space="preserve"> guidelines changes by the Ministry and successive cancellations of the Work Plan monitoring and planning meetings, including the Tripartite Meeting (Management Committee), which should have been held on December 2020 but, after several </w:t>
            </w:r>
            <w:r w:rsidR="00BE375B" w:rsidRPr="00336657">
              <w:rPr>
                <w:rFonts w:ascii="ArialMT" w:hAnsi="ArialMT" w:cs="ArialMT"/>
                <w:color w:val="222222"/>
              </w:rPr>
              <w:t>attempts</w:t>
            </w:r>
            <w:r w:rsidRPr="00336657">
              <w:rPr>
                <w:rFonts w:ascii="ArialMT" w:hAnsi="ArialMT" w:cs="ArialMT"/>
                <w:color w:val="222222"/>
              </w:rPr>
              <w:t>, only took place on June 2021. As detailed on the status update tab, after a series of cancelation of ongoing and planned contracts for the progress of activities, planning for 2021 was only resumed in March 2021, with the involvement of UNDP and IDB's senior management along with senior representatives of the Ministry. Despite the constant effort to resume the execution, only in June 2021, after more than three Work Plan proposals were discussed, the Ministry presented a proposal for changes, during the tripartite meeting held on June 24, which was formalized through letter 2837/MMA/</w:t>
            </w:r>
            <w:r w:rsidR="00BE375B" w:rsidRPr="00336657">
              <w:rPr>
                <w:rFonts w:ascii="ArialMT" w:hAnsi="ArialMT" w:cs="ArialMT"/>
                <w:color w:val="222222"/>
              </w:rPr>
              <w:t>2021,</w:t>
            </w:r>
            <w:r w:rsidRPr="00336657">
              <w:rPr>
                <w:rFonts w:ascii="ArialMT" w:hAnsi="ArialMT" w:cs="ArialMT"/>
                <w:color w:val="222222"/>
              </w:rPr>
              <w:t xml:space="preserve"> June 25, sent to the IDB with a copy to the executing agency (UNDP). The </w:t>
            </w:r>
            <w:r w:rsidR="00033A6F" w:rsidRPr="00336657">
              <w:rPr>
                <w:rFonts w:ascii="ArialMT" w:hAnsi="ArialMT" w:cs="ArialMT"/>
                <w:color w:val="222222"/>
              </w:rPr>
              <w:t>official</w:t>
            </w:r>
            <w:r w:rsidRPr="00336657">
              <w:rPr>
                <w:rFonts w:ascii="ArialMT" w:hAnsi="ArialMT" w:cs="ArialMT"/>
                <w:color w:val="222222"/>
              </w:rPr>
              <w:t xml:space="preserve"> letter presents the justifications for the proposed changes, but does include a detailed Work Plan, which the Ministry informed that it would be sent by July. In this sense, many of the Project's activities are paralyzed, and the validity of the proposed changes by the Ministry and its impacts to the goals of the project can only be properly analyzed by the executing agency and the Bank when the new Work Plan is sent by the Ministry.</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EF162E" w14:textId="26D67FD6" w:rsidR="00EE137D" w:rsidRPr="00336657" w:rsidRDefault="000E590C" w:rsidP="004B0C63">
            <w:pPr>
              <w:spacing w:before="120" w:after="120"/>
              <w:jc w:val="center"/>
              <w:rPr>
                <w:rFonts w:ascii="ArialMT" w:hAnsi="ArialMT"/>
              </w:rPr>
            </w:pPr>
            <w:r w:rsidRPr="00336657">
              <w:rPr>
                <w:rFonts w:ascii="ArialMT" w:hAnsi="ArialMT" w:cs="ArialMT"/>
                <w:color w:val="222222"/>
              </w:rPr>
              <w:t>MS</w:t>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32A41F" w14:textId="48CD0077" w:rsidR="00EE137D" w:rsidRPr="00336657" w:rsidRDefault="000E590C" w:rsidP="004B0C63">
            <w:pPr>
              <w:spacing w:before="120" w:after="120"/>
              <w:jc w:val="center"/>
              <w:rPr>
                <w:rFonts w:ascii="ArialMT" w:hAnsi="ArialMT"/>
              </w:rPr>
            </w:pPr>
            <w:r w:rsidRPr="00336657">
              <w:rPr>
                <w:rFonts w:ascii="ArialMT" w:hAnsi="ArialMT" w:cs="ArialMT"/>
                <w:color w:val="222222"/>
              </w:rPr>
              <w:t>MU</w:t>
            </w:r>
          </w:p>
        </w:tc>
      </w:tr>
    </w:tbl>
    <w:p w14:paraId="1951B864" w14:textId="6AE32AD1" w:rsidR="00804824" w:rsidRPr="00336657" w:rsidRDefault="00804824" w:rsidP="00804824">
      <w:pPr>
        <w:spacing w:after="0"/>
        <w:rPr>
          <w:rFonts w:ascii="ArialMT" w:hAnsi="ArialMT"/>
          <w:sz w:val="16"/>
          <w:szCs w:val="16"/>
        </w:rPr>
      </w:pPr>
    </w:p>
    <w:p w14:paraId="27EE9328" w14:textId="0690297F" w:rsidR="00186F4C" w:rsidRPr="00336657" w:rsidRDefault="00186F4C" w:rsidP="00804824">
      <w:pPr>
        <w:spacing w:after="0"/>
        <w:rPr>
          <w:rFonts w:ascii="ArialMT" w:hAnsi="ArialMT"/>
          <w:sz w:val="16"/>
          <w:szCs w:val="16"/>
        </w:rPr>
      </w:pPr>
    </w:p>
    <w:p w14:paraId="639496F2" w14:textId="566FA964" w:rsidR="00186F4C" w:rsidRPr="00336657" w:rsidRDefault="00186F4C" w:rsidP="00804824">
      <w:pPr>
        <w:spacing w:after="0"/>
        <w:rPr>
          <w:rFonts w:ascii="ArialMT" w:hAnsi="ArialMT"/>
          <w:sz w:val="16"/>
          <w:szCs w:val="16"/>
        </w:rPr>
      </w:pPr>
    </w:p>
    <w:tbl>
      <w:tblPr>
        <w:tblStyle w:val="TableGrid"/>
        <w:tblW w:w="0" w:type="auto"/>
        <w:tblLook w:val="04A0" w:firstRow="1" w:lastRow="0" w:firstColumn="1" w:lastColumn="0" w:noHBand="0" w:noVBand="1"/>
      </w:tblPr>
      <w:tblGrid>
        <w:gridCol w:w="14390"/>
      </w:tblGrid>
      <w:tr w:rsidR="00186F4C" w:rsidRPr="00336657" w14:paraId="450EDEF4" w14:textId="77777777" w:rsidTr="00AC7D45">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61E577B" w14:textId="4CE53CE3" w:rsidR="00186F4C" w:rsidRPr="00336657" w:rsidRDefault="00186F4C" w:rsidP="00AC7D45">
            <w:pPr>
              <w:rPr>
                <w:rFonts w:ascii="ArialMT" w:hAnsi="ArialMT"/>
              </w:rPr>
            </w:pPr>
            <w:r w:rsidRPr="00336657">
              <w:rPr>
                <w:rFonts w:ascii="ArialMT" w:hAnsi="ArialMT" w:cs="Arial-BoldMT"/>
                <w:b/>
                <w:bCs/>
                <w:color w:val="000066"/>
              </w:rPr>
              <w:lastRenderedPageBreak/>
              <w:t>PROJECT STATUS</w:t>
            </w:r>
            <w:r w:rsidRPr="00336657">
              <w:rPr>
                <w:rFonts w:ascii="ArialMT" w:hAnsi="ArialMT"/>
              </w:rPr>
              <w:t xml:space="preserve"> </w:t>
            </w:r>
            <w:r w:rsidRPr="00336657">
              <w:rPr>
                <w:rFonts w:ascii="ArialMT" w:hAnsi="ArialMT" w:cs="Arial-BoldMT"/>
                <w:b/>
                <w:bCs/>
                <w:color w:val="000066"/>
              </w:rPr>
              <w:t>UPDATE</w:t>
            </w:r>
          </w:p>
        </w:tc>
      </w:tr>
      <w:tr w:rsidR="00186F4C" w:rsidRPr="00336657" w14:paraId="24B1E3C2" w14:textId="77777777" w:rsidTr="00AC7D45">
        <w:tc>
          <w:tcPr>
            <w:tcW w:w="14390" w:type="dxa"/>
            <w:tcBorders>
              <w:top w:val="single" w:sz="4" w:space="0" w:color="D9D9D9" w:themeColor="background1" w:themeShade="D9"/>
              <w:left w:val="nil"/>
              <w:bottom w:val="single" w:sz="4" w:space="0" w:color="D9D9D9" w:themeColor="background1" w:themeShade="D9"/>
              <w:right w:val="nil"/>
            </w:tcBorders>
          </w:tcPr>
          <w:p w14:paraId="668C053D" w14:textId="115DBF23" w:rsidR="00186F4C" w:rsidRPr="00336657" w:rsidRDefault="00186F4C" w:rsidP="00125577">
            <w:pPr>
              <w:rPr>
                <w:rFonts w:ascii="ArialMT" w:hAnsi="ArialMT"/>
                <w:color w:val="000066"/>
                <w:sz w:val="8"/>
                <w:szCs w:val="8"/>
              </w:rPr>
            </w:pPr>
          </w:p>
        </w:tc>
      </w:tr>
      <w:tr w:rsidR="00186F4C" w:rsidRPr="00336657" w14:paraId="2E73A797" w14:textId="77777777" w:rsidTr="00AC7D45">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C109A8" w14:textId="56F7C45D" w:rsidR="00186F4C" w:rsidRPr="00336657" w:rsidRDefault="00186F4C" w:rsidP="000D3868">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As recorded in the previous reporting cycle, in addition to the challenges related to the COVID-19 Pandemic which directly affected training and other field activities, a new slowdown was registered in the implementation of the Project, starting in the second half of 2020, due to a new restructuring experienced by the Ministry of the Environment (MMA) by Decree No. 10,455, of August 11, 2020.</w:t>
            </w:r>
          </w:p>
          <w:p w14:paraId="7F76E228" w14:textId="21F70854" w:rsidR="00186F4C" w:rsidRPr="00336657" w:rsidRDefault="00186F4C" w:rsidP="000D3868">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Although the Project had shown very important progress during the first half of 2020, the Ministry signaled interest in making changes to the Project Work Plan (project execution plan) and requested the cancellation of ongoing processes and contracts. It is worth mentioning that those contracts were planned and carried out in partnership with the Ministry, in all stages of the contracting processes (preparation of Term of References, evaluation of proposals and selection of contractors). The Ministry informed that the cancellations, as well as the changes to be proposed to the Work Plan for 2021, aim to align the Project with the current expectations and priorities of the Ministry in Brazil. As detailed bellow, at this moment, the definition about the changes to the project execution plan, as proposed by the MMA, including the extension of the project execution period, has not been reached. Once the detailed technical information about the proposal is shared with the Bank, it will be analyzed, and a decision is expected during the third quarter of 2021. If an extension is granted, it will be reflected in the updated version of the results matrix, to be presented during the next reporting cycle and in PIR 2022.</w:t>
            </w:r>
          </w:p>
          <w:p w14:paraId="389F2124" w14:textId="382CBF3D" w:rsidR="00186F4C" w:rsidRPr="00336657" w:rsidRDefault="00186F4C" w:rsidP="000D3868">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The execution of Project activities was substantially impacted by the lack of detailed work plan that could allow for the continuation of the execution. This resulted in delays in the analysis of project outputs, the need of having many follow-up meetings on the status of contracts and the definition of the Work Plan, an exercise that had beginning in October 2020. The executing agency and IDB have continuously offered their support to the Ministry in the revision of the Work and Procurement Plans within the Project objectives and goals; as well as in the monitoring and suggestion of proposals for the mitigation of impacts related to the cancellation of contracts, with aiming at achieving the Project expected results.</w:t>
            </w:r>
          </w:p>
          <w:p w14:paraId="35669723" w14:textId="4A4598C5" w:rsidR="00186F4C" w:rsidRPr="00336657" w:rsidRDefault="00186F4C" w:rsidP="000D3868">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The UNDP team presented to the new Ministry team the Project's details and status in October 2020 to support the preparation of the Project Work Plan proposal. In addition, on December 30, 2020, UNDP prepared a proposal for a Work Plan consolidating the strategies that had already been discussed in previous meetings with the Department of Genetic Heritage (DPG-MMA). However, as mentioned, the planning exercise for 2021 could not be completed in December. The Ministry informed that it was working internally on the new Execution Plan to be presented to the UNDP and later submitted for analysis to the Bank.</w:t>
            </w:r>
            <w:r w:rsidR="00576E71" w:rsidRPr="00336657">
              <w:rPr>
                <w:rFonts w:ascii="ArialMT" w:eastAsiaTheme="minorEastAsia" w:hAnsi="ArialMT" w:cs="ArialMT"/>
                <w:color w:val="222222"/>
                <w:sz w:val="22"/>
                <w:szCs w:val="22"/>
              </w:rPr>
              <w:t xml:space="preserve"> </w:t>
            </w:r>
            <w:r w:rsidRPr="00336657">
              <w:rPr>
                <w:rFonts w:ascii="ArialMT" w:eastAsiaTheme="minorEastAsia" w:hAnsi="ArialMT" w:cs="ArialMT"/>
                <w:color w:val="222222"/>
                <w:sz w:val="22"/>
                <w:szCs w:val="22"/>
              </w:rPr>
              <w:t xml:space="preserve">Planning for the year 2021 was only resumed in March 2021, with the involvement of UNDP and IDB's senior management along with senior representatives of the Ministry. </w:t>
            </w:r>
          </w:p>
          <w:p w14:paraId="75A8309B" w14:textId="5163E552" w:rsidR="00186F4C" w:rsidRPr="00336657" w:rsidRDefault="00186F4C" w:rsidP="000D3868">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 xml:space="preserve">In June 2021, after different draft Work Plan proposals were discussed, the Ministry presented a proposal for changes, later included in letter 2837/MMA/2021. The aforementioned letter presents a general justification and requests </w:t>
            </w:r>
            <w:proofErr w:type="gramStart"/>
            <w:r w:rsidRPr="00336657">
              <w:rPr>
                <w:rFonts w:ascii="ArialMT" w:eastAsiaTheme="minorEastAsia" w:hAnsi="ArialMT" w:cs="ArialMT"/>
                <w:color w:val="222222"/>
                <w:sz w:val="22"/>
                <w:szCs w:val="22"/>
              </w:rPr>
              <w:t>a</w:t>
            </w:r>
            <w:proofErr w:type="gramEnd"/>
            <w:r w:rsidRPr="00336657">
              <w:rPr>
                <w:rFonts w:ascii="ArialMT" w:eastAsiaTheme="minorEastAsia" w:hAnsi="ArialMT" w:cs="ArialMT"/>
                <w:color w:val="222222"/>
                <w:sz w:val="22"/>
                <w:szCs w:val="22"/>
              </w:rPr>
              <w:t xml:space="preserve"> 18-month period of extension for the proposed changes. The Ministry informed that a detailed Work Plan and justification within the Project objectives and goals were under preparation and would be sent by the end of July. During a meeting among representatives of UNDP, IDB, MMA and Brazilian Cooperation Agency (ABC), in June, it was emphasized that the presentation of the activities/</w:t>
            </w:r>
            <w:proofErr w:type="gramStart"/>
            <w:r w:rsidRPr="00336657">
              <w:rPr>
                <w:rFonts w:ascii="ArialMT" w:eastAsiaTheme="minorEastAsia" w:hAnsi="ArialMT" w:cs="ArialMT"/>
                <w:color w:val="222222"/>
                <w:sz w:val="22"/>
                <w:szCs w:val="22"/>
              </w:rPr>
              <w:t>inputs</w:t>
            </w:r>
            <w:proofErr w:type="gramEnd"/>
            <w:r w:rsidRPr="00336657">
              <w:rPr>
                <w:rFonts w:ascii="ArialMT" w:eastAsiaTheme="minorEastAsia" w:hAnsi="ArialMT" w:cs="ArialMT"/>
                <w:color w:val="222222"/>
                <w:sz w:val="22"/>
                <w:szCs w:val="22"/>
              </w:rPr>
              <w:t xml:space="preserve"> details and their relation to the project objectives, goals and outcomes is key for the analysis of the proposal. The feasibility and risks analysis of this new work plan, including the proposed extension, will be conducted by the executing agency (UNDP</w:t>
            </w:r>
            <w:proofErr w:type="gramStart"/>
            <w:r w:rsidRPr="00336657">
              <w:rPr>
                <w:rFonts w:ascii="ArialMT" w:eastAsiaTheme="minorEastAsia" w:hAnsi="ArialMT" w:cs="ArialMT"/>
                <w:color w:val="222222"/>
                <w:sz w:val="22"/>
                <w:szCs w:val="22"/>
              </w:rPr>
              <w:t>)</w:t>
            </w:r>
            <w:proofErr w:type="gramEnd"/>
            <w:r w:rsidRPr="00336657">
              <w:rPr>
                <w:rFonts w:ascii="ArialMT" w:eastAsiaTheme="minorEastAsia" w:hAnsi="ArialMT" w:cs="ArialMT"/>
                <w:color w:val="222222"/>
                <w:sz w:val="22"/>
                <w:szCs w:val="22"/>
              </w:rPr>
              <w:t xml:space="preserve"> and revised by the Bank as soon as the plan and its technical background is sent by the Ministry. </w:t>
            </w:r>
          </w:p>
          <w:p w14:paraId="577B40D9" w14:textId="319F2EA9" w:rsidR="00186F4C" w:rsidRPr="00336657" w:rsidRDefault="00186F4C" w:rsidP="000D3868">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Considering that the TC’s current execution period ends in November 2021, a viable work plan by the Ministry and a project extension to execute this plan will be required for the project goals to be achieved. </w:t>
            </w:r>
          </w:p>
        </w:tc>
      </w:tr>
    </w:tbl>
    <w:p w14:paraId="14C23540" w14:textId="77777777" w:rsidR="00186F4C" w:rsidRPr="00336657" w:rsidRDefault="00186F4C" w:rsidP="00804824">
      <w:pPr>
        <w:spacing w:after="0"/>
        <w:rPr>
          <w:rFonts w:ascii="ArialMT" w:hAnsi="ArialMT"/>
          <w:sz w:val="16"/>
          <w:szCs w:val="16"/>
        </w:rPr>
      </w:pPr>
    </w:p>
    <w:p w14:paraId="75319F93" w14:textId="77777777" w:rsidR="00655A99" w:rsidRPr="00336657" w:rsidRDefault="00655A99" w:rsidP="00804824">
      <w:pPr>
        <w:spacing w:after="0"/>
        <w:rPr>
          <w:rFonts w:ascii="ArialMT" w:hAnsi="ArialMT"/>
          <w:sz w:val="16"/>
          <w:szCs w:val="16"/>
        </w:rPr>
      </w:pPr>
    </w:p>
    <w:tbl>
      <w:tblPr>
        <w:tblStyle w:val="TableGrid"/>
        <w:tblW w:w="0" w:type="auto"/>
        <w:tblLook w:val="04A0" w:firstRow="1" w:lastRow="0" w:firstColumn="1" w:lastColumn="0" w:noHBand="0" w:noVBand="1"/>
      </w:tblPr>
      <w:tblGrid>
        <w:gridCol w:w="12415"/>
        <w:gridCol w:w="990"/>
        <w:gridCol w:w="985"/>
      </w:tblGrid>
      <w:tr w:rsidR="00804824" w:rsidRPr="00336657" w14:paraId="10F31BF5" w14:textId="77777777" w:rsidTr="009D0C1F">
        <w:tc>
          <w:tcPr>
            <w:tcW w:w="1439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F1B9A15" w14:textId="16509187" w:rsidR="00804824" w:rsidRPr="00336657" w:rsidRDefault="00804824" w:rsidP="00804824">
            <w:pPr>
              <w:rPr>
                <w:rFonts w:ascii="ArialMT" w:hAnsi="ArialMT"/>
              </w:rPr>
            </w:pPr>
            <w:r w:rsidRPr="00336657">
              <w:rPr>
                <w:rFonts w:ascii="ArialMT" w:hAnsi="ArialMT" w:cs="Arial-BoldMT"/>
                <w:b/>
                <w:bCs/>
                <w:color w:val="000066"/>
              </w:rPr>
              <w:t>IMPLEMENTATION PROGRESS RATING (IP) &amp; ASSESSMENT</w:t>
            </w:r>
          </w:p>
        </w:tc>
      </w:tr>
      <w:tr w:rsidR="00CE68C6" w:rsidRPr="00336657" w14:paraId="3F5C03D7" w14:textId="77777777" w:rsidTr="009D0C1F">
        <w:tc>
          <w:tcPr>
            <w:tcW w:w="14390" w:type="dxa"/>
            <w:gridSpan w:val="3"/>
            <w:tcBorders>
              <w:top w:val="single" w:sz="4" w:space="0" w:color="D9D9D9" w:themeColor="background1" w:themeShade="D9"/>
              <w:left w:val="nil"/>
              <w:bottom w:val="single" w:sz="4" w:space="0" w:color="D9D9D9" w:themeColor="background1" w:themeShade="D9"/>
              <w:right w:val="nil"/>
            </w:tcBorders>
          </w:tcPr>
          <w:p w14:paraId="59843116" w14:textId="5691BB35" w:rsidR="00CE68C6" w:rsidRPr="00336657" w:rsidRDefault="00CE68C6" w:rsidP="000C59CC">
            <w:pPr>
              <w:spacing w:before="60" w:after="60"/>
              <w:rPr>
                <w:rFonts w:ascii="ArialMT" w:hAnsi="ArialMT"/>
                <w:color w:val="000066"/>
                <w:sz w:val="18"/>
                <w:szCs w:val="18"/>
              </w:rPr>
            </w:pPr>
            <w:r w:rsidRPr="00336657">
              <w:rPr>
                <w:rFonts w:ascii="ArialMT" w:hAnsi="ArialMT"/>
                <w:color w:val="000066"/>
                <w:sz w:val="18"/>
                <w:szCs w:val="18"/>
              </w:rPr>
              <w:t>Insert here an assessment and provide ratings</w:t>
            </w:r>
            <w:r w:rsidRPr="00336657">
              <w:rPr>
                <w:rFonts w:ascii="ArialMT" w:hAnsi="ArialMT"/>
                <w:color w:val="000066"/>
                <w:sz w:val="18"/>
                <w:szCs w:val="18"/>
                <w:vertAlign w:val="superscript"/>
              </w:rPr>
              <w:footnoteReference w:id="4"/>
            </w:r>
            <w:r w:rsidRPr="00336657">
              <w:rPr>
                <w:rFonts w:ascii="ArialMT" w:hAnsi="ArialMT"/>
                <w:color w:val="000066"/>
                <w:sz w:val="18"/>
                <w:szCs w:val="18"/>
              </w:rPr>
              <w:t xml:space="preserve"> of overall Implementation Progress, including information on progress, </w:t>
            </w:r>
            <w:proofErr w:type="gramStart"/>
            <w:r w:rsidRPr="00336657">
              <w:rPr>
                <w:rFonts w:ascii="ArialMT" w:hAnsi="ArialMT"/>
                <w:color w:val="000066"/>
                <w:sz w:val="18"/>
                <w:szCs w:val="18"/>
              </w:rPr>
              <w:t>challenges</w:t>
            </w:r>
            <w:proofErr w:type="gramEnd"/>
            <w:r w:rsidRPr="00336657">
              <w:rPr>
                <w:rFonts w:ascii="ArialMT" w:hAnsi="ArialMT"/>
                <w:color w:val="000066"/>
                <w:sz w:val="18"/>
                <w:szCs w:val="18"/>
              </w:rPr>
              <w:t xml:space="preserve"> and outcomes on project implementation activities from July 1</w:t>
            </w:r>
            <w:r w:rsidRPr="00336657">
              <w:rPr>
                <w:rFonts w:ascii="ArialMT" w:hAnsi="ArialMT"/>
                <w:color w:val="000066"/>
                <w:sz w:val="18"/>
                <w:szCs w:val="18"/>
                <w:vertAlign w:val="superscript"/>
              </w:rPr>
              <w:t>st</w:t>
            </w:r>
            <w:r w:rsidR="000D3A7E" w:rsidRPr="00336657">
              <w:rPr>
                <w:rFonts w:ascii="ArialMT" w:hAnsi="ArialMT"/>
                <w:color w:val="000066"/>
                <w:sz w:val="18"/>
                <w:szCs w:val="18"/>
              </w:rPr>
              <w:t>, 2020</w:t>
            </w:r>
            <w:r w:rsidR="00E140FC" w:rsidRPr="00336657">
              <w:rPr>
                <w:rFonts w:ascii="ArialMT" w:hAnsi="ArialMT"/>
                <w:color w:val="000066"/>
                <w:sz w:val="18"/>
                <w:szCs w:val="18"/>
              </w:rPr>
              <w:t>,</w:t>
            </w:r>
            <w:r w:rsidRPr="00336657">
              <w:rPr>
                <w:rFonts w:ascii="ArialMT" w:hAnsi="ArialMT"/>
                <w:color w:val="000066"/>
                <w:sz w:val="18"/>
                <w:szCs w:val="18"/>
              </w:rPr>
              <w:t xml:space="preserve"> until June 30th, 2021. </w:t>
            </w:r>
            <w:r w:rsidRPr="00336657">
              <w:rPr>
                <w:rFonts w:ascii="ArialMT" w:hAnsi="ArialMT"/>
                <w:color w:val="FF0000"/>
                <w:sz w:val="18"/>
                <w:szCs w:val="18"/>
              </w:rPr>
              <w:t>As applicable, please include information on issues and solutions related to COVID-19.</w:t>
            </w:r>
          </w:p>
        </w:tc>
      </w:tr>
      <w:tr w:rsidR="00A9323B" w:rsidRPr="00336657" w14:paraId="192FF1ED" w14:textId="77777777" w:rsidTr="00EE063B">
        <w:tc>
          <w:tcPr>
            <w:tcW w:w="124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6E97FC9" w14:textId="22EBBBEE" w:rsidR="00A9323B" w:rsidRPr="00336657" w:rsidRDefault="00A9323B" w:rsidP="00EE063B">
            <w:pPr>
              <w:spacing w:before="60" w:after="60"/>
              <w:jc w:val="center"/>
              <w:rPr>
                <w:rFonts w:ascii="ArialMT" w:hAnsi="ArialMT"/>
                <w:sz w:val="14"/>
                <w:szCs w:val="14"/>
              </w:rPr>
            </w:pPr>
            <w:r w:rsidRPr="00336657">
              <w:rPr>
                <w:rFonts w:ascii="ArialMT" w:hAnsi="ArialMT" w:cs="ArialMT"/>
                <w:color w:val="222222"/>
                <w:sz w:val="14"/>
                <w:szCs w:val="14"/>
              </w:rPr>
              <w:t>OVERALL ASSESSMENT (</w:t>
            </w:r>
            <w:r w:rsidR="00A212FF">
              <w:rPr>
                <w:rFonts w:ascii="ArialMT" w:hAnsi="ArialMT" w:cs="ArialMT"/>
                <w:color w:val="222222"/>
                <w:sz w:val="14"/>
                <w:szCs w:val="14"/>
              </w:rPr>
              <w:t>IP</w:t>
            </w:r>
            <w:r w:rsidRPr="00336657">
              <w:rPr>
                <w:rFonts w:ascii="ArialMT" w:hAnsi="ArialMT" w:cs="ArialMT"/>
                <w:color w:val="222222"/>
                <w:sz w:val="14"/>
                <w:szCs w:val="14"/>
              </w:rPr>
              <w:t>)</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6D83A5A" w14:textId="1C67C20A" w:rsidR="00A9323B" w:rsidRPr="00336657" w:rsidRDefault="00A9323B" w:rsidP="00EE063B">
            <w:pPr>
              <w:autoSpaceDE w:val="0"/>
              <w:autoSpaceDN w:val="0"/>
              <w:adjustRightInd w:val="0"/>
              <w:jc w:val="center"/>
              <w:rPr>
                <w:rFonts w:ascii="ArialMT" w:hAnsi="ArialMT"/>
                <w:sz w:val="14"/>
                <w:szCs w:val="14"/>
              </w:rPr>
            </w:pPr>
            <w:r w:rsidRPr="00336657">
              <w:rPr>
                <w:rFonts w:ascii="ArialMT" w:hAnsi="ArialMT" w:cs="ArialMT"/>
                <w:color w:val="222222"/>
                <w:sz w:val="14"/>
                <w:szCs w:val="14"/>
              </w:rPr>
              <w:t>PREVIOUS</w:t>
            </w:r>
            <w:r w:rsidRPr="00336657">
              <w:rPr>
                <w:rFonts w:ascii="ArialMT" w:hAnsi="ArialMT" w:cs="ArialMT"/>
                <w:color w:val="222222"/>
                <w:sz w:val="14"/>
                <w:szCs w:val="14"/>
              </w:rPr>
              <w:br/>
              <w:t>RATING</w:t>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043841B" w14:textId="2FED2350" w:rsidR="00A9323B" w:rsidRPr="00336657" w:rsidRDefault="00A9323B" w:rsidP="00EE063B">
            <w:pPr>
              <w:spacing w:before="60" w:after="60"/>
              <w:jc w:val="center"/>
              <w:rPr>
                <w:rFonts w:ascii="ArialMT" w:hAnsi="ArialMT"/>
                <w:sz w:val="14"/>
                <w:szCs w:val="14"/>
              </w:rPr>
            </w:pPr>
            <w:r w:rsidRPr="00336657">
              <w:rPr>
                <w:rFonts w:ascii="ArialMT" w:hAnsi="ArialMT" w:cs="ArialMT"/>
                <w:color w:val="222222"/>
                <w:sz w:val="14"/>
                <w:szCs w:val="14"/>
              </w:rPr>
              <w:t>NEW RATING</w:t>
            </w:r>
          </w:p>
        </w:tc>
      </w:tr>
      <w:tr w:rsidR="00CE68C6" w:rsidRPr="00336657" w14:paraId="6C475CC6" w14:textId="77777777" w:rsidTr="00A9323B">
        <w:tc>
          <w:tcPr>
            <w:tcW w:w="124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60DD13" w14:textId="5469A354" w:rsidR="00CE68C6" w:rsidRPr="00336657" w:rsidRDefault="00FB345C" w:rsidP="00CA1FC7">
            <w:pPr>
              <w:spacing w:before="120" w:after="120"/>
              <w:rPr>
                <w:rFonts w:ascii="ArialMT" w:hAnsi="ArialMT"/>
              </w:rPr>
            </w:pPr>
            <w:r w:rsidRPr="00336657">
              <w:rPr>
                <w:rFonts w:ascii="ArialMT" w:hAnsi="ArialMT" w:cs="ArialMT"/>
                <w:color w:val="222222"/>
              </w:rPr>
              <w:t>Implementation Progress is considered Unsatisfactory. Although the Nagoya Protocol was ratified by Congress and the development of management systems supported by the Project played a role, activities were hampered by governance and capacity issues. Alongside the impacts of Covid-19 pandemic, changes in Ministry structure and new guidelines for the execution of the project led to a significant delay of the planned activities. Despite the efforts to keep the ongoing activities, loss of institutional memory, and a steep learning curve for the incoming team of the Ministry resulted in further delays. Under Brazilian new government guidelines, the Ministry requested the cancelation of several ongoing process and contracts, despite the warnings by the executing agency (UNDP), IDB and the Mid-Term Evaluation of the negative impacts that those cancellations would have for the project goals.</w:t>
            </w:r>
            <w:r w:rsidR="0072275F">
              <w:rPr>
                <w:rFonts w:ascii="ArialMT" w:hAnsi="ArialMT" w:cs="ArialMT"/>
                <w:color w:val="222222"/>
              </w:rPr>
              <w:t xml:space="preserve"> O</w:t>
            </w:r>
            <w:r w:rsidRPr="00336657">
              <w:rPr>
                <w:rFonts w:ascii="ArialMT" w:hAnsi="ArialMT" w:cs="ArialMT"/>
                <w:color w:val="222222"/>
              </w:rPr>
              <w:t>nly in  June 2021, the MMA presented a proposal for changes, during the tripartite meeting held on June 24, which was formalized through official letter  2837/MMA/2021, of June 25, sent to IDB, The official letter presents some briefly justification for the changes in the Work Plan for 2021/2022, requests a 18-  month period of extension for the project, but lack the detailed information of the execution plan and, therefore, could not yet be analyzed in the light of impacts  on the goals of the project. The Ministry confirmed that the detailed Work Plan is being formulated but recent changes of the Ministry and the Director's board have once again delayed this delivery. In this sense, many of the Project's activities are paralyzed, and the validity of the proposed changes by the Ministry and its impacts to the goals of the project can only be further analyzed by the EA and the Bank when the new Work Plan is sent by the Ministry.</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0E02C9" w14:textId="51DAD250" w:rsidR="00CE68C6" w:rsidRPr="00336657" w:rsidRDefault="001C168C" w:rsidP="00CA1FC7">
            <w:pPr>
              <w:spacing w:before="120" w:after="120"/>
              <w:jc w:val="center"/>
              <w:rPr>
                <w:rFonts w:ascii="ArialMT" w:hAnsi="ArialMT"/>
              </w:rPr>
            </w:pPr>
            <w:r w:rsidRPr="00336657">
              <w:rPr>
                <w:rFonts w:ascii="ArialMT" w:hAnsi="ArialMT" w:cs="ArialMT"/>
                <w:color w:val="222222"/>
              </w:rPr>
              <w:t>MU</w:t>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8DAD8B" w14:textId="6E0249E4" w:rsidR="00CE68C6" w:rsidRPr="00336657" w:rsidRDefault="001C168C" w:rsidP="00CA1FC7">
            <w:pPr>
              <w:spacing w:before="120" w:after="120"/>
              <w:jc w:val="center"/>
              <w:rPr>
                <w:rFonts w:ascii="ArialMT" w:hAnsi="ArialMT"/>
              </w:rPr>
            </w:pPr>
            <w:r w:rsidRPr="00336657">
              <w:rPr>
                <w:rFonts w:ascii="ArialMT" w:hAnsi="ArialMT" w:cs="ArialMT"/>
                <w:color w:val="222222"/>
              </w:rPr>
              <w:t>U</w:t>
            </w:r>
          </w:p>
        </w:tc>
      </w:tr>
    </w:tbl>
    <w:p w14:paraId="08BF0960" w14:textId="39E03F7F" w:rsidR="00804824" w:rsidRPr="00336657" w:rsidRDefault="00804824" w:rsidP="00804824">
      <w:pPr>
        <w:spacing w:after="0"/>
        <w:rPr>
          <w:rFonts w:ascii="ArialMT" w:hAnsi="ArialMT"/>
          <w:sz w:val="16"/>
          <w:szCs w:val="16"/>
        </w:rPr>
      </w:pPr>
    </w:p>
    <w:tbl>
      <w:tblPr>
        <w:tblStyle w:val="TableGrid"/>
        <w:tblW w:w="0" w:type="auto"/>
        <w:tblLook w:val="04A0" w:firstRow="1" w:lastRow="0" w:firstColumn="1" w:lastColumn="0" w:noHBand="0" w:noVBand="1"/>
      </w:tblPr>
      <w:tblGrid>
        <w:gridCol w:w="14390"/>
      </w:tblGrid>
      <w:tr w:rsidR="002A2C19" w:rsidRPr="00336657" w14:paraId="197FEFFA" w14:textId="77777777" w:rsidTr="009D0C1F">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DA4E206" w14:textId="3234FEC3" w:rsidR="002A2C19" w:rsidRPr="00336657" w:rsidRDefault="00B90657" w:rsidP="009D0C1F">
            <w:pPr>
              <w:rPr>
                <w:rFonts w:ascii="ArialMT" w:hAnsi="ArialMT"/>
              </w:rPr>
            </w:pPr>
            <w:r w:rsidRPr="00336657">
              <w:rPr>
                <w:rFonts w:ascii="ArialMT" w:hAnsi="ArialMT" w:cs="Arial-BoldMT"/>
                <w:b/>
                <w:bCs/>
                <w:color w:val="000066"/>
              </w:rPr>
              <w:t>RISK RATING &amp; ASSESSMENT</w:t>
            </w:r>
          </w:p>
        </w:tc>
      </w:tr>
      <w:tr w:rsidR="00635131" w:rsidRPr="00336657" w14:paraId="387E9DC4" w14:textId="77777777" w:rsidTr="009D0C1F">
        <w:tc>
          <w:tcPr>
            <w:tcW w:w="14390" w:type="dxa"/>
            <w:tcBorders>
              <w:top w:val="single" w:sz="4" w:space="0" w:color="D9D9D9" w:themeColor="background1" w:themeShade="D9"/>
              <w:left w:val="nil"/>
              <w:bottom w:val="single" w:sz="4" w:space="0" w:color="D9D9D9" w:themeColor="background1" w:themeShade="D9"/>
              <w:right w:val="nil"/>
            </w:tcBorders>
          </w:tcPr>
          <w:p w14:paraId="5C25FD98" w14:textId="022ACF5A" w:rsidR="00635131" w:rsidRPr="00336657" w:rsidRDefault="00635131" w:rsidP="00DD1161">
            <w:pPr>
              <w:spacing w:before="60" w:after="60"/>
              <w:rPr>
                <w:rFonts w:ascii="ArialMT" w:hAnsi="ArialMT"/>
                <w:color w:val="000066"/>
                <w:sz w:val="18"/>
                <w:szCs w:val="18"/>
              </w:rPr>
            </w:pPr>
            <w:r w:rsidRPr="00336657">
              <w:rPr>
                <w:rFonts w:ascii="ArialMT" w:hAnsi="ArialMT"/>
                <w:color w:val="000066"/>
                <w:sz w:val="18"/>
                <w:szCs w:val="18"/>
              </w:rPr>
              <w:t>Make any adjustments necessary to the assessment ratings</w:t>
            </w:r>
            <w:r w:rsidRPr="00336657">
              <w:rPr>
                <w:rFonts w:ascii="ArialMT" w:hAnsi="ArialMT"/>
                <w:color w:val="000066"/>
                <w:sz w:val="18"/>
                <w:szCs w:val="18"/>
                <w:vertAlign w:val="superscript"/>
              </w:rPr>
              <w:footnoteReference w:id="5"/>
            </w:r>
            <w:r w:rsidRPr="00336657">
              <w:rPr>
                <w:rFonts w:ascii="ArialMT" w:hAnsi="ArialMT"/>
                <w:color w:val="000066"/>
                <w:sz w:val="18"/>
                <w:szCs w:val="18"/>
                <w:vertAlign w:val="superscript"/>
              </w:rPr>
              <w:t xml:space="preserve"> </w:t>
            </w:r>
            <w:r w:rsidRPr="00336657">
              <w:rPr>
                <w:rFonts w:ascii="ArialMT" w:hAnsi="ArialMT"/>
                <w:color w:val="000066"/>
                <w:sz w:val="18"/>
                <w:szCs w:val="18"/>
              </w:rPr>
              <w:t>of overall Project Risk</w:t>
            </w:r>
            <w:r w:rsidRPr="00336657">
              <w:rPr>
                <w:rFonts w:ascii="ArialMT" w:hAnsi="ArialMT"/>
                <w:color w:val="000066"/>
                <w:sz w:val="18"/>
                <w:szCs w:val="18"/>
                <w:vertAlign w:val="superscript"/>
              </w:rPr>
              <w:footnoteReference w:id="6"/>
            </w:r>
            <w:r w:rsidRPr="00336657">
              <w:rPr>
                <w:rFonts w:ascii="ArialMT" w:hAnsi="ArialMT"/>
                <w:color w:val="000066"/>
                <w:sz w:val="18"/>
                <w:szCs w:val="18"/>
              </w:rPr>
              <w:t xml:space="preserve"> that you provided in the last PIR (2019-2020). Please include details and remedial measures for High and Substantial Risks, specifying who will be responsible for these measures.</w:t>
            </w:r>
          </w:p>
        </w:tc>
      </w:tr>
    </w:tbl>
    <w:p w14:paraId="2FC7C436" w14:textId="77777777" w:rsidR="000D3A7E" w:rsidRPr="00336657" w:rsidRDefault="000D3A7E" w:rsidP="000D3A7E">
      <w:pPr>
        <w:spacing w:after="0"/>
        <w:rPr>
          <w:rFonts w:ascii="ArialMT" w:hAnsi="ArialMT"/>
          <w:sz w:val="2"/>
          <w:szCs w:val="2"/>
        </w:rPr>
      </w:pPr>
    </w:p>
    <w:tbl>
      <w:tblPr>
        <w:tblStyle w:val="TableGrid"/>
        <w:tblW w:w="0" w:type="auto"/>
        <w:tblLook w:val="04A0" w:firstRow="1" w:lastRow="0" w:firstColumn="1" w:lastColumn="0" w:noHBand="0" w:noVBand="1"/>
      </w:tblPr>
      <w:tblGrid>
        <w:gridCol w:w="12415"/>
        <w:gridCol w:w="990"/>
        <w:gridCol w:w="985"/>
      </w:tblGrid>
      <w:tr w:rsidR="00EE063B" w:rsidRPr="00336657" w14:paraId="20771C56" w14:textId="77777777" w:rsidTr="000D3A7E">
        <w:trPr>
          <w:tblHeader/>
        </w:trPr>
        <w:tc>
          <w:tcPr>
            <w:tcW w:w="124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E450B39" w14:textId="6FF051C6" w:rsidR="00EE063B" w:rsidRPr="00336657" w:rsidRDefault="00EE063B" w:rsidP="00EE063B">
            <w:pPr>
              <w:spacing w:before="60" w:after="60"/>
              <w:jc w:val="center"/>
              <w:rPr>
                <w:rFonts w:ascii="ArialMT" w:hAnsi="ArialMT"/>
                <w:sz w:val="16"/>
                <w:szCs w:val="16"/>
              </w:rPr>
            </w:pPr>
            <w:r w:rsidRPr="00336657">
              <w:rPr>
                <w:rFonts w:ascii="ArialMT" w:hAnsi="ArialMT" w:cs="ArialMT"/>
                <w:color w:val="222222"/>
                <w:sz w:val="14"/>
                <w:szCs w:val="14"/>
              </w:rPr>
              <w:t>OVERALL ASSESSMENT (</w:t>
            </w:r>
            <w:r w:rsidR="00A212FF">
              <w:rPr>
                <w:rFonts w:ascii="ArialMT" w:hAnsi="ArialMT" w:cs="ArialMT"/>
                <w:color w:val="222222"/>
                <w:sz w:val="14"/>
                <w:szCs w:val="14"/>
              </w:rPr>
              <w:t>RISK</w:t>
            </w:r>
            <w:r w:rsidRPr="00336657">
              <w:rPr>
                <w:rFonts w:ascii="ArialMT" w:hAnsi="ArialMT" w:cs="ArialMT"/>
                <w:color w:val="222222"/>
                <w:sz w:val="14"/>
                <w:szCs w:val="14"/>
              </w:rPr>
              <w:t>)</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9CC4FFE" w14:textId="5AB5B898" w:rsidR="00EE063B" w:rsidRPr="00336657" w:rsidRDefault="00EE063B" w:rsidP="00EE063B">
            <w:pPr>
              <w:autoSpaceDE w:val="0"/>
              <w:autoSpaceDN w:val="0"/>
              <w:adjustRightInd w:val="0"/>
              <w:jc w:val="center"/>
              <w:rPr>
                <w:rFonts w:ascii="ArialMT" w:hAnsi="ArialMT"/>
                <w:sz w:val="16"/>
                <w:szCs w:val="16"/>
              </w:rPr>
            </w:pPr>
            <w:r w:rsidRPr="00336657">
              <w:rPr>
                <w:rFonts w:ascii="ArialMT" w:hAnsi="ArialMT" w:cs="ArialMT"/>
                <w:color w:val="222222"/>
                <w:sz w:val="14"/>
                <w:szCs w:val="14"/>
              </w:rPr>
              <w:t>PREVIOUS</w:t>
            </w:r>
            <w:r w:rsidRPr="00336657">
              <w:rPr>
                <w:rFonts w:ascii="ArialMT" w:hAnsi="ArialMT" w:cs="ArialMT"/>
                <w:color w:val="222222"/>
                <w:sz w:val="14"/>
                <w:szCs w:val="14"/>
              </w:rPr>
              <w:br/>
              <w:t>RATING</w:t>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E25854A" w14:textId="6DD5DECE" w:rsidR="00EE063B" w:rsidRPr="00336657" w:rsidRDefault="00EE063B" w:rsidP="00EE063B">
            <w:pPr>
              <w:spacing w:before="60" w:after="60"/>
              <w:jc w:val="center"/>
              <w:rPr>
                <w:rFonts w:ascii="ArialMT" w:hAnsi="ArialMT"/>
                <w:sz w:val="16"/>
                <w:szCs w:val="16"/>
              </w:rPr>
            </w:pPr>
            <w:r w:rsidRPr="00336657">
              <w:rPr>
                <w:rFonts w:ascii="ArialMT" w:hAnsi="ArialMT" w:cs="ArialMT"/>
                <w:color w:val="222222"/>
                <w:sz w:val="14"/>
                <w:szCs w:val="14"/>
              </w:rPr>
              <w:t>NEW RATING</w:t>
            </w:r>
          </w:p>
        </w:tc>
      </w:tr>
      <w:tr w:rsidR="00635131" w:rsidRPr="00336657" w14:paraId="1D3E989B" w14:textId="77777777" w:rsidTr="00EE063B">
        <w:tc>
          <w:tcPr>
            <w:tcW w:w="124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86C86A" w14:textId="1DBF0AEF" w:rsidR="00635131" w:rsidRPr="00336657" w:rsidRDefault="00145278" w:rsidP="00A64363">
            <w:pPr>
              <w:spacing w:before="120" w:after="120"/>
              <w:rPr>
                <w:rFonts w:ascii="ArialMT" w:hAnsi="ArialMT"/>
              </w:rPr>
            </w:pPr>
            <w:r w:rsidRPr="00336657">
              <w:rPr>
                <w:rFonts w:ascii="ArialMT" w:hAnsi="ArialMT" w:cs="ArialMT"/>
                <w:color w:val="222222"/>
              </w:rPr>
              <w:t xml:space="preserve">Risks to the project achieving its results are substantial and stem basically from lack of ownership at the Brazilian Ministry of the Environment. </w:t>
            </w:r>
            <w:r w:rsidR="003D5830" w:rsidRPr="00336657">
              <w:rPr>
                <w:rFonts w:ascii="ArialMT" w:hAnsi="ArialMT" w:cs="ArialMT"/>
                <w:color w:val="222222"/>
              </w:rPr>
              <w:t>Recent progress</w:t>
            </w:r>
            <w:r w:rsidRPr="00336657">
              <w:rPr>
                <w:rFonts w:ascii="ArialMT" w:hAnsi="ArialMT" w:cs="ArialMT"/>
                <w:color w:val="222222"/>
              </w:rPr>
              <w:t xml:space="preserve">, </w:t>
            </w:r>
            <w:r w:rsidR="003D5830" w:rsidRPr="00336657">
              <w:rPr>
                <w:rFonts w:ascii="ArialMT" w:hAnsi="ArialMT" w:cs="ArialMT"/>
                <w:color w:val="222222"/>
              </w:rPr>
              <w:t>especially</w:t>
            </w:r>
            <w:r w:rsidRPr="00336657">
              <w:rPr>
                <w:rFonts w:ascii="ArialMT" w:hAnsi="ArialMT" w:cs="ArialMT"/>
                <w:color w:val="222222"/>
              </w:rPr>
              <w:t xml:space="preserve"> with the ratification of the Nagoya Protocol results from congressional efforts to mitigate the negative impacts of Brazil´s </w:t>
            </w:r>
            <w:r w:rsidR="003D5830" w:rsidRPr="00336657">
              <w:rPr>
                <w:rFonts w:ascii="ArialMT" w:hAnsi="ArialMT" w:cs="ArialMT"/>
                <w:color w:val="222222"/>
              </w:rPr>
              <w:t>environmental policy</w:t>
            </w:r>
            <w:r w:rsidRPr="00336657">
              <w:rPr>
                <w:rFonts w:ascii="ArialMT" w:hAnsi="ArialMT" w:cs="ArialMT"/>
                <w:color w:val="222222"/>
              </w:rPr>
              <w:t xml:space="preserve">, </w:t>
            </w:r>
            <w:r w:rsidR="003D5830" w:rsidRPr="00336657">
              <w:rPr>
                <w:rFonts w:ascii="ArialMT" w:hAnsi="ArialMT" w:cs="ArialMT"/>
                <w:color w:val="222222"/>
              </w:rPr>
              <w:t>especially</w:t>
            </w:r>
            <w:r w:rsidRPr="00336657">
              <w:rPr>
                <w:rFonts w:ascii="ArialMT" w:hAnsi="ArialMT" w:cs="ArialMT"/>
                <w:color w:val="222222"/>
              </w:rPr>
              <w:t xml:space="preserve"> vis-a-vis international public </w:t>
            </w:r>
            <w:r w:rsidR="00CD249A" w:rsidRPr="00336657">
              <w:rPr>
                <w:rFonts w:ascii="ArialMT" w:hAnsi="ArialMT" w:cs="ArialMT"/>
                <w:color w:val="222222"/>
              </w:rPr>
              <w:t>opinion</w:t>
            </w:r>
            <w:r w:rsidRPr="00336657">
              <w:rPr>
                <w:rFonts w:ascii="ArialMT" w:hAnsi="ArialMT" w:cs="ArialMT"/>
                <w:color w:val="222222"/>
              </w:rPr>
              <w:t xml:space="preserve"> and investors. It is of public domain that the </w:t>
            </w:r>
            <w:r w:rsidR="003D5830" w:rsidRPr="00336657">
              <w:rPr>
                <w:rFonts w:ascii="ArialMT" w:hAnsi="ArialMT" w:cs="ArialMT"/>
                <w:color w:val="222222"/>
              </w:rPr>
              <w:t>empowerment</w:t>
            </w:r>
            <w:r w:rsidRPr="00336657">
              <w:rPr>
                <w:rFonts w:ascii="ArialMT" w:hAnsi="ArialMT" w:cs="ArialMT"/>
                <w:color w:val="222222"/>
              </w:rPr>
              <w:t xml:space="preserve"> of local communities and indigenous peoples </w:t>
            </w:r>
            <w:r w:rsidR="003D5830" w:rsidRPr="00336657">
              <w:rPr>
                <w:rFonts w:ascii="ArialMT" w:hAnsi="ArialMT" w:cs="ArialMT"/>
                <w:color w:val="222222"/>
              </w:rPr>
              <w:t>is fundamentally</w:t>
            </w:r>
            <w:r w:rsidRPr="00336657">
              <w:rPr>
                <w:rFonts w:ascii="ArialMT" w:hAnsi="ArialMT" w:cs="ArialMT"/>
                <w:color w:val="222222"/>
              </w:rPr>
              <w:t xml:space="preserve"> against the grain of the current administration perspective on the use of natural resources and rights of minorities. Also, constant changes </w:t>
            </w:r>
            <w:r w:rsidR="003D5830" w:rsidRPr="00336657">
              <w:rPr>
                <w:rFonts w:ascii="ArialMT" w:hAnsi="ArialMT" w:cs="ArialMT"/>
                <w:color w:val="222222"/>
              </w:rPr>
              <w:t>in management</w:t>
            </w:r>
            <w:r w:rsidRPr="00336657">
              <w:rPr>
                <w:rFonts w:ascii="ArialMT" w:hAnsi="ArialMT" w:cs="ArialMT"/>
                <w:color w:val="222222"/>
              </w:rPr>
              <w:t xml:space="preserve"> at </w:t>
            </w:r>
            <w:proofErr w:type="spellStart"/>
            <w:r w:rsidRPr="00336657">
              <w:rPr>
                <w:rFonts w:ascii="ArialMT" w:hAnsi="ArialMT" w:cs="ArialMT"/>
                <w:color w:val="222222"/>
              </w:rPr>
              <w:t>SBio</w:t>
            </w:r>
            <w:proofErr w:type="spellEnd"/>
            <w:r w:rsidRPr="00336657">
              <w:rPr>
                <w:rFonts w:ascii="ArialMT" w:hAnsi="ArialMT" w:cs="ArialMT"/>
                <w:color w:val="222222"/>
              </w:rPr>
              <w:t xml:space="preserve">/MMA led to a redirection of the (Genetic Heritage Department) DPG/MMA technicians, with the removal </w:t>
            </w:r>
            <w:r w:rsidRPr="00336657">
              <w:rPr>
                <w:rFonts w:ascii="ArialMT" w:hAnsi="ArialMT" w:cs="ArialMT"/>
                <w:color w:val="222222"/>
              </w:rPr>
              <w:lastRenderedPageBreak/>
              <w:t xml:space="preserve">of the team that worked on </w:t>
            </w:r>
            <w:r w:rsidR="003D5830" w:rsidRPr="00336657">
              <w:rPr>
                <w:rFonts w:ascii="ArialMT" w:hAnsi="ArialMT" w:cs="ArialMT"/>
                <w:color w:val="222222"/>
              </w:rPr>
              <w:t>the Project</w:t>
            </w:r>
            <w:r w:rsidRPr="00336657">
              <w:rPr>
                <w:rFonts w:ascii="ArialMT" w:hAnsi="ArialMT" w:cs="ArialMT"/>
                <w:color w:val="222222"/>
              </w:rPr>
              <w:t xml:space="preserve">. The Government's guidelines for Indigenous Peoples demonstrate that they can be responsible for the misalignment between what was planned in </w:t>
            </w:r>
            <w:r w:rsidR="003D5830" w:rsidRPr="00336657">
              <w:rPr>
                <w:rFonts w:ascii="ArialMT" w:hAnsi="ArialMT" w:cs="ArialMT"/>
                <w:color w:val="222222"/>
              </w:rPr>
              <w:t>the Project</w:t>
            </w:r>
            <w:r w:rsidRPr="00336657">
              <w:rPr>
                <w:rFonts w:ascii="ArialMT" w:hAnsi="ArialMT" w:cs="ArialMT"/>
                <w:color w:val="222222"/>
              </w:rPr>
              <w:t xml:space="preserve"> and the intentions for 2021 onwards, as the requests for cancellations are also accompanied by an intention to reallocate </w:t>
            </w:r>
            <w:r w:rsidR="003D5830" w:rsidRPr="00336657">
              <w:rPr>
                <w:rFonts w:ascii="ArialMT" w:hAnsi="ArialMT" w:cs="ArialMT"/>
                <w:color w:val="222222"/>
              </w:rPr>
              <w:t>resources and</w:t>
            </w:r>
            <w:r w:rsidRPr="00336657">
              <w:rPr>
                <w:rFonts w:ascii="ArialMT" w:hAnsi="ArialMT" w:cs="ArialMT"/>
                <w:color w:val="222222"/>
              </w:rPr>
              <w:t xml:space="preserve"> propose a new Work Plan.</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C354B1" w14:textId="3EC0E392" w:rsidR="00635131" w:rsidRPr="00336657" w:rsidRDefault="00B30797" w:rsidP="00A64363">
            <w:pPr>
              <w:spacing w:before="120" w:after="120"/>
              <w:jc w:val="center"/>
              <w:rPr>
                <w:rFonts w:ascii="ArialMT" w:hAnsi="ArialMT"/>
              </w:rPr>
            </w:pPr>
            <w:r w:rsidRPr="00336657">
              <w:rPr>
                <w:rFonts w:ascii="ArialMT" w:hAnsi="ArialMT"/>
              </w:rPr>
              <w:lastRenderedPageBreak/>
              <w:t>S</w:t>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94B709" w14:textId="2A0C63EB" w:rsidR="00635131" w:rsidRPr="00336657" w:rsidRDefault="00B30797" w:rsidP="00A64363">
            <w:pPr>
              <w:spacing w:before="120" w:after="120"/>
              <w:jc w:val="center"/>
              <w:rPr>
                <w:rFonts w:ascii="ArialMT" w:hAnsi="ArialMT"/>
              </w:rPr>
            </w:pPr>
            <w:r w:rsidRPr="00336657">
              <w:rPr>
                <w:rFonts w:ascii="ArialMT" w:hAnsi="ArialMT"/>
              </w:rPr>
              <w:t>S</w:t>
            </w:r>
          </w:p>
        </w:tc>
      </w:tr>
    </w:tbl>
    <w:p w14:paraId="05713EF7" w14:textId="6735FF18" w:rsidR="002A2C19" w:rsidRDefault="002A2C19" w:rsidP="002A2C19">
      <w:pPr>
        <w:spacing w:after="0"/>
        <w:rPr>
          <w:rFonts w:ascii="ArialMT" w:hAnsi="ArialMT"/>
          <w:sz w:val="16"/>
          <w:szCs w:val="16"/>
        </w:rPr>
      </w:pPr>
    </w:p>
    <w:tbl>
      <w:tblPr>
        <w:tblStyle w:val="TableGrid"/>
        <w:tblW w:w="0" w:type="auto"/>
        <w:tblLook w:val="04A0" w:firstRow="1" w:lastRow="0" w:firstColumn="1" w:lastColumn="0" w:noHBand="0" w:noVBand="1"/>
      </w:tblPr>
      <w:tblGrid>
        <w:gridCol w:w="14390"/>
      </w:tblGrid>
      <w:tr w:rsidR="005B2C47" w:rsidRPr="00336657" w14:paraId="578C2E38" w14:textId="77777777" w:rsidTr="009D0C1F">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7B78C3E" w14:textId="54C89892" w:rsidR="005B2C47" w:rsidRPr="00336657" w:rsidRDefault="006063F1" w:rsidP="00C0572B">
            <w:pPr>
              <w:keepNext/>
              <w:keepLines/>
              <w:rPr>
                <w:rFonts w:ascii="ArialMT" w:hAnsi="ArialMT"/>
              </w:rPr>
            </w:pPr>
            <w:r w:rsidRPr="00336657">
              <w:rPr>
                <w:rFonts w:ascii="ArialMT" w:hAnsi="ArialMT" w:cs="Arial-BoldMT"/>
                <w:b/>
                <w:bCs/>
                <w:color w:val="000066"/>
              </w:rPr>
              <w:t>STAKEHOLDER ENGAGEMENT</w:t>
            </w:r>
          </w:p>
        </w:tc>
      </w:tr>
      <w:tr w:rsidR="009760F9" w:rsidRPr="00336657" w14:paraId="25C083DA" w14:textId="77777777" w:rsidTr="009D0C1F">
        <w:tc>
          <w:tcPr>
            <w:tcW w:w="14390" w:type="dxa"/>
            <w:tcBorders>
              <w:top w:val="single" w:sz="4" w:space="0" w:color="D9D9D9" w:themeColor="background1" w:themeShade="D9"/>
              <w:left w:val="nil"/>
              <w:bottom w:val="single" w:sz="4" w:space="0" w:color="D9D9D9" w:themeColor="background1" w:themeShade="D9"/>
              <w:right w:val="nil"/>
            </w:tcBorders>
          </w:tcPr>
          <w:p w14:paraId="37D5F263" w14:textId="607005CA" w:rsidR="009760F9" w:rsidRPr="00336657" w:rsidRDefault="009760F9" w:rsidP="00DD1161">
            <w:pPr>
              <w:keepNext/>
              <w:keepLines/>
              <w:spacing w:before="60" w:after="60"/>
              <w:rPr>
                <w:rFonts w:ascii="ArialMT" w:hAnsi="ArialMT"/>
                <w:color w:val="000066"/>
                <w:sz w:val="18"/>
                <w:szCs w:val="18"/>
              </w:rPr>
            </w:pPr>
            <w:r w:rsidRPr="00336657">
              <w:rPr>
                <w:rFonts w:ascii="ArialMT" w:hAnsi="ArialMT"/>
                <w:color w:val="000066"/>
                <w:sz w:val="18"/>
                <w:szCs w:val="18"/>
              </w:rPr>
              <w:t xml:space="preserve">Please add information on any progress, challenges, and outcomes with regards to stakeholder engagement, based on the project’s activities during its implementation through the 2020-2021 GEF Fiscal Year. </w:t>
            </w:r>
            <w:r w:rsidRPr="00336657">
              <w:rPr>
                <w:rFonts w:ascii="ArialMT" w:hAnsi="ArialMT"/>
                <w:color w:val="FF0000"/>
                <w:sz w:val="18"/>
                <w:szCs w:val="18"/>
              </w:rPr>
              <w:t>As applicable, please include information on issues and solutions related to COVID-19.</w:t>
            </w:r>
          </w:p>
        </w:tc>
      </w:tr>
      <w:tr w:rsidR="009760F9" w:rsidRPr="00336657" w14:paraId="318B6137" w14:textId="77777777" w:rsidTr="009D0C1F">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9EF1D3" w14:textId="77777777" w:rsidR="009760F9" w:rsidRPr="00336657" w:rsidRDefault="006936BD" w:rsidP="00957224">
            <w:pPr>
              <w:keepNext/>
              <w:keepLines/>
              <w:spacing w:before="120" w:after="120"/>
              <w:rPr>
                <w:rFonts w:ascii="ArialMT" w:hAnsi="ArialMT" w:cs="ArialMT"/>
                <w:color w:val="222222"/>
              </w:rPr>
            </w:pPr>
            <w:r w:rsidRPr="00336657">
              <w:rPr>
                <w:rFonts w:ascii="ArialMT" w:hAnsi="ArialMT" w:cs="ArialMT"/>
                <w:color w:val="222222"/>
              </w:rPr>
              <w:t>The project was designed to ensure the engagement and participation of all parties involved in the construction of the regulatory framework for benefit-sharing. In addition to training and capacity building in the tools, frameworks and systems of the process, the project provided for the collaborative participation of traditional knowledge providers and producers through the development of community protocols (output indicator 3.5) and a pedagogical plan (output indicator 3.4) aimed at indigenous peoples and traditional communities, pointing out detailed strategies to address their peculiarities and specific demands of each different group.</w:t>
            </w:r>
          </w:p>
          <w:p w14:paraId="6C2D2622" w14:textId="77777777" w:rsidR="006936BD" w:rsidRPr="00336657" w:rsidRDefault="006936BD" w:rsidP="00957224">
            <w:pPr>
              <w:keepNext/>
              <w:keepLines/>
              <w:spacing w:before="120" w:after="120"/>
              <w:rPr>
                <w:rFonts w:ascii="ArialMT" w:hAnsi="ArialMT" w:cs="ArialMT"/>
                <w:b/>
                <w:bCs/>
                <w:color w:val="222222"/>
              </w:rPr>
            </w:pPr>
            <w:r w:rsidRPr="00336657">
              <w:rPr>
                <w:rFonts w:ascii="ArialMT" w:hAnsi="ArialMT" w:cs="ArialMT"/>
                <w:b/>
                <w:bCs/>
                <w:color w:val="222222"/>
              </w:rPr>
              <w:t xml:space="preserve">Recommendations: </w:t>
            </w:r>
          </w:p>
          <w:p w14:paraId="732B54CB" w14:textId="4BB91206" w:rsidR="006936BD" w:rsidRPr="00336657" w:rsidRDefault="006936BD" w:rsidP="00957224">
            <w:pPr>
              <w:pStyle w:val="ListParagraph"/>
              <w:keepNext/>
              <w:keepLines/>
              <w:numPr>
                <w:ilvl w:val="0"/>
                <w:numId w:val="6"/>
              </w:numPr>
              <w:spacing w:before="120" w:after="120"/>
              <w:rPr>
                <w:rFonts w:ascii="ArialMT" w:hAnsi="ArialMT" w:cs="ArialMT"/>
                <w:color w:val="222222"/>
              </w:rPr>
            </w:pPr>
            <w:r w:rsidRPr="00336657">
              <w:rPr>
                <w:rFonts w:ascii="ArialMT" w:hAnsi="ArialMT" w:cs="ArialMT"/>
                <w:color w:val="222222"/>
              </w:rPr>
              <w:t>Ensure that the challenges and new measures proposed by the Ministry are adequate and satisfactorily include and engage the most vulnerable stakeholders, especially representatives of different indigenous peoples, traditional communities, and other traditional knowledge providers.</w:t>
            </w:r>
          </w:p>
          <w:p w14:paraId="3BB533A7" w14:textId="6EB00E8E" w:rsidR="006936BD" w:rsidRPr="00336657" w:rsidRDefault="006936BD" w:rsidP="00957224">
            <w:pPr>
              <w:keepNext/>
              <w:keepLines/>
              <w:spacing w:before="120" w:after="120"/>
              <w:rPr>
                <w:rFonts w:ascii="ArialMT" w:hAnsi="ArialMT" w:cs="ArialMT"/>
                <w:color w:val="222222"/>
              </w:rPr>
            </w:pPr>
          </w:p>
        </w:tc>
      </w:tr>
    </w:tbl>
    <w:p w14:paraId="622E6069" w14:textId="77777777" w:rsidR="00D26CEA" w:rsidRPr="00336657" w:rsidRDefault="00D26CEA" w:rsidP="00D26CEA">
      <w:pPr>
        <w:spacing w:after="0"/>
        <w:rPr>
          <w:rFonts w:ascii="ArialMT" w:hAnsi="ArialMT"/>
          <w:sz w:val="16"/>
          <w:szCs w:val="16"/>
        </w:rPr>
      </w:pPr>
    </w:p>
    <w:tbl>
      <w:tblPr>
        <w:tblStyle w:val="TableGrid"/>
        <w:tblW w:w="0" w:type="auto"/>
        <w:tblLook w:val="04A0" w:firstRow="1" w:lastRow="0" w:firstColumn="1" w:lastColumn="0" w:noHBand="0" w:noVBand="1"/>
      </w:tblPr>
      <w:tblGrid>
        <w:gridCol w:w="14390"/>
      </w:tblGrid>
      <w:tr w:rsidR="00D26CEA" w:rsidRPr="00336657" w14:paraId="2A154704" w14:textId="77777777" w:rsidTr="004D65E3">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359156" w14:textId="77777777" w:rsidR="00D26CEA" w:rsidRPr="00336657" w:rsidRDefault="00D26CEA" w:rsidP="004D65E3">
            <w:pPr>
              <w:rPr>
                <w:rFonts w:ascii="ArialMT" w:hAnsi="ArialMT"/>
              </w:rPr>
            </w:pPr>
            <w:r w:rsidRPr="00336657">
              <w:rPr>
                <w:rFonts w:ascii="ArialMT" w:hAnsi="ArialMT" w:cs="Arial-BoldMT"/>
                <w:b/>
                <w:bCs/>
                <w:color w:val="000066"/>
              </w:rPr>
              <w:t xml:space="preserve">GENDER </w:t>
            </w:r>
          </w:p>
        </w:tc>
      </w:tr>
      <w:tr w:rsidR="00D26CEA" w:rsidRPr="00336657" w14:paraId="25E7C389" w14:textId="77777777" w:rsidTr="004D65E3">
        <w:tc>
          <w:tcPr>
            <w:tcW w:w="14390" w:type="dxa"/>
            <w:tcBorders>
              <w:top w:val="single" w:sz="4" w:space="0" w:color="D9D9D9" w:themeColor="background1" w:themeShade="D9"/>
              <w:left w:val="nil"/>
              <w:bottom w:val="single" w:sz="4" w:space="0" w:color="D9D9D9" w:themeColor="background1" w:themeShade="D9"/>
              <w:right w:val="nil"/>
            </w:tcBorders>
          </w:tcPr>
          <w:p w14:paraId="0D5235D4" w14:textId="77777777" w:rsidR="00D26CEA" w:rsidRPr="00336657" w:rsidRDefault="00D26CEA" w:rsidP="004D65E3">
            <w:pPr>
              <w:spacing w:before="40" w:after="120"/>
              <w:rPr>
                <w:rFonts w:ascii="ArialMT" w:hAnsi="ArialMT"/>
                <w:color w:val="000066"/>
                <w:sz w:val="18"/>
                <w:szCs w:val="18"/>
              </w:rPr>
            </w:pPr>
            <w:r w:rsidRPr="00336657">
              <w:rPr>
                <w:rFonts w:ascii="ArialMT" w:hAnsi="ArialMT"/>
                <w:color w:val="000066"/>
                <w:sz w:val="18"/>
                <w:szCs w:val="18"/>
              </w:rPr>
              <w:t xml:space="preserve">Please add information on any progress, challenges, and outcomes with regards to </w:t>
            </w:r>
            <w:proofErr w:type="gramStart"/>
            <w:r w:rsidRPr="00336657">
              <w:rPr>
                <w:rFonts w:ascii="ArialMT" w:hAnsi="ArialMT"/>
                <w:color w:val="000066"/>
                <w:sz w:val="18"/>
                <w:szCs w:val="18"/>
              </w:rPr>
              <w:t>any and all</w:t>
            </w:r>
            <w:proofErr w:type="gramEnd"/>
            <w:r w:rsidRPr="00336657">
              <w:rPr>
                <w:rFonts w:ascii="ArialMT" w:hAnsi="ArialMT"/>
                <w:color w:val="000066"/>
                <w:sz w:val="18"/>
                <w:szCs w:val="18"/>
              </w:rPr>
              <w:t xml:space="preserve"> gender-responsive measures that were undertaken in the project’s activities during the 2020-2021 GEF Fiscal Year.  Also: Were indicators on gender equality and women’s empowerment incorporated in the project’s results framework? (Yes/No). If applicable, include the indicator with its baseline, target, and current value (2020-2021).</w:t>
            </w:r>
          </w:p>
        </w:tc>
      </w:tr>
      <w:tr w:rsidR="00D26CEA" w:rsidRPr="00336657" w14:paraId="305DBEE8" w14:textId="77777777" w:rsidTr="004D65E3">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45171E" w14:textId="77777777" w:rsidR="00D26CEA" w:rsidRPr="00336657" w:rsidRDefault="00D26CEA" w:rsidP="004D65E3">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The project supports the access mechanisms, protection and sharing the benefits produced using genetic resources and associated traditional knowledge. Although the project's original design did not have gender-specific indicators, it incorporates the concern around promoting equal participation of men and women in the project activities, mainly the training processes.  As such, institutional capacity-building and other training initiatives (outputs 1.1, 1.3, 3.1) have been monitored, recording gender of participants in meeting minutes and attendance list of participants.</w:t>
            </w:r>
          </w:p>
          <w:p w14:paraId="4094A427" w14:textId="77777777" w:rsidR="00D26CEA" w:rsidRPr="00336657" w:rsidRDefault="00D26CEA" w:rsidP="004D65E3">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Up until now, of a total of 464 representatives from Academy, Government and Private Sector trained, 51% were men and 49% women.  For representatives of Traditional Communities and Indigenous People, out of 37 people trained, approximately 60% were men and 40% women.</w:t>
            </w:r>
          </w:p>
          <w:p w14:paraId="216A463C" w14:textId="77777777" w:rsidR="00D26CEA" w:rsidRPr="00336657" w:rsidRDefault="00D26CEA" w:rsidP="004D65E3">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The project will support and continue to monitor and promote equal participation of men and women for future training activities.</w:t>
            </w:r>
          </w:p>
          <w:p w14:paraId="18463C1E" w14:textId="77777777" w:rsidR="00D26CEA" w:rsidRPr="00336657" w:rsidRDefault="00D26CEA" w:rsidP="004D65E3">
            <w:pPr>
              <w:pStyle w:val="NormalWeb"/>
              <w:spacing w:before="120" w:beforeAutospacing="0" w:after="120" w:afterAutospacing="0"/>
              <w:rPr>
                <w:rFonts w:ascii="ArialMT" w:eastAsiaTheme="minorEastAsia" w:hAnsi="ArialMT" w:cs="ArialMT"/>
                <w:b/>
                <w:bCs/>
                <w:color w:val="222222"/>
                <w:sz w:val="22"/>
                <w:szCs w:val="22"/>
              </w:rPr>
            </w:pPr>
            <w:r w:rsidRPr="00336657">
              <w:rPr>
                <w:rFonts w:ascii="ArialMT" w:eastAsiaTheme="minorEastAsia" w:hAnsi="ArialMT" w:cs="ArialMT"/>
                <w:b/>
                <w:bCs/>
                <w:color w:val="222222"/>
                <w:sz w:val="22"/>
                <w:szCs w:val="22"/>
              </w:rPr>
              <w:t xml:space="preserve">Recommendations: </w:t>
            </w:r>
          </w:p>
          <w:p w14:paraId="597D1A3F" w14:textId="77777777" w:rsidR="00D26CEA" w:rsidRPr="00336657" w:rsidRDefault="00D26CEA" w:rsidP="004D65E3">
            <w:pPr>
              <w:pStyle w:val="NormalWeb"/>
              <w:numPr>
                <w:ilvl w:val="0"/>
                <w:numId w:val="6"/>
              </w:numPr>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lastRenderedPageBreak/>
              <w:t xml:space="preserve">Continue monitoring that gender initiatives reach equally men and women, especially women representatives from indigenous peoples, traditional communities, and small rural producers. </w:t>
            </w:r>
          </w:p>
          <w:p w14:paraId="2F64CA70" w14:textId="77777777" w:rsidR="00D26CEA" w:rsidRPr="00336657" w:rsidRDefault="00D26CEA" w:rsidP="004D65E3">
            <w:pPr>
              <w:pStyle w:val="NormalWeb"/>
              <w:numPr>
                <w:ilvl w:val="0"/>
                <w:numId w:val="6"/>
              </w:numPr>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Promote and encourage and increase the adhesion of these groups to the project's initiatives.</w:t>
            </w:r>
          </w:p>
          <w:p w14:paraId="48B70593" w14:textId="77777777" w:rsidR="00D26CEA" w:rsidRPr="00336657" w:rsidRDefault="00D26CEA" w:rsidP="004D65E3">
            <w:pPr>
              <w:pStyle w:val="NormalWeb"/>
              <w:numPr>
                <w:ilvl w:val="0"/>
                <w:numId w:val="6"/>
              </w:numPr>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For new initiatives, include gender indicators for monitoring results.</w:t>
            </w:r>
          </w:p>
        </w:tc>
      </w:tr>
    </w:tbl>
    <w:p w14:paraId="3C3BEE36" w14:textId="77777777" w:rsidR="00D26CEA" w:rsidRPr="00336657" w:rsidRDefault="00D26CEA" w:rsidP="00264881">
      <w:pPr>
        <w:spacing w:after="0"/>
        <w:rPr>
          <w:rFonts w:ascii="ArialMT" w:hAnsi="ArialMT"/>
          <w:b/>
          <w:sz w:val="16"/>
          <w:szCs w:val="16"/>
          <w:u w:val="single"/>
        </w:rPr>
      </w:pPr>
    </w:p>
    <w:tbl>
      <w:tblPr>
        <w:tblStyle w:val="TableGrid"/>
        <w:tblW w:w="0" w:type="auto"/>
        <w:tblLook w:val="04A0" w:firstRow="1" w:lastRow="0" w:firstColumn="1" w:lastColumn="0" w:noHBand="0" w:noVBand="1"/>
      </w:tblPr>
      <w:tblGrid>
        <w:gridCol w:w="14390"/>
      </w:tblGrid>
      <w:tr w:rsidR="00264881" w:rsidRPr="00336657" w14:paraId="2A4A78DE" w14:textId="77777777" w:rsidTr="009D0C1F">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64CC5BB" w14:textId="7B3B2B61" w:rsidR="00264881" w:rsidRPr="00336657" w:rsidRDefault="002B4612" w:rsidP="009D0C1F">
            <w:pPr>
              <w:keepNext/>
              <w:keepLines/>
              <w:rPr>
                <w:rFonts w:ascii="ArialMT" w:hAnsi="ArialMT"/>
              </w:rPr>
            </w:pPr>
            <w:r w:rsidRPr="00336657">
              <w:rPr>
                <w:rFonts w:ascii="ArialMT" w:hAnsi="ArialMT" w:cs="Arial-BoldMT"/>
                <w:b/>
                <w:bCs/>
                <w:color w:val="000066"/>
              </w:rPr>
              <w:t>KNOWLEDGE</w:t>
            </w:r>
          </w:p>
        </w:tc>
      </w:tr>
      <w:tr w:rsidR="00264881" w:rsidRPr="00336657" w14:paraId="06F7F288" w14:textId="77777777" w:rsidTr="009D0C1F">
        <w:tc>
          <w:tcPr>
            <w:tcW w:w="14390" w:type="dxa"/>
            <w:tcBorders>
              <w:top w:val="single" w:sz="4" w:space="0" w:color="D9D9D9" w:themeColor="background1" w:themeShade="D9"/>
              <w:left w:val="nil"/>
              <w:bottom w:val="single" w:sz="4" w:space="0" w:color="D9D9D9" w:themeColor="background1" w:themeShade="D9"/>
              <w:right w:val="nil"/>
            </w:tcBorders>
          </w:tcPr>
          <w:p w14:paraId="060B9FA3" w14:textId="77BD3E02" w:rsidR="00264881" w:rsidRPr="00336657" w:rsidRDefault="0084074E" w:rsidP="00DD1161">
            <w:pPr>
              <w:spacing w:before="60" w:after="60"/>
              <w:rPr>
                <w:rFonts w:ascii="ArialMT" w:hAnsi="ArialMT"/>
                <w:color w:val="000066"/>
                <w:sz w:val="18"/>
                <w:szCs w:val="18"/>
              </w:rPr>
            </w:pPr>
            <w:r w:rsidRPr="00336657">
              <w:rPr>
                <w:rFonts w:ascii="ArialMT" w:hAnsi="ArialMT"/>
                <w:color w:val="000066"/>
                <w:sz w:val="18"/>
                <w:szCs w:val="18"/>
              </w:rPr>
              <w:t xml:space="preserve">Please add information on knowledge activities and products developed in relation to the project (with GEF or non-GEF resources), with special emphasis on activities carried out during the 2020-2021 GEF Fiscal Year. </w:t>
            </w:r>
            <w:r w:rsidRPr="00336657">
              <w:rPr>
                <w:rFonts w:ascii="ArialMT" w:hAnsi="ArialMT"/>
                <w:color w:val="FF0000"/>
                <w:sz w:val="18"/>
                <w:szCs w:val="18"/>
              </w:rPr>
              <w:t>As applicable, please include information on issues and solutions related to COVID-19.</w:t>
            </w:r>
          </w:p>
        </w:tc>
      </w:tr>
      <w:tr w:rsidR="00264881" w:rsidRPr="00336657" w14:paraId="7214E632" w14:textId="77777777" w:rsidTr="009D0C1F">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C944F4" w14:textId="451287FA" w:rsidR="006936BD" w:rsidRPr="00336657" w:rsidRDefault="006936BD" w:rsidP="00592E5C">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Due to the nature of the project, components 1 and 3 are specifically focused on disseminating knowledge and information, as well as on training representatives of the various actors involved in the various stages of the thematic benefit-sharing arising from genetic heritage or associated traditional knowledge in Brazil.</w:t>
            </w:r>
          </w:p>
          <w:p w14:paraId="3B67211A" w14:textId="2377839E" w:rsidR="006936BD" w:rsidRPr="00336657" w:rsidRDefault="006936BD" w:rsidP="00592E5C">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As reported for the 2020 TCM cycle, several training cycles were carried out for the purpose of harmonizing and standardizing procedures for Project's target audiences, such as Academy, Productive Sector and Law Operators (Output indicators 1.1, 1.3, 3.1). A total of 464 people of this audiences were trained in training/events carried out by the Project so far, already exceeding the total target established. In 2020/2021, due to the State of Emergency in Public Health of National Importance (ESPN) by the Coronavirus (COVID-19) pandemic, and by determinations of the MMA, the planned in-person training activities related to the harmonization of sectors with the law ABS and the Nagoya Protocol were postponed until the situation improves.</w:t>
            </w:r>
          </w:p>
          <w:p w14:paraId="7E6DC1D3" w14:textId="77777777" w:rsidR="006936BD" w:rsidRPr="00336657" w:rsidRDefault="006936BD" w:rsidP="00592E5C">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For providers of traditional knowledge (PICTAFs), in 2020, due to the limitations of the pandemic, only 1 exclusive workshop for PICTAFs was carried out, with the participation of a total of 12 people being trained.  Considering the 25 PICTAFs trained in 2019/2020, a total 37 people were trained so far.</w:t>
            </w:r>
          </w:p>
          <w:p w14:paraId="53B1C49F" w14:textId="314E85BC" w:rsidR="006936BD" w:rsidRPr="00336657" w:rsidRDefault="006936BD" w:rsidP="00592E5C">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In addition, the project plans to prepare specific manuals for each stakeholder group (Output indicator 3.,3), to be included in the ABS Brazil Booklet, as presented as a new action by the MMA to compose the Work Plan for 2021/2022.</w:t>
            </w:r>
          </w:p>
          <w:p w14:paraId="65D0E319" w14:textId="58CE0A5F" w:rsidR="006936BD" w:rsidRPr="00336657" w:rsidRDefault="006936BD" w:rsidP="00592E5C">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 xml:space="preserve">As for the ABS/Biodiversity Portal planned (Output 2.1), the Ministry informed that all data and information related to the ABS agenda in Brazil will be included on the Ministry of the Environment website, which is the Ministry's official channel for disseminating this information. The Ministry also informed that the website </w:t>
            </w:r>
            <w:proofErr w:type="gramStart"/>
            <w:r w:rsidRPr="00336657">
              <w:rPr>
                <w:rFonts w:ascii="ArialMT" w:eastAsiaTheme="minorEastAsia" w:hAnsi="ArialMT" w:cs="ArialMT"/>
                <w:color w:val="222222"/>
                <w:sz w:val="22"/>
                <w:szCs w:val="22"/>
              </w:rPr>
              <w:t>will</w:t>
            </w:r>
            <w:proofErr w:type="gramEnd"/>
            <w:r w:rsidRPr="00336657">
              <w:rPr>
                <w:rFonts w:ascii="ArialMT" w:eastAsiaTheme="minorEastAsia" w:hAnsi="ArialMT" w:cs="ArialMT"/>
                <w:color w:val="222222"/>
                <w:sz w:val="22"/>
                <w:szCs w:val="22"/>
              </w:rPr>
              <w:t xml:space="preserve"> contain the same information provided for the ABS Portal, adding to the CBD's Information Intermediation Center on Access and Benefit Sharing ("ABS Clearing House”). It also noted that it will be possible for the Ministry to count and register the number of accesses/consultations to genetic heritage information, for further report of this indicator.</w:t>
            </w:r>
          </w:p>
          <w:p w14:paraId="2D915F53" w14:textId="464128B8" w:rsidR="006936BD" w:rsidRPr="00336657" w:rsidRDefault="006936BD" w:rsidP="00592E5C">
            <w:pPr>
              <w:pStyle w:val="NormalWeb"/>
              <w:spacing w:before="120" w:beforeAutospacing="0" w:after="120" w:afterAutospacing="0"/>
              <w:rPr>
                <w:rFonts w:ascii="ArialMT" w:eastAsiaTheme="minorEastAsia" w:hAnsi="ArialMT" w:cs="ArialMT"/>
                <w:b/>
                <w:bCs/>
                <w:color w:val="222222"/>
                <w:sz w:val="22"/>
                <w:szCs w:val="22"/>
              </w:rPr>
            </w:pPr>
            <w:r w:rsidRPr="00336657">
              <w:rPr>
                <w:rFonts w:ascii="ArialMT" w:eastAsiaTheme="minorEastAsia" w:hAnsi="ArialMT" w:cs="ArialMT"/>
                <w:b/>
                <w:bCs/>
                <w:color w:val="222222"/>
                <w:sz w:val="22"/>
                <w:szCs w:val="22"/>
              </w:rPr>
              <w:t>Recommendations:</w:t>
            </w:r>
          </w:p>
          <w:p w14:paraId="711FF55D" w14:textId="2181BAC2" w:rsidR="00264881" w:rsidRPr="00336657" w:rsidRDefault="006936BD" w:rsidP="00592E5C">
            <w:pPr>
              <w:pStyle w:val="NormalWeb"/>
              <w:spacing w:before="120" w:beforeAutospacing="0" w:after="120" w:afterAutospacing="0"/>
              <w:rPr>
                <w:rFonts w:ascii="ArialMT" w:eastAsiaTheme="minorEastAsia" w:hAnsi="ArialMT" w:cs="ArialMT"/>
                <w:color w:val="222222"/>
                <w:sz w:val="22"/>
                <w:szCs w:val="22"/>
              </w:rPr>
            </w:pPr>
            <w:r w:rsidRPr="00336657">
              <w:rPr>
                <w:rFonts w:ascii="ArialMT" w:eastAsiaTheme="minorEastAsia" w:hAnsi="ArialMT" w:cs="ArialMT"/>
                <w:color w:val="222222"/>
                <w:sz w:val="22"/>
                <w:szCs w:val="22"/>
              </w:rPr>
              <w:t>Ensure that the new activities and work plan to be agreed on are adequate and satisfactorily meet the goals related to the dissemination of knowledge to the most vulnerable stakeholders, especially representatives of different indigenous peoples and traditional communities.</w:t>
            </w:r>
          </w:p>
        </w:tc>
      </w:tr>
    </w:tbl>
    <w:p w14:paraId="26CFFE48" w14:textId="77777777" w:rsidR="00264881" w:rsidRPr="00336657" w:rsidRDefault="00264881" w:rsidP="00264881">
      <w:pPr>
        <w:spacing w:after="0"/>
        <w:rPr>
          <w:rFonts w:ascii="ArialMT" w:hAnsi="ArialMT"/>
          <w:b/>
          <w:sz w:val="16"/>
          <w:szCs w:val="16"/>
          <w:u w:val="single"/>
        </w:rPr>
      </w:pPr>
    </w:p>
    <w:tbl>
      <w:tblPr>
        <w:tblStyle w:val="TableGrid"/>
        <w:tblW w:w="0" w:type="auto"/>
        <w:tblLayout w:type="fixed"/>
        <w:tblLook w:val="04A0" w:firstRow="1" w:lastRow="0" w:firstColumn="1" w:lastColumn="0" w:noHBand="0" w:noVBand="1"/>
      </w:tblPr>
      <w:tblGrid>
        <w:gridCol w:w="2515"/>
        <w:gridCol w:w="1800"/>
        <w:gridCol w:w="2700"/>
        <w:gridCol w:w="7375"/>
      </w:tblGrid>
      <w:tr w:rsidR="00DA0D62" w:rsidRPr="00336657" w14:paraId="07041252" w14:textId="77777777" w:rsidTr="00E61F1C">
        <w:tc>
          <w:tcPr>
            <w:tcW w:w="1439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27A405D" w14:textId="02A74FCC" w:rsidR="00DA0D62" w:rsidRPr="00336657" w:rsidRDefault="00DA0D62" w:rsidP="00D95B4C">
            <w:pPr>
              <w:keepNext/>
              <w:keepLines/>
              <w:rPr>
                <w:rFonts w:ascii="ArialMT" w:hAnsi="ArialMT"/>
              </w:rPr>
            </w:pPr>
            <w:r w:rsidRPr="00336657">
              <w:rPr>
                <w:rFonts w:ascii="ArialMT" w:hAnsi="ArialMT" w:cs="Arial-BoldMT"/>
                <w:b/>
                <w:bCs/>
                <w:color w:val="000066"/>
              </w:rPr>
              <w:lastRenderedPageBreak/>
              <w:t>PROJECT MODIFICATIONS</w:t>
            </w:r>
          </w:p>
        </w:tc>
      </w:tr>
      <w:tr w:rsidR="00DA0D62" w:rsidRPr="00336657" w14:paraId="196336D2" w14:textId="77777777" w:rsidTr="00E61F1C">
        <w:tc>
          <w:tcPr>
            <w:tcW w:w="14390" w:type="dxa"/>
            <w:gridSpan w:val="4"/>
            <w:tcBorders>
              <w:top w:val="single" w:sz="4" w:space="0" w:color="D9D9D9" w:themeColor="background1" w:themeShade="D9"/>
              <w:left w:val="nil"/>
              <w:bottom w:val="single" w:sz="4" w:space="0" w:color="D9D9D9" w:themeColor="background1" w:themeShade="D9"/>
              <w:right w:val="nil"/>
            </w:tcBorders>
          </w:tcPr>
          <w:p w14:paraId="423F81CC" w14:textId="64FA1CC1" w:rsidR="00DA0D62" w:rsidRPr="00336657" w:rsidRDefault="00782B53" w:rsidP="00D95B4C">
            <w:pPr>
              <w:keepNext/>
              <w:keepLines/>
              <w:spacing w:before="60" w:after="60"/>
              <w:rPr>
                <w:rFonts w:ascii="ArialMT" w:hAnsi="ArialMT"/>
                <w:color w:val="000066"/>
                <w:sz w:val="18"/>
                <w:szCs w:val="18"/>
              </w:rPr>
            </w:pPr>
            <w:r w:rsidRPr="00336657">
              <w:rPr>
                <w:rFonts w:ascii="ArialMT" w:hAnsi="ArialMT"/>
                <w:color w:val="000066"/>
                <w:sz w:val="18"/>
                <w:szCs w:val="18"/>
              </w:rPr>
              <w:t>Please report any significant modifications made to the project design since July 1st, 2020. (The basis for comparison is the Project Results Framework Matrix included in the original Request for CEO Endorsement Document.) This should be based on the Project Results Framework Matrix included in the original Request for CEO Endorsement Document.</w:t>
            </w:r>
          </w:p>
        </w:tc>
      </w:tr>
      <w:tr w:rsidR="00354387" w:rsidRPr="00336657" w14:paraId="68910AEF" w14:textId="77777777" w:rsidTr="004C6041">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39320F0" w14:textId="5D9CED7B" w:rsidR="00354387" w:rsidRPr="00336657" w:rsidRDefault="00354387" w:rsidP="00D95B4C">
            <w:pPr>
              <w:keepNext/>
              <w:keepLines/>
              <w:tabs>
                <w:tab w:val="left" w:pos="8120"/>
              </w:tabs>
              <w:spacing w:before="60" w:after="60"/>
              <w:jc w:val="center"/>
              <w:rPr>
                <w:rFonts w:ascii="ArialMT" w:hAnsi="ArialMT"/>
                <w:sz w:val="14"/>
                <w:szCs w:val="14"/>
              </w:rPr>
            </w:pPr>
            <w:r w:rsidRPr="00336657">
              <w:rPr>
                <w:rFonts w:ascii="ArialMT" w:hAnsi="ArialMT" w:cs="ArialMT"/>
                <w:color w:val="222222"/>
                <w:sz w:val="14"/>
                <w:szCs w:val="14"/>
              </w:rPr>
              <w:t>CATEGORY</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3AC340" w14:textId="3F7F6320" w:rsidR="00354387" w:rsidRPr="00336657" w:rsidRDefault="00354387" w:rsidP="00D95B4C">
            <w:pPr>
              <w:keepNext/>
              <w:keepLines/>
              <w:tabs>
                <w:tab w:val="left" w:pos="8120"/>
              </w:tabs>
              <w:spacing w:before="60" w:after="60"/>
              <w:jc w:val="center"/>
              <w:rPr>
                <w:rFonts w:ascii="ArialMT" w:hAnsi="ArialMT"/>
                <w:sz w:val="14"/>
                <w:szCs w:val="14"/>
              </w:rPr>
            </w:pPr>
            <w:r w:rsidRPr="00336657">
              <w:rPr>
                <w:rFonts w:ascii="ArialMT" w:hAnsi="ArialMT" w:cs="ArialMT"/>
                <w:color w:val="222222"/>
                <w:sz w:val="14"/>
                <w:szCs w:val="14"/>
              </w:rPr>
              <w:t>YES/NO</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F61211F" w14:textId="06FF426E" w:rsidR="00354387" w:rsidRPr="00336657" w:rsidRDefault="00354387" w:rsidP="00D95B4C">
            <w:pPr>
              <w:keepNext/>
              <w:keepLines/>
              <w:autoSpaceDE w:val="0"/>
              <w:autoSpaceDN w:val="0"/>
              <w:adjustRightInd w:val="0"/>
              <w:jc w:val="center"/>
              <w:rPr>
                <w:rFonts w:ascii="ArialMT" w:hAnsi="ArialMT"/>
                <w:sz w:val="14"/>
                <w:szCs w:val="14"/>
              </w:rPr>
            </w:pPr>
            <w:r w:rsidRPr="00336657">
              <w:rPr>
                <w:rFonts w:ascii="ArialMT" w:hAnsi="ArialMT" w:cs="ArialMT"/>
                <w:color w:val="222222"/>
                <w:sz w:val="14"/>
                <w:szCs w:val="14"/>
              </w:rPr>
              <w:t>APPROVED BY</w:t>
            </w:r>
          </w:p>
        </w:tc>
        <w:tc>
          <w:tcPr>
            <w:tcW w:w="7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C40AF47" w14:textId="09A418A8" w:rsidR="00354387" w:rsidRPr="00336657" w:rsidRDefault="00354387" w:rsidP="00D95B4C">
            <w:pPr>
              <w:keepNext/>
              <w:keepLines/>
              <w:spacing w:before="60" w:after="60"/>
              <w:jc w:val="center"/>
              <w:rPr>
                <w:rFonts w:ascii="ArialMT" w:hAnsi="ArialMT"/>
                <w:sz w:val="14"/>
                <w:szCs w:val="14"/>
              </w:rPr>
            </w:pPr>
            <w:r w:rsidRPr="00336657">
              <w:rPr>
                <w:rFonts w:ascii="ArialMT" w:hAnsi="ArialMT" w:cs="ArialMT"/>
                <w:color w:val="222222"/>
                <w:sz w:val="14"/>
                <w:szCs w:val="14"/>
              </w:rPr>
              <w:t>DESCRIPTION OF CHANGE AND EXPLANATION</w:t>
            </w:r>
          </w:p>
        </w:tc>
      </w:tr>
      <w:tr w:rsidR="008801B7" w:rsidRPr="00336657" w14:paraId="79F420E9" w14:textId="77777777" w:rsidTr="00354387">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641B97" w14:textId="1CAF2FFB" w:rsidR="008801B7" w:rsidRPr="00336657" w:rsidRDefault="008801B7" w:rsidP="00D95B4C">
            <w:pPr>
              <w:keepNext/>
              <w:keepLines/>
              <w:spacing w:before="60" w:after="60"/>
              <w:rPr>
                <w:rFonts w:ascii="ArialMT" w:hAnsi="ArialMT"/>
              </w:rPr>
            </w:pPr>
            <w:r w:rsidRPr="00336657">
              <w:rPr>
                <w:rFonts w:ascii="ArialMT" w:hAnsi="ArialMT"/>
              </w:rPr>
              <w:t>Objective</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5D725B" w14:textId="48D0CFBF" w:rsidR="008801B7" w:rsidRPr="00336657" w:rsidRDefault="006936BD" w:rsidP="00D95B4C">
            <w:pPr>
              <w:keepNext/>
              <w:keepLines/>
              <w:spacing w:before="60" w:after="60"/>
              <w:jc w:val="center"/>
              <w:rPr>
                <w:rFonts w:ascii="ArialMT" w:hAnsi="ArialMT" w:cs="ArialMT"/>
                <w:color w:val="222222"/>
              </w:rPr>
            </w:pPr>
            <w:r w:rsidRPr="00336657">
              <w:rPr>
                <w:rFonts w:ascii="ArialMT" w:hAnsi="ArialMT" w:cs="ArialMT"/>
                <w:color w:val="222222"/>
              </w:rPr>
              <w:t>No</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F8C661" w14:textId="10D75FB5" w:rsidR="008801B7" w:rsidRPr="00336657" w:rsidRDefault="008801B7" w:rsidP="00D95B4C">
            <w:pPr>
              <w:keepNext/>
              <w:keepLines/>
              <w:spacing w:before="60" w:after="60"/>
              <w:jc w:val="center"/>
              <w:rPr>
                <w:rFonts w:ascii="ArialMT" w:hAnsi="ArialMT"/>
              </w:rPr>
            </w:pPr>
          </w:p>
        </w:tc>
        <w:tc>
          <w:tcPr>
            <w:tcW w:w="7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DF4F5C" w14:textId="5A52BDBE" w:rsidR="006936BD" w:rsidRPr="00336657" w:rsidRDefault="006936BD" w:rsidP="00D95B4C">
            <w:pPr>
              <w:keepNext/>
              <w:keepLines/>
              <w:spacing w:before="60" w:after="60"/>
              <w:jc w:val="center"/>
              <w:rPr>
                <w:rFonts w:ascii="ArialMT" w:hAnsi="ArialMT"/>
              </w:rPr>
            </w:pPr>
          </w:p>
        </w:tc>
      </w:tr>
      <w:tr w:rsidR="008801B7" w:rsidRPr="00336657" w14:paraId="648F85A1" w14:textId="77777777" w:rsidTr="00354387">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A9CBDD" w14:textId="07D06337" w:rsidR="008801B7" w:rsidRPr="00336657" w:rsidRDefault="008801B7" w:rsidP="00D95B4C">
            <w:pPr>
              <w:keepNext/>
              <w:keepLines/>
              <w:spacing w:before="60" w:after="60"/>
              <w:rPr>
                <w:rFonts w:ascii="ArialMT" w:hAnsi="ArialMT"/>
              </w:rPr>
            </w:pPr>
            <w:r w:rsidRPr="00336657">
              <w:rPr>
                <w:rFonts w:ascii="ArialMT" w:hAnsi="ArialMT"/>
              </w:rPr>
              <w:t>Outcome</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FED372" w14:textId="68C20924" w:rsidR="008801B7" w:rsidRPr="00336657" w:rsidRDefault="006936BD" w:rsidP="00D95B4C">
            <w:pPr>
              <w:keepNext/>
              <w:keepLines/>
              <w:spacing w:before="60" w:after="60"/>
              <w:jc w:val="center"/>
              <w:rPr>
                <w:rFonts w:ascii="ArialMT" w:hAnsi="ArialMT" w:cs="ArialMT"/>
                <w:color w:val="222222"/>
              </w:rPr>
            </w:pPr>
            <w:r w:rsidRPr="00336657">
              <w:rPr>
                <w:rFonts w:ascii="ArialMT" w:hAnsi="ArialMT" w:cs="ArialMT"/>
                <w:color w:val="222222"/>
              </w:rPr>
              <w:t>No</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2A77D" w14:textId="77777777" w:rsidR="008801B7" w:rsidRPr="00336657" w:rsidRDefault="008801B7" w:rsidP="00D95B4C">
            <w:pPr>
              <w:keepNext/>
              <w:keepLines/>
              <w:spacing w:before="60" w:after="60"/>
              <w:jc w:val="center"/>
              <w:rPr>
                <w:rFonts w:ascii="ArialMT" w:hAnsi="ArialMT"/>
              </w:rPr>
            </w:pPr>
          </w:p>
        </w:tc>
        <w:tc>
          <w:tcPr>
            <w:tcW w:w="7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02F9D" w14:textId="77777777" w:rsidR="008801B7" w:rsidRPr="00336657" w:rsidRDefault="008801B7" w:rsidP="00D95B4C">
            <w:pPr>
              <w:keepNext/>
              <w:keepLines/>
              <w:spacing w:before="60" w:after="60"/>
              <w:jc w:val="center"/>
              <w:rPr>
                <w:rFonts w:ascii="ArialMT" w:hAnsi="ArialMT"/>
              </w:rPr>
            </w:pPr>
          </w:p>
        </w:tc>
      </w:tr>
      <w:tr w:rsidR="008801B7" w:rsidRPr="00336657" w14:paraId="4EF4594B" w14:textId="77777777" w:rsidTr="00354387">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C6C01D" w14:textId="607ADCD7" w:rsidR="008801B7" w:rsidRPr="00336657" w:rsidRDefault="008801B7" w:rsidP="00D95B4C">
            <w:pPr>
              <w:keepNext/>
              <w:keepLines/>
              <w:spacing w:before="60" w:after="60"/>
              <w:rPr>
                <w:rFonts w:ascii="ArialMT" w:hAnsi="ArialMT"/>
              </w:rPr>
            </w:pPr>
            <w:r w:rsidRPr="00336657">
              <w:rPr>
                <w:rFonts w:ascii="ArialMT" w:hAnsi="ArialMT"/>
              </w:rPr>
              <w:t>Output/Activities</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C4FB38" w14:textId="640A3A98" w:rsidR="008801B7" w:rsidRPr="00336657" w:rsidRDefault="006936BD" w:rsidP="00D95B4C">
            <w:pPr>
              <w:keepNext/>
              <w:keepLines/>
              <w:spacing w:before="60" w:after="60"/>
              <w:jc w:val="center"/>
              <w:rPr>
                <w:rFonts w:ascii="ArialMT" w:hAnsi="ArialMT" w:cs="ArialMT"/>
                <w:color w:val="222222"/>
              </w:rPr>
            </w:pPr>
            <w:r w:rsidRPr="00336657">
              <w:rPr>
                <w:rFonts w:ascii="ArialMT" w:hAnsi="ArialMT" w:cs="ArialMT"/>
                <w:color w:val="222222"/>
              </w:rPr>
              <w:t>No</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E64F5D" w14:textId="77777777" w:rsidR="008801B7" w:rsidRPr="00336657" w:rsidRDefault="008801B7" w:rsidP="00D95B4C">
            <w:pPr>
              <w:keepNext/>
              <w:keepLines/>
              <w:spacing w:before="60" w:after="60"/>
              <w:jc w:val="center"/>
              <w:rPr>
                <w:rFonts w:ascii="ArialMT" w:hAnsi="ArialMT"/>
              </w:rPr>
            </w:pPr>
          </w:p>
        </w:tc>
        <w:tc>
          <w:tcPr>
            <w:tcW w:w="7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7F6938" w14:textId="77777777" w:rsidR="008801B7" w:rsidRPr="00336657" w:rsidRDefault="008801B7" w:rsidP="00D95B4C">
            <w:pPr>
              <w:keepNext/>
              <w:keepLines/>
              <w:spacing w:before="60" w:after="60"/>
              <w:jc w:val="center"/>
              <w:rPr>
                <w:rFonts w:ascii="ArialMT" w:hAnsi="ArialMT"/>
              </w:rPr>
            </w:pPr>
          </w:p>
        </w:tc>
      </w:tr>
      <w:tr w:rsidR="008801B7" w:rsidRPr="00336657" w14:paraId="27A15498" w14:textId="77777777" w:rsidTr="00354387">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BFF300" w14:textId="479C54AF" w:rsidR="008801B7" w:rsidRPr="00336657" w:rsidRDefault="008801B7" w:rsidP="00D95B4C">
            <w:pPr>
              <w:keepNext/>
              <w:keepLines/>
              <w:spacing w:before="60" w:after="60"/>
              <w:rPr>
                <w:rFonts w:ascii="ArialMT" w:hAnsi="ArialMT"/>
              </w:rPr>
            </w:pPr>
            <w:r w:rsidRPr="00336657">
              <w:rPr>
                <w:rFonts w:ascii="ArialMT" w:hAnsi="ArialMT"/>
              </w:rPr>
              <w:t>Other</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A2B7A" w14:textId="218083F3" w:rsidR="008801B7" w:rsidRPr="00336657" w:rsidRDefault="006936BD" w:rsidP="00D95B4C">
            <w:pPr>
              <w:keepNext/>
              <w:keepLines/>
              <w:spacing w:before="60" w:after="60"/>
              <w:jc w:val="center"/>
              <w:rPr>
                <w:rFonts w:ascii="ArialMT" w:hAnsi="ArialMT" w:cs="ArialMT"/>
                <w:color w:val="222222"/>
              </w:rPr>
            </w:pPr>
            <w:r w:rsidRPr="00336657">
              <w:rPr>
                <w:rFonts w:ascii="ArialMT" w:hAnsi="ArialMT" w:cs="ArialMT"/>
                <w:color w:val="222222"/>
              </w:rPr>
              <w:t>No</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C2D769" w14:textId="77777777" w:rsidR="008801B7" w:rsidRPr="00336657" w:rsidRDefault="008801B7" w:rsidP="00D95B4C">
            <w:pPr>
              <w:keepNext/>
              <w:keepLines/>
              <w:spacing w:before="60" w:after="60"/>
              <w:jc w:val="center"/>
              <w:rPr>
                <w:rFonts w:ascii="ArialMT" w:hAnsi="ArialMT"/>
              </w:rPr>
            </w:pPr>
          </w:p>
        </w:tc>
        <w:tc>
          <w:tcPr>
            <w:tcW w:w="7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CECD28" w14:textId="77777777" w:rsidR="008801B7" w:rsidRPr="00336657" w:rsidRDefault="008801B7" w:rsidP="00D95B4C">
            <w:pPr>
              <w:keepNext/>
              <w:keepLines/>
              <w:spacing w:before="60" w:after="60"/>
              <w:jc w:val="center"/>
              <w:rPr>
                <w:rFonts w:ascii="ArialMT" w:hAnsi="ArialMT"/>
              </w:rPr>
            </w:pPr>
          </w:p>
        </w:tc>
      </w:tr>
    </w:tbl>
    <w:p w14:paraId="45E1DFA9" w14:textId="41599F03" w:rsidR="00C923A4" w:rsidRPr="00336657" w:rsidRDefault="00C923A4" w:rsidP="00C923A4">
      <w:pPr>
        <w:spacing w:after="0"/>
        <w:rPr>
          <w:rFonts w:ascii="ArialMT" w:hAnsi="ArialMT"/>
          <w:b/>
          <w:sz w:val="16"/>
          <w:szCs w:val="16"/>
          <w:u w:val="single"/>
        </w:rPr>
      </w:pPr>
    </w:p>
    <w:p w14:paraId="2636018B" w14:textId="77777777" w:rsidR="006936BD" w:rsidRPr="00336657" w:rsidRDefault="006936BD" w:rsidP="00C923A4">
      <w:pPr>
        <w:spacing w:after="0"/>
        <w:rPr>
          <w:rFonts w:ascii="ArialMT" w:hAnsi="ArialMT"/>
          <w:b/>
          <w:sz w:val="16"/>
          <w:szCs w:val="16"/>
          <w:u w:val="single"/>
        </w:rPr>
      </w:pPr>
    </w:p>
    <w:tbl>
      <w:tblPr>
        <w:tblStyle w:val="TableGrid"/>
        <w:tblW w:w="0" w:type="auto"/>
        <w:tblLayout w:type="fixed"/>
        <w:tblLook w:val="04A0" w:firstRow="1" w:lastRow="0" w:firstColumn="1" w:lastColumn="0" w:noHBand="0" w:noVBand="1"/>
      </w:tblPr>
      <w:tblGrid>
        <w:gridCol w:w="14390"/>
      </w:tblGrid>
      <w:tr w:rsidR="00C923A4" w:rsidRPr="00336657" w14:paraId="226C98A5" w14:textId="77777777" w:rsidTr="009D0C1F">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54E284C" w14:textId="30DB91D3" w:rsidR="00C923A4" w:rsidRPr="00336657" w:rsidRDefault="00EA5DBF" w:rsidP="009D0C1F">
            <w:pPr>
              <w:rPr>
                <w:rFonts w:ascii="ArialMT" w:hAnsi="ArialMT" w:cs="Arial-BoldMT"/>
                <w:b/>
                <w:bCs/>
                <w:caps/>
                <w:color w:val="000066"/>
              </w:rPr>
            </w:pPr>
            <w:r w:rsidRPr="00336657">
              <w:rPr>
                <w:rFonts w:ascii="ArialMT" w:hAnsi="ArialMT" w:cs="Arial-BoldMT"/>
                <w:b/>
                <w:bCs/>
                <w:caps/>
                <w:color w:val="000066"/>
              </w:rPr>
              <w:t>extension</w:t>
            </w:r>
            <w:r w:rsidR="00353980" w:rsidRPr="00336657">
              <w:rPr>
                <w:rFonts w:ascii="ArialMT" w:hAnsi="ArialMT" w:cs="Arial-BoldMT"/>
                <w:b/>
                <w:bCs/>
                <w:caps/>
                <w:color w:val="000066"/>
              </w:rPr>
              <w:t>S</w:t>
            </w:r>
            <w:r w:rsidRPr="00336657">
              <w:rPr>
                <w:rFonts w:ascii="ArialMT" w:hAnsi="ArialMT" w:cs="Arial-BoldMT"/>
                <w:b/>
                <w:bCs/>
                <w:caps/>
                <w:color w:val="000066"/>
              </w:rPr>
              <w:t xml:space="preserve"> or other modification</w:t>
            </w:r>
            <w:r w:rsidR="00353980" w:rsidRPr="00336657">
              <w:rPr>
                <w:rFonts w:ascii="ArialMT" w:hAnsi="ArialMT" w:cs="Arial-BoldMT"/>
                <w:b/>
                <w:bCs/>
                <w:caps/>
                <w:color w:val="000066"/>
              </w:rPr>
              <w:t>S</w:t>
            </w:r>
          </w:p>
        </w:tc>
      </w:tr>
      <w:tr w:rsidR="00C923A4" w:rsidRPr="00336657" w14:paraId="2253208D" w14:textId="77777777" w:rsidTr="009D0C1F">
        <w:tc>
          <w:tcPr>
            <w:tcW w:w="14390" w:type="dxa"/>
            <w:tcBorders>
              <w:top w:val="single" w:sz="4" w:space="0" w:color="D9D9D9" w:themeColor="background1" w:themeShade="D9"/>
              <w:left w:val="nil"/>
              <w:bottom w:val="single" w:sz="4" w:space="0" w:color="D9D9D9" w:themeColor="background1" w:themeShade="D9"/>
              <w:right w:val="nil"/>
            </w:tcBorders>
          </w:tcPr>
          <w:p w14:paraId="3B28ABC9" w14:textId="5EDF2245" w:rsidR="00C923A4" w:rsidRPr="00336657" w:rsidRDefault="002A0DD6" w:rsidP="00DD1161">
            <w:pPr>
              <w:spacing w:before="60" w:after="60"/>
              <w:rPr>
                <w:rFonts w:ascii="ArialMT" w:hAnsi="ArialMT"/>
                <w:color w:val="000066"/>
                <w:sz w:val="18"/>
                <w:szCs w:val="18"/>
              </w:rPr>
            </w:pPr>
            <w:r w:rsidRPr="00336657">
              <w:rPr>
                <w:rFonts w:ascii="ArialMT" w:hAnsi="ArialMT"/>
                <w:color w:val="000066"/>
                <w:sz w:val="18"/>
                <w:szCs w:val="18"/>
              </w:rPr>
              <w:t xml:space="preserve">Has the project been granted any extension or other modification covered by the OA-420 from July 1st, </w:t>
            </w:r>
            <w:proofErr w:type="gramStart"/>
            <w:r w:rsidRPr="00336657">
              <w:rPr>
                <w:rFonts w:ascii="ArialMT" w:hAnsi="ArialMT"/>
                <w:color w:val="000066"/>
                <w:sz w:val="18"/>
                <w:szCs w:val="18"/>
              </w:rPr>
              <w:t>2020</w:t>
            </w:r>
            <w:proofErr w:type="gramEnd"/>
            <w:r w:rsidRPr="00336657">
              <w:rPr>
                <w:rFonts w:ascii="ArialMT" w:hAnsi="ArialMT"/>
                <w:color w:val="000066"/>
                <w:sz w:val="18"/>
                <w:szCs w:val="18"/>
              </w:rPr>
              <w:t xml:space="preserve"> until June 30th, 2021? If yes, please explain below. </w:t>
            </w:r>
            <w:r w:rsidRPr="00336657">
              <w:rPr>
                <w:rFonts w:ascii="ArialMT" w:hAnsi="ArialMT"/>
                <w:color w:val="FF0000"/>
                <w:sz w:val="18"/>
                <w:szCs w:val="18"/>
              </w:rPr>
              <w:t>As applicable, please include information on issues and solutions related to COVID-19.</w:t>
            </w:r>
          </w:p>
        </w:tc>
      </w:tr>
      <w:tr w:rsidR="00DC062C" w:rsidRPr="00336657" w14:paraId="6A195221" w14:textId="77777777" w:rsidTr="009D0C1F">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104AFA" w14:textId="57D2886F" w:rsidR="00DC062C" w:rsidRPr="00336657" w:rsidRDefault="00E10F32" w:rsidP="00D87F45">
            <w:pPr>
              <w:keepNext/>
              <w:keepLines/>
              <w:spacing w:before="120" w:after="120"/>
              <w:rPr>
                <w:rFonts w:ascii="ArialMT" w:hAnsi="ArialMT" w:cs="ArialMT"/>
                <w:color w:val="222222"/>
              </w:rPr>
            </w:pPr>
            <w:r w:rsidRPr="00336657">
              <w:rPr>
                <w:rFonts w:ascii="ArialMT" w:hAnsi="ArialMT" w:cs="ArialMT"/>
                <w:color w:val="222222"/>
              </w:rPr>
              <w:t>In process. In June 2021, after different draft Work Plan proposals were discussed, the Ministry presented a proposal for changes, later included in letter 2837/MMA/2021. This document presents a general justification and requests an 18-month period of extension for the proposed changes. The Ministry informed that a detailed Work Plan and justification within the Project objectives and goals were under preparation and would be sent by the end of July.</w:t>
            </w:r>
          </w:p>
        </w:tc>
      </w:tr>
    </w:tbl>
    <w:p w14:paraId="6E3EF334" w14:textId="42C8E1FE" w:rsidR="00C923A4" w:rsidRPr="00336657" w:rsidRDefault="00C923A4" w:rsidP="00E548C1">
      <w:pPr>
        <w:spacing w:after="0"/>
        <w:rPr>
          <w:rFonts w:ascii="ArialMT" w:hAnsi="ArialMT"/>
          <w:b/>
          <w:sz w:val="16"/>
          <w:szCs w:val="16"/>
          <w:u w:val="single"/>
        </w:rPr>
      </w:pPr>
    </w:p>
    <w:tbl>
      <w:tblPr>
        <w:tblStyle w:val="TableGrid"/>
        <w:tblW w:w="0" w:type="auto"/>
        <w:tblLayout w:type="fixed"/>
        <w:tblLook w:val="04A0" w:firstRow="1" w:lastRow="0" w:firstColumn="1" w:lastColumn="0" w:noHBand="0" w:noVBand="1"/>
      </w:tblPr>
      <w:tblGrid>
        <w:gridCol w:w="14390"/>
      </w:tblGrid>
      <w:tr w:rsidR="00E548C1" w:rsidRPr="00336657" w14:paraId="0DA6859F" w14:textId="77777777" w:rsidTr="002A3798">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0A60F51" w14:textId="593C3496" w:rsidR="00E548C1" w:rsidRPr="00336657" w:rsidRDefault="001C446B" w:rsidP="00592E5C">
            <w:pPr>
              <w:keepNext/>
              <w:keepLines/>
              <w:rPr>
                <w:rFonts w:ascii="ArialMT" w:hAnsi="ArialMT"/>
              </w:rPr>
            </w:pPr>
            <w:r w:rsidRPr="00336657">
              <w:rPr>
                <w:rFonts w:ascii="ArialMT" w:hAnsi="ArialMT" w:cs="Arial-BoldMT"/>
                <w:b/>
                <w:bCs/>
                <w:color w:val="000066"/>
              </w:rPr>
              <w:lastRenderedPageBreak/>
              <w:t>LESSONS LEARNED / BEST PRACTICES</w:t>
            </w:r>
          </w:p>
        </w:tc>
      </w:tr>
      <w:tr w:rsidR="00E548C1" w:rsidRPr="00336657" w14:paraId="4984C91A" w14:textId="77777777" w:rsidTr="00980AF6">
        <w:tc>
          <w:tcPr>
            <w:tcW w:w="14390" w:type="dxa"/>
            <w:tcBorders>
              <w:top w:val="single" w:sz="4" w:space="0" w:color="D9D9D9" w:themeColor="background1" w:themeShade="D9"/>
              <w:left w:val="nil"/>
              <w:bottom w:val="single" w:sz="4" w:space="0" w:color="D9D9D9" w:themeColor="background1" w:themeShade="D9"/>
              <w:right w:val="nil"/>
            </w:tcBorders>
          </w:tcPr>
          <w:p w14:paraId="4860ED84" w14:textId="5530233C" w:rsidR="00E548C1" w:rsidRPr="00336657" w:rsidRDefault="00271220" w:rsidP="00592E5C">
            <w:pPr>
              <w:keepNext/>
              <w:keepLines/>
              <w:spacing w:before="60" w:after="60"/>
              <w:rPr>
                <w:rFonts w:ascii="ArialMT" w:hAnsi="ArialMT"/>
                <w:color w:val="000066"/>
                <w:sz w:val="18"/>
                <w:szCs w:val="18"/>
              </w:rPr>
            </w:pPr>
            <w:r w:rsidRPr="00336657">
              <w:rPr>
                <w:rFonts w:ascii="ArialMT" w:hAnsi="ArialMT"/>
                <w:color w:val="000066"/>
                <w:sz w:val="18"/>
                <w:szCs w:val="18"/>
              </w:rPr>
              <w:t xml:space="preserve">If the project generated any lessons learned or best practices during the 2020-2021 GEF Fiscal Year, please provide a short description. </w:t>
            </w:r>
            <w:r w:rsidRPr="00336657">
              <w:rPr>
                <w:rFonts w:ascii="ArialMT" w:hAnsi="ArialMT"/>
                <w:color w:val="FF0000"/>
                <w:sz w:val="18"/>
                <w:szCs w:val="18"/>
              </w:rPr>
              <w:t>As applicable, please include information on issues and solutions related to COVID-19.</w:t>
            </w:r>
          </w:p>
        </w:tc>
      </w:tr>
      <w:tr w:rsidR="00E10F32" w:rsidRPr="00336657" w14:paraId="4E7059EA" w14:textId="77777777" w:rsidTr="00E61862">
        <w:tc>
          <w:tcPr>
            <w:tcW w:w="14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7D240D" w14:textId="7FB9D4BE" w:rsidR="002F1FCD" w:rsidRPr="00336657" w:rsidRDefault="002F1FCD" w:rsidP="00592E5C">
            <w:pPr>
              <w:keepNext/>
              <w:keepLines/>
              <w:autoSpaceDE w:val="0"/>
              <w:autoSpaceDN w:val="0"/>
              <w:adjustRightInd w:val="0"/>
              <w:spacing w:before="120" w:after="120"/>
              <w:rPr>
                <w:rFonts w:ascii="ArialMT" w:hAnsi="ArialMT" w:cs="ArialMT"/>
                <w:b/>
                <w:bCs/>
                <w:color w:val="222222"/>
              </w:rPr>
            </w:pPr>
            <w:r w:rsidRPr="00336657">
              <w:rPr>
                <w:rFonts w:ascii="ArialMT" w:hAnsi="ArialMT" w:cs="ArialMT"/>
                <w:b/>
                <w:bCs/>
                <w:color w:val="222222"/>
              </w:rPr>
              <w:t>The importance of project partners` actions, to deal with management changes</w:t>
            </w:r>
            <w:r w:rsidR="008C3A9B" w:rsidRPr="00336657">
              <w:rPr>
                <w:rFonts w:ascii="ArialMT" w:hAnsi="ArialMT" w:cs="ArialMT"/>
                <w:b/>
                <w:bCs/>
                <w:color w:val="222222"/>
              </w:rPr>
              <w:t>:</w:t>
            </w:r>
            <w:r w:rsidRPr="00336657">
              <w:rPr>
                <w:rFonts w:ascii="ArialMT" w:hAnsi="ArialMT" w:cs="ArialMT"/>
                <w:b/>
                <w:bCs/>
                <w:color w:val="222222"/>
              </w:rPr>
              <w:t xml:space="preserve"> </w:t>
            </w:r>
          </w:p>
          <w:p w14:paraId="63091A53" w14:textId="0E7014FE" w:rsidR="002F1FCD" w:rsidRPr="00336657" w:rsidRDefault="002F1FCD" w:rsidP="00592E5C">
            <w:pPr>
              <w:pStyle w:val="ListParagraph"/>
              <w:keepNext/>
              <w:keepLines/>
              <w:numPr>
                <w:ilvl w:val="0"/>
                <w:numId w:val="6"/>
              </w:numPr>
              <w:autoSpaceDE w:val="0"/>
              <w:autoSpaceDN w:val="0"/>
              <w:adjustRightInd w:val="0"/>
              <w:spacing w:before="120" w:after="120"/>
              <w:contextualSpacing w:val="0"/>
              <w:rPr>
                <w:rFonts w:ascii="ArialMT" w:hAnsi="ArialMT" w:cs="ArialMT"/>
                <w:color w:val="222222"/>
              </w:rPr>
            </w:pPr>
            <w:r w:rsidRPr="00336657">
              <w:rPr>
                <w:rFonts w:ascii="ArialMT" w:hAnsi="ArialMT" w:cs="ArialMT"/>
                <w:color w:val="222222"/>
              </w:rPr>
              <w:t xml:space="preserve">Managerial changes in the government executing bodies are envisaged, with the impacts having been identified in the project documents. The new managerial groups which occupy the ministries and other government agencies have difficulties in continuing previous established projects for various reasons: new plans and approaches of new governments, parties or managers, questions of ideological consideration, the need to become familiar with the project, and changes in the bodies` priorities, among others. </w:t>
            </w:r>
            <w:proofErr w:type="gramStart"/>
            <w:r w:rsidRPr="00336657">
              <w:rPr>
                <w:rFonts w:ascii="ArialMT" w:hAnsi="ArialMT" w:cs="ArialMT"/>
                <w:color w:val="222222"/>
              </w:rPr>
              <w:t>In order to</w:t>
            </w:r>
            <w:proofErr w:type="gramEnd"/>
            <w:r w:rsidRPr="00336657">
              <w:rPr>
                <w:rFonts w:ascii="ArialMT" w:hAnsi="ArialMT" w:cs="ArialMT"/>
                <w:color w:val="222222"/>
              </w:rPr>
              <w:t xml:space="preserve"> minimize these difficulties, and guarantee good project continuity, early action by the execution and implementation teams is important, to show project coherence and the importance of its results. This action does not mean a guarantee of neutralizing the risks. The MTR identified extensive mobilization by the UNDP team, to work together with the new MMA management, which was successful in the first </w:t>
            </w:r>
            <w:r w:rsidR="0006533D" w:rsidRPr="00336657">
              <w:rPr>
                <w:rFonts w:ascii="ArialMT" w:hAnsi="ArialMT" w:cs="ArialMT"/>
                <w:color w:val="222222"/>
              </w:rPr>
              <w:t>turnover</w:t>
            </w:r>
            <w:r w:rsidRPr="00336657">
              <w:rPr>
                <w:rFonts w:ascii="ArialMT" w:hAnsi="ArialMT" w:cs="ArialMT"/>
                <w:color w:val="222222"/>
              </w:rPr>
              <w:t>.</w:t>
            </w:r>
          </w:p>
          <w:p w14:paraId="6F43BFD0" w14:textId="65710594" w:rsidR="002F1FCD" w:rsidRPr="00336657" w:rsidRDefault="002F1FCD" w:rsidP="00592E5C">
            <w:pPr>
              <w:pStyle w:val="ListParagraph"/>
              <w:keepNext/>
              <w:keepLines/>
              <w:numPr>
                <w:ilvl w:val="0"/>
                <w:numId w:val="6"/>
              </w:numPr>
              <w:autoSpaceDE w:val="0"/>
              <w:autoSpaceDN w:val="0"/>
              <w:adjustRightInd w:val="0"/>
              <w:spacing w:before="120" w:after="120"/>
              <w:contextualSpacing w:val="0"/>
              <w:rPr>
                <w:rFonts w:ascii="ArialMT" w:hAnsi="ArialMT" w:cs="ArialMT"/>
                <w:color w:val="222222"/>
              </w:rPr>
            </w:pPr>
            <w:r w:rsidRPr="00336657">
              <w:rPr>
                <w:rFonts w:ascii="ArialMT" w:hAnsi="ArialMT" w:cs="ArialMT"/>
                <w:color w:val="222222"/>
              </w:rPr>
              <w:t>The more coherent, objective, and connected</w:t>
            </w:r>
            <w:r w:rsidR="00414DA2" w:rsidRPr="00336657">
              <w:rPr>
                <w:rFonts w:ascii="ArialMT" w:hAnsi="ArialMT" w:cs="ArialMT"/>
                <w:color w:val="222222"/>
              </w:rPr>
              <w:t xml:space="preserve"> that the</w:t>
            </w:r>
            <w:r w:rsidR="002B051E" w:rsidRPr="00336657">
              <w:rPr>
                <w:rFonts w:ascii="ArialMT" w:hAnsi="ArialMT" w:cs="ArialMT"/>
                <w:color w:val="222222"/>
              </w:rPr>
              <w:t xml:space="preserve"> responsible partners mobilized are</w:t>
            </w:r>
            <w:r w:rsidRPr="00336657">
              <w:rPr>
                <w:rFonts w:ascii="ArialMT" w:hAnsi="ArialMT" w:cs="ArialMT"/>
                <w:color w:val="222222"/>
              </w:rPr>
              <w:t xml:space="preserve">, the more chances the project has of being understood and absorbed. </w:t>
            </w:r>
          </w:p>
          <w:p w14:paraId="08A97561" w14:textId="77777777" w:rsidR="00860E3B" w:rsidRPr="00336657" w:rsidRDefault="00860E3B" w:rsidP="00592E5C">
            <w:pPr>
              <w:keepNext/>
              <w:keepLines/>
              <w:autoSpaceDE w:val="0"/>
              <w:autoSpaceDN w:val="0"/>
              <w:adjustRightInd w:val="0"/>
              <w:rPr>
                <w:rFonts w:ascii="ArialMT" w:hAnsi="ArialMT" w:cs="ArialMT"/>
                <w:color w:val="222222"/>
                <w:sz w:val="8"/>
                <w:szCs w:val="8"/>
              </w:rPr>
            </w:pPr>
          </w:p>
          <w:p w14:paraId="1522815B" w14:textId="17238552" w:rsidR="002F1FCD" w:rsidRPr="00336657" w:rsidRDefault="002F1FCD" w:rsidP="00592E5C">
            <w:pPr>
              <w:keepNext/>
              <w:keepLines/>
              <w:autoSpaceDE w:val="0"/>
              <w:autoSpaceDN w:val="0"/>
              <w:adjustRightInd w:val="0"/>
              <w:spacing w:before="120" w:after="120"/>
              <w:rPr>
                <w:rFonts w:ascii="ArialMT" w:hAnsi="ArialMT" w:cs="ArialMT"/>
                <w:b/>
                <w:bCs/>
                <w:color w:val="222222"/>
              </w:rPr>
            </w:pPr>
            <w:r w:rsidRPr="00336657">
              <w:rPr>
                <w:rFonts w:ascii="ArialMT" w:hAnsi="ArialMT" w:cs="ArialMT"/>
                <w:b/>
                <w:bCs/>
                <w:color w:val="222222"/>
              </w:rPr>
              <w:t>Project coherence to overcome execution difficulties</w:t>
            </w:r>
            <w:r w:rsidR="008C3A9B" w:rsidRPr="00336657">
              <w:rPr>
                <w:rFonts w:ascii="ArialMT" w:hAnsi="ArialMT" w:cs="ArialMT"/>
                <w:b/>
                <w:bCs/>
                <w:color w:val="222222"/>
              </w:rPr>
              <w:t>:</w:t>
            </w:r>
          </w:p>
          <w:p w14:paraId="67C93E06" w14:textId="4DC4B3DC" w:rsidR="002F1FCD" w:rsidRPr="00336657" w:rsidRDefault="002F1FCD" w:rsidP="00592E5C">
            <w:pPr>
              <w:pStyle w:val="ListParagraph"/>
              <w:keepNext/>
              <w:keepLines/>
              <w:numPr>
                <w:ilvl w:val="0"/>
                <w:numId w:val="6"/>
              </w:numPr>
              <w:autoSpaceDE w:val="0"/>
              <w:autoSpaceDN w:val="0"/>
              <w:adjustRightInd w:val="0"/>
              <w:spacing w:before="120" w:after="120"/>
              <w:rPr>
                <w:rFonts w:ascii="ArialMT" w:hAnsi="ArialMT" w:cs="ArialMT"/>
                <w:color w:val="222222"/>
              </w:rPr>
            </w:pPr>
            <w:r w:rsidRPr="00336657">
              <w:rPr>
                <w:rFonts w:ascii="ArialMT" w:hAnsi="ArialMT" w:cs="ArialMT"/>
                <w:color w:val="222222"/>
              </w:rPr>
              <w:t xml:space="preserve">The clear link between the chain of activities and results expected is essential, so that the project </w:t>
            </w:r>
            <w:proofErr w:type="gramStart"/>
            <w:r w:rsidRPr="00336657">
              <w:rPr>
                <w:rFonts w:ascii="ArialMT" w:hAnsi="ArialMT" w:cs="ArialMT"/>
                <w:color w:val="222222"/>
              </w:rPr>
              <w:t>is able to</w:t>
            </w:r>
            <w:proofErr w:type="gramEnd"/>
            <w:r w:rsidRPr="00336657">
              <w:rPr>
                <w:rFonts w:ascii="ArialMT" w:hAnsi="ArialMT" w:cs="ArialMT"/>
                <w:color w:val="222222"/>
              </w:rPr>
              <w:t xml:space="preserve"> coordinate the various partners and beneficiaries. This interlock of activities put forward for the results is fundamental for</w:t>
            </w:r>
            <w:r w:rsidR="00794888" w:rsidRPr="00336657">
              <w:rPr>
                <w:rFonts w:ascii="ArialMT" w:hAnsi="ArialMT" w:cs="ArialMT"/>
                <w:color w:val="222222"/>
              </w:rPr>
              <w:t xml:space="preserve"> the</w:t>
            </w:r>
            <w:r w:rsidRPr="00336657">
              <w:rPr>
                <w:rFonts w:ascii="ArialMT" w:hAnsi="ArialMT" w:cs="ArialMT"/>
                <w:color w:val="222222"/>
              </w:rPr>
              <w:t xml:space="preserve"> </w:t>
            </w:r>
            <w:r w:rsidR="00794888" w:rsidRPr="00336657">
              <w:rPr>
                <w:rFonts w:ascii="ArialMT" w:hAnsi="ArialMT" w:cs="ArialMT"/>
                <w:color w:val="222222"/>
              </w:rPr>
              <w:t>defense</w:t>
            </w:r>
            <w:r w:rsidRPr="00336657">
              <w:rPr>
                <w:rFonts w:ascii="ArialMT" w:hAnsi="ArialMT" w:cs="ArialMT"/>
                <w:color w:val="222222"/>
              </w:rPr>
              <w:t xml:space="preserve"> of the project with any changes in management, to incorporate new strategic partners and mobilize stakeholders. Project information should be clear and available, strengthening its action in the various areas of execution. In the case of the GEF/ABS project, the results matrix, </w:t>
            </w:r>
            <w:proofErr w:type="gramStart"/>
            <w:r w:rsidRPr="00336657">
              <w:rPr>
                <w:rFonts w:ascii="ArialMT" w:hAnsi="ArialMT" w:cs="ArialMT"/>
                <w:color w:val="222222"/>
              </w:rPr>
              <w:t>with the exception of</w:t>
            </w:r>
            <w:proofErr w:type="gramEnd"/>
            <w:r w:rsidRPr="00336657">
              <w:rPr>
                <w:rFonts w:ascii="ArialMT" w:hAnsi="ArialMT" w:cs="ArialMT"/>
                <w:color w:val="222222"/>
              </w:rPr>
              <w:t xml:space="preserve"> individual questions which have been identified, is extremely clear, which facilitates visualization of the project logic and ownership. </w:t>
            </w:r>
          </w:p>
          <w:p w14:paraId="71FA8D41" w14:textId="77777777" w:rsidR="00907D58" w:rsidRPr="00336657" w:rsidRDefault="00907D58" w:rsidP="00592E5C">
            <w:pPr>
              <w:keepNext/>
              <w:keepLines/>
              <w:autoSpaceDE w:val="0"/>
              <w:autoSpaceDN w:val="0"/>
              <w:adjustRightInd w:val="0"/>
              <w:rPr>
                <w:rFonts w:ascii="ArialMT" w:hAnsi="ArialMT" w:cs="ArialMT"/>
                <w:color w:val="222222"/>
                <w:sz w:val="8"/>
                <w:szCs w:val="8"/>
              </w:rPr>
            </w:pPr>
          </w:p>
          <w:p w14:paraId="2E5D4E56" w14:textId="48BE5DDA" w:rsidR="002F1FCD" w:rsidRPr="00336657" w:rsidRDefault="002F1FCD" w:rsidP="00592E5C">
            <w:pPr>
              <w:keepNext/>
              <w:keepLines/>
              <w:autoSpaceDE w:val="0"/>
              <w:autoSpaceDN w:val="0"/>
              <w:adjustRightInd w:val="0"/>
              <w:spacing w:before="120" w:after="120"/>
              <w:rPr>
                <w:rFonts w:ascii="ArialMT" w:hAnsi="ArialMT" w:cs="ArialMT"/>
                <w:b/>
                <w:bCs/>
                <w:color w:val="222222"/>
              </w:rPr>
            </w:pPr>
            <w:r w:rsidRPr="00336657">
              <w:rPr>
                <w:rFonts w:ascii="ArialMT" w:hAnsi="ArialMT" w:cs="ArialMT"/>
                <w:b/>
                <w:bCs/>
                <w:color w:val="222222"/>
              </w:rPr>
              <w:t>Dissemination of project information</w:t>
            </w:r>
            <w:r w:rsidR="008C3A9B" w:rsidRPr="00336657">
              <w:rPr>
                <w:rFonts w:ascii="ArialMT" w:hAnsi="ArialMT" w:cs="ArialMT"/>
                <w:b/>
                <w:bCs/>
                <w:color w:val="222222"/>
              </w:rPr>
              <w:t>:</w:t>
            </w:r>
          </w:p>
          <w:p w14:paraId="4C931122" w14:textId="424593B2" w:rsidR="002F1FCD" w:rsidRPr="00336657" w:rsidRDefault="002F1FCD" w:rsidP="00592E5C">
            <w:pPr>
              <w:pStyle w:val="ListParagraph"/>
              <w:keepNext/>
              <w:keepLines/>
              <w:numPr>
                <w:ilvl w:val="0"/>
                <w:numId w:val="6"/>
              </w:numPr>
              <w:autoSpaceDE w:val="0"/>
              <w:autoSpaceDN w:val="0"/>
              <w:adjustRightInd w:val="0"/>
              <w:spacing w:before="120" w:after="120"/>
              <w:rPr>
                <w:rFonts w:ascii="ArialMT" w:hAnsi="ArialMT" w:cs="ArialMT"/>
                <w:color w:val="222222"/>
              </w:rPr>
            </w:pPr>
            <w:r w:rsidRPr="00336657">
              <w:rPr>
                <w:rFonts w:ascii="ArialMT" w:hAnsi="ArialMT" w:cs="ArialMT"/>
                <w:color w:val="222222"/>
              </w:rPr>
              <w:t xml:space="preserve">In a specific case, project information was not widely disclosed among beneficiaries. Ownership of the project logic by the beneficiary groups is also a factor that defends its continuity and sustainability. The basic information, results, and lines of action should be disseminated among partners and beneficiaries, to clarify the role of the project and its impacts, increasing collaboration and engagement. </w:t>
            </w:r>
          </w:p>
          <w:p w14:paraId="023FF1A1" w14:textId="77777777" w:rsidR="00B36314" w:rsidRPr="00336657" w:rsidRDefault="00B36314" w:rsidP="00592E5C">
            <w:pPr>
              <w:keepNext/>
              <w:keepLines/>
              <w:autoSpaceDE w:val="0"/>
              <w:autoSpaceDN w:val="0"/>
              <w:adjustRightInd w:val="0"/>
              <w:rPr>
                <w:rFonts w:ascii="ArialMT" w:hAnsi="ArialMT" w:cs="ArialMT"/>
                <w:color w:val="222222"/>
                <w:sz w:val="8"/>
                <w:szCs w:val="8"/>
              </w:rPr>
            </w:pPr>
          </w:p>
          <w:p w14:paraId="410521AA" w14:textId="44FA3D86" w:rsidR="002F1FCD" w:rsidRPr="00336657" w:rsidRDefault="002F1FCD" w:rsidP="00592E5C">
            <w:pPr>
              <w:keepNext/>
              <w:keepLines/>
              <w:autoSpaceDE w:val="0"/>
              <w:autoSpaceDN w:val="0"/>
              <w:adjustRightInd w:val="0"/>
              <w:spacing w:before="120" w:after="120"/>
              <w:rPr>
                <w:rFonts w:ascii="ArialMT" w:hAnsi="ArialMT" w:cs="ArialMT"/>
                <w:b/>
                <w:bCs/>
                <w:color w:val="222222"/>
              </w:rPr>
            </w:pPr>
            <w:r w:rsidRPr="00336657">
              <w:rPr>
                <w:rFonts w:ascii="ArialMT" w:hAnsi="ArialMT" w:cs="ArialMT"/>
                <w:b/>
                <w:bCs/>
                <w:color w:val="222222"/>
              </w:rPr>
              <w:t>Prioritizing the execution of longer processes and/or of greater complexity</w:t>
            </w:r>
            <w:r w:rsidR="008C3A9B" w:rsidRPr="00336657">
              <w:rPr>
                <w:rFonts w:ascii="ArialMT" w:hAnsi="ArialMT" w:cs="ArialMT"/>
                <w:b/>
                <w:bCs/>
                <w:color w:val="222222"/>
              </w:rPr>
              <w:t>:</w:t>
            </w:r>
            <w:r w:rsidRPr="00336657">
              <w:rPr>
                <w:rFonts w:ascii="ArialMT" w:hAnsi="ArialMT" w:cs="ArialMT"/>
                <w:b/>
                <w:bCs/>
                <w:color w:val="222222"/>
              </w:rPr>
              <w:t xml:space="preserve"> </w:t>
            </w:r>
          </w:p>
          <w:p w14:paraId="532F08C5" w14:textId="43B2151B" w:rsidR="00E10F32" w:rsidRPr="00336657" w:rsidRDefault="002F1FCD" w:rsidP="00592E5C">
            <w:pPr>
              <w:pStyle w:val="ListParagraph"/>
              <w:keepNext/>
              <w:keepLines/>
              <w:numPr>
                <w:ilvl w:val="0"/>
                <w:numId w:val="6"/>
              </w:numPr>
              <w:spacing w:before="120" w:after="120"/>
              <w:rPr>
                <w:rFonts w:ascii="ArialMT" w:hAnsi="ArialMT" w:cs="ArialMT"/>
                <w:color w:val="222222"/>
              </w:rPr>
            </w:pPr>
            <w:r w:rsidRPr="00336657">
              <w:rPr>
                <w:rFonts w:ascii="ArialMT" w:hAnsi="ArialMT" w:cs="ArialMT"/>
                <w:color w:val="222222"/>
              </w:rPr>
              <w:t xml:space="preserve">The activities which require various products (as in the case of version 2.0 of </w:t>
            </w:r>
            <w:proofErr w:type="spellStart"/>
            <w:r w:rsidRPr="00336657">
              <w:rPr>
                <w:rFonts w:ascii="ArialMT" w:hAnsi="ArialMT" w:cs="ArialMT"/>
                <w:color w:val="222222"/>
              </w:rPr>
              <w:t>SisGen</w:t>
            </w:r>
            <w:proofErr w:type="spellEnd"/>
            <w:r w:rsidRPr="00336657">
              <w:rPr>
                <w:rFonts w:ascii="ArialMT" w:hAnsi="ArialMT" w:cs="ArialMT"/>
                <w:color w:val="222222"/>
              </w:rPr>
              <w:t xml:space="preserve">) and processes that involve learning and training, which are complex and mobilize various beneficiaries (Component 3 activities), need to be prioritized and executed at the start of activities. Thus, the risk of not being conducted for issues of a lack of adequate time to organize </w:t>
            </w:r>
            <w:proofErr w:type="gramStart"/>
            <w:r w:rsidRPr="00336657">
              <w:rPr>
                <w:rFonts w:ascii="ArialMT" w:hAnsi="ArialMT" w:cs="ArialMT"/>
                <w:color w:val="222222"/>
              </w:rPr>
              <w:t>all of</w:t>
            </w:r>
            <w:proofErr w:type="gramEnd"/>
            <w:r w:rsidRPr="00336657">
              <w:rPr>
                <w:rFonts w:ascii="ArialMT" w:hAnsi="ArialMT" w:cs="ArialMT"/>
                <w:color w:val="222222"/>
              </w:rPr>
              <w:t xml:space="preserve"> the related processes is reduced.</w:t>
            </w:r>
          </w:p>
        </w:tc>
      </w:tr>
    </w:tbl>
    <w:p w14:paraId="3D955728" w14:textId="20D514A7" w:rsidR="00E548C1" w:rsidRPr="00336657" w:rsidRDefault="00FB345C" w:rsidP="00571478">
      <w:pPr>
        <w:spacing w:after="0"/>
        <w:rPr>
          <w:rFonts w:ascii="ArialMT" w:hAnsi="ArialMT"/>
          <w:b/>
          <w:sz w:val="2"/>
          <w:szCs w:val="2"/>
          <w:u w:val="single"/>
        </w:rPr>
      </w:pPr>
      <w:r w:rsidRPr="00336657">
        <w:rPr>
          <w:rFonts w:ascii="ArialMT" w:hAnsi="ArialMT"/>
          <w:b/>
          <w:sz w:val="2"/>
          <w:szCs w:val="2"/>
          <w:u w:val="single"/>
        </w:rPr>
        <w:t xml:space="preserve">  </w:t>
      </w:r>
    </w:p>
    <w:sectPr w:rsidR="00E548C1" w:rsidRPr="00336657" w:rsidSect="00241741">
      <w:headerReference w:type="default" r:id="rId8"/>
      <w:footerReference w:type="default" r:id="rId9"/>
      <w:headerReference w:type="first" r:id="rId10"/>
      <w:footerReference w:type="first" r:id="rId11"/>
      <w:pgSz w:w="15840" w:h="12240" w:orient="landscape"/>
      <w:pgMar w:top="895" w:right="720" w:bottom="720" w:left="720" w:header="360" w:footer="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FC87" w14:textId="77777777" w:rsidR="000C3282" w:rsidRDefault="000C3282" w:rsidP="008305FD">
      <w:pPr>
        <w:spacing w:after="0" w:line="240" w:lineRule="auto"/>
      </w:pPr>
      <w:r>
        <w:separator/>
      </w:r>
    </w:p>
  </w:endnote>
  <w:endnote w:type="continuationSeparator" w:id="0">
    <w:p w14:paraId="02091B79" w14:textId="77777777" w:rsidR="000C3282" w:rsidRDefault="000C3282" w:rsidP="0083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114309"/>
      <w:docPartObj>
        <w:docPartGallery w:val="Page Numbers (Bottom of Page)"/>
        <w:docPartUnique/>
      </w:docPartObj>
    </w:sdtPr>
    <w:sdtEndPr/>
    <w:sdtContent>
      <w:sdt>
        <w:sdtPr>
          <w:id w:val="2137369191"/>
          <w:docPartObj>
            <w:docPartGallery w:val="Page Numbers (Top of Page)"/>
            <w:docPartUnique/>
          </w:docPartObj>
        </w:sdtPr>
        <w:sdtEndPr/>
        <w:sdtContent>
          <w:p w14:paraId="4D9E6954" w14:textId="77777777" w:rsidR="003021D6" w:rsidRDefault="003021D6" w:rsidP="003021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p w14:paraId="379B95BD" w14:textId="77777777" w:rsidR="00782180" w:rsidRDefault="0078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58633"/>
      <w:docPartObj>
        <w:docPartGallery w:val="Page Numbers (Bottom of Page)"/>
        <w:docPartUnique/>
      </w:docPartObj>
    </w:sdtPr>
    <w:sdtEndPr/>
    <w:sdtContent>
      <w:sdt>
        <w:sdtPr>
          <w:id w:val="1728636285"/>
          <w:docPartObj>
            <w:docPartGallery w:val="Page Numbers (Top of Page)"/>
            <w:docPartUnique/>
          </w:docPartObj>
        </w:sdtPr>
        <w:sdtEndPr/>
        <w:sdtContent>
          <w:p w14:paraId="094E82BA" w14:textId="40D1BBD1" w:rsidR="00CD251E" w:rsidRDefault="00CD251E" w:rsidP="00CD25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9CCE7F" w14:textId="77777777" w:rsidR="00775637" w:rsidRDefault="00775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90CF" w14:textId="77777777" w:rsidR="000C3282" w:rsidRDefault="000C3282" w:rsidP="008305FD">
      <w:pPr>
        <w:spacing w:after="0" w:line="240" w:lineRule="auto"/>
      </w:pPr>
      <w:r>
        <w:separator/>
      </w:r>
    </w:p>
  </w:footnote>
  <w:footnote w:type="continuationSeparator" w:id="0">
    <w:p w14:paraId="30322209" w14:textId="77777777" w:rsidR="000C3282" w:rsidRDefault="000C3282" w:rsidP="008305FD">
      <w:pPr>
        <w:spacing w:after="0" w:line="240" w:lineRule="auto"/>
      </w:pPr>
      <w:r>
        <w:continuationSeparator/>
      </w:r>
    </w:p>
  </w:footnote>
  <w:footnote w:id="1">
    <w:p w14:paraId="311FBC95" w14:textId="77777777" w:rsidR="0090276F" w:rsidRPr="001019B6" w:rsidRDefault="0090276F" w:rsidP="001019B6">
      <w:pPr>
        <w:pStyle w:val="FootnoteText"/>
        <w:spacing w:before="40" w:after="40"/>
        <w:rPr>
          <w:rFonts w:ascii="ArialMT" w:hAnsi="ArialMT" w:cs="ArialMT"/>
          <w:color w:val="222222"/>
          <w:sz w:val="14"/>
          <w:szCs w:val="14"/>
        </w:rPr>
      </w:pPr>
      <w:r w:rsidRPr="006E6E00">
        <w:rPr>
          <w:rFonts w:ascii="ArialMT" w:hAnsi="ArialMT" w:cs="ArialMT"/>
          <w:color w:val="222222"/>
          <w:sz w:val="14"/>
          <w:szCs w:val="14"/>
          <w:vertAlign w:val="superscript"/>
        </w:rPr>
        <w:footnoteRef/>
      </w:r>
      <w:r w:rsidRPr="001019B6">
        <w:rPr>
          <w:rFonts w:ascii="ArialMT" w:hAnsi="ArialMT" w:cs="ArialMT"/>
          <w:color w:val="222222"/>
          <w:sz w:val="14"/>
          <w:szCs w:val="14"/>
        </w:rPr>
        <w:t xml:space="preserve"> For the GEF, this is equivalent to the project’s “Expected Completion Date”.</w:t>
      </w:r>
    </w:p>
  </w:footnote>
  <w:footnote w:id="2">
    <w:p w14:paraId="45DD90F6" w14:textId="77777777" w:rsidR="006E0C9F" w:rsidRPr="001019B6" w:rsidRDefault="006E0C9F" w:rsidP="001019B6">
      <w:pPr>
        <w:pStyle w:val="FootnoteText"/>
        <w:spacing w:before="40" w:after="40"/>
        <w:rPr>
          <w:rFonts w:ascii="ArialMT" w:hAnsi="ArialMT" w:cs="ArialMT"/>
          <w:color w:val="222222"/>
          <w:sz w:val="12"/>
          <w:szCs w:val="12"/>
        </w:rPr>
      </w:pPr>
      <w:r w:rsidRPr="006E6E00">
        <w:rPr>
          <w:rFonts w:ascii="ArialMT" w:hAnsi="ArialMT" w:cs="ArialMT"/>
          <w:color w:val="222222"/>
          <w:sz w:val="14"/>
          <w:szCs w:val="14"/>
          <w:vertAlign w:val="superscript"/>
        </w:rPr>
        <w:footnoteRef/>
      </w:r>
      <w:r w:rsidRPr="001019B6">
        <w:rPr>
          <w:rFonts w:ascii="ArialMT" w:hAnsi="ArialMT" w:cs="ArialMT"/>
          <w:color w:val="222222"/>
          <w:sz w:val="14"/>
          <w:szCs w:val="14"/>
        </w:rPr>
        <w:t xml:space="preserve"> For the GEF, this is equivalent to the project’s “Expected Financial Closure Date”.</w:t>
      </w:r>
    </w:p>
  </w:footnote>
  <w:footnote w:id="3">
    <w:p w14:paraId="44CBA422" w14:textId="77777777" w:rsidR="00EE137D" w:rsidRPr="001019B6" w:rsidRDefault="00EE137D" w:rsidP="00B32849">
      <w:pPr>
        <w:pStyle w:val="FootnoteText"/>
        <w:spacing w:before="40" w:after="40"/>
        <w:rPr>
          <w:rFonts w:ascii="ArialMT" w:hAnsi="ArialMT" w:cs="ArialMT"/>
          <w:color w:val="222222"/>
          <w:sz w:val="14"/>
          <w:szCs w:val="14"/>
        </w:rPr>
      </w:pPr>
      <w:r w:rsidRPr="006E6E00">
        <w:rPr>
          <w:rFonts w:ascii="ArialMT" w:hAnsi="ArialMT" w:cs="ArialMT"/>
          <w:color w:val="222222"/>
          <w:sz w:val="14"/>
          <w:szCs w:val="14"/>
          <w:vertAlign w:val="superscript"/>
        </w:rPr>
        <w:footnoteRef/>
      </w:r>
      <w:r w:rsidRPr="006E6E00">
        <w:rPr>
          <w:rFonts w:ascii="ArialMT" w:hAnsi="ArialMT" w:cs="ArialMT"/>
          <w:color w:val="222222"/>
          <w:sz w:val="14"/>
          <w:szCs w:val="14"/>
          <w:vertAlign w:val="superscript"/>
        </w:rPr>
        <w:t xml:space="preserve"> </w:t>
      </w:r>
      <w:r w:rsidRPr="006E6E00">
        <w:rPr>
          <w:rFonts w:ascii="ArialMT" w:hAnsi="ArialMT" w:cs="ArialMT"/>
          <w:color w:val="222222"/>
          <w:sz w:val="14"/>
          <w:szCs w:val="14"/>
        </w:rPr>
        <w:t>See Annex 1: Definition of Ratings</w:t>
      </w:r>
      <w:r w:rsidRPr="001019B6">
        <w:rPr>
          <w:rFonts w:ascii="ArialMT" w:hAnsi="ArialMT" w:cs="ArialMT"/>
          <w:color w:val="222222"/>
          <w:sz w:val="14"/>
          <w:szCs w:val="14"/>
        </w:rPr>
        <w:t>.</w:t>
      </w:r>
    </w:p>
  </w:footnote>
  <w:footnote w:id="4">
    <w:p w14:paraId="0B68366A" w14:textId="77777777" w:rsidR="00CE68C6" w:rsidRPr="001019B6" w:rsidRDefault="00CE68C6" w:rsidP="00A24460">
      <w:pPr>
        <w:pStyle w:val="FootnoteText"/>
        <w:spacing w:before="40" w:after="40"/>
        <w:rPr>
          <w:rFonts w:ascii="ArialMT" w:hAnsi="ArialMT" w:cs="ArialMT"/>
          <w:color w:val="222222"/>
          <w:sz w:val="14"/>
          <w:szCs w:val="14"/>
        </w:rPr>
      </w:pPr>
      <w:r w:rsidRPr="006E6E00">
        <w:rPr>
          <w:rFonts w:ascii="ArialMT" w:hAnsi="ArialMT" w:cs="ArialMT"/>
          <w:color w:val="222222"/>
          <w:sz w:val="14"/>
          <w:szCs w:val="14"/>
          <w:vertAlign w:val="superscript"/>
        </w:rPr>
        <w:footnoteRef/>
      </w:r>
      <w:r w:rsidRPr="001019B6">
        <w:rPr>
          <w:rFonts w:ascii="ArialMT" w:hAnsi="ArialMT" w:cs="ArialMT"/>
          <w:color w:val="222222"/>
          <w:sz w:val="14"/>
          <w:szCs w:val="14"/>
        </w:rPr>
        <w:t xml:space="preserve"> </w:t>
      </w:r>
      <w:r w:rsidRPr="006E6E00">
        <w:rPr>
          <w:rFonts w:ascii="ArialMT" w:hAnsi="ArialMT" w:cs="ArialMT"/>
          <w:color w:val="222222"/>
          <w:sz w:val="14"/>
          <w:szCs w:val="14"/>
        </w:rPr>
        <w:t>See Annex 1: Definition of Ratings</w:t>
      </w:r>
      <w:r w:rsidRPr="001019B6">
        <w:rPr>
          <w:rFonts w:ascii="ArialMT" w:hAnsi="ArialMT" w:cs="ArialMT"/>
          <w:color w:val="222222"/>
          <w:sz w:val="14"/>
          <w:szCs w:val="14"/>
        </w:rPr>
        <w:t>.</w:t>
      </w:r>
    </w:p>
  </w:footnote>
  <w:footnote w:id="5">
    <w:p w14:paraId="3F61627F" w14:textId="77777777" w:rsidR="00635131" w:rsidRPr="001019B6" w:rsidRDefault="00635131" w:rsidP="005C7392">
      <w:pPr>
        <w:pStyle w:val="FootnoteText"/>
        <w:spacing w:before="40" w:after="40"/>
        <w:rPr>
          <w:rFonts w:ascii="ArialMT" w:hAnsi="ArialMT" w:cs="ArialMT"/>
          <w:color w:val="222222"/>
          <w:sz w:val="14"/>
          <w:szCs w:val="14"/>
        </w:rPr>
      </w:pPr>
      <w:r w:rsidRPr="006E6E00">
        <w:rPr>
          <w:rFonts w:ascii="ArialMT" w:hAnsi="ArialMT" w:cs="ArialMT"/>
          <w:color w:val="222222"/>
          <w:sz w:val="14"/>
          <w:szCs w:val="14"/>
          <w:vertAlign w:val="superscript"/>
        </w:rPr>
        <w:footnoteRef/>
      </w:r>
      <w:r w:rsidRPr="006E6E00">
        <w:rPr>
          <w:rFonts w:ascii="ArialMT" w:hAnsi="ArialMT" w:cs="ArialMT"/>
          <w:color w:val="222222"/>
          <w:sz w:val="14"/>
          <w:szCs w:val="14"/>
          <w:vertAlign w:val="superscript"/>
        </w:rPr>
        <w:t xml:space="preserve"> </w:t>
      </w:r>
      <w:r w:rsidRPr="006E6E00">
        <w:rPr>
          <w:rFonts w:ascii="ArialMT" w:hAnsi="ArialMT" w:cs="ArialMT"/>
          <w:color w:val="222222"/>
          <w:sz w:val="14"/>
          <w:szCs w:val="14"/>
        </w:rPr>
        <w:t>See Annex 1: Definition of Ratings</w:t>
      </w:r>
      <w:r w:rsidRPr="001019B6">
        <w:rPr>
          <w:rFonts w:ascii="ArialMT" w:hAnsi="ArialMT" w:cs="ArialMT"/>
          <w:color w:val="222222"/>
          <w:sz w:val="14"/>
          <w:szCs w:val="14"/>
        </w:rPr>
        <w:t>.</w:t>
      </w:r>
    </w:p>
  </w:footnote>
  <w:footnote w:id="6">
    <w:p w14:paraId="160C81D3" w14:textId="77777777" w:rsidR="00635131" w:rsidRPr="001019B6" w:rsidRDefault="00635131" w:rsidP="004F33C8">
      <w:pPr>
        <w:pStyle w:val="FootnoteText"/>
        <w:spacing w:before="40" w:after="40"/>
        <w:rPr>
          <w:rFonts w:ascii="ArialMT" w:hAnsi="ArialMT" w:cs="ArialMT"/>
          <w:color w:val="222222"/>
          <w:sz w:val="14"/>
          <w:szCs w:val="14"/>
        </w:rPr>
      </w:pPr>
      <w:r w:rsidRPr="006E6E00">
        <w:rPr>
          <w:rFonts w:ascii="ArialMT" w:hAnsi="ArialMT" w:cs="ArialMT"/>
          <w:color w:val="222222"/>
          <w:sz w:val="14"/>
          <w:szCs w:val="14"/>
          <w:vertAlign w:val="superscript"/>
        </w:rPr>
        <w:footnoteRef/>
      </w:r>
      <w:r w:rsidRPr="006E6E00">
        <w:rPr>
          <w:rFonts w:ascii="ArialMT" w:hAnsi="ArialMT" w:cs="ArialMT"/>
          <w:color w:val="222222"/>
          <w:sz w:val="14"/>
          <w:szCs w:val="14"/>
          <w:vertAlign w:val="superscript"/>
        </w:rPr>
        <w:t xml:space="preserve"> </w:t>
      </w:r>
      <w:r w:rsidRPr="006E6E00">
        <w:rPr>
          <w:rFonts w:ascii="ArialMT" w:hAnsi="ArialMT" w:cs="ArialMT"/>
          <w:color w:val="222222"/>
          <w:sz w:val="14"/>
          <w:szCs w:val="14"/>
        </w:rPr>
        <w:t>These should include risks identified at CEO Endorsement AND any new risks identified during implementation</w:t>
      </w:r>
      <w:r w:rsidRPr="001019B6">
        <w:rPr>
          <w:rFonts w:ascii="ArialMT" w:hAnsi="ArialMT" w:cs="ArialMT"/>
          <w:color w:val="222222"/>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CA4D" w14:textId="77777777" w:rsidR="00C65C1C" w:rsidRDefault="00C65C1C" w:rsidP="00C65C1C">
    <w:pPr>
      <w:pStyle w:val="Header"/>
      <w:tabs>
        <w:tab w:val="clear" w:pos="9360"/>
        <w:tab w:val="right" w:pos="14400"/>
      </w:tabs>
    </w:pPr>
    <w:r>
      <w:rPr>
        <w:rFonts w:ascii="Arial" w:hAnsi="Arial" w:cs="Arial"/>
        <w:noProof/>
        <w:color w:val="000000"/>
        <w:sz w:val="18"/>
        <w:szCs w:val="18"/>
      </w:rPr>
      <w:drawing>
        <wp:inline distT="0" distB="0" distL="0" distR="0" wp14:anchorId="762CDF49" wp14:editId="327EE244">
          <wp:extent cx="1311910" cy="701040"/>
          <wp:effectExtent l="0" t="0" r="2540" b="3810"/>
          <wp:docPr id="81" name="Picture 81" descr="logo_emai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ail_english"/>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1910" cy="701040"/>
                  </a:xfrm>
                  <a:prstGeom prst="rect">
                    <a:avLst/>
                  </a:prstGeom>
                  <a:noFill/>
                  <a:ln>
                    <a:noFill/>
                  </a:ln>
                </pic:spPr>
              </pic:pic>
            </a:graphicData>
          </a:graphic>
        </wp:inline>
      </w:drawing>
    </w:r>
    <w:r>
      <w:tab/>
    </w:r>
    <w:r>
      <w:tab/>
    </w:r>
    <w:r>
      <w:rPr>
        <w:noProof/>
      </w:rPr>
      <w:drawing>
        <wp:inline distT="0" distB="0" distL="0" distR="0" wp14:anchorId="48BB1029" wp14:editId="4B67DD58">
          <wp:extent cx="719455" cy="804545"/>
          <wp:effectExtent l="0" t="0" r="4445" b="0"/>
          <wp:docPr id="82" name="Picture 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55" cy="804545"/>
                  </a:xfrm>
                  <a:prstGeom prst="rect">
                    <a:avLst/>
                  </a:prstGeom>
                  <a:noFill/>
                </pic:spPr>
              </pic:pic>
            </a:graphicData>
          </a:graphic>
        </wp:inline>
      </w:drawing>
    </w:r>
  </w:p>
  <w:p w14:paraId="62A6DB50" w14:textId="0C279214" w:rsidR="00F974A9" w:rsidRPr="00C65C1C" w:rsidRDefault="00F974A9" w:rsidP="00C65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1DFA" w14:textId="6BEAFCBA" w:rsidR="00775637" w:rsidRDefault="00775637" w:rsidP="00A10E74">
    <w:pPr>
      <w:pStyle w:val="Header"/>
      <w:tabs>
        <w:tab w:val="clear" w:pos="9360"/>
        <w:tab w:val="right" w:pos="14400"/>
      </w:tabs>
    </w:pPr>
    <w:r>
      <w:rPr>
        <w:rFonts w:ascii="Arial" w:hAnsi="Arial" w:cs="Arial"/>
        <w:noProof/>
        <w:color w:val="000000"/>
        <w:sz w:val="18"/>
        <w:szCs w:val="18"/>
      </w:rPr>
      <w:drawing>
        <wp:inline distT="0" distB="0" distL="0" distR="0" wp14:anchorId="4F506D05" wp14:editId="5B733EA5">
          <wp:extent cx="1311910" cy="701040"/>
          <wp:effectExtent l="0" t="0" r="2540" b="3810"/>
          <wp:docPr id="83" name="Picture 83" descr="logo_emai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ail_english"/>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1910" cy="701040"/>
                  </a:xfrm>
                  <a:prstGeom prst="rect">
                    <a:avLst/>
                  </a:prstGeom>
                  <a:noFill/>
                  <a:ln>
                    <a:noFill/>
                  </a:ln>
                </pic:spPr>
              </pic:pic>
            </a:graphicData>
          </a:graphic>
        </wp:inline>
      </w:drawing>
    </w:r>
    <w:r w:rsidR="00F974A9">
      <w:tab/>
    </w:r>
    <w:r w:rsidR="00F974A9">
      <w:tab/>
    </w:r>
    <w:r w:rsidR="00F974A9">
      <w:rPr>
        <w:noProof/>
      </w:rPr>
      <w:drawing>
        <wp:inline distT="0" distB="0" distL="0" distR="0" wp14:anchorId="30EE5419" wp14:editId="421D058B">
          <wp:extent cx="719455" cy="804545"/>
          <wp:effectExtent l="0" t="0" r="444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5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507B0"/>
    <w:multiLevelType w:val="hybridMultilevel"/>
    <w:tmpl w:val="52EEC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0E6717"/>
    <w:multiLevelType w:val="hybridMultilevel"/>
    <w:tmpl w:val="323ED28C"/>
    <w:lvl w:ilvl="0" w:tplc="0409001B">
      <w:start w:val="1"/>
      <w:numFmt w:val="decimal"/>
      <w:lvlText w:val="%1."/>
      <w:lvlJc w:val="left"/>
      <w:pPr>
        <w:tabs>
          <w:tab w:val="num" w:pos="72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19748D"/>
    <w:multiLevelType w:val="hybridMultilevel"/>
    <w:tmpl w:val="206AF60C"/>
    <w:lvl w:ilvl="0" w:tplc="A7C4A024">
      <w:numFmt w:val="bullet"/>
      <w:lvlText w:val="-"/>
      <w:lvlJc w:val="left"/>
      <w:pPr>
        <w:ind w:left="720" w:hanging="360"/>
      </w:pPr>
      <w:rPr>
        <w:rFonts w:ascii="OpenSans-Regular" w:eastAsia="Times New Roman" w:hAnsi="OpenSans-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E4A48"/>
    <w:multiLevelType w:val="hybridMultilevel"/>
    <w:tmpl w:val="323ED28C"/>
    <w:lvl w:ilvl="0" w:tplc="0409001B">
      <w:start w:val="1"/>
      <w:numFmt w:val="decimal"/>
      <w:lvlText w:val="%1."/>
      <w:lvlJc w:val="left"/>
      <w:pPr>
        <w:tabs>
          <w:tab w:val="num" w:pos="72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FD"/>
    <w:rsid w:val="0001652A"/>
    <w:rsid w:val="0003187F"/>
    <w:rsid w:val="00033A6F"/>
    <w:rsid w:val="0004216C"/>
    <w:rsid w:val="000529CC"/>
    <w:rsid w:val="00053E6C"/>
    <w:rsid w:val="0006533D"/>
    <w:rsid w:val="000656C1"/>
    <w:rsid w:val="00073723"/>
    <w:rsid w:val="00073846"/>
    <w:rsid w:val="00075592"/>
    <w:rsid w:val="0009392F"/>
    <w:rsid w:val="0009547B"/>
    <w:rsid w:val="000B18BD"/>
    <w:rsid w:val="000C03BA"/>
    <w:rsid w:val="000C1999"/>
    <w:rsid w:val="000C3282"/>
    <w:rsid w:val="000C59CC"/>
    <w:rsid w:val="000C692E"/>
    <w:rsid w:val="000D11EF"/>
    <w:rsid w:val="000D3868"/>
    <w:rsid w:val="000D3A7E"/>
    <w:rsid w:val="000E590C"/>
    <w:rsid w:val="000F21D6"/>
    <w:rsid w:val="001019B6"/>
    <w:rsid w:val="001072D4"/>
    <w:rsid w:val="00125577"/>
    <w:rsid w:val="00145278"/>
    <w:rsid w:val="00154C1D"/>
    <w:rsid w:val="001640B7"/>
    <w:rsid w:val="00171920"/>
    <w:rsid w:val="00174020"/>
    <w:rsid w:val="0018007B"/>
    <w:rsid w:val="0018552F"/>
    <w:rsid w:val="00186F4C"/>
    <w:rsid w:val="00196B8E"/>
    <w:rsid w:val="001B0453"/>
    <w:rsid w:val="001C168C"/>
    <w:rsid w:val="001C446B"/>
    <w:rsid w:val="001C669E"/>
    <w:rsid w:val="001E2C56"/>
    <w:rsid w:val="001E380E"/>
    <w:rsid w:val="001E6122"/>
    <w:rsid w:val="001F2CB5"/>
    <w:rsid w:val="00220135"/>
    <w:rsid w:val="00221345"/>
    <w:rsid w:val="002310F3"/>
    <w:rsid w:val="0024122B"/>
    <w:rsid w:val="00241741"/>
    <w:rsid w:val="00241D51"/>
    <w:rsid w:val="00250C1B"/>
    <w:rsid w:val="00252C28"/>
    <w:rsid w:val="002535F4"/>
    <w:rsid w:val="002579A7"/>
    <w:rsid w:val="00262D79"/>
    <w:rsid w:val="00264881"/>
    <w:rsid w:val="00265F8A"/>
    <w:rsid w:val="00271220"/>
    <w:rsid w:val="002752AC"/>
    <w:rsid w:val="002830A9"/>
    <w:rsid w:val="00287CE4"/>
    <w:rsid w:val="002917CB"/>
    <w:rsid w:val="002A0DD6"/>
    <w:rsid w:val="002A1C4E"/>
    <w:rsid w:val="002A2C19"/>
    <w:rsid w:val="002A7A0A"/>
    <w:rsid w:val="002B051E"/>
    <w:rsid w:val="002B4612"/>
    <w:rsid w:val="002B7EB2"/>
    <w:rsid w:val="002C0B05"/>
    <w:rsid w:val="002C20F3"/>
    <w:rsid w:val="002C5C88"/>
    <w:rsid w:val="002D1D71"/>
    <w:rsid w:val="002D323F"/>
    <w:rsid w:val="002E06AE"/>
    <w:rsid w:val="002F1FCD"/>
    <w:rsid w:val="00300F4D"/>
    <w:rsid w:val="003021D6"/>
    <w:rsid w:val="003105A4"/>
    <w:rsid w:val="00311856"/>
    <w:rsid w:val="003135CD"/>
    <w:rsid w:val="00316C56"/>
    <w:rsid w:val="00322E38"/>
    <w:rsid w:val="0032710E"/>
    <w:rsid w:val="00336657"/>
    <w:rsid w:val="00353980"/>
    <w:rsid w:val="00354387"/>
    <w:rsid w:val="00385A3B"/>
    <w:rsid w:val="00387627"/>
    <w:rsid w:val="00392B37"/>
    <w:rsid w:val="00396FE1"/>
    <w:rsid w:val="003A2906"/>
    <w:rsid w:val="003A626F"/>
    <w:rsid w:val="003B4E4E"/>
    <w:rsid w:val="003D1775"/>
    <w:rsid w:val="003D5830"/>
    <w:rsid w:val="003D5C75"/>
    <w:rsid w:val="003E144C"/>
    <w:rsid w:val="00414612"/>
    <w:rsid w:val="00414DA2"/>
    <w:rsid w:val="004240F9"/>
    <w:rsid w:val="00425643"/>
    <w:rsid w:val="00443AB0"/>
    <w:rsid w:val="004444B5"/>
    <w:rsid w:val="004463DD"/>
    <w:rsid w:val="00450C4C"/>
    <w:rsid w:val="00453DD7"/>
    <w:rsid w:val="00464D69"/>
    <w:rsid w:val="00470CE4"/>
    <w:rsid w:val="004956E5"/>
    <w:rsid w:val="004A3C69"/>
    <w:rsid w:val="004A405E"/>
    <w:rsid w:val="004B0C63"/>
    <w:rsid w:val="004B44BA"/>
    <w:rsid w:val="004C5A10"/>
    <w:rsid w:val="004C6041"/>
    <w:rsid w:val="004D6533"/>
    <w:rsid w:val="004E5FFA"/>
    <w:rsid w:val="004F0E59"/>
    <w:rsid w:val="004F33C8"/>
    <w:rsid w:val="004F7F9B"/>
    <w:rsid w:val="0050347A"/>
    <w:rsid w:val="00504588"/>
    <w:rsid w:val="005070B9"/>
    <w:rsid w:val="0052402F"/>
    <w:rsid w:val="005263EF"/>
    <w:rsid w:val="00534DD5"/>
    <w:rsid w:val="005403EE"/>
    <w:rsid w:val="00543E4B"/>
    <w:rsid w:val="00546B97"/>
    <w:rsid w:val="00555B59"/>
    <w:rsid w:val="0057050E"/>
    <w:rsid w:val="00571478"/>
    <w:rsid w:val="00576E71"/>
    <w:rsid w:val="00592E5C"/>
    <w:rsid w:val="00596785"/>
    <w:rsid w:val="005A4913"/>
    <w:rsid w:val="005A70ED"/>
    <w:rsid w:val="005B2C47"/>
    <w:rsid w:val="005B4516"/>
    <w:rsid w:val="005C5789"/>
    <w:rsid w:val="005C7392"/>
    <w:rsid w:val="005C76D8"/>
    <w:rsid w:val="005E3555"/>
    <w:rsid w:val="005F44C8"/>
    <w:rsid w:val="00605C14"/>
    <w:rsid w:val="006063F1"/>
    <w:rsid w:val="006170A4"/>
    <w:rsid w:val="00625BB2"/>
    <w:rsid w:val="00627964"/>
    <w:rsid w:val="00635131"/>
    <w:rsid w:val="00640F3C"/>
    <w:rsid w:val="00655A99"/>
    <w:rsid w:val="006605BC"/>
    <w:rsid w:val="00660600"/>
    <w:rsid w:val="00665199"/>
    <w:rsid w:val="00667273"/>
    <w:rsid w:val="00691227"/>
    <w:rsid w:val="00691308"/>
    <w:rsid w:val="00692972"/>
    <w:rsid w:val="006936BD"/>
    <w:rsid w:val="006A3CFB"/>
    <w:rsid w:val="006B1465"/>
    <w:rsid w:val="006B2B76"/>
    <w:rsid w:val="006B6D51"/>
    <w:rsid w:val="006C4060"/>
    <w:rsid w:val="006D0EF6"/>
    <w:rsid w:val="006D569D"/>
    <w:rsid w:val="006D765A"/>
    <w:rsid w:val="006D7C11"/>
    <w:rsid w:val="006E0C9F"/>
    <w:rsid w:val="006E6E00"/>
    <w:rsid w:val="006F1699"/>
    <w:rsid w:val="006F44B1"/>
    <w:rsid w:val="007138C5"/>
    <w:rsid w:val="0072275F"/>
    <w:rsid w:val="007245BE"/>
    <w:rsid w:val="00724DA1"/>
    <w:rsid w:val="00726CD9"/>
    <w:rsid w:val="00727CF7"/>
    <w:rsid w:val="007305D5"/>
    <w:rsid w:val="00736EB0"/>
    <w:rsid w:val="00740162"/>
    <w:rsid w:val="00751D63"/>
    <w:rsid w:val="0075453C"/>
    <w:rsid w:val="00775637"/>
    <w:rsid w:val="00782180"/>
    <w:rsid w:val="00782B53"/>
    <w:rsid w:val="007905E6"/>
    <w:rsid w:val="00794888"/>
    <w:rsid w:val="007A1FAD"/>
    <w:rsid w:val="007A2E55"/>
    <w:rsid w:val="007B1BA3"/>
    <w:rsid w:val="007B2381"/>
    <w:rsid w:val="007B3248"/>
    <w:rsid w:val="007C156B"/>
    <w:rsid w:val="007C4268"/>
    <w:rsid w:val="007E1865"/>
    <w:rsid w:val="007E1934"/>
    <w:rsid w:val="007E51EA"/>
    <w:rsid w:val="00802332"/>
    <w:rsid w:val="00804824"/>
    <w:rsid w:val="008077EA"/>
    <w:rsid w:val="008133E4"/>
    <w:rsid w:val="008305FD"/>
    <w:rsid w:val="0083476F"/>
    <w:rsid w:val="0084074E"/>
    <w:rsid w:val="008421E0"/>
    <w:rsid w:val="00842E68"/>
    <w:rsid w:val="00851AFA"/>
    <w:rsid w:val="00855EC4"/>
    <w:rsid w:val="00860E3B"/>
    <w:rsid w:val="008628F7"/>
    <w:rsid w:val="008675B3"/>
    <w:rsid w:val="008777CC"/>
    <w:rsid w:val="008801B7"/>
    <w:rsid w:val="008A360E"/>
    <w:rsid w:val="008A55EA"/>
    <w:rsid w:val="008C3A9B"/>
    <w:rsid w:val="008D3E74"/>
    <w:rsid w:val="008D52EA"/>
    <w:rsid w:val="008E7803"/>
    <w:rsid w:val="008E7973"/>
    <w:rsid w:val="008E7ECA"/>
    <w:rsid w:val="008F5213"/>
    <w:rsid w:val="0090276F"/>
    <w:rsid w:val="009028F7"/>
    <w:rsid w:val="00907D58"/>
    <w:rsid w:val="00923C0B"/>
    <w:rsid w:val="00937604"/>
    <w:rsid w:val="0094100D"/>
    <w:rsid w:val="00956E27"/>
    <w:rsid w:val="00957224"/>
    <w:rsid w:val="009630DB"/>
    <w:rsid w:val="009651F1"/>
    <w:rsid w:val="00965ED8"/>
    <w:rsid w:val="009760F9"/>
    <w:rsid w:val="00980706"/>
    <w:rsid w:val="00980AF6"/>
    <w:rsid w:val="009821C6"/>
    <w:rsid w:val="009B6B86"/>
    <w:rsid w:val="009D5D13"/>
    <w:rsid w:val="009E05DC"/>
    <w:rsid w:val="00A07BA4"/>
    <w:rsid w:val="00A10E74"/>
    <w:rsid w:val="00A1493B"/>
    <w:rsid w:val="00A212FF"/>
    <w:rsid w:val="00A2136C"/>
    <w:rsid w:val="00A24460"/>
    <w:rsid w:val="00A5011D"/>
    <w:rsid w:val="00A6345A"/>
    <w:rsid w:val="00A64363"/>
    <w:rsid w:val="00A71542"/>
    <w:rsid w:val="00A71C96"/>
    <w:rsid w:val="00A73C47"/>
    <w:rsid w:val="00A87965"/>
    <w:rsid w:val="00A9323B"/>
    <w:rsid w:val="00A94FCA"/>
    <w:rsid w:val="00A97A3A"/>
    <w:rsid w:val="00AB792A"/>
    <w:rsid w:val="00AC0B42"/>
    <w:rsid w:val="00AC289B"/>
    <w:rsid w:val="00AC3119"/>
    <w:rsid w:val="00AC7478"/>
    <w:rsid w:val="00AE3342"/>
    <w:rsid w:val="00AE6279"/>
    <w:rsid w:val="00AF04D2"/>
    <w:rsid w:val="00B041EF"/>
    <w:rsid w:val="00B16221"/>
    <w:rsid w:val="00B22FB1"/>
    <w:rsid w:val="00B23411"/>
    <w:rsid w:val="00B30797"/>
    <w:rsid w:val="00B32849"/>
    <w:rsid w:val="00B33D25"/>
    <w:rsid w:val="00B36314"/>
    <w:rsid w:val="00B41FCA"/>
    <w:rsid w:val="00B463A3"/>
    <w:rsid w:val="00B52094"/>
    <w:rsid w:val="00B534C4"/>
    <w:rsid w:val="00B53BA1"/>
    <w:rsid w:val="00B54C1E"/>
    <w:rsid w:val="00B83E84"/>
    <w:rsid w:val="00B84E0E"/>
    <w:rsid w:val="00B85309"/>
    <w:rsid w:val="00B872B6"/>
    <w:rsid w:val="00B90137"/>
    <w:rsid w:val="00B90657"/>
    <w:rsid w:val="00B90D97"/>
    <w:rsid w:val="00B93DFA"/>
    <w:rsid w:val="00BA2CE5"/>
    <w:rsid w:val="00BA6F9E"/>
    <w:rsid w:val="00BD2C87"/>
    <w:rsid w:val="00BD4F93"/>
    <w:rsid w:val="00BD6F6A"/>
    <w:rsid w:val="00BE375B"/>
    <w:rsid w:val="00BE644E"/>
    <w:rsid w:val="00BF136D"/>
    <w:rsid w:val="00BF1904"/>
    <w:rsid w:val="00C0019E"/>
    <w:rsid w:val="00C00516"/>
    <w:rsid w:val="00C01525"/>
    <w:rsid w:val="00C024C7"/>
    <w:rsid w:val="00C0490E"/>
    <w:rsid w:val="00C0572B"/>
    <w:rsid w:val="00C05BD7"/>
    <w:rsid w:val="00C17EF0"/>
    <w:rsid w:val="00C300A0"/>
    <w:rsid w:val="00C34DD8"/>
    <w:rsid w:val="00C35003"/>
    <w:rsid w:val="00C4169A"/>
    <w:rsid w:val="00C65C1C"/>
    <w:rsid w:val="00C77126"/>
    <w:rsid w:val="00C8432D"/>
    <w:rsid w:val="00C923A4"/>
    <w:rsid w:val="00C976C3"/>
    <w:rsid w:val="00CA1FC7"/>
    <w:rsid w:val="00CA3CBE"/>
    <w:rsid w:val="00CA6DE1"/>
    <w:rsid w:val="00CA7607"/>
    <w:rsid w:val="00CC36BF"/>
    <w:rsid w:val="00CD249A"/>
    <w:rsid w:val="00CD251E"/>
    <w:rsid w:val="00CD2EC3"/>
    <w:rsid w:val="00CD7360"/>
    <w:rsid w:val="00CE2C62"/>
    <w:rsid w:val="00CE68C6"/>
    <w:rsid w:val="00CF0D8C"/>
    <w:rsid w:val="00CF3B8F"/>
    <w:rsid w:val="00D14F26"/>
    <w:rsid w:val="00D16BB7"/>
    <w:rsid w:val="00D26CEA"/>
    <w:rsid w:val="00D32544"/>
    <w:rsid w:val="00D54171"/>
    <w:rsid w:val="00D55BA0"/>
    <w:rsid w:val="00D5648E"/>
    <w:rsid w:val="00D647A6"/>
    <w:rsid w:val="00D6682D"/>
    <w:rsid w:val="00D6710D"/>
    <w:rsid w:val="00D673C6"/>
    <w:rsid w:val="00D67C8D"/>
    <w:rsid w:val="00D77BDC"/>
    <w:rsid w:val="00D81217"/>
    <w:rsid w:val="00D87F45"/>
    <w:rsid w:val="00D9324B"/>
    <w:rsid w:val="00D95B4C"/>
    <w:rsid w:val="00D976BB"/>
    <w:rsid w:val="00DA07EB"/>
    <w:rsid w:val="00DA0D62"/>
    <w:rsid w:val="00DA13D1"/>
    <w:rsid w:val="00DA2EA5"/>
    <w:rsid w:val="00DA3499"/>
    <w:rsid w:val="00DB33C8"/>
    <w:rsid w:val="00DC062C"/>
    <w:rsid w:val="00DD1161"/>
    <w:rsid w:val="00DD31CF"/>
    <w:rsid w:val="00E10F32"/>
    <w:rsid w:val="00E1169A"/>
    <w:rsid w:val="00E140FC"/>
    <w:rsid w:val="00E150D8"/>
    <w:rsid w:val="00E16FE4"/>
    <w:rsid w:val="00E27119"/>
    <w:rsid w:val="00E3012F"/>
    <w:rsid w:val="00E34067"/>
    <w:rsid w:val="00E42F61"/>
    <w:rsid w:val="00E4484B"/>
    <w:rsid w:val="00E45B63"/>
    <w:rsid w:val="00E47CC9"/>
    <w:rsid w:val="00E50367"/>
    <w:rsid w:val="00E51327"/>
    <w:rsid w:val="00E548C1"/>
    <w:rsid w:val="00E61F1C"/>
    <w:rsid w:val="00E86732"/>
    <w:rsid w:val="00E90184"/>
    <w:rsid w:val="00EA3FEC"/>
    <w:rsid w:val="00EA5DBF"/>
    <w:rsid w:val="00EB7ED7"/>
    <w:rsid w:val="00EC1E3B"/>
    <w:rsid w:val="00ED10A4"/>
    <w:rsid w:val="00EE063B"/>
    <w:rsid w:val="00EE137D"/>
    <w:rsid w:val="00EF3AE7"/>
    <w:rsid w:val="00EF5957"/>
    <w:rsid w:val="00F100BB"/>
    <w:rsid w:val="00F159AF"/>
    <w:rsid w:val="00F22541"/>
    <w:rsid w:val="00F261C5"/>
    <w:rsid w:val="00F3203A"/>
    <w:rsid w:val="00F412E1"/>
    <w:rsid w:val="00F432AA"/>
    <w:rsid w:val="00F45707"/>
    <w:rsid w:val="00F45968"/>
    <w:rsid w:val="00F667BB"/>
    <w:rsid w:val="00F74367"/>
    <w:rsid w:val="00F974A9"/>
    <w:rsid w:val="00FB345C"/>
    <w:rsid w:val="00FC2788"/>
    <w:rsid w:val="00FC5FBE"/>
    <w:rsid w:val="00FD0CC9"/>
    <w:rsid w:val="00FE2446"/>
    <w:rsid w:val="00FF20B1"/>
    <w:rsid w:val="00FF235A"/>
    <w:rsid w:val="00FF3208"/>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9E9FC"/>
  <w15:docId w15:val="{127DF738-DC16-4694-BAB8-70AD3C62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ge">
    <w:name w:val="Newpage"/>
    <w:basedOn w:val="Normal"/>
    <w:rsid w:val="008305FD"/>
    <w:pPr>
      <w:tabs>
        <w:tab w:val="left" w:pos="1440"/>
        <w:tab w:val="left" w:pos="3060"/>
      </w:tabs>
      <w:spacing w:before="240" w:after="0" w:line="240" w:lineRule="auto"/>
      <w:jc w:val="center"/>
    </w:pPr>
    <w:rPr>
      <w:rFonts w:ascii="Times New Roman" w:eastAsia="Times New Roman" w:hAnsi="Times New Roman" w:cs="Times New Roman"/>
      <w:b/>
      <w:smallCaps/>
      <w:sz w:val="24"/>
      <w:szCs w:val="20"/>
    </w:rPr>
  </w:style>
  <w:style w:type="character" w:styleId="PlaceholderText">
    <w:name w:val="Placeholder Text"/>
    <w:basedOn w:val="DefaultParagraphFont"/>
    <w:uiPriority w:val="99"/>
    <w:semiHidden/>
    <w:rsid w:val="008305FD"/>
    <w:rPr>
      <w:color w:val="808080"/>
    </w:rPr>
  </w:style>
  <w:style w:type="paragraph" w:styleId="FootnoteText">
    <w:name w:val="footnote text"/>
    <w:aliases w:val="Geneva 9,Font: Geneva 9,Boston 10,f"/>
    <w:basedOn w:val="Normal"/>
    <w:link w:val="FootnoteTextChar"/>
    <w:uiPriority w:val="99"/>
    <w:unhideWhenUsed/>
    <w:rsid w:val="008305FD"/>
    <w:pPr>
      <w:spacing w:after="0" w:line="240" w:lineRule="auto"/>
    </w:pPr>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8305FD"/>
    <w:rPr>
      <w:rFonts w:eastAsiaTheme="minorEastAsia"/>
      <w:sz w:val="20"/>
      <w:szCs w:val="20"/>
    </w:rPr>
  </w:style>
  <w:style w:type="character" w:styleId="FootnoteReference">
    <w:name w:val="footnote reference"/>
    <w:aliases w:val="16 Point,Superscript 6 Point"/>
    <w:basedOn w:val="DefaultParagraphFont"/>
    <w:uiPriority w:val="99"/>
    <w:unhideWhenUsed/>
    <w:rsid w:val="008305FD"/>
    <w:rPr>
      <w:vertAlign w:val="superscript"/>
    </w:rPr>
  </w:style>
  <w:style w:type="table" w:styleId="TableGrid">
    <w:name w:val="Table Grid"/>
    <w:basedOn w:val="TableNormal"/>
    <w:uiPriority w:val="39"/>
    <w:rsid w:val="008305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05FD"/>
    <w:pPr>
      <w:ind w:left="720"/>
      <w:contextualSpacing/>
    </w:pPr>
  </w:style>
  <w:style w:type="paragraph" w:styleId="Header">
    <w:name w:val="header"/>
    <w:basedOn w:val="Normal"/>
    <w:link w:val="HeaderChar"/>
    <w:uiPriority w:val="99"/>
    <w:unhideWhenUsed/>
    <w:rsid w:val="00830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FD"/>
    <w:rPr>
      <w:rFonts w:eastAsiaTheme="minorEastAsia"/>
    </w:rPr>
  </w:style>
  <w:style w:type="character" w:styleId="Hyperlink">
    <w:name w:val="Hyperlink"/>
    <w:basedOn w:val="DefaultParagraphFont"/>
    <w:uiPriority w:val="99"/>
    <w:unhideWhenUsed/>
    <w:rsid w:val="008305FD"/>
    <w:rPr>
      <w:color w:val="0000FF" w:themeColor="hyperlink"/>
      <w:u w:val="single"/>
    </w:rPr>
  </w:style>
  <w:style w:type="paragraph" w:styleId="BalloonText">
    <w:name w:val="Balloon Text"/>
    <w:basedOn w:val="Normal"/>
    <w:link w:val="BalloonTextChar"/>
    <w:uiPriority w:val="99"/>
    <w:semiHidden/>
    <w:unhideWhenUsed/>
    <w:rsid w:val="0083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FD"/>
    <w:rPr>
      <w:rFonts w:ascii="Tahoma" w:eastAsiaTheme="minorEastAsia" w:hAnsi="Tahoma" w:cs="Tahoma"/>
      <w:sz w:val="16"/>
      <w:szCs w:val="16"/>
    </w:rPr>
  </w:style>
  <w:style w:type="paragraph" w:styleId="Footer">
    <w:name w:val="footer"/>
    <w:basedOn w:val="Normal"/>
    <w:link w:val="FooterChar"/>
    <w:uiPriority w:val="99"/>
    <w:unhideWhenUsed/>
    <w:rsid w:val="0028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0A9"/>
  </w:style>
  <w:style w:type="character" w:styleId="UnresolvedMention">
    <w:name w:val="Unresolved Mention"/>
    <w:basedOn w:val="DefaultParagraphFont"/>
    <w:uiPriority w:val="99"/>
    <w:semiHidden/>
    <w:unhideWhenUsed/>
    <w:rsid w:val="002C0B05"/>
    <w:rPr>
      <w:color w:val="808080"/>
      <w:shd w:val="clear" w:color="auto" w:fill="E6E6E6"/>
    </w:rPr>
  </w:style>
  <w:style w:type="character" w:styleId="FollowedHyperlink">
    <w:name w:val="FollowedHyperlink"/>
    <w:basedOn w:val="DefaultParagraphFont"/>
    <w:uiPriority w:val="99"/>
    <w:semiHidden/>
    <w:unhideWhenUsed/>
    <w:rsid w:val="002C0B05"/>
    <w:rPr>
      <w:color w:val="800080" w:themeColor="followedHyperlink"/>
      <w:u w:val="single"/>
    </w:rPr>
  </w:style>
  <w:style w:type="character" w:styleId="CommentReference">
    <w:name w:val="annotation reference"/>
    <w:basedOn w:val="DefaultParagraphFont"/>
    <w:uiPriority w:val="99"/>
    <w:semiHidden/>
    <w:unhideWhenUsed/>
    <w:rsid w:val="000B18BD"/>
    <w:rPr>
      <w:sz w:val="16"/>
      <w:szCs w:val="16"/>
    </w:rPr>
  </w:style>
  <w:style w:type="paragraph" w:styleId="CommentText">
    <w:name w:val="annotation text"/>
    <w:basedOn w:val="Normal"/>
    <w:link w:val="CommentTextChar"/>
    <w:uiPriority w:val="99"/>
    <w:semiHidden/>
    <w:unhideWhenUsed/>
    <w:rsid w:val="000B18BD"/>
    <w:pPr>
      <w:spacing w:line="240" w:lineRule="auto"/>
    </w:pPr>
    <w:rPr>
      <w:sz w:val="20"/>
      <w:szCs w:val="20"/>
    </w:rPr>
  </w:style>
  <w:style w:type="character" w:customStyle="1" w:styleId="CommentTextChar">
    <w:name w:val="Comment Text Char"/>
    <w:basedOn w:val="DefaultParagraphFont"/>
    <w:link w:val="CommentText"/>
    <w:uiPriority w:val="99"/>
    <w:semiHidden/>
    <w:rsid w:val="000B18BD"/>
    <w:rPr>
      <w:sz w:val="20"/>
      <w:szCs w:val="20"/>
    </w:rPr>
  </w:style>
  <w:style w:type="paragraph" w:styleId="CommentSubject">
    <w:name w:val="annotation subject"/>
    <w:basedOn w:val="CommentText"/>
    <w:next w:val="CommentText"/>
    <w:link w:val="CommentSubjectChar"/>
    <w:uiPriority w:val="99"/>
    <w:semiHidden/>
    <w:unhideWhenUsed/>
    <w:rsid w:val="000B18BD"/>
    <w:rPr>
      <w:b/>
      <w:bCs/>
    </w:rPr>
  </w:style>
  <w:style w:type="character" w:customStyle="1" w:styleId="CommentSubjectChar">
    <w:name w:val="Comment Subject Char"/>
    <w:basedOn w:val="CommentTextChar"/>
    <w:link w:val="CommentSubject"/>
    <w:uiPriority w:val="99"/>
    <w:semiHidden/>
    <w:rsid w:val="000B18BD"/>
    <w:rPr>
      <w:b/>
      <w:bCs/>
      <w:sz w:val="20"/>
      <w:szCs w:val="20"/>
    </w:rPr>
  </w:style>
  <w:style w:type="paragraph" w:customStyle="1" w:styleId="Default">
    <w:name w:val="Default"/>
    <w:rsid w:val="00171920"/>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655A9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283">
      <w:bodyDiv w:val="1"/>
      <w:marLeft w:val="0"/>
      <w:marRight w:val="0"/>
      <w:marTop w:val="0"/>
      <w:marBottom w:val="0"/>
      <w:divBdr>
        <w:top w:val="none" w:sz="0" w:space="0" w:color="auto"/>
        <w:left w:val="none" w:sz="0" w:space="0" w:color="auto"/>
        <w:bottom w:val="none" w:sz="0" w:space="0" w:color="auto"/>
        <w:right w:val="none" w:sz="0" w:space="0" w:color="auto"/>
      </w:divBdr>
    </w:div>
    <w:div w:id="236598170">
      <w:bodyDiv w:val="1"/>
      <w:marLeft w:val="0"/>
      <w:marRight w:val="0"/>
      <w:marTop w:val="0"/>
      <w:marBottom w:val="0"/>
      <w:divBdr>
        <w:top w:val="none" w:sz="0" w:space="0" w:color="auto"/>
        <w:left w:val="none" w:sz="0" w:space="0" w:color="auto"/>
        <w:bottom w:val="none" w:sz="0" w:space="0" w:color="auto"/>
        <w:right w:val="none" w:sz="0" w:space="0" w:color="auto"/>
      </w:divBdr>
    </w:div>
    <w:div w:id="751702594">
      <w:bodyDiv w:val="1"/>
      <w:marLeft w:val="0"/>
      <w:marRight w:val="0"/>
      <w:marTop w:val="0"/>
      <w:marBottom w:val="0"/>
      <w:divBdr>
        <w:top w:val="none" w:sz="0" w:space="0" w:color="auto"/>
        <w:left w:val="none" w:sz="0" w:space="0" w:color="auto"/>
        <w:bottom w:val="none" w:sz="0" w:space="0" w:color="auto"/>
        <w:right w:val="none" w:sz="0" w:space="0" w:color="auto"/>
      </w:divBdr>
    </w:div>
    <w:div w:id="1079643673">
      <w:bodyDiv w:val="1"/>
      <w:marLeft w:val="0"/>
      <w:marRight w:val="0"/>
      <w:marTop w:val="0"/>
      <w:marBottom w:val="0"/>
      <w:divBdr>
        <w:top w:val="none" w:sz="0" w:space="0" w:color="auto"/>
        <w:left w:val="none" w:sz="0" w:space="0" w:color="auto"/>
        <w:bottom w:val="none" w:sz="0" w:space="0" w:color="auto"/>
        <w:right w:val="none" w:sz="0" w:space="0" w:color="auto"/>
      </w:divBdr>
    </w:div>
    <w:div w:id="19665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24579.DA7F707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24579.DA7F70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Brazil</GEFCountry>
    <Classification xmlns="ceb00776-aa5c-4fc8-b6fe-5f035152e4b6">Public</Classification>
    <Country1 xmlns="ceb00776-aa5c-4fc8-b6fe-5f035152e4b6" xsi:nil="true"/>
    <DocPrefix xmlns="ceb00776-aa5c-4fc8-b6fe-5f035152e4b6">Project Implementation Report (PIR)</DocPrefix>
    <GEFID xmlns="ceb00776-aa5c-4fc8-b6fe-5f035152e4b6">5760</GEFID>
    <ProjectType xmlns="ceb00776-aa5c-4fc8-b6fe-5f035152e4b6">FSP</ProjectType>
    <GEFProjectID xmlns="ceb00776-aa5c-4fc8-b6fe-5f035152e4b6">5334c631-df7c-e811-8124-3863bb2e1360</GEFProjectID>
    <DocActive xmlns="ceb00776-aa5c-4fc8-b6fe-5f035152e4b6">No</DocActive>
    <DocCategory xmlns="ceb00776-aa5c-4fc8-b6fe-5f035152e4b6">M and E Document</DocCategory>
    <FocalArea xmlns="ceb00776-aa5c-4fc8-b6fe-5f035152e4b6">Biodiversity</FocalArea>
    <DocType xmlns="ceb00776-aa5c-4fc8-b6fe-5f035152e4b6">PIR 3</DocType>
    <ProjectTitle xmlns="ceb00776-aa5c-4fc8-b6fe-5f035152e4b6">Capacity Building and Institutional Strengthening on the National Framework for Access and Benefit Sharing under the Nagoya Protocol</ProjectTitle>
    <TrustFundType xmlns="ceb00776-aa5c-4fc8-b6fe-5f035152e4b6">GET</TrustFundType>
    <TaxCatchAll xmlns="3e02667f-0271-471b-bd6e-11a2e16def1d"/>
    <DocumentTitle xmlns="ceb00776-aa5c-4fc8-b6fe-5f035152e4b6">5760_2021_PIR_IDB_Brazil</DocumentTitle>
  </documentManagement>
</p:properties>
</file>

<file path=customXml/itemProps1.xml><?xml version="1.0" encoding="utf-8"?>
<ds:datastoreItem xmlns:ds="http://schemas.openxmlformats.org/officeDocument/2006/customXml" ds:itemID="{5EB65437-0462-4BCA-816B-1D705433C581}">
  <ds:schemaRefs>
    <ds:schemaRef ds:uri="http://schemas.openxmlformats.org/officeDocument/2006/bibliography"/>
  </ds:schemaRefs>
</ds:datastoreItem>
</file>

<file path=customXml/itemProps2.xml><?xml version="1.0" encoding="utf-8"?>
<ds:datastoreItem xmlns:ds="http://schemas.openxmlformats.org/officeDocument/2006/customXml" ds:itemID="{DA4058DA-AC76-4309-B089-EED8E320F8F9}"/>
</file>

<file path=customXml/itemProps3.xml><?xml version="1.0" encoding="utf-8"?>
<ds:datastoreItem xmlns:ds="http://schemas.openxmlformats.org/officeDocument/2006/customXml" ds:itemID="{1B675D36-A28E-4665-BCCA-B8B86AF15AF6}"/>
</file>

<file path=customXml/itemProps4.xml><?xml version="1.0" encoding="utf-8"?>
<ds:datastoreItem xmlns:ds="http://schemas.openxmlformats.org/officeDocument/2006/customXml" ds:itemID="{681155ED-7D75-42DD-8E9F-806C3E868FB7}"/>
</file>

<file path=docProps/app.xml><?xml version="1.0" encoding="utf-8"?>
<Properties xmlns="http://schemas.openxmlformats.org/officeDocument/2006/extended-properties" xmlns:vt="http://schemas.openxmlformats.org/officeDocument/2006/docPropsVTypes">
  <Template>Normal</Template>
  <TotalTime>6</TotalTime>
  <Pages>8</Pages>
  <Words>3371</Words>
  <Characters>19218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Ortega</dc:creator>
  <cp:lastModifiedBy>Ortega Rada, Alexandra</cp:lastModifiedBy>
  <cp:revision>2</cp:revision>
  <dcterms:created xsi:type="dcterms:W3CDTF">2021-09-01T15:29:00Z</dcterms:created>
  <dcterms:modified xsi:type="dcterms:W3CDTF">2021-09-01T15:29:00Z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