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2026</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NBSAP Update and the 7th National Reports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4" w:history="1">
        <w:r>
          <w:t>Finance/Co-Finance</w:t>
        </w:r>
        <w:r>
          <w:tab/>
        </w:r>
        <w:r>
          <w:fldChar w:fldCharType="begin"/>
        </w:r>
        <w:r>
          <w:instrText xml:space="preserve">PAGEREF 4 \h</w:instrText>
        </w:r>
        <w:r>
          <w:fldChar w:fldCharType="end"/>
        </w:r>
      </w:hyperlink>
    </w:p>
    <w:p>
      <w:pPr>
        <w:tabs>
          <w:tab w:val="right" w:leader="dot" w:pos="9062"/>
        </w:tabs>
      </w:pPr>
      <w:hyperlink w:anchor="_Toc6" w:history="1">
        <w:r>
          <w:t>Implementation Progress</w:t>
        </w:r>
        <w:r>
          <w:tab/>
        </w:r>
        <w:r>
          <w:fldChar w:fldCharType="begin"/>
        </w:r>
        <w:r>
          <w:instrText xml:space="preserve">PAGEREF 6 \h</w:instrText>
        </w:r>
        <w:r>
          <w:fldChar w:fldCharType="end"/>
        </w:r>
      </w:hyperlink>
    </w:p>
    <w:p>
      <w:pPr>
        <w:tabs>
          <w:tab w:val="right" w:leader="dot" w:pos="9062"/>
        </w:tabs>
      </w:pPr>
      <w:hyperlink w:anchor="_Toc7" w:history="1">
        <w:r>
          <w:t>Project Governance</w:t>
        </w:r>
        <w:r>
          <w:tab/>
        </w:r>
        <w:r>
          <w:fldChar w:fldCharType="begin"/>
        </w:r>
        <w:r>
          <w:instrText xml:space="preserve">PAGEREF 7 \h</w:instrText>
        </w:r>
        <w:r>
          <w:fldChar w:fldCharType="end"/>
        </w:r>
      </w:hyperlink>
    </w:p>
    <w:p>
      <w:pPr>
        <w:tabs>
          <w:tab w:val="right" w:leader="dot" w:pos="9062"/>
        </w:tabs>
      </w:pPr>
      <w:hyperlink w:anchor="_Toc8" w:history="1">
        <w:r>
          <w:t>Ratings and Overall Assessments</w:t>
        </w:r>
        <w:r>
          <w:tab/>
        </w:r>
        <w:r>
          <w:fldChar w:fldCharType="begin"/>
        </w:r>
        <w:r>
          <w:instrText xml:space="preserve">PAGEREF 8 \h</w:instrText>
        </w:r>
        <w:r>
          <w:fldChar w:fldCharType="end"/>
        </w:r>
      </w:hyperlink>
    </w:p>
    <w:p>
      <w:pPr>
        <w:tabs>
          <w:tab w:val="right" w:leader="dot" w:pos="9062"/>
        </w:tabs>
      </w:pPr>
      <w:hyperlink w:anchor="_Toc9" w:history="1">
        <w:r>
          <w:t>Minor Amendments</w:t>
        </w:r>
        <w:r>
          <w:tab/>
        </w:r>
        <w:r>
          <w:fldChar w:fldCharType="begin"/>
        </w:r>
        <w:r>
          <w:instrText xml:space="preserve">PAGEREF 9 \h</w:instrText>
        </w:r>
        <w:r>
          <w:fldChar w:fldCharType="end"/>
        </w:r>
      </w:hyperlink>
    </w:p>
    <w:p>
      <w:pPr>
        <w:tabs>
          <w:tab w:val="right" w:leader="dot" w:pos="9062"/>
        </w:tabs>
      </w:pPr>
      <w:hyperlink w:anchor="_Toc10" w:history="1">
        <w:r>
          <w:t>Gender</w:t>
        </w:r>
        <w:r>
          <w:tab/>
        </w:r>
        <w:r>
          <w:fldChar w:fldCharType="begin"/>
        </w:r>
        <w:r>
          <w:instrText xml:space="preserve">PAGEREF 10 \h</w:instrText>
        </w:r>
        <w:r>
          <w:fldChar w:fldCharType="end"/>
        </w:r>
      </w:hyperlink>
    </w:p>
    <w:p>
      <w:pPr>
        <w:tabs>
          <w:tab w:val="right" w:leader="dot" w:pos="9062"/>
        </w:tabs>
      </w:pPr>
      <w:hyperlink w:anchor="_Toc12" w:history="1">
        <w:r>
          <w:t>Risk Management</w:t>
        </w:r>
        <w:r>
          <w:tab/>
        </w:r>
        <w:r>
          <w:fldChar w:fldCharType="begin"/>
        </w:r>
        <w:r>
          <w:instrText xml:space="preserve">PAGEREF 12 \h</w:instrText>
        </w:r>
        <w:r>
          <w:fldChar w:fldCharType="end"/>
        </w:r>
      </w:hyperlink>
    </w:p>
    <w:p>
      <w:pPr>
        <w:tabs>
          <w:tab w:val="right" w:leader="dot" w:pos="9062"/>
        </w:tabs>
      </w:pPr>
      <w:hyperlink w:anchor="_Toc15" w:history="1">
        <w:r>
          <w:t>Knowledge Management &amp; Communications</w:t>
        </w:r>
        <w:r>
          <w:tab/>
        </w:r>
        <w:r>
          <w:fldChar w:fldCharType="begin"/>
        </w:r>
        <w:r>
          <w:instrText xml:space="preserve">PAGEREF 15 \h</w:instrText>
        </w:r>
        <w:r>
          <w:fldChar w:fldCharType="end"/>
        </w:r>
      </w:hyperlink>
    </w:p>
    <w:p>
      <w:pPr>
        <w:tabs>
          <w:tab w:val="right" w:leader="dot" w:pos="9062"/>
        </w:tabs>
      </w:pPr>
      <w:hyperlink w:anchor="_Toc16" w:history="1">
        <w:r>
          <w:t>Annex - Ratings Definitions</w:t>
        </w:r>
        <w:r>
          <w:tab/>
        </w:r>
        <w:r>
          <w:fldChar w:fldCharType="begin"/>
        </w:r>
        <w:r>
          <w:instrText xml:space="preserve">PAGEREF 16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9678</w:t>
            </w:r>
          </w:p>
        </w:tc>
      </w:tr>
      <w:tr>
        <w:trPr/>
        <w:tc>
          <w:tcPr>
            <w:tcW w:w="5000" w:type="dxa"/>
            <w:gridSpan w:val="1"/>
            <w:noWrap/>
          </w:tcPr>
          <w:p>
            <w:pPr/>
            <w:r>
              <w:rPr/>
              <w:t xml:space="preserve">GEF ID</w:t>
            </w:r>
          </w:p>
        </w:tc>
        <w:tc>
          <w:tcPr>
            <w:tcW w:w="5000" w:type="dxa"/>
            <w:gridSpan w:val="1"/>
            <w:noWrap/>
          </w:tcPr>
          <w:p>
            <w:pPr/>
            <w:r>
              <w:rPr/>
              <w:t xml:space="preserve">11286</w:t>
            </w:r>
          </w:p>
        </w:tc>
      </w:tr>
      <w:tr>
        <w:trPr/>
        <w:tc>
          <w:tcPr>
            <w:tcW w:w="5000" w:type="dxa"/>
            <w:gridSpan w:val="1"/>
            <w:noWrap/>
          </w:tcPr>
          <w:p>
            <w:pPr/>
            <w:r>
              <w:rPr/>
              <w:t xml:space="preserve">Title</w:t>
            </w:r>
          </w:p>
        </w:tc>
        <w:tc>
          <w:tcPr>
            <w:tcW w:w="5000" w:type="dxa"/>
            <w:gridSpan w:val="1"/>
            <w:noWrap/>
          </w:tcPr>
          <w:p>
            <w:pPr/>
            <w:r>
              <w:rPr/>
              <w:t xml:space="preserve">NBSAP Update and the 7th National Reports</w:t>
            </w:r>
          </w:p>
        </w:tc>
      </w:tr>
      <w:tr>
        <w:trPr/>
        <w:tc>
          <w:tcPr>
            <w:tcW w:w="5000" w:type="dxa"/>
            <w:gridSpan w:val="1"/>
            <w:noWrap/>
          </w:tcPr>
          <w:p>
            <w:pPr/>
            <w:r>
              <w:rPr/>
              <w:t xml:space="preserve">Country(ies)</w:t>
            </w:r>
          </w:p>
        </w:tc>
        <w:tc>
          <w:tcPr>
            <w:tcW w:w="5000" w:type="dxa"/>
            <w:gridSpan w:val="1"/>
            <w:noWrap/>
          </w:tcPr>
          <w:p>
            <w:pPr/>
            <w:r>
              <w:rP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Vincent&amp;Grenadines, Uruguay, Venezuela, Kazakhstan, Kyrgyzstan, Tajikistan, Turkmenistan, Ukraine, Uzbekistan, New York - VFs, Belize</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DIM</w:t>
            </w:r>
          </w:p>
        </w:tc>
      </w:tr>
      <w:tr>
        <w:trPr/>
        <w:tc>
          <w:tcPr>
            <w:tcW w:w="5000" w:type="dxa"/>
            <w:gridSpan w:val="1"/>
            <w:noWrap/>
          </w:tcPr>
          <w:p>
            <w:pPr/>
            <w:r>
              <w:rPr/>
              <w:t xml:space="preserve">Project Implementing Partner</w:t>
            </w:r>
          </w:p>
        </w:tc>
        <w:tc>
          <w:tcPr>
            <w:tcW w:w="5000" w:type="dxa"/>
            <w:gridSpan w:val="1"/>
            <w:noWrap/>
          </w:tcPr>
          <w:p>
            <w:pPr/>
            <w:r>
              <w:rPr/>
              <w:t xml:space="preserve">UNDP New York - VFs Country Office</w:t>
            </w:r>
          </w:p>
        </w:tc>
      </w:tr>
      <w:tr>
        <w:trPr/>
        <w:tc>
          <w:tcPr>
            <w:tcW w:w="5000" w:type="dxa"/>
            <w:gridSpan w:val="1"/>
            <w:noWrap/>
          </w:tcPr>
          <w:p>
            <w:pPr/>
            <w:r>
              <w:rPr/>
              <w:t xml:space="preserve">Joint Agencies</w:t>
            </w:r>
          </w:p>
        </w:tc>
        <w:tc>
          <w:tcPr>
            <w:tcW w:w="5000" w:type="dxa"/>
            <w:gridSpan w:val="1"/>
            <w:noWrap/>
          </w:tcPr>
          <w:p>
            <w:pPr/>
            <w:r>
              <w:rPr/>
              <w:t xml:space="preserve">UN Environment</w:t>
            </w:r>
          </w:p>
        </w:tc>
      </w:tr>
      <w:tr>
        <w:trPr/>
        <w:tc>
          <w:tcPr>
            <w:tcW w:w="5000" w:type="dxa"/>
            <w:gridSpan w:val="1"/>
            <w:noWrap/>
          </w:tcPr>
          <w:p>
            <w:pPr/>
            <w:r>
              <w:rPr/>
              <w:t xml:space="preserve">Project Type</w:t>
            </w:r>
          </w:p>
        </w:tc>
        <w:tc>
          <w:tcPr>
            <w:tcW w:w="5000" w:type="dxa"/>
            <w:gridSpan w:val="1"/>
            <w:noWrap/>
          </w:tcPr>
          <w:p>
            <w:pPr/>
            <w:r>
              <w:rPr/>
              <w:t xml:space="preserve">Enabling Act - 2 steps</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FY26</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This Global Programme will support countries in revising and updating their National Biodiversity Strategies and Action Plans (NBSAPs) in order to align with the recently agreed</w:t>
            </w:r>
          </w:p>
          <w:p>
            <w:pPr/>
            <w:r>
              <w:rP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pPr/>
            <w:r>
              <w:rPr/>
              <w:t xml:space="preserve">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Mr. Tashi Dorji (tashi.dorji@undp.org)</w:t>
            </w:r>
          </w:p>
        </w:tc>
      </w:tr>
      <w:tr>
        <w:trPr/>
        <w:tc>
          <w:tcPr>
            <w:tcW w:w="5000" w:type="dxa"/>
            <w:gridSpan w:val="1"/>
            <w:noWrap/>
          </w:tcPr>
          <w:p>
            <w:pPr/>
            <w:r>
              <w:rPr/>
              <w:t xml:space="preserve">UNDP BPPS Programme Associate</w:t>
            </w:r>
          </w:p>
        </w:tc>
        <w:tc>
          <w:tcPr>
            <w:tcW w:w="5000" w:type="dxa"/>
            <w:gridSpan w:val="1"/>
            <w:noWrap/>
          </w:tcPr>
          <w:p>
            <w:pPr/>
            <w:r>
              <w:rPr/>
              <w:t xml:space="preserve">Ms. Maria Lukina-Lebedeva (maria.lukina-lebedeva@undp.org)</w:t>
            </w:r>
          </w:p>
        </w:tc>
      </w:tr>
      <w:tr>
        <w:trPr/>
        <w:tc>
          <w:tcPr>
            <w:tcW w:w="5000" w:type="dxa"/>
            <w:gridSpan w:val="1"/>
            <w:noWrap/>
          </w:tcPr>
          <w:p>
            <w:pPr/>
            <w:r>
              <w:rPr/>
              <w:t xml:space="preserve">UNDP BPPS SES Technical Advisor</w:t>
            </w:r>
          </w:p>
        </w:tc>
        <w:tc>
          <w:tcPr>
            <w:tcW w:w="5000" w:type="dxa"/>
            <w:gridSpan w:val="1"/>
            <w:noWrap/>
          </w:tcPr>
          <w:p>
            <w:pPr/>
            <w:r>
              <w:rPr/>
              <w:t xml:space="preserve">Ms. Nadine Van Dijk (nadine.vandijk@undp.org)</w:t>
            </w:r>
          </w:p>
        </w:tc>
      </w:tr>
      <w:tr>
        <w:trPr/>
        <w:tc>
          <w:tcPr>
            <w:tcW w:w="5000" w:type="dxa"/>
            <w:gridSpan w:val="1"/>
            <w:noWrap/>
          </w:tcPr>
          <w:p>
            <w:pPr/>
            <w:r>
              <w:rPr/>
              <w:t xml:space="preserve">Project Manager/Coordinator</w:t>
            </w:r>
          </w:p>
        </w:tc>
        <w:tc>
          <w:tcPr>
            <w:tcW w:w="5000" w:type="dxa"/>
            <w:gridSpan w:val="1"/>
            <w:noWrap/>
          </w:tcPr>
          <w:p>
            <w:pPr/>
            <w:r>
              <w:rPr/>
              <w:t xml:space="preserve">Ms. Christina Supples (christina.supples@undp.org)</w:t>
            </w:r>
          </w:p>
        </w:tc>
      </w:tr>
      <w:tr>
        <w:trPr/>
        <w:tc>
          <w:tcPr>
            <w:tcW w:w="5000" w:type="dxa"/>
            <w:gridSpan w:val="1"/>
            <w:noWrap/>
          </w:tcPr>
          <w:p>
            <w:pPr/>
            <w:r>
              <w:rPr/>
              <w:t xml:space="preserve">UNDP Country Office Programme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Deputy Resident Representative</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Regional Bureau Desk Officer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GEF Operational Focal Point</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Implementing Partner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42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29, 2023</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Feb 6, 2024</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May 24, 2024</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19,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Jul 1,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May 24,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Nov 24, 2027</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Satisfactory</w:t>
            </w:r>
          </w:p>
        </w:tc>
      </w:tr>
      <w:tr>
        <w:trPr/>
        <w:tc>
          <w:tcPr>
            <w:tcW w:w="8000" w:type="dxa"/>
            <w:gridSpan w:val="1"/>
            <w:noWrap/>
          </w:tcPr>
          <w:p>
            <w:pPr/>
            <w:r>
              <w:rPr/>
              <w:t xml:space="preserve">Overall IP Rating</w:t>
            </w:r>
          </w:p>
        </w:tc>
        <w:tc>
          <w:tcPr>
            <w:tcW w:w="8000" w:type="dxa"/>
            <w:gridSpan w:val="1"/>
            <w:noWrap/>
          </w:tcPr>
          <w:p>
            <w:pPr/>
            <w:r>
              <w:rPr/>
              <w:t xml:space="preserve">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that have updated their NBSAP to align with the Kunming-Montreal Global Biodiversity Framework</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pPr/>
            <w:r>
              <w:rPr/>
              <w:t xml:space="preserve"/>
            </w:r>
          </w:p>
          <w:p>
            <w:pPr/>
            <w:r>
              <w:rPr/>
              <w:t xml:space="preserve">Evidence for this can be found in the file: OBJ.IND1_NBSAP Data.</w:t>
            </w:r>
          </w:p>
          <w:p>
            <w:pPr/>
            <w:r>
              <w:rP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Since 20 February 2025, 86 calls have been held with 48 countries. This is evidenced through OBJ.IND1_Billateral Call Tracker.</w:t>
            </w:r>
          </w:p>
          <w:p>
            <w:pPr/>
            <w:r>
              <w:rPr/>
              <w:t xml:space="preserve"/>
            </w:r>
          </w:p>
          <w:p>
            <w:pPr/>
            <w:r>
              <w:rPr/>
              <w:t xml:space="preserve">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pPr/>
            <w:r>
              <w:rPr/>
              <w:t xml:space="preserve"/>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pPr/>
            <w:r>
              <w:rPr/>
              <w:t xml:space="preserve">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t xml:space="preserve">Number of countries that have completed their 7th National Report</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 All participating countries</w:t>
            </w:r>
          </w:p>
        </w:tc>
        <w:tc>
          <w:tcPr>
            <w:tcW w:w="4000" w:type="dxa"/>
            <w:gridSpan w:val="1"/>
            <w:noWrap/>
          </w:tcPr>
          <w:p>
            <w:pPr/>
            <w:r>
              <w:rPr/>
              <w:t xml:space="preserve">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pPr/>
            <w:r>
              <w:rPr/>
              <w:t xml:space="preserve"/>
            </w:r>
          </w:p>
          <w:p>
            <w:pPr/>
            <w:r>
              <w:rPr/>
              <w:t xml:space="preserve">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pPr/>
            <w:r>
              <w:rPr/>
              <w:t xml:space="preserve">This progress indicates that the program is on track to achieve or exceed this mid-term target.</w:t>
            </w:r>
          </w:p>
          <w:p>
            <w:pPr/>
            <w:r>
              <w:rPr/>
              <w:t xml:space="preserve"/>
            </w:r>
          </w:p>
          <w:p>
            <w:pPr/>
            <w:r>
              <w:rPr/>
              <w:t xml:space="preserve">Evidence for this can be found in the file labeled “OBJ.IND2_NBT ORT Data”.</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Further evidence on 7th National Report Status can be found in the file: OBJ.IND1.1_GEF 8 NBSAP 7NR National Updates.</w:t>
            </w:r>
          </w:p>
        </w:tc>
      </w:tr>
      <w:tr>
        <w:trPr/>
        <w:tc>
          <w:tcPr>
            <w:tcW w:w="4000" w:type="dxa"/>
            <w:gridSpan w:val="1"/>
            <w:noWrap/>
          </w:tcPr>
          <w:p>
            <w:pPr/>
            <w:r>
              <w:rPr/>
              <w:t xml:space="preserve">Number of beneficiaries per country disaggregated by gender</w:t>
            </w:r>
          </w:p>
        </w:tc>
        <w:tc>
          <w:tcPr>
            <w:tcW w:w="2000" w:type="dxa"/>
            <w:gridSpan w:val="1"/>
            <w:noWrap/>
          </w:tcPr>
          <w:p>
            <w:pPr/>
            <w:r>
              <w:rPr/>
              <w:t xml:space="preserve">0</w:t>
            </w:r>
          </w:p>
        </w:tc>
        <w:tc>
          <w:tcPr>
            <w:tcW w:w="2000" w:type="dxa"/>
            <w:gridSpan w:val="1"/>
            <w:noWrap/>
          </w:tcPr>
          <w:p>
            <w:pPr/>
            <w:r>
              <w:rPr/>
              <w:t xml:space="preserve">500 per country (40% women)</w:t>
            </w:r>
          </w:p>
        </w:tc>
        <w:tc>
          <w:tcPr>
            <w:tcW w:w="2000" w:type="dxa"/>
            <w:gridSpan w:val="1"/>
            <w:noWrap/>
          </w:tcPr>
          <w:p>
            <w:pPr/>
            <w:r>
              <w:rPr/>
              <w:t xml:space="preserve">1,000 per country (40% women)</w:t>
            </w:r>
          </w:p>
        </w:tc>
        <w:tc>
          <w:tcPr>
            <w:tcW w:w="4000" w:type="dxa"/>
            <w:gridSpan w:val="1"/>
            <w:noWrap/>
          </w:tcPr>
          <w:p>
            <w:pPr/>
            <w:r>
              <w:rPr/>
              <w:t xml:space="preserve">This indicator is not yet measurable, but estimates will be available at the time of the next PIR.</w:t>
            </w:r>
          </w:p>
        </w:tc>
        <w:tc>
          <w:tcPr>
            <w:tcW w:w="4000" w:type="dxa"/>
            <w:gridSpan w:val="1"/>
            <w:noWrap/>
          </w:tcPr>
          <w:p>
            <w:pPr/>
            <w:r>
              <w:rPr/>
              <w:t xml:space="preserve">Based on the GEF-8 national progress self-assessments conducted throughout June 2026, 50 UNDP-supported countries reported progress against the project’s beneficiary target.</w:t>
            </w:r>
          </w:p>
          <w:p>
            <w:pPr/>
            <w:r>
              <w:rPr/>
              <w:t xml:space="preserve">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pPr/>
            <w:r>
              <w:rPr/>
              <w:t xml:space="preserve"/>
            </w:r>
          </w:p>
          <w:p>
            <w:pPr/>
            <w:r>
              <w:rPr/>
              <w:t xml:space="preserve">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pPr/>
            <w:r>
              <w:rPr/>
              <w:t xml:space="preserve">Based on midpoint estimates derived from the beneficiary categories reported through the national self-assessments, approximately 57,250 beneficiaries have been reached across the 50 responding countries, 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pPr/>
            <w:r>
              <w:rPr/>
              <w:t xml:space="preserve">Reported figures are based on country self-assessments and represent preliminary estimates that will continue to be refined through ongoing monitoring and reporting.</w:t>
            </w:r>
          </w:p>
          <w:p>
            <w:pPr/>
            <w:r>
              <w:rPr/>
              <w:t xml:space="preserve">Evidence for this can be found in the file: OBJ.IND1_GEF-8 National Progress Self-Assessment Data.</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1</w:t>
            </w:r>
          </w:p>
          <w:p>
            <w:pPr/>
            <w:r>
              <w:rPr>
                <w:b w:val="1"/>
                <w:bCs w:val="1"/>
              </w:rPr>
              <w:t xml:space="preserve">Revision and updating of National Biodiversity Strategies and Action Plans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countries with NBSAPs that align with KM-GBF</w:t>
            </w:r>
          </w:p>
        </w:tc>
        <w:tc>
          <w:tcPr>
            <w:tcW w:w="2000" w:type="dxa"/>
            <w:gridSpan w:val="1"/>
            <w:noWrap/>
          </w:tcPr>
          <w:p>
            <w:pPr/>
            <w:r>
              <w:rPr/>
              <w:t xml:space="preserve">0</w:t>
            </w:r>
          </w:p>
        </w:tc>
        <w:tc>
          <w:tcPr>
            <w:tcW w:w="2000" w:type="dxa"/>
            <w:gridSpan w:val="1"/>
            <w:noWrap/>
          </w:tcPr>
          <w:p>
            <w:pPr/>
            <w:r>
              <w:rPr/>
              <w:t xml:space="preserve">30</w:t>
            </w:r>
          </w:p>
        </w:tc>
        <w:tc>
          <w:tcPr>
            <w:tcW w:w="2000" w:type="dxa"/>
            <w:gridSpan w:val="1"/>
            <w:noWrap/>
          </w:tcPr>
          <w:p>
            <w:pPr/>
            <w:r>
              <w:rPr/>
              <w:t xml:space="preserve">69 (All participating countries)</w:t>
            </w:r>
          </w:p>
        </w:tc>
        <w:tc>
          <w:tcPr>
            <w:tcW w:w="4000" w:type="dxa"/>
            <w:gridSpan w:val="1"/>
            <w:noWrap/>
          </w:tcPr>
          <w:p>
            <w:pPr/>
            <w:r>
              <w:rPr/>
              <w:t xml:space="preserve">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pPr/>
            <w:r>
              <w:rPr/>
              <w:t xml:space="preserve"/>
            </w:r>
          </w:p>
          <w:p>
            <w:pPr/>
            <w:r>
              <w:rPr/>
              <w:t xml:space="preserve">More information has already been provided in the previous section. The progress noted in that section indicates that the program is on track to achieve or exceed the mid-term target.</w:t>
            </w:r>
          </w:p>
        </w:tc>
        <w:tc>
          <w:tcPr>
            <w:tcW w:w="4000" w:type="dxa"/>
            <w:gridSpan w:val="1"/>
            <w:noWrap/>
          </w:tcPr>
          <w:p>
            <w:pPr/>
            <w:r>
              <w:rPr/>
              <w:t xml:space="preserve">This midterm target has been reached and exceeded.</w:t>
            </w:r>
          </w:p>
          <w:p>
            <w:pPr/>
            <w:r>
              <w:rPr/>
              <w:t xml:space="preserve">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pPr/>
            <w:r>
              <w:rPr/>
              <w:t xml:space="preserve">Evidence for this can be found in the file: OBJ.IND1.1_NBSAP Data.</w:t>
            </w:r>
          </w:p>
          <w:p>
            <w:pPr/>
            <w:r>
              <w:rPr/>
              <w:t xml:space="preserve">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pPr/>
            <w:r>
              <w:rPr/>
              <w:t xml:space="preserve">Therefore, the total number of countries with an updated NBSAP is 47, reaching 68% of end-of project target level achievement.</w:t>
            </w:r>
          </w:p>
          <w:p>
            <w:pPr/>
            <w:r>
              <w:rPr/>
              <w:t xml:space="preserve">Further evidence on NBSAP Status can be found in the file: OBJ.IND1.1_GEF 8 NBSAP 7NR National Updates.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2</w:t>
            </w:r>
          </w:p>
          <w:p>
            <w:pPr/>
            <w:r>
              <w:rPr>
                <w:b w:val="1"/>
                <w:bCs w:val="1"/>
              </w:rPr>
              <w:t xml:space="preserve">Complete the 7th National Reports on Biodiversity</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Number of national reports completed and submitted to the CBD Sec</w:t>
            </w:r>
          </w:p>
        </w:tc>
        <w:tc>
          <w:tcPr>
            <w:tcW w:w="2000" w:type="dxa"/>
            <w:gridSpan w:val="1"/>
            <w:noWrap/>
          </w:tcPr>
          <w:p>
            <w:pPr/>
            <w:r>
              <w:rPr/>
              <w:t xml:space="preserve">0</w:t>
            </w:r>
          </w:p>
        </w:tc>
        <w:tc>
          <w:tcPr>
            <w:tcW w:w="2000" w:type="dxa"/>
            <w:gridSpan w:val="1"/>
            <w:noWrap/>
          </w:tcPr>
          <w:p>
            <w:pPr/>
            <w:r>
              <w:rPr/>
              <w:t xml:space="preserve">20</w:t>
            </w:r>
          </w:p>
        </w:tc>
        <w:tc>
          <w:tcPr>
            <w:tcW w:w="2000" w:type="dxa"/>
            <w:gridSpan w:val="1"/>
            <w:noWrap/>
          </w:tcPr>
          <w:p>
            <w:pPr/>
            <w:r>
              <w:rPr/>
              <w:t xml:space="preserve">69 (All participating countries)</w:t>
            </w:r>
          </w:p>
        </w:tc>
        <w:tc>
          <w:tcPr>
            <w:tcW w:w="4000" w:type="dxa"/>
            <w:gridSpan w:val="1"/>
            <w:noWrap/>
          </w:tcPr>
          <w:p>
            <w:pPr/>
            <w:r>
              <w:rPr/>
              <w:t xml:space="preserve">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pPr/>
            <w:r>
              <w:rPr/>
              <w:t xml:space="preserve"/>
            </w:r>
          </w:p>
          <w:p>
            <w:pPr/>
            <w:r>
              <w:rPr/>
              <w:t xml:space="preserve">Progress indicates that the program is on track to achieve or exceed this mid-term target. More information can been found in the previous section.</w:t>
            </w:r>
          </w:p>
          <w:p>
            <w:pPr/>
            <w:r>
              <w:rPr/>
              <w:t xml:space="preserve"/>
            </w:r>
          </w:p>
        </w:tc>
        <w:tc>
          <w:tcPr>
            <w:tcW w:w="4000" w:type="dxa"/>
            <w:gridSpan w:val="1"/>
            <w:noWrap/>
          </w:tcPr>
          <w:p>
            <w:pPr/>
            <w:r>
              <w:rPr/>
              <w:t xml:space="preserve">This midterm target has been reached and exceeded.</w:t>
            </w:r>
          </w:p>
          <w:p>
            <w:pPr/>
            <w:r>
              <w:rPr/>
              <w:t xml:space="preserve">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pPr/>
            <w:r>
              <w:rPr/>
              <w:t xml:space="preserve">From the countries that have not yet submitted their 7th National Reports in the Online Reporting Tool (ORT), 7 countries have their 7th National Report under final validation with senior Ministry officials, while the remainder have their 7th National Report in development.</w:t>
            </w:r>
          </w:p>
          <w:p>
            <w:pPr/>
            <w:r>
              <w:rPr/>
              <w:t xml:space="preserve">Therefore, the total number of countries that have completed their 7th National Report is 55, reaching 80% of end-of project target level achievement.</w:t>
            </w:r>
          </w:p>
          <w:p>
            <w:pPr/>
            <w:r>
              <w:rPr/>
              <w:t xml:space="preserve">Evidence for this can be found in the file: OBJ.IND1.1_7NR Data.</w:t>
            </w:r>
          </w:p>
          <w:p>
            <w:pPr/>
            <w:r>
              <w:rPr/>
              <w:t xml:space="preserve">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pPr/>
            <w:r>
              <w:rPr/>
              <w:t xml:space="preserve">Evidence for this can be found in the file: OBJ.IND1.1_Caribbean Report - Draft Concept Note.</w:t>
            </w:r>
          </w:p>
          <w:p>
            <w:pPr/>
            <w:r>
              <w:rPr/>
              <w:t xml:space="preserve">Further evidence on 7th National Report Status can be found in the file: OBJ.IND1.1_GEF 8 NBSAP 7NR National Updates.</w:t>
            </w:r>
          </w:p>
        </w:tc>
      </w:tr>
      <w:tr>
        <w:trPr/>
        <w:tc>
          <w:tcPr>
            <w:tcW w:w="4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2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c>
          <w:tcPr>
            <w:tcW w:w="4000" w:type="dxa"/>
            <w:gridSpan w:val="1"/>
            <w:noWrap/>
          </w:tcPr>
          <w:p>
            <w:pPr/>
            <w:r>
              <w:rPr>
                <w:i w:val="1"/>
                <w:iCs w:val="1"/>
              </w:rPr>
              <w:t xml:space="preserve">(not set or not applicable)</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3</w:t>
            </w:r>
          </w:p>
          <w:p>
            <w:pPr/>
            <w:r>
              <w:rPr>
                <w:b w:val="1"/>
                <w:bCs w:val="1"/>
              </w:rPr>
              <w:t xml:space="preserve">: A global knowledge and technical assistance platform is established to share knowledge and experiences across participating countries and partner organizations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Percentage of countries that are applying support from the global, regional, and national support unit</w:t>
            </w:r>
          </w:p>
        </w:tc>
        <w:tc>
          <w:tcPr>
            <w:tcW w:w="2000" w:type="dxa"/>
            <w:gridSpan w:val="1"/>
            <w:noWrap/>
          </w:tcPr>
          <w:p>
            <w:pPr/>
            <w:r>
              <w:rPr/>
              <w:t xml:space="preserve">0% of countries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100% of the 69 countries supported under this project have applied technical support from the global, regional and national support units. These types of technical support offerings include:</w:t>
            </w:r>
          </w:p>
          <w:p>
            <w:pPr/>
            <w:r>
              <w:rPr/>
              <w:t xml:space="preserve"/>
            </w:r>
          </w:p>
          <w:p>
            <w:pPr/>
            <w:r>
              <w:rPr/>
              <w:t xml:space="preserve">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pPr/>
            <w:r>
              <w:rPr/>
              <w:t xml:space="preserve"/>
            </w:r>
          </w:p>
          <w:p>
            <w:pPr/>
            <w:r>
              <w:rPr/>
              <w:t xml:space="preserve"/>
            </w:r>
          </w:p>
          <w:p>
            <w:pPr/>
            <w:r>
              <w:rPr/>
              <w:t xml:space="preserve">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pPr/>
            <w:r>
              <w:rPr/>
              <w:t xml:space="preserve"/>
            </w:r>
          </w:p>
          <w:p>
            <w:pPr/>
            <w:r>
              <w:rPr/>
              <w:t xml:space="preserve"/>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pPr/>
            <w:r>
              <w:rPr/>
              <w:t xml:space="preserve"/>
            </w:r>
          </w:p>
          <w:p>
            <w:pPr/>
            <w:r>
              <w:rPr/>
              <w:t xml:space="preserve"/>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NBTs, NBSAPs, monitoring, finance, and the 7th National Report. 69% (48) of the 69 countries have accessed this support. Data related to the Help Desk can be found under the files labeled “O3IND1_Help Desk”.</w:t>
            </w:r>
          </w:p>
          <w:p>
            <w:pPr/>
            <w:r>
              <w:rPr/>
              <w:t xml:space="preserve"/>
            </w:r>
          </w:p>
          <w:p>
            <w:pPr/>
            <w:r>
              <w:rPr/>
              <w:t xml:space="preserve"/>
            </w:r>
          </w:p>
          <w:p>
            <w:pPr/>
            <w:r>
              <w:rPr/>
              <w:t xml:space="preserve">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pPr/>
            <w:r>
              <w:rPr/>
              <w:t xml:space="preserve">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pPr/>
            <w:r>
              <w:rPr/>
              <w:t xml:space="preserve"/>
            </w:r>
          </w:p>
          <w:p>
            <w:pPr/>
            <w:r>
              <w:rPr/>
              <w:t xml:space="preserve"/>
            </w:r>
          </w:p>
          <w:p>
            <w:pPr/>
            <w:r>
              <w:rPr/>
              <w:t xml:space="preserve"/>
            </w:r>
          </w:p>
          <w:p>
            <w:pPr/>
            <w:r>
              <w:rPr/>
              <w:t xml:space="preserve">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pPr/>
            <w:r>
              <w:rPr/>
              <w:t xml:space="preserve"/>
            </w:r>
          </w:p>
          <w:p>
            <w:pPr/>
            <w:r>
              <w:rPr/>
              <w:t xml:space="preserve"/>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pPr/>
            <w:r>
              <w:rPr/>
              <w:t xml:space="preserve"/>
            </w:r>
          </w:p>
          <w:p>
            <w:pPr/>
            <w:r>
              <w:rPr/>
              <w:t xml:space="preserve"/>
            </w:r>
          </w:p>
          <w:p>
            <w:pPr/>
            <w:r>
              <w:rPr/>
              <w:t xml:space="preserve">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pPr/>
            <w:r>
              <w:rPr/>
              <w:t xml:space="preserve"/>
            </w:r>
          </w:p>
          <w:p>
            <w:pPr/>
            <w:r>
              <w:rPr/>
              <w:t xml:space="preserve"/>
            </w:r>
          </w:p>
          <w:p>
            <w:pPr/>
            <w:r>
              <w:rPr/>
              <w:t xml:space="preserve"/>
            </w:r>
          </w:p>
          <w:p>
            <w:pPr/>
            <w:r>
              <w:rPr/>
              <w:t xml:space="preserve">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pPr/>
            <w:r>
              <w:rPr/>
              <w:t xml:space="preserve"/>
            </w:r>
          </w:p>
          <w:p>
            <w:pPr/>
            <w:r>
              <w:rPr/>
              <w:t xml:space="preserve">Additional data related to technical support offerings can be found under the file “O3IND1_Technical Support Offerings”.</w:t>
            </w:r>
          </w:p>
          <w:p>
            <w:pPr/>
            <w:r>
              <w:rPr/>
              <w:t xml:space="preserve"/>
            </w:r>
          </w:p>
          <w:p>
            <w:pPr/>
            <w:r>
              <w:rPr/>
              <w:t xml:space="preserve"/>
            </w:r>
          </w:p>
        </w:tc>
        <w:tc>
          <w:tcPr>
            <w:tcW w:w="4000" w:type="dxa"/>
            <w:gridSpan w:val="1"/>
            <w:noWrap/>
          </w:tcPr>
          <w:p>
            <w:pPr/>
            <w:r>
              <w:rPr/>
              <w:t xml:space="preserve">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pPr/>
            <w:r>
              <w:rP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level of documentation reflecting the nature of the engagement and any follow-up requirements.</w:t>
            </w:r>
          </w:p>
          <w:p>
            <w:pPr/>
            <w:r>
              <w:rPr/>
              <w:t xml:space="preserve">Cumulatively, since project inception, the GPMTSU has conducted a total of 243 bilateral meetings, engaging all 69 UNDP-supported countries (100%). This data can be found under the file “OBJ.IND1.1_Billateral Call Tracker”.</w:t>
            </w:r>
          </w:p>
          <w:p>
            <w:pPr/>
            <w:r>
              <w:rPr/>
              <w:t xml:space="preserve">Further data can be found under the files labeled “O3IND1.1_Bilateral Meeting Notes”.</w:t>
            </w:r>
          </w:p>
          <w:p>
            <w:pPr/>
            <w:r>
              <w:rPr/>
              <w:t xml:space="preserve">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pPr/>
            <w:r>
              <w:rPr/>
              <w:t xml:space="preserve">Cumulatively, 67% (46) of the 69 countries supported under this project have applied this type of support. Data related to technical review of documents can be found under the file “O3IND1.1_Technical review of documents – Tracker".</w:t>
            </w:r>
          </w:p>
          <w:p>
            <w:pPr/>
            <w:r>
              <w:rPr/>
              <w:t xml:space="preserve">Further data can be found under the files labeled “O3IND1.1_Technical review of documents”.</w:t>
            </w:r>
          </w:p>
          <w:p>
            <w:pPr/>
            <w:r>
              <w:rPr/>
              <w:t xml:space="preserve">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pPr/>
            <w:r>
              <w:rPr/>
              <w:t xml:space="preserve">In-person Help Desk: The programme’s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Report. Cumulatively, 69% (48) of the 69 countries have accessed this support. Data related to the Help Desk can be found under the file labeled “O3IND1.1_Help Desk - BTOR - SBI-06”.</w:t>
            </w:r>
          </w:p>
          <w:p>
            <w:pPr/>
            <w:r>
              <w:rP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pPr/>
            <w:r>
              <w:rPr/>
              <w:t xml:space="preserve">Data related to the virtual peer-to-peer knowledge exchanges country participation can be found under the files labeled “O3IND1.1_Virtual Knowledge Exchange Tracker”, and “O3IND1.1_Technical Support Offerings”.</w:t>
            </w:r>
          </w:p>
          <w:p>
            <w:pPr/>
            <w:r>
              <w:rPr/>
              <w:t xml:space="preserve">Additional data related to technical support offerings can be found under the file “O3IND1.1_Technical Support Offerings”.</w:t>
            </w:r>
          </w:p>
          <w:p>
            <w:pPr/>
            <w:r>
              <w:rPr/>
              <w:t xml:space="preserve"/>
            </w:r>
          </w:p>
        </w:tc>
      </w:tr>
      <w:tr>
        <w:trPr/>
        <w:tc>
          <w:tcPr>
            <w:tcW w:w="4000" w:type="dxa"/>
            <w:gridSpan w:val="1"/>
            <w:noWrap/>
          </w:tcPr>
          <w:p>
            <w:pPr/>
            <w:r>
              <w:rPr/>
              <w:t xml:space="preserve">Number of virtual knowledge exchange opportunities</w:t>
            </w:r>
          </w:p>
        </w:tc>
        <w:tc>
          <w:tcPr>
            <w:tcW w:w="2000" w:type="dxa"/>
            <w:gridSpan w:val="1"/>
            <w:noWrap/>
          </w:tcPr>
          <w:p>
            <w:pPr/>
            <w:r>
              <w:rPr/>
              <w:t xml:space="preserve">0 virtual knowledge exchange opportunities</w:t>
            </w:r>
          </w:p>
        </w:tc>
        <w:tc>
          <w:tcPr>
            <w:tcW w:w="2000" w:type="dxa"/>
            <w:gridSpan w:val="1"/>
            <w:noWrap/>
          </w:tcPr>
          <w:p>
            <w:pPr/>
            <w:r>
              <w:rPr/>
              <w:t xml:space="preserve">6 virtual knowledge exchange opportunities</w:t>
            </w:r>
          </w:p>
        </w:tc>
        <w:tc>
          <w:tcPr>
            <w:tcW w:w="2000" w:type="dxa"/>
            <w:gridSpan w:val="1"/>
            <w:noWrap/>
          </w:tcPr>
          <w:p>
            <w:pPr/>
            <w:r>
              <w:rPr/>
              <w:t xml:space="preserve">12 virtual knowledge exchange opportunities</w:t>
            </w:r>
          </w:p>
        </w:tc>
        <w:tc>
          <w:tcPr>
            <w:tcW w:w="4000" w:type="dxa"/>
            <w:gridSpan w:val="1"/>
            <w:noWrap/>
          </w:tcPr>
          <w:p>
            <w:pPr/>
            <w:r>
              <w:rPr/>
              <w:t xml:space="preserve">13 virtual knowledge exchanges were held in this period. These included:</w:t>
            </w:r>
          </w:p>
          <w:p>
            <w:pPr/>
            <w:r>
              <w:rPr/>
              <w:t xml:space="preserve"/>
            </w:r>
          </w:p>
          <w:p>
            <w:pPr/>
            <w:r>
              <w:rPr/>
              <w:t xml:space="preserve"/>
            </w:r>
          </w:p>
          <w:p>
            <w:pPr/>
            <w:r>
              <w:rPr/>
              <w:t xml:space="preserve"/>
            </w:r>
          </w:p>
          <w:p>
            <w:pPr/>
            <w:r>
              <w:rPr/>
              <w:t xml:space="preserve">3 webinar series:</w:t>
            </w:r>
          </w:p>
          <w:p>
            <w:pPr/>
            <w:r>
              <w:rPr/>
              <w:t xml:space="preserve"/>
            </w:r>
          </w:p>
          <w:p>
            <w:pPr/>
            <w:r>
              <w:rPr/>
              <w:t xml:space="preserve">1) Public-Private Finance Flowing into GBF Target 19 - Trends and Innovation - 6 March 2025 (314 participants).</w:t>
            </w:r>
          </w:p>
          <w:p>
            <w:pPr/>
            <w:r>
              <w:rPr/>
              <w:t xml:space="preserve"/>
            </w:r>
          </w:p>
          <w:p>
            <w:pPr/>
            <w:r>
              <w:rPr/>
              <w:t xml:space="preserve">- English: https://www.youtube.com/watch?v=Laa2HR8Ol4A  </w:t>
            </w:r>
          </w:p>
          <w:p>
            <w:pPr/>
            <w:r>
              <w:rPr/>
              <w:t xml:space="preserve"/>
            </w:r>
          </w:p>
          <w:p>
            <w:pPr/>
            <w:r>
              <w:rPr/>
              <w:t xml:space="preserve">- French: https://www.youtube.com/watch?v=FccaZ-wUJgU  </w:t>
            </w:r>
          </w:p>
          <w:p>
            <w:pPr/>
            <w:r>
              <w:rPr/>
              <w:t xml:space="preserve"/>
            </w:r>
          </w:p>
          <w:p>
            <w:pPr/>
            <w:r>
              <w:rPr/>
              <w:t xml:space="preserve">- Spanish: https://www.youtube.com/watch?v=EnXsZXiAgSM  </w:t>
            </w:r>
          </w:p>
          <w:p>
            <w:pPr/>
            <w:r>
              <w:rPr/>
              <w:t xml:space="preserve"/>
            </w:r>
          </w:p>
          <w:p>
            <w:pPr/>
            <w:r>
              <w:rPr/>
              <w:t xml:space="preserve"/>
            </w:r>
          </w:p>
          <w:p>
            <w:pPr/>
            <w:r>
              <w:rPr/>
              <w:t xml:space="preserve"/>
            </w:r>
          </w:p>
          <w:p>
            <w:pPr/>
            <w:r>
              <w:rPr/>
              <w:t xml:space="preserve">2) Indigenous and Investor Shareholdership in Revenue Generation for Nature for GBF Target - 19 – 24 April 2025 (221 participants).</w:t>
            </w:r>
          </w:p>
          <w:p>
            <w:pPr/>
            <w:r>
              <w:rPr/>
              <w:t xml:space="preserve"/>
            </w:r>
          </w:p>
          <w:p>
            <w:pPr/>
            <w:r>
              <w:rPr/>
              <w:t xml:space="preserve">- English: https://www.youtube.com/watch?v=kyI9hztc_X8  </w:t>
            </w:r>
          </w:p>
          <w:p>
            <w:pPr/>
            <w:r>
              <w:rPr/>
              <w:t xml:space="preserve"/>
            </w:r>
          </w:p>
          <w:p>
            <w:pPr/>
            <w:r>
              <w:rPr/>
              <w:t xml:space="preserve">- French: https://www.youtube.com/watch?v=3TiZxN8Z4vA  </w:t>
            </w:r>
          </w:p>
          <w:p>
            <w:pPr/>
            <w:r>
              <w:rPr/>
              <w:t xml:space="preserve"/>
            </w:r>
          </w:p>
          <w:p>
            <w:pPr/>
            <w:r>
              <w:rPr/>
              <w:t xml:space="preserve">- Spanish: https://www.youtube.com/watch?v=HRaLQBuzbSs  </w:t>
            </w:r>
          </w:p>
          <w:p>
            <w:pPr/>
            <w:r>
              <w:rPr/>
              <w:t xml:space="preserve"/>
            </w:r>
          </w:p>
          <w:p>
            <w:pPr/>
            <w:r>
              <w:rPr/>
              <w:t xml:space="preserve">- Portuguese: https://www.youtube.com/watch?v=nmuah74Sa2Y  </w:t>
            </w:r>
          </w:p>
          <w:p>
            <w:pPr/>
            <w:r>
              <w:rPr/>
              <w:t xml:space="preserve"/>
            </w:r>
          </w:p>
          <w:p>
            <w:pPr/>
            <w:r>
              <w:rPr/>
              <w:t xml:space="preserve"/>
            </w:r>
          </w:p>
          <w:p>
            <w:pPr/>
            <w:r>
              <w:rPr/>
              <w:t xml:space="preserve"/>
            </w:r>
          </w:p>
          <w:p>
            <w:pPr/>
            <w:r>
              <w:rPr/>
              <w:t xml:space="preserve">3) Demonstration of the Online Reporting Tool for the 7th National Report – 18 June (234 participants): https://www.youtube.com/watch?v=RA-7r5bIcmk&amp;embeds_referring_euri=https%3A%2F%2Fwww.learningfornature.org%2F&amp;source_ve_path=MjM4NTE</w:t>
            </w:r>
          </w:p>
          <w:p>
            <w:pPr/>
            <w:r>
              <w:rPr/>
              <w:t xml:space="preserve"/>
            </w:r>
          </w:p>
          <w:p>
            <w:pPr/>
            <w:r>
              <w:rPr/>
              <w:t xml:space="preserve">- English: https://www.youtube.com/watch?v=RA-7r5bIcmk&amp;ab_channel=NBSAPForum</w:t>
            </w:r>
          </w:p>
          <w:p>
            <w:pPr/>
            <w:r>
              <w:rPr/>
              <w:t xml:space="preserve"/>
            </w:r>
          </w:p>
          <w:p>
            <w:pPr/>
            <w:r>
              <w:rPr/>
              <w:t xml:space="preserve">- French: https://www.youtube.com/watch?v=aCfZh0v_H-U&amp;ab_channel=NBSAPForum</w:t>
            </w:r>
          </w:p>
          <w:p>
            <w:pPr/>
            <w:r>
              <w:rPr/>
              <w:t xml:space="preserve"/>
            </w:r>
          </w:p>
          <w:p>
            <w:pPr/>
            <w:r>
              <w:rPr/>
              <w:t xml:space="preserve">-Spanish: https://www.youtube.com/watch?v=O1pvl2kXNFU&amp;ab_channel=NBSAPForum</w:t>
            </w:r>
          </w:p>
          <w:p>
            <w:pPr/>
            <w:r>
              <w:rPr/>
              <w:t xml:space="preserve"/>
            </w:r>
          </w:p>
          <w:p>
            <w:pPr/>
            <w:r>
              <w:rPr/>
              <w:t xml:space="preserve">-Russian: https://www.youtube.com/watch?v=ckBUrOof8Js&amp;ab_channel=NBSAPForum</w:t>
            </w:r>
          </w:p>
          <w:p>
            <w:pPr/>
            <w:r>
              <w:rPr/>
              <w:t xml:space="preserve"/>
            </w:r>
          </w:p>
          <w:p>
            <w:pPr/>
            <w:r>
              <w:rPr/>
              <w:t xml:space="preserve"/>
            </w:r>
          </w:p>
          <w:p>
            <w:pPr/>
            <w:r>
              <w:rPr/>
              <w:t xml:space="preserve"/>
            </w:r>
          </w:p>
          <w:p>
            <w:pPr/>
            <w:r>
              <w:rPr/>
              <w:t xml:space="preserve">Webinar participation data can be found under the files “O3IND2_Webinar Series”.</w:t>
            </w:r>
          </w:p>
          <w:p>
            <w:pPr/>
            <w:r>
              <w:rPr/>
              <w:t xml:space="preserve"/>
            </w:r>
          </w:p>
          <w:p>
            <w:pPr/>
            <w:r>
              <w:rPr/>
              <w:t xml:space="preserve"/>
            </w:r>
          </w:p>
          <w:p>
            <w:pPr/>
            <w:r>
              <w:rPr/>
              <w:t xml:space="preserve"/>
            </w:r>
          </w:p>
          <w:p>
            <w:pPr/>
            <w:r>
              <w:rPr/>
              <w:t xml:space="preserve">6 Regional Virtual Inception Workshops</w:t>
            </w:r>
          </w:p>
          <w:p>
            <w:pPr/>
            <w:r>
              <w:rPr/>
              <w:t xml:space="preserve"/>
            </w:r>
          </w:p>
          <w:p>
            <w:pPr/>
            <w:r>
              <w:rP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joined across all sessions.  </w:t>
            </w:r>
          </w:p>
          <w:p>
            <w:pPr/>
            <w:r>
              <w:rPr/>
              <w:t xml:space="preserve"/>
            </w:r>
          </w:p>
          <w:p>
            <w:pPr/>
            <w:r>
              <w:rP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pPr/>
            <w:r>
              <w:rPr/>
              <w:t xml:space="preserve"/>
            </w:r>
          </w:p>
          <w:p>
            <w:pPr/>
            <w:r>
              <w:rPr/>
              <w:t xml:space="preserve">21 January 2025, for Asia and the Pacific Region in English (Recording Link: https://www.youtube.com/watch?v=J4CEu9AaOCQ)</w:t>
            </w:r>
          </w:p>
          <w:p>
            <w:pPr/>
            <w:r>
              <w:rPr/>
              <w:t xml:space="preserve"/>
            </w:r>
          </w:p>
          <w:p>
            <w:pPr/>
            <w:r>
              <w:rPr/>
              <w:t xml:space="preserve">22 January 2025, for Africa and the Arab States in French (Recording Link: https://www.youtube.com/watch?v=iAV273AMfh4)</w:t>
            </w:r>
          </w:p>
          <w:p>
            <w:pPr/>
            <w:r>
              <w:rPr/>
              <w:t xml:space="preserve"/>
            </w:r>
          </w:p>
          <w:p>
            <w:pPr/>
            <w:r>
              <w:rPr/>
              <w:t xml:space="preserve">23 January, 2025, for Africa and the Arab States in English (Recording Link: https://www.youtube.com/watch?v=NqK2DuClrjA)</w:t>
            </w:r>
          </w:p>
          <w:p>
            <w:pPr/>
            <w:r>
              <w:rPr/>
              <w:t xml:space="preserve"/>
            </w:r>
          </w:p>
          <w:p>
            <w:pPr/>
            <w:r>
              <w:rPr/>
              <w:t xml:space="preserve">27 January 2025, for Eastern Europe and Central Asia in English (Recording Link: https://www.youtube.com/watch?v=8wczn6Na5M8)</w:t>
            </w:r>
          </w:p>
          <w:p>
            <w:pPr/>
            <w:r>
              <w:rPr/>
              <w:t xml:space="preserve"/>
            </w:r>
          </w:p>
          <w:p>
            <w:pPr/>
            <w:r>
              <w:rPr/>
              <w:t xml:space="preserve">28 January 2025, for Latin America and the Caribbean in Spanish (Recording Link: https://www.youtube.com/watch?v=keMtoCpdjX4)</w:t>
            </w:r>
          </w:p>
          <w:p>
            <w:pPr/>
            <w:r>
              <w:rPr/>
              <w:t xml:space="preserve"/>
            </w:r>
          </w:p>
          <w:p>
            <w:pPr/>
            <w:r>
              <w:rPr/>
              <w:t xml:space="preserve">29 January 2025, for Latin America and the Caribbean in English (Recording Link: https://www.youtube.com/watch?v=0i6ghwIBiYs)</w:t>
            </w:r>
          </w:p>
          <w:p>
            <w:pPr/>
            <w:r>
              <w:rPr/>
              <w:t xml:space="preserve"/>
            </w:r>
          </w:p>
          <w:p>
            <w:pPr/>
            <w:r>
              <w:rP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Programme to Support NBSAPs and 7NR”.</w:t>
            </w:r>
          </w:p>
          <w:p>
            <w:pPr/>
            <w:r>
              <w:rPr/>
              <w:t xml:space="preserve"/>
            </w:r>
          </w:p>
          <w:p>
            <w:pPr/>
            <w:r>
              <w:rPr/>
              <w:t xml:space="preserve">Additional evidence can be found under the files labeled “O3IND2_Virtual Inception Workshop”.</w:t>
            </w:r>
          </w:p>
          <w:p>
            <w:pPr/>
            <w:r>
              <w:rPr/>
              <w:t xml:space="preserve"/>
            </w:r>
          </w:p>
          <w:p>
            <w:pPr/>
            <w:r>
              <w:rPr/>
              <w:t xml:space="preserve">4 On demand Virtual Events, supported by the GPMTSU. While countries hold many types of national events, as part of their work under the project, this list just covers those where the GPMTSU was requested to present.</w:t>
            </w:r>
          </w:p>
          <w:p>
            <w:pPr/>
            <w:r>
              <w:rPr/>
              <w:t xml:space="preserve"/>
            </w:r>
          </w:p>
          <w:p>
            <w:pPr/>
            <w:r>
              <w:rPr/>
              <w:t xml:space="preserve">Webinar for Kyrgyzstan entitled "Enhancing Sectoral Contributions to NDC 3.0: Best Practices and Methodological Approaches – Nature and Biodiversity” – 25 April 2025 (29 participants)</w:t>
            </w:r>
          </w:p>
          <w:p>
            <w:pPr/>
            <w:r>
              <w:rPr/>
              <w:t xml:space="preserve"/>
            </w:r>
          </w:p>
          <w:p>
            <w:pPr/>
            <w:r>
              <w:rPr/>
              <w:t xml:space="preserve">Virtual technical meeting in Viet Nam on indicators and presented on NBSAP-GBF alignment – 24 April 2025 (30 participants)</w:t>
            </w:r>
          </w:p>
          <w:p>
            <w:pPr/>
            <w:r>
              <w:rPr/>
              <w:t xml:space="preserve"/>
            </w:r>
          </w:p>
          <w:p>
            <w:pPr/>
            <w:r>
              <w:rPr/>
              <w:t xml:space="preserve">Technical meeting in Indonesia on the 7th national report, in coordination with the Ministry of Environment – 24 April 2025 (20 participants)</w:t>
            </w:r>
          </w:p>
          <w:p>
            <w:pPr/>
            <w:r>
              <w:rPr/>
              <w:t xml:space="preserve"/>
            </w:r>
          </w:p>
          <w:p>
            <w:pPr/>
            <w:r>
              <w:rPr/>
              <w:t xml:space="preserve">National technical working session in Kazakhstan, “Strategic vision for the conservation and sustainable use of biodiversity in Kazakhstan, first results, plans, and financial mechanisms” 20 – May (56 participants)</w:t>
            </w:r>
          </w:p>
          <w:p>
            <w:pPr/>
            <w:r>
              <w:rPr/>
              <w:t xml:space="preserve"/>
            </w:r>
          </w:p>
          <w:p>
            <w:pPr/>
            <w:r>
              <w:rPr/>
              <w:t xml:space="preserve">Evidence for these events can be found in the files labeled “O3IND2_On demand Virtual Events”.</w:t>
            </w:r>
          </w:p>
        </w:tc>
        <w:tc>
          <w:tcPr>
            <w:tcW w:w="4000" w:type="dxa"/>
            <w:gridSpan w:val="1"/>
            <w:noWrap/>
          </w:tcPr>
          <w:p>
            <w:pPr/>
            <w:r>
              <w:rPr/>
              <w:t xml:space="preserve">This target has been achieved and exceeded, having conducted a total of 25 virtual knowledge exchange opportunities since project inception.</w:t>
            </w:r>
          </w:p>
          <w:p>
            <w:pPr/>
            <w:r>
              <w:rPr/>
              <w:t xml:space="preserve">Between the last PIR date and 30 June 2026, 12 virtual additional knowledge exchanges were held. These include 10 webinars and 2 on demand virtual events:</w:t>
            </w:r>
          </w:p>
          <w:p>
            <w:pPr/>
            <w:r>
              <w:rPr/>
              <w:t xml:space="preserve">Webinars:</w:t>
            </w:r>
          </w:p>
          <w:p>
            <w:pPr/>
            <w:r>
              <w:rPr/>
              <w:t xml:space="preserve">1) Bridging Public and Private Efforts: Collaborative Models for Financing Nature - 22 July 2025 (182 total participants, 78 participants from 39 UNDP-supported countries).</w:t>
            </w:r>
          </w:p>
          <w:p>
            <w:pPr/>
            <w:r>
              <w:rPr/>
              <w:t xml:space="preserve">- English: https://www.youtube.com/watch?v=Laa2HR8Ol4A  </w:t>
            </w:r>
          </w:p>
          <w:p>
            <w:pPr/>
            <w:r>
              <w:rPr/>
              <w:t xml:space="preserve">2) Gender in Biodiversity: Why and How To Address Gender Issues in NBSAPs and 7NR – 30 July 2025 (106 total participants, 76 participants from 30 UNDP-supported countries).</w:t>
            </w:r>
          </w:p>
          <w:p>
            <w:pPr/>
            <w:r>
              <w:rPr/>
              <w:t xml:space="preserve">- English: https://www.youtube.com/watch?v=kyI9hztc_X8  </w:t>
            </w:r>
          </w:p>
          <w:p>
            <w:pPr/>
            <w:r>
              <w:rPr/>
              <w:t xml:space="preserve">- French: https://www.youtube.com/watch?v=3TiZxN8Z4vA  </w:t>
            </w:r>
          </w:p>
          <w:p>
            <w:pPr/>
            <w:r>
              <w:rPr/>
              <w:t xml:space="preserve">- Spanish: https://www.youtube.com/watch?v=HRaLQBuzbSs  </w:t>
            </w:r>
          </w:p>
          <w:p>
            <w:pPr/>
            <w:r>
              <w:rPr/>
              <w:t xml:space="preserve">3) Introduction to Gender in Biodiversity (Part 2) – 2 September 2025 (98 total participants, 81 participants from 41 UNDP-supported countries):</w:t>
            </w:r>
          </w:p>
          <w:p>
            <w:pPr/>
            <w:r>
              <w:rPr/>
              <w:t xml:space="preserve">- English: https://www.youtube.com/watch?v=RA-7r5bIcmk&amp;ab_channel=NBSAPForum</w:t>
            </w:r>
          </w:p>
          <w:p>
            <w:pPr/>
            <w:r>
              <w:rPr/>
              <w:t xml:space="preserve">- French: https://www.youtube.com/watch?v=aCfZh0v_H-U&amp;ab_channel=NBSAPForum</w:t>
            </w:r>
          </w:p>
          <w:p>
            <w:pPr/>
            <w:r>
              <w:rPr/>
              <w:t xml:space="preserve">-Spanish: https://www.youtube.com/watch?v=O1pvl2kXNFU&amp;ab_channel=NBSAPForum</w:t>
            </w:r>
          </w:p>
          <w:p>
            <w:pPr/>
            <w:r>
              <w:rPr/>
              <w:t xml:space="preserve">4) Integrated Spatial Planning – 23 September 2025 (114 total participants, 76 participants from 35 UNDP-supported countries):</w:t>
            </w:r>
          </w:p>
          <w:p>
            <w:pPr/>
            <w:r>
              <w:rPr/>
              <w:t xml:space="preserve">- English: https://www.youtube.com/watch?v=-HMDntMcloY</w:t>
            </w:r>
          </w:p>
          <w:p>
            <w:pPr/>
            <w:r>
              <w:rPr/>
              <w:t xml:space="preserve">- French: https://www.youtube.com/watch?v=LNHDKCr1W7Y</w:t>
            </w:r>
          </w:p>
          <w:p>
            <w:pPr/>
            <w:r>
              <w:rPr/>
              <w:t xml:space="preserve">- Spanish: https://www.youtube.com/watch?v=pw6-VxxjKsA</w:t>
            </w:r>
          </w:p>
          <w:p>
            <w:pPr/>
            <w:r>
              <w:rPr/>
              <w:t xml:space="preserve">5) Hands-on training on the Online Reporting Tool for the 7th National Report – 2 December 2025 (228 total participants, 150 participants from 49 UNDP-supported countries):</w:t>
            </w:r>
          </w:p>
          <w:p>
            <w:pPr/>
            <w:r>
              <w:rPr/>
              <w:t xml:space="preserve">- English: https://www.youtube.com/watch?v=xmgt6eC74TA</w:t>
            </w:r>
          </w:p>
          <w:p>
            <w:pPr/>
            <w:r>
              <w:rPr/>
              <w:t xml:space="preserve">- French: https://www.youtube.com/watch?v=zLNSoltVl4c</w:t>
            </w:r>
          </w:p>
          <w:p>
            <w:pPr/>
            <w:r>
              <w:rPr/>
              <w:t xml:space="preserve">- Spanish:  https://www.youtube.com/watch?v=2UbWrmudfLI</w:t>
            </w:r>
          </w:p>
          <w:p>
            <w:pPr/>
            <w:r>
              <w:rPr/>
              <w:t xml:space="preserve">6) Revenues, scalability and replicability for nature- 5 lessons for policymakers &amp; investors – 10 December 2025 (55 total participants, 38 from 21 UNDP-supported countries):</w:t>
            </w:r>
          </w:p>
          <w:p>
            <w:pPr/>
            <w:r>
              <w:rPr/>
              <w:t xml:space="preserve">- English: https://www.youtube.com/watch?v=dgC_j8fwyMs</w:t>
            </w:r>
          </w:p>
          <w:p>
            <w:pPr/>
            <w:r>
              <w:rPr/>
              <w:t xml:space="preserve">- French: https://www.youtube.com/watch?v=MABgqIkw-gI</w:t>
            </w:r>
          </w:p>
          <w:p>
            <w:pPr/>
            <w:r>
              <w:rPr/>
              <w:t xml:space="preserve">- Spanish: https://www.youtube.com/watch?v=uV7X6qIt830</w:t>
            </w:r>
          </w:p>
          <w:p>
            <w:pPr/>
            <w:r>
              <w:rPr/>
              <w:t xml:space="preserve">7) Questions &amp; Answers on the Online Reporting Tool for the Seventh National Report – 14 January 2026 (178 total participants, 124 participants from 44 UNDP-supported countries):</w:t>
            </w:r>
          </w:p>
          <w:p>
            <w:pPr/>
            <w:r>
              <w:rPr/>
              <w:t xml:space="preserve">- English: https://www.youtube.com/watch?v=jifmT4ZqZBU</w:t>
            </w:r>
          </w:p>
          <w:p>
            <w:pPr/>
            <w:r>
              <w:rPr/>
              <w:t xml:space="preserve">- French: https://www.youtube.com/watch?v=a4fgMQdfZYE</w:t>
            </w:r>
          </w:p>
          <w:p>
            <w:pPr/>
            <w:r>
              <w:rPr/>
              <w:t xml:space="preserve">- Spanish: https://www.youtube.com/watch?v=fozuMkynksQ</w:t>
            </w:r>
          </w:p>
          <w:p>
            <w:pPr/>
            <w:r>
              <w:rPr/>
              <w:t xml:space="preserve">8) Commitments from actors other than national Governments towards the KMGBF – 4 February 2026 (249 total participants, 97 participants from 33 UNDP-supported countries):</w:t>
            </w:r>
          </w:p>
          <w:p>
            <w:pPr/>
            <w:r>
              <w:rPr/>
              <w:t xml:space="preserve">- English: https://www.youtube.com/watch?v=jsph4pFrGqQ</w:t>
            </w:r>
          </w:p>
          <w:p>
            <w:pPr/>
            <w:r>
              <w:rPr/>
              <w:t xml:space="preserve">- French: https://www.youtube.com/watch?v=xRv5FhPScgY</w:t>
            </w:r>
          </w:p>
          <w:p>
            <w:pPr/>
            <w:r>
              <w:rPr/>
              <w:t xml:space="preserve">- Spanish: https://www.youtube.com/watch?v=RdZWNDz-5Lg</w:t>
            </w:r>
          </w:p>
          <w:p>
            <w:pPr/>
            <w:r>
              <w:rPr/>
              <w:t xml:space="preserve">9) Marine Financing and Revenue Pathways for Coastal and Ocean Ecosystems – 23 April 2026 (862 total participants, 326 participants from 54 UNDP-supported countries):</w:t>
            </w:r>
          </w:p>
          <w:p>
            <w:pPr/>
            <w:r>
              <w:rPr/>
              <w:t xml:space="preserve">- English: https://www.youtube.com/watch?v=ZkesmIoR3RA</w:t>
            </w:r>
          </w:p>
          <w:p>
            <w:pPr/>
            <w:r>
              <w:rPr/>
              <w:t xml:space="preserve">10) Strengthening Safeguards &amp; Stakeholder Engagement in GEF-8 Biodiversity and Finance Programming – 26 May 2026 (107 total participants, 55 participants from 30 UNDP-supported countries):</w:t>
            </w:r>
          </w:p>
          <w:p>
            <w:pPr/>
            <w:r>
              <w:rPr/>
              <w:t xml:space="preserve">- English: https://www.youtube.com/watch?v=S4_ZMQTHorU</w:t>
            </w:r>
          </w:p>
          <w:p>
            <w:pPr/>
            <w:r>
              <w:rPr/>
              <w:t xml:space="preserve">- French: https://www.youtube.com/watch?v=RC2d5J9hoF8</w:t>
            </w:r>
          </w:p>
          <w:p>
            <w:pPr/>
            <w:r>
              <w:rPr/>
              <w:t xml:space="preserve">- Spanish:  https://www.youtube.com/watch?v=9JSIeFzGJAk</w:t>
            </w:r>
          </w:p>
          <w:p>
            <w:pPr/>
            <w:r>
              <w:rPr/>
              <w:t xml:space="preserve">Webinar participation data can be found under the file “O3IND1.1_Virtual Knowledge Exchange Tracker”.</w:t>
            </w:r>
          </w:p>
          <w:p>
            <w:pPr/>
            <w:r>
              <w:rPr/>
              <w:t xml:space="preserve">Further webinar data can be found under the files labeled “O3IND2.1_Webinar Series”.</w:t>
            </w:r>
          </w:p>
          <w:p>
            <w:pPr/>
            <w:r>
              <w:rPr/>
              <w:t xml:space="preserve">2 On demand Virtual Events, supported by the GPMTSU. While countries hold many types of national events, as part of their work under the project, this list just covers those where the GPMTSU was requested to present.</w:t>
            </w:r>
          </w:p>
          <w:p>
            <w:pPr/>
            <w:r>
              <w:rPr/>
              <w:t xml:space="preserve">1)	Workshop for Kazakhstan entitled " Stakeholder Workshop on Synergies between Biodiversity Conservation, Climate Change Adaptation, and Greenhouse Gas Emission Reduction” – 29 October – 31 October 2025 (107 participants, from which 49 were women)</w:t>
            </w:r>
          </w:p>
          <w:p>
            <w:pPr/>
            <w:r>
              <w:rPr/>
              <w:t xml:space="preserve">2)	Virtual UNDP AI Week – 19 November 2025 (20 participants)</w:t>
            </w:r>
          </w:p>
          <w:p>
            <w:pPr/>
            <w:r>
              <w:rPr/>
              <w:t xml:space="preserve">Link: https://undp.sharepoint.com/teams/AI/SitePages/UNDP-AI-Week.aspx?OR=EXCEL-WEB.BODY.NT&amp;CT=1783899754124#%F0%9F%93%85-19-nov</w:t>
            </w:r>
          </w:p>
          <w:p>
            <w:pPr/>
            <w:r>
              <w:rPr/>
              <w:t xml:space="preserve">Evidence for these events can also be found in the file labeled “O3IND2.1_On demand Virtual Events”.</w:t>
            </w:r>
          </w:p>
          <w:p>
            <w:pPr/>
            <w:r>
              <w:rPr/>
              <w:t xml:space="preserve"/>
            </w:r>
          </w:p>
        </w:tc>
      </w:tr>
      <w:tr>
        <w:trPr/>
        <w:tc>
          <w:tcPr>
            <w:tcW w:w="4000" w:type="dxa"/>
            <w:gridSpan w:val="1"/>
            <w:noWrap/>
          </w:tcPr>
          <w:p>
            <w:pPr/>
            <w:r>
              <w:rPr/>
              <w:t xml:space="preserve">Number of good practices captured and scaled</w:t>
            </w:r>
          </w:p>
        </w:tc>
        <w:tc>
          <w:tcPr>
            <w:tcW w:w="2000" w:type="dxa"/>
            <w:gridSpan w:val="1"/>
            <w:noWrap/>
          </w:tcPr>
          <w:p>
            <w:pPr/>
            <w:r>
              <w:rPr/>
              <w:t xml:space="preserve">0 good practices captured and scaled</w:t>
            </w:r>
          </w:p>
        </w:tc>
        <w:tc>
          <w:tcPr>
            <w:tcW w:w="2000" w:type="dxa"/>
            <w:gridSpan w:val="1"/>
            <w:noWrap/>
          </w:tcPr>
          <w:p>
            <w:pPr/>
            <w:r>
              <w:rPr/>
              <w:t xml:space="preserve">20 good practices captured and scaled</w:t>
            </w:r>
          </w:p>
        </w:tc>
        <w:tc>
          <w:tcPr>
            <w:tcW w:w="2000" w:type="dxa"/>
            <w:gridSpan w:val="1"/>
            <w:noWrap/>
          </w:tcPr>
          <w:p>
            <w:pPr/>
            <w:r>
              <w:rPr/>
              <w:t xml:space="preserve">40 good practices captured and scaled</w:t>
            </w:r>
          </w:p>
        </w:tc>
        <w:tc>
          <w:tcPr>
            <w:tcW w:w="4000" w:type="dxa"/>
            <w:gridSpan w:val="1"/>
            <w:noWrap/>
          </w:tcPr>
          <w:p>
            <w:pPr/>
            <w:r>
              <w:rPr/>
              <w:t xml:space="preserve">26 good practices were captured and scaled during this period.</w:t>
            </w:r>
          </w:p>
          <w:p>
            <w:pPr/>
            <w:r>
              <w:rPr/>
              <w:t xml:space="preserve"/>
            </w:r>
          </w:p>
          <w:p>
            <w:pPr/>
            <w:r>
              <w:rPr/>
              <w:t xml:space="preserve">1. Development of national biodiversity finance plans for the NBSAP</w:t>
            </w:r>
          </w:p>
          <w:p>
            <w:pPr/>
            <w:r>
              <w:rPr/>
              <w:t xml:space="preserve">·	Lao PDR: Referenced a biodiversity finance plan in the development of its updated NBSAP. (Source: 5 min presentation Lao.pptx)</w:t>
            </w:r>
          </w:p>
          <w:p>
            <w:pPr/>
            <w:r>
              <w:rPr/>
              <w:t xml:space="preserve">·	Kyrgyzstan: Used BIOFIN methodology to assess financial flows and needs for biodiversity targets. (Source: Kyrgyzstan presentation_ENG.pptx</w:t>
            </w:r>
          </w:p>
          <w:p>
            <w:pPr/>
            <w:r>
              <w:rPr/>
              <w:t xml:space="preserve">2. Assigning clear institutional mandates</w:t>
            </w:r>
          </w:p>
          <w:p>
            <w:pPr/>
            <w:r>
              <w:rPr/>
              <w:t xml:space="preserve">·	Jordan: Created a matrix defining responsibilities across institutions for each indicator. (Source: Jordan's presentation_Knowledge exchange on report.pptx)</w:t>
            </w:r>
          </w:p>
          <w:p>
            <w:pPr/>
            <w:r>
              <w:rPr/>
              <w:t xml:space="preserve">·	Morocco: Clarified data roles through thematic and scientific technical working groups. (Source: Slide for Morocco_Knowledge exchange on report-final.pptx)</w:t>
            </w:r>
          </w:p>
          <w:p>
            <w:pPr/>
            <w:r>
              <w:rPr/>
              <w:t xml:space="preserve">·	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Propuesta Actualización Estrategia Nacional de Biodiversidad 2025-2030.pdf)</w:t>
            </w:r>
          </w:p>
          <w:p>
            <w:pPr/>
            <w:r>
              <w:rPr/>
              <w:t xml:space="preserve"/>
            </w:r>
          </w:p>
          <w:p>
            <w:pPr/>
            <w:r>
              <w:rPr/>
              <w:t xml:space="preserve"/>
            </w:r>
          </w:p>
          <w:p>
            <w:pPr/>
            <w:r>
              <w:rPr/>
              <w:t xml:space="preserve">3. Bilateral consultations for data validation</w:t>
            </w:r>
          </w:p>
          <w:p>
            <w:pPr/>
            <w:r>
              <w:rPr/>
              <w:t xml:space="preserve">·	Jordan: Held bilateral meetings to clarify roles, mandates, and data ownership. (Source: Jordan's presentation_Knowledge exchange on report.pptx)</w:t>
            </w:r>
          </w:p>
          <w:p>
            <w:pPr/>
            <w:r>
              <w:rPr/>
              <w:t xml:space="preserve">·	Morocco: Used consultations and expert groups for data verification and indicator consistency. (Source: Slide for Morocco_Knowledge exchange on report-final.pptx)</w:t>
            </w:r>
          </w:p>
          <w:p>
            <w:pPr/>
            <w:r>
              <w:rPr/>
              <w:t xml:space="preserve"/>
            </w:r>
          </w:p>
          <w:p>
            <w:pPr/>
            <w:r>
              <w:rPr/>
              <w:t xml:space="preserve">4. Blended finance and biodiversity-linked financial instruments</w:t>
            </w:r>
          </w:p>
          <w:p>
            <w:pPr/>
            <w:r>
              <w:rPr/>
              <w:t xml:space="preserve">·	Indonesia: Indonesia participates in the Blue Alliance model, managing 1.7 million ha of MPAs using blended finance, including impact loans and reef-positive enterprises supported by BNP Paribas. (Source: Facilitation slides - Webinar 4.pptx)</w:t>
            </w:r>
          </w:p>
          <w:p>
            <w:pPr/>
            <w:r>
              <w:rPr/>
              <w:t xml:space="preserve">·	Philippines: The Philippines is part of the Blue Alliance, utilizing blended finance to enhance marine conservation through reef-positive enterprises and sustainability-linked investments. (Source: Facilitation slides - Webinar 4.pptx)</w:t>
            </w:r>
          </w:p>
          <w:p>
            <w:pPr/>
            <w:r>
              <w:rPr/>
              <w:t xml:space="preserve">·	Brazil: Through the Renova Pasto initiative, Brazil promotes pasture restoration and Forest Code compliance using sustainability-linked loans, coordinated with Rabobank and AGRI3. (Source: Facilitation slides - Webinar 4.pptx)</w:t>
            </w:r>
          </w:p>
          <w:p>
            <w:pPr/>
            <w:r>
              <w:rPr/>
              <w:t xml:space="preserve">·	China: China implemented national eco-compensation systems and regulated PES mechanisms to incentivize conservation across sectors, scaling down to village-level payments for ecosystem services. (Source: Facilitation slides- webinar 13.pptx)</w:t>
            </w:r>
          </w:p>
          <w:p>
            <w:pPr/>
            <w:r>
              <w:rPr/>
              <w:t xml:space="preserve">5. Business sector engagement strategy in biodiversity planning</w:t>
            </w:r>
          </w:p>
          <w:p>
            <w:pPr/>
            <w:r>
              <w:rPr/>
              <w:t xml:space="preserve">·	Algeria: Algeria engaged the private sector early through dedicated business dialogues, recognizing their role in resource mobilization and sustainable land use, and integrating business needs into ENB updates. (Source: Karima- AtelierRencontrEntreprises-30Janvier2025.ppt)</w:t>
            </w:r>
          </w:p>
          <w:p>
            <w:pPr/>
            <w:r>
              <w:rPr/>
              <w:t xml:space="preserve">6. Dedicated national branding and communications strategy for biodiversity</w:t>
            </w:r>
          </w:p>
          <w:p>
            <w:pPr/>
            <w:r>
              <w:rPr/>
              <w:t xml:space="preserve">·	Cuba: Cuba developed a visual identity and branding system for biodiversity communications through the 'Cuba Biodiversa' manual, including a logo, slogan, templates, and usage guidelines to enhance outreach, visibility, and public engagement. (Source: Manual de identidad Cuba Biodiversa.pdf)</w:t>
            </w:r>
          </w:p>
          <w:p>
            <w:pPr/>
            <w:r>
              <w:rPr/>
              <w:t xml:space="preserve">·	Algeria: Algeria launched a media campaign, including op-eds and press briefings with journalists, to foster a shared narrative around biodiversity, increase transparency, and strengthen national accountability. (Source: Algérie presse SPANB.docx)</w:t>
            </w:r>
          </w:p>
          <w:p>
            <w:pPr/>
            <w:r>
              <w:rPr/>
              <w:t xml:space="preserve">7. Development of clear indicator frameworks</w:t>
            </w:r>
          </w:p>
          <w:p>
            <w:pPr/>
            <w:r>
              <w:rPr/>
              <w:t xml:space="preserve">·	Bhutan: TWG includes design of monitoring indicators across sectors. (Source: Bhutan_presentation_Knowledge exchange on 7NR.pptx)</w:t>
            </w:r>
          </w:p>
          <w:p>
            <w:pPr/>
            <w:r>
              <w:rPr/>
              <w:t xml:space="preserve">·	Jordan: Created a National Biodiversity Monitoring Framework with metadata and community-based indicators. (Source: Jordan's presentation_Knowledge exchange on report.pptx)</w:t>
            </w:r>
          </w:p>
          <w:p>
            <w:pPr/>
            <w:r>
              <w:rPr/>
              <w:t xml:space="preserve">·	Nepal: Developed a result framework with clear definitions, baselines, and milestone tracking. (Source: Nepal presentation.pptx)</w:t>
            </w:r>
          </w:p>
          <w:p>
            <w:pPr/>
            <w:r>
              <w:rPr/>
              <w:t xml:space="preserve">·	Uzbekistan: Focused on country-specific indicators with defined terms like 'degraded ecosystems'. (Source: Uzbekistan presentation_ENG.pptx)</w:t>
            </w:r>
          </w:p>
          <w:p>
            <w:pPr/>
            <w:r>
              <w:rPr/>
              <w:t xml:space="preserve">8. Development of national biodiversity monitoring systems</w:t>
            </w:r>
          </w:p>
          <w:p>
            <w:pPr/>
            <w:r>
              <w:rPr/>
              <w:t xml:space="preserve">·	Jordan: Formulated a GBF-aligned monitoring framework with roles and protocols. (Source: Jordan's presentation_Knowledge exchange on report.pptx)</w:t>
            </w:r>
          </w:p>
          <w:p>
            <w:pPr/>
            <w:r>
              <w:rPr/>
              <w:t xml:space="preserve">·	Kyrgyzstan: Developing a universal monitoring system with international consultants. (Source: Kyrgyzstan presentation_ENG.pptx)</w:t>
            </w:r>
          </w:p>
          <w:p>
            <w:pPr/>
            <w:r>
              <w:rPr/>
              <w:t xml:space="preserve">9. Establishing national targets linked with specific GBF indicators and sources</w:t>
            </w:r>
          </w:p>
          <w:p>
            <w:pPr/>
            <w:r>
              <w:rPr/>
              <w:t xml:space="preserve">·	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pPr/>
            <w:r>
              <w:rPr/>
              <w:t xml:space="preserve">10. Explicit mainstreaming of biodiversity in sectoral, regional, and territorial instruments</w:t>
            </w:r>
          </w:p>
          <w:p>
            <w:pPr/>
            <w:r>
              <w:rPr/>
              <w:t xml:space="preserve">·	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	Nepal: Aligned reporting indicators with existing national commitments instead of creating new ones. (Source: Nepal presentation.pptx)</w:t>
            </w:r>
          </w:p>
          <w:p>
            <w:pPr/>
            <w:r>
              <w:rPr/>
              <w:t xml:space="preserve">·	Cuba: Cuba’s updated NBSAP aligns with the country's constitutional framework on environmental protection and human well-being, embedding biodiversity into the foundation of national law. This helps reinforce accountability for KMGBF implementation through constitutional mandates. (Source: NBSAP CUBA.docx)</w:t>
            </w:r>
          </w:p>
          <w:p>
            <w:pPr/>
            <w:r>
              <w:rPr/>
              <w:t xml:space="preserve">11. Formation of Technical/Interagency Working Groups</w:t>
            </w:r>
          </w:p>
          <w:p>
            <w:pPr/>
            <w:r>
              <w:rPr/>
              <w:t xml:space="preserve">·	Bhutan: Formed a TWG led by two co-chairs from DECC and NBC, comprising all relevant agencies. (Source: Bhutan_presentation_Knowledge exchange on 7NR.pptx)</w:t>
            </w:r>
          </w:p>
          <w:p>
            <w:pPr/>
            <w:r>
              <w:rPr/>
              <w:t xml:space="preserve">·	Jordan: Established multisectoral Technical Working Groups for indicator review and data verification. Expert groups validate datasets and recommend indicators. (Source: Jordan's presentation_Knowledge exchange on report.pptx)</w:t>
            </w:r>
          </w:p>
          <w:p>
            <w:pPr/>
            <w:r>
              <w:rPr/>
              <w:t xml:space="preserve">·	Kyrgyzstan: Created an Interagency Working Group with ministries, science bodies, and public associations. (Source: Kyrgyzstan presentation_ENG.pptx)</w:t>
            </w:r>
          </w:p>
          <w:p>
            <w:pPr/>
            <w:r>
              <w:rPr/>
              <w:t xml:space="preserve">·	Morocco: Groupe Technique-Scientifique includes ministries, universities, NGOs, and research centers. (Source: Slide for Morocco_Knowledge exchange on report-final.pptx)</w:t>
            </w:r>
          </w:p>
          <w:p>
            <w:pPr/>
            <w:r>
              <w:rPr/>
              <w:t xml:space="preserve">·	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pPr/>
            <w:r>
              <w:rPr/>
              <w:t xml:space="preserve">12. Inclusion of marginalized or underrepresented groups</w:t>
            </w:r>
          </w:p>
          <w:p>
            <w:pPr/>
            <w:r>
              <w:rPr/>
              <w:t xml:space="preserve">·	Bhutan: Engaged monk bodies and CSOs in the reporting and NBSAP review process. (Source: Bhutan_presentation_Knowledge exchange on 7NR.pptx)</w:t>
            </w:r>
          </w:p>
          <w:p>
            <w:pPr/>
            <w:r>
              <w:rPr/>
              <w:t xml:space="preserve">·	Colombia: Designed specific routes for engagement and leadership of women, Afro-Colombians, Indigenous peoples, and youth. (Source: Preparacion 7IN_Colombia.pdf)</w:t>
            </w:r>
          </w:p>
          <w:p>
            <w:pPr/>
            <w:r>
              <w:rPr/>
              <w:t xml:space="preserve">13. Integrated analysis of national targets against all KMGBF Targets</w:t>
            </w:r>
          </w:p>
          <w:p>
            <w:pPr/>
            <w:r>
              <w:rPr/>
              <w:t xml:space="preserve">·	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pPr/>
            <w:r>
              <w:rPr/>
              <w:t xml:space="preserve">14. Integrated strategy design aligning climate and biodiversity agendas</w:t>
            </w:r>
          </w:p>
          <w:p>
            <w:pPr/>
            <w:r>
              <w:rPr/>
              <w:t xml:space="preserve">·	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QuispeVF Eng.pptx)</w:t>
            </w:r>
          </w:p>
          <w:p>
            <w:pPr/>
            <w:r>
              <w:rPr/>
              <w:t xml:space="preserve">·	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Propuesta Actualización Estrategia Nacional de Biodiversidad 2025-2030.pdf)</w:t>
            </w:r>
          </w:p>
          <w:p>
            <w:pPr/>
            <w:r>
              <w:rPr/>
              <w:t xml:space="preserve">·	Kyrgyzstan: Integrated climate change and desertification targets within NBSAP preparation. (Source: Kyrgyzstan presentation_ENG.pptx)</w:t>
            </w:r>
          </w:p>
          <w:p>
            <w:pPr/>
            <w:r>
              <w:rPr/>
              <w:t xml:space="preserve">·	Nepal: Mapped biodiversity targets to UNFCCC (NDC/NAP), UNCCD (LDN), and SDGs. (Source: Nepal presentation.pptx)</w:t>
            </w:r>
          </w:p>
          <w:p>
            <w:pPr/>
            <w:r>
              <w:rPr/>
              <w:t xml:space="preserve">·	Colombia: Linked NBSAP actions with climate agenda, peace accords, and the national development plan. (Source: Preparacion 7IN_Colombia.pdf)</w:t>
            </w:r>
          </w:p>
          <w:p>
            <w:pPr/>
            <w:r>
              <w:rPr/>
              <w:t xml:space="preserve"/>
            </w:r>
          </w:p>
          <w:p>
            <w:pPr/>
            <w:r>
              <w:rPr/>
              <w:t xml:space="preserve"/>
            </w:r>
          </w:p>
          <w:p>
            <w:pPr/>
            <w:r>
              <w:rPr/>
              <w:t xml:space="preserve">15. Integration of NBSAPs with national development plans</w:t>
            </w:r>
          </w:p>
          <w:p>
            <w:pPr/>
            <w:r>
              <w:rPr/>
              <w:t xml:space="preserve">·	Kyrgyzstan: Integrated NBSAP indicators into the National Development Programme and mountain agenda. (Source: Kyrgyzstan presentation_ENG.pptx)</w:t>
            </w:r>
          </w:p>
          <w:p>
            <w:pPr/>
            <w:r>
              <w:rPr/>
              <w:t xml:space="preserve">·	Nepal: Aligned indicators with national plans and other international commitments (SDGs, UNFCCC, UNCCD). (Source: Nepal presentation.pptx)</w:t>
            </w:r>
          </w:p>
          <w:p>
            <w:pPr/>
            <w:r>
              <w:rPr/>
              <w:t xml:space="preserve">16. Joint financing prioritization across NDCs, NAPs, and NBSAP</w:t>
            </w:r>
          </w:p>
          <w:p>
            <w:pPr/>
            <w:r>
              <w:rPr/>
              <w:t xml:space="preserve">·	Peru: Peru promotes coordinated financial planning for climate and biodiversity by identifying joint priorities and channeling investments into actions that simultaneously advance adaptation, mitigation, and biodiversity goals. (Source: 250225_Exposición_Berioska QuispeVF Eng.pptx)</w:t>
            </w:r>
          </w:p>
          <w:p>
            <w:pPr/>
            <w:r>
              <w:rPr/>
              <w:t xml:space="preserve">17. Mapping and gap analysis of existing policies</w:t>
            </w:r>
          </w:p>
          <w:p>
            <w:pPr/>
            <w:r>
              <w:rPr/>
              <w:t xml:space="preserve">·	Jordan: Conducted system mapping of legal mandates, policies, and data systems. (Source: Jordan's presentation_Knowledge exchange on report.pptx)</w:t>
            </w:r>
          </w:p>
          <w:p>
            <w:pPr/>
            <w:r>
              <w:rPr/>
              <w:t xml:space="preserve">·	Uzbekistan: Compared national policies against GBF targets to identify gaps. (Source: Uzbekistan presentation_ENG.pptx)</w:t>
            </w:r>
          </w:p>
          <w:p>
            <w:pPr/>
            <w:r>
              <w:rPr/>
              <w:t xml:space="preserve">18. Merging data from diverse sources</w:t>
            </w:r>
          </w:p>
          <w:p>
            <w:pPr/>
            <w:r>
              <w:rPr/>
              <w:t xml:space="preserve">·	Lao PDR: Combined data from NGOs, academic papers, government, and donor agencies. (Source: 5 min presentation Lao.pptx)</w:t>
            </w:r>
          </w:p>
          <w:p>
            <w:pPr/>
            <w:r>
              <w:rPr/>
              <w:t xml:space="preserve">·	Colombia: Used multiple routes and datasets, including from non-state actors and regional data. (Source: Preparacion 7IN_Colombia.pdf)</w:t>
            </w:r>
          </w:p>
          <w:p>
            <w:pPr/>
            <w:r>
              <w:rPr/>
              <w:t xml:space="preserve">19. National coordination mechanisms supported by high-level political leadership</w:t>
            </w:r>
          </w:p>
          <w:p>
            <w:pPr/>
            <w:r>
              <w:rPr/>
              <w:t xml:space="preserve">·	Bhutan: TWG chaired by senior ministry officials ensures high-level support. (Source: Bhutan_presentation_Knowledge exchange on 7NR.pptx)</w:t>
            </w:r>
          </w:p>
          <w:p>
            <w:pPr/>
            <w:r>
              <w:rPr/>
              <w:t xml:space="preserve">·	Jordan: Leveraged NBC chaired by Princess Basma bint Ali and a national taskforce. (Source: Jordan's presentation_Knowledge exchange on report.pptx)</w:t>
            </w:r>
          </w:p>
          <w:p>
            <w:pPr/>
            <w:r>
              <w:rPr/>
              <w:t xml:space="preserve">·	Morocco: Structured approval and validation through four-tier governance, including a national commission. (Source: Slide for Morocco_Knowledge exchange on report-final.pptx)</w:t>
            </w:r>
          </w:p>
          <w:p>
            <w:pPr/>
            <w:r>
              <w:rPr/>
              <w:t xml:space="preserve">20. Operationalizing a specialized biodiversity and protected areas agency (SBAP)</w:t>
            </w:r>
          </w:p>
          <w:p>
            <w:pPr/>
            <w:r>
              <w:rPr/>
              <w:t xml:space="preserve">·	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Propuesta Actualización Estrategia Nacional de Biodiversidad 2025-2030.pdf)</w:t>
            </w:r>
          </w:p>
          <w:p>
            <w:pPr/>
            <w:r>
              <w:rPr/>
              <w:t xml:space="preserve">21. Peer-to-peer exchange model to disseminate good practices</w:t>
            </w:r>
          </w:p>
          <w:p>
            <w:pPr/>
            <w:r>
              <w:rPr/>
              <w:t xml:space="preserve">·	Peru: Peru actively shared its experience in aligning biodiversity and climate targets with peers in the Umbrella Programme, including tools used for GBF target analysis. (Source: Inception Workshop Report for the GEF-8 Umbrella Programme to Support NBSAPs and 7NR.docx)</w:t>
            </w:r>
          </w:p>
          <w:p>
            <w:pPr/>
            <w:r>
              <w:rPr/>
              <w:t xml:space="preserve">·	Bhutan: Bhutan shared its approach to mainstreaming biodiversity in national development planning through peer learning sessions under the Umbrella Programme. (Source: Inception Workshop Report for the GEF-8 Umbrella Programme to Support NBSAPs and 7NR.docx)</w:t>
            </w:r>
          </w:p>
          <w:p>
            <w:pPr/>
            <w:r>
              <w:rPr/>
              <w:t xml:space="preserve">·	Colombia: Colombia contributed to regional peer learning on biodiversity indicator systems and alignment methodologies for national targets. (Source: Inception Workshop Report for the GEF-8 Umbrella Programme to Support NBSAPs and 7NR.docx)</w:t>
            </w:r>
          </w:p>
          <w:p>
            <w:pPr/>
            <w:r>
              <w:rPr/>
              <w:t xml:space="preserve">·	Jordan: Jordan participated in peer exchange dialogues to share its experience in engaging subnational governments in biodiversity planning. (Source: Inception Workshop Report for the GEF-8 Umbrella Programme to Support NBSAPs and 7NR.docx)</w:t>
            </w:r>
          </w:p>
          <w:p>
            <w:pPr/>
            <w:r>
              <w:rPr/>
              <w:t xml:space="preserve">22. Standardized data collection frameworks and tools</w:t>
            </w:r>
          </w:p>
          <w:p>
            <w:pPr/>
            <w:r>
              <w:rPr/>
              <w:t xml:space="preserve">·	Jordan: Used institutional coordination matrices to define formats, mandates, and responsibilities. (Source: Jordan's presentation_Knowledge exchange on report.pptx)</w:t>
            </w:r>
          </w:p>
          <w:p>
            <w:pPr/>
            <w:r>
              <w:rPr/>
              <w:t xml:space="preserve">·	Morocco: Implemented a standardized data collection form with metadata and verification steps. (Source: Slide for Morocco_Knowledge exchange on report-final.pptx)</w:t>
            </w:r>
          </w:p>
          <w:p>
            <w:pPr/>
            <w:r>
              <w:rPr/>
              <w:t xml:space="preserve">23. Structured and phased national reporting processes</w:t>
            </w:r>
          </w:p>
          <w:p>
            <w:pPr/>
            <w:r>
              <w:rPr/>
              <w:t xml:space="preserve">·	Jordan: Adopted a 3-phase process including gap analysis, framework development, and validation. (Source: Jordan's presentation_Knowledge exchange on report.pptx)</w:t>
            </w:r>
          </w:p>
          <w:p>
            <w:pPr/>
            <w:r>
              <w:rPr/>
              <w:t xml:space="preserve">·	Morocco: Outlined reporting in stages with coordination, data collection, validation, and publication. (Source: Slide for Morocco_Knowledge exchange on report-final.pptx)</w:t>
            </w:r>
          </w:p>
          <w:p>
            <w:pPr/>
            <w:r>
              <w:rPr/>
              <w:t xml:space="preserve">24. Use of spatial visualizations and maps</w:t>
            </w:r>
          </w:p>
          <w:p>
            <w:pPr/>
            <w:r>
              <w:rPr/>
              <w:t xml:space="preserve">·	Jordan: Integrated spatial maps of institutional roles and data flows into the 7NR process. (Source: Jordan's presentation_Knowledge exchange on report.pptx)</w:t>
            </w:r>
          </w:p>
          <w:p>
            <w:pPr/>
            <w:r>
              <w:rPr/>
              <w:t xml:space="preserve">25. Use of stakeholder consultations at national and sub-national levels</w:t>
            </w:r>
          </w:p>
          <w:p>
            <w:pPr/>
            <w:r>
              <w:rPr/>
              <w:t xml:space="preserve">·	Tunisia: Planned multi-level consultations with civil society, private sector, women, and youth. (Source: 7NR_Tunisia_Presentation_170725.pptx)</w:t>
            </w:r>
          </w:p>
          <w:p>
            <w:pPr/>
            <w:r>
              <w:rPr/>
              <w:t xml:space="preserve">·	Bhutan: Held inclusive consultations across sectors and administrative levels. (Source: Bhutan_presentation_Knowledge exchange on 7NR.pptx)</w:t>
            </w:r>
          </w:p>
          <w:p>
            <w:pPr/>
            <w:r>
              <w:rPr/>
              <w:t xml:space="preserve">·	Nepal: Conducted national and subnational validation workshops for the 7NR draft. (Source: Nepal presentation.pptx)</w:t>
            </w:r>
          </w:p>
          <w:p>
            <w:pPr/>
            <w:r>
              <w:rPr/>
              <w:t xml:space="preserve">·	Colombia: Implemented a national public consultation strategy covering urban and rural areas. (Source: Preparacion 7IN_Colombia.pdf)</w:t>
            </w:r>
          </w:p>
          <w:p>
            <w:pPr/>
            <w:r>
              <w:rPr/>
              <w:t xml:space="preserve">26.	 Whole-of-government and whole-of-society approach</w:t>
            </w:r>
          </w:p>
          <w:p>
            <w:pPr/>
            <w:r>
              <w:rPr/>
              <w:t xml:space="preserve">·	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pPr/>
            <w:r>
              <w:rPr/>
              <w:t xml:space="preserve">·	Colombia: Colombia demonstrated strong intersectoral coordination and whole-of-society engagement in setting and validating KMGBF-aligned targets, shared during Umbrella Inception discussions. (Source: Inception Workshop Report for the GEF-8 Umbrella Programme to Support NBSAPs and 7NR.docx)</w:t>
            </w:r>
          </w:p>
          <w:p>
            <w:pPr/>
            <w:r>
              <w:rPr/>
              <w:t xml:space="preserve">·	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pPr/>
            <w:r>
              <w:rPr/>
              <w:t xml:space="preserve">·	Nepal: Engaged stakeholders from planning to validation, including IPLCs, youth, and thematic groups. (Source: Nepal presentation.pptx)</w:t>
            </w:r>
          </w:p>
          <w:p>
            <w:pPr/>
            <w:r>
              <w:rPr/>
              <w:t xml:space="preserve">·	Colombia: Held participatory consultations in 23 cities with over 100,000 people from diverse societal sectors. (Source: Preparacion 7IN_Colombia.pdf)</w:t>
            </w:r>
          </w:p>
          <w:p>
            <w:pPr/>
            <w:r>
              <w:rPr/>
              <w:t xml:space="preserve">·	Morocco: Applied an inclusive approach with national and subnational actors, including private sector and CSOs. (Source: Slide for Morocco_Knowledge exchange on report-final.pptx)</w:t>
            </w:r>
          </w:p>
          <w:p>
            <w:pPr/>
            <w:r>
              <w:rPr/>
              <w:t xml:space="preserve">·	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Propuesta Actualización Estrategia Nacional de Biodiversidad 2025-2030.pdf)</w:t>
            </w:r>
          </w:p>
          <w:p>
            <w:pPr/>
            <w:r>
              <w:rPr/>
              <w:t xml:space="preserve"/>
            </w:r>
          </w:p>
          <w:p>
            <w:pPr/>
            <w:r>
              <w:rPr/>
              <w:t xml:space="preserve">These sources can be found labeled as O3IND3.</w:t>
            </w:r>
          </w:p>
          <w:p>
            <w:pPr/>
            <w:r>
              <w:rPr/>
              <w:t xml:space="preserve"/>
            </w:r>
          </w:p>
          <w:p>
            <w:pPr/>
            <w:r>
              <w:rPr/>
              <w:t xml:space="preserve"/>
            </w:r>
          </w:p>
        </w:tc>
        <w:tc>
          <w:tcPr>
            <w:tcW w:w="4000" w:type="dxa"/>
            <w:gridSpan w:val="1"/>
            <w:noWrap/>
          </w:tcPr>
          <w:p>
            <w:pPr/>
            <w:r>
              <w:rPr/>
              <w:t xml:space="preserve">This target has been achieved and exceeded. In total, 41 good practices have been captured and scaled since project inception.</w:t>
            </w:r>
          </w:p>
          <w:p>
            <w:pPr/>
            <w:r>
              <w:rPr/>
              <w:t xml:space="preserve"/>
            </w:r>
          </w:p>
          <w:p>
            <w:pPr/>
            <w:r>
              <w:rPr/>
              <w:t xml:space="preserve">During this PIR reporting period, the following good practices have been captured:</w:t>
            </w:r>
          </w:p>
          <w:p>
            <w:pPr/>
            <w:r>
              <w:rPr/>
              <w:t xml:space="preserve"/>
            </w:r>
          </w:p>
          <w:p>
            <w:pPr/>
            <w:r>
              <w:rPr/>
              <w:t xml:space="preserve">27. Creating centralized data repositories and preserving institutional memory</w:t>
            </w:r>
          </w:p>
          <w:p>
            <w:pPr/>
            <w:r>
              <w:rPr/>
              <w:t xml:space="preserve"/>
            </w:r>
          </w:p>
          <w:p>
            <w:pPr/>
            <w:r>
              <w:rPr/>
              <w:t xml:space="preserve">Trinidad and Tobago: Established a centralized repository for datasets, reports, administrative records, and spatial information to improve continuity between reporting cycles.</w:t>
            </w:r>
          </w:p>
          <w:p>
            <w:pPr/>
            <w:r>
              <w:rPr/>
              <w:t xml:space="preserve"/>
            </w:r>
          </w:p>
          <w:p>
            <w:pPr/>
            <w:r>
              <w:rPr/>
              <w:t xml:space="preserve">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pPr/>
            <w:r>
              <w:rPr/>
              <w:t xml:space="preserve"/>
            </w:r>
          </w:p>
          <w:p>
            <w:pPr/>
            <w:r>
              <w:rPr/>
              <w:t xml:space="preserve">28. Using dedicated local expertise for Indigenous Peoples and local community engagement</w:t>
            </w:r>
          </w:p>
          <w:p>
            <w:pPr/>
            <w:r>
              <w:rPr/>
              <w:t xml:space="preserve"/>
            </w:r>
          </w:p>
          <w:p>
            <w:pPr/>
            <w:r>
              <w:rPr/>
              <w:t xml:space="preserve">Belize: Employed a dedicated local consultant to engage Maya, Garifuna, and Kriol communities through trusted institutions and culturally appropriate consultations.</w:t>
            </w:r>
          </w:p>
          <w:p>
            <w:pPr/>
            <w:r>
              <w:rPr/>
              <w:t xml:space="preserve"/>
            </w:r>
          </w:p>
          <w:p>
            <w:pPr/>
            <w:r>
              <w:rPr/>
              <w:t xml:space="preserve">The model strengthened trust and enabled local knowledge to inform the 7NR. (Source: Belize-7NR-Summary-UNDP-NBIO-20263006.pdf)</w:t>
            </w:r>
          </w:p>
          <w:p>
            <w:pPr/>
            <w:r>
              <w:rPr/>
              <w:t xml:space="preserve"/>
            </w:r>
          </w:p>
          <w:p>
            <w:pPr/>
            <w:r>
              <w:rPr/>
              <w:t xml:space="preserve">29. Organizing stakeholder engagement around cross-cutting themes</w:t>
            </w:r>
          </w:p>
          <w:p>
            <w:pPr/>
            <w:r>
              <w:rPr/>
              <w:t xml:space="preserve"/>
            </w:r>
          </w:p>
          <w:p>
            <w:pPr/>
            <w:r>
              <w:rPr/>
              <w:t xml:space="preserve">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pPr/>
            <w:r>
              <w:rPr/>
              <w:t xml:space="preserve"/>
            </w:r>
          </w:p>
          <w:p>
            <w:pPr/>
            <w:r>
              <w:rPr/>
              <w:t xml:space="preserve">30. Treating the 7NR as part of an ongoing national planning cycle</w:t>
            </w:r>
          </w:p>
          <w:p>
            <w:pPr/>
            <w:r>
              <w:rPr/>
              <w:t xml:space="preserve"/>
            </w:r>
          </w:p>
          <w:p>
            <w:pPr/>
            <w:r>
              <w:rPr/>
              <w:t xml:space="preserve">Belize: Used the 7NR to establish the first implementation baseline for its 2025–2035 NBSAP.</w:t>
            </w:r>
          </w:p>
          <w:p>
            <w:pPr/>
            <w:r>
              <w:rPr/>
              <w:t xml:space="preserve"/>
            </w:r>
          </w:p>
          <w:p>
            <w:pPr/>
            <w:r>
              <w:rPr/>
              <w:t xml:space="preserve">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pPr/>
            <w:r>
              <w:rPr/>
              <w:t xml:space="preserve"/>
            </w:r>
          </w:p>
          <w:p>
            <w:pPr/>
            <w:r>
              <w:rPr/>
              <w:t xml:space="preserve">31. Applying results-based planning and theories of change</w:t>
            </w:r>
          </w:p>
          <w:p>
            <w:pPr/>
            <w:r>
              <w:rPr/>
              <w:t xml:space="preserve">Mexico: Constructed a theory of change connecting actions, intermediate results, final outcomes, national targets, KMGBF Targets, and indicators.</w:t>
            </w:r>
          </w:p>
          <w:p>
            <w:pPr/>
            <w:r>
              <w:rPr/>
              <w:t xml:space="preserve"/>
            </w:r>
          </w:p>
          <w:p>
            <w:pPr/>
            <w:r>
              <w:rPr/>
              <w:t xml:space="preserve">Nepal: Shifted from a thematic NBSAP to a results-based framework designed to improve monitoring, accountability, and links with development priorities. (Sources: 8. Informe final_Conabio-PNUD_indicadores.docx; Impact Story Nepal Draft.docx)</w:t>
            </w:r>
          </w:p>
          <w:p>
            <w:pPr/>
            <w:r>
              <w:rPr/>
              <w:t xml:space="preserve"/>
            </w:r>
          </w:p>
          <w:p>
            <w:pPr/>
            <w:r>
              <w:rPr/>
              <w:t xml:space="preserve">32. Applying standardized quality criteria when selecting indicators</w:t>
            </w:r>
          </w:p>
          <w:p>
            <w:pPr/>
            <w:r>
              <w:rPr/>
              <w:t xml:space="preserve"/>
            </w:r>
          </w:p>
          <w:p>
            <w:pPr/>
            <w:r>
              <w:rPr/>
              <w:t xml:space="preserve">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pPr/>
            <w:r>
              <w:rPr/>
              <w:t xml:space="preserve"/>
            </w:r>
          </w:p>
          <w:p>
            <w:pPr/>
            <w:r>
              <w:rPr/>
              <w:t xml:space="preserve">33. Translating long-term strategies into operational commitments</w:t>
            </w:r>
          </w:p>
          <w:p>
            <w:pPr/>
            <w:r>
              <w:rPr/>
              <w:t xml:space="preserve"/>
            </w:r>
          </w:p>
          <w:p>
            <w:pPr/>
            <w:r>
              <w:rPr/>
              <w:t xml:space="preserve">Mexico: Developed 48 national targets supported by 367 milestones, responsible institutions, mandates, and implementation guidance.</w:t>
            </w:r>
          </w:p>
          <w:p>
            <w:pPr/>
            <w:r>
              <w:rP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Proceso MN Mexico (2).pdf; national-progressgef-sbi-06-en.pdf)</w:t>
            </w:r>
          </w:p>
          <w:p>
            <w:pPr/>
            <w:r>
              <w:rPr/>
              <w:t xml:space="preserve"/>
            </w:r>
          </w:p>
          <w:p>
            <w:pPr/>
            <w:r>
              <w:rPr/>
              <w:t xml:space="preserve">34. Maintaining biodiversity planning through political transitions and crises</w:t>
            </w:r>
          </w:p>
          <w:p>
            <w:pPr/>
            <w:r>
              <w:rPr/>
              <w:t xml:space="preserve">Mexico: Engaged the incoming federal administration and aligned targets with the new 2024–2030 policy cycle to maintain legitimacy and continuity.</w:t>
            </w:r>
          </w:p>
          <w:p>
            <w:pPr/>
            <w:r>
              <w:rPr/>
              <w:t xml:space="preserve">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pPr/>
            <w:r>
              <w:rPr/>
              <w:t xml:space="preserve"/>
            </w:r>
          </w:p>
          <w:p>
            <w:pPr/>
            <w:r>
              <w:rPr/>
              <w:t xml:space="preserve">35. Creating transparent systems for tracking stakeholder comments</w:t>
            </w:r>
          </w:p>
          <w:p>
            <w:pPr/>
            <w:r>
              <w:rPr/>
              <w:t xml:space="preserve"/>
            </w:r>
          </w:p>
          <w:p>
            <w:pPr/>
            <w:r>
              <w:rPr/>
              <w:t xml:space="preserve">Colombia: Used an online system through which participants could see how their contributions were incorporated into successive drafts.</w:t>
            </w:r>
          </w:p>
          <w:p>
            <w:pPr/>
            <w:r>
              <w:rPr/>
              <w:t xml:space="preserve"/>
            </w:r>
          </w:p>
          <w:p>
            <w:pPr/>
            <w:r>
              <w:rPr/>
              <w:t xml:space="preserve">Belize: Generated more than 300 structured comments through Google Forms and Mural during a virtual validation workshop involving more than 100 participants. (Sources: Facilitation slides - SESP and GRM.pptx; Meeting_Minutes_Belize_NBSAP_BIOFIN.docx)</w:t>
            </w:r>
          </w:p>
          <w:p>
            <w:pPr/>
            <w:r>
              <w:rPr/>
              <w:t xml:space="preserve"/>
            </w:r>
          </w:p>
          <w:p>
            <w:pPr/>
            <w:r>
              <w:rPr/>
              <w:t xml:space="preserve">36. Working through legitimate representative and self-governance structures</w:t>
            </w:r>
          </w:p>
          <w:p>
            <w:pPr/>
            <w:r>
              <w:rPr/>
              <w:t xml:space="preserve"/>
            </w:r>
          </w:p>
          <w:p>
            <w:pPr/>
            <w:r>
              <w:rPr/>
              <w:t xml:space="preserve">Colombia: Engaged Indigenous, Afro-Colombian, women’s, youth, and regional bodies through established representative mechanisms.</w:t>
            </w:r>
          </w:p>
          <w:p>
            <w:pPr/>
            <w:r>
              <w:rPr/>
              <w:t xml:space="preserve"/>
            </w:r>
          </w:p>
          <w:p>
            <w:pPr/>
            <w:r>
              <w:rPr/>
              <w:t xml:space="preserve">Suriname: Directly involved Indigenous and tribal organizations in validating traditional knowledge, community rights, and national reporting evidence. (Sources: Facilitation slides - SESP and GRM.pptx; Suriname presentation)</w:t>
            </w:r>
          </w:p>
          <w:p>
            <w:pPr/>
            <w:r>
              <w:rPr/>
              <w:t xml:space="preserve"/>
            </w:r>
          </w:p>
          <w:p>
            <w:pPr/>
            <w:r>
              <w:rPr/>
              <w:t xml:space="preserve">37. Combining in-person and virtual engagement</w:t>
            </w:r>
          </w:p>
          <w:p>
            <w:pPr/>
            <w:r>
              <w:rPr/>
              <w:t xml:space="preserve"/>
            </w:r>
          </w:p>
          <w:p>
            <w:pPr/>
            <w:r>
              <w:rPr/>
              <w:t xml:space="preserve">Kyrgyzstan: Established an ongoing communication platform offering both online and in-person participation. Belize: Combined an in-country workshop with more than 70 participants and a virtual validation workshop involving over 100 stakeholders.</w:t>
            </w:r>
          </w:p>
          <w:p>
            <w:pPr/>
            <w:r>
              <w:rPr/>
              <w:t xml:space="preserve">Namibia: Invested in digital infrastructure to enable remote communities to communicate, share information, and participate in national biodiversity planning. (Sources: Kyrgyzstan presentation; Belize meeting minutes; national-progressgef-sbi-06-en.pdf)</w:t>
            </w:r>
          </w:p>
          <w:p>
            <w:pPr/>
            <w:r>
              <w:rPr/>
              <w:t xml:space="preserve"/>
            </w:r>
          </w:p>
          <w:p>
            <w:pPr/>
            <w:r>
              <w:rPr/>
              <w:t xml:space="preserve">38. Establishing dedicated biodiversity funds and institutional finance mechanisms</w:t>
            </w:r>
          </w:p>
          <w:p>
            <w:pPr/>
            <w:r>
              <w:rPr/>
              <w:t xml:space="preserve">Yemen: Created a biodiversity fund within the Environmental Protection Authority to support project sustainability and mobilize co-financing.</w:t>
            </w:r>
          </w:p>
          <w:p>
            <w:pPr/>
            <w:r>
              <w:rPr/>
              <w:t xml:space="preserve">Belize: Combined national budget allocations, BIOFIN support, grants, and protected-area financing to support the National Biodiversity Office.</w:t>
            </w:r>
          </w:p>
          <w:p>
            <w:pPr/>
            <w:r>
              <w:rPr/>
              <w:t xml:space="preserve">Panama: Announced the Panama Natural Fund to provide permanent and long-term financing for implementation of the Nature Pledge. (Sources: Impact Story Yemen Draft.docx; Belize meeting minutes; national-progressgef-sbi-06-en.pdf)</w:t>
            </w:r>
          </w:p>
          <w:p>
            <w:pPr/>
            <w:r>
              <w:rPr/>
              <w:t xml:space="preserve"/>
            </w:r>
          </w:p>
          <w:p>
            <w:pPr/>
            <w:r>
              <w:rPr/>
              <w:t xml:space="preserve">39. Building early capacity to use the Online Reporting Tool</w:t>
            </w:r>
          </w:p>
          <w:p>
            <w:pPr/>
            <w:r>
              <w:rPr/>
              <w:t xml:space="preserve">Suriname: Began familiarization with the Online Reporting Tool through webinars, recordings, and early drafting, supported by dedicated coordination and repeated validation loops.</w:t>
            </w:r>
          </w:p>
          <w:p>
            <w:pPr/>
            <w:r>
              <w:rPr/>
              <w:t xml:space="preserve">Uzbekistan: Planned practical online test runs, early assignment of responsible personnel, and targeted capacity development within the Ministry of Ecology. (Sources: Suriname_7NR_Presentation_Ritesh_Sardjoe.pptx; Uzbekistan presentation_ENG.pdf)</w:t>
            </w:r>
          </w:p>
          <w:p>
            <w:pPr/>
            <w:r>
              <w:rPr/>
              <w:t xml:space="preserve"/>
            </w:r>
          </w:p>
          <w:p>
            <w:pPr/>
            <w:r>
              <w:rPr/>
              <w:t xml:space="preserve">40. Using artificial intelligence as technical support, with expert verification</w:t>
            </w:r>
          </w:p>
          <w:p>
            <w:pPr/>
            <w:r>
              <w:rPr/>
              <w:t xml:space="preserve">Paraguay: Used a securely hosted AI tool to conduct a preliminary comparison of existing national targets with the KMGBF. Government and UNDP experts reviewed the results before they were used to inform 60 regional consultations involving approximately 2,000 people.</w:t>
            </w:r>
          </w:p>
          <w:p>
            <w:pPr/>
            <w:r>
              <w:rPr/>
              <w:t xml:space="preserve">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pPr/>
            <w:r>
              <w:rPr/>
              <w:t xml:space="preserve"/>
            </w:r>
          </w:p>
          <w:p>
            <w:pPr/>
            <w:r>
              <w:rPr/>
              <w:t xml:space="preserve">41. Using reporting gaps to strengthen future monitoring and gender-responsive data systems</w:t>
            </w:r>
          </w:p>
          <w:p>
            <w:pPr/>
            <w:r>
              <w:rPr/>
              <w:t xml:space="preserve"/>
            </w:r>
          </w:p>
          <w:p>
            <w:pPr/>
            <w:r>
              <w:rPr/>
              <w:t xml:space="preserve">Suriname: Transparently documented unavailable data, used credible global datasets where appropriate, and translated remaining gaps into priorities for future monitoring and capacity development.</w:t>
            </w:r>
          </w:p>
          <w:p>
            <w:pPr/>
            <w:r>
              <w:rPr/>
              <w:t xml:space="preserve"/>
            </w:r>
          </w:p>
          <w:p>
            <w:pPr/>
            <w:r>
              <w:rPr/>
              <w:t xml:space="preserve">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trPr/>
        <w:tc>
          <w:tcPr>
            <w:tcW w:w="4000" w:type="dxa"/>
            <w:gridSpan w:val="1"/>
            <w:noWrap/>
          </w:tcPr>
          <w:p>
            <w:pPr/>
            <w:r>
              <w:rPr/>
              <w:t xml:space="preserve">Percentage of countries that express satisfaction with the support received through this project</w:t>
            </w:r>
          </w:p>
        </w:tc>
        <w:tc>
          <w:tcPr>
            <w:tcW w:w="2000" w:type="dxa"/>
            <w:gridSpan w:val="1"/>
            <w:noWrap/>
          </w:tcPr>
          <w:p>
            <w:pPr/>
            <w:r>
              <w:rPr/>
              <w:t xml:space="preserve">0% of participants</w:t>
            </w:r>
          </w:p>
        </w:tc>
        <w:tc>
          <w:tcPr>
            <w:tcW w:w="2000" w:type="dxa"/>
            <w:gridSpan w:val="1"/>
            <w:noWrap/>
          </w:tcPr>
          <w:p>
            <w:pPr/>
            <w:r>
              <w:rPr/>
              <w:t xml:space="preserve">At least 50% of countries</w:t>
            </w:r>
          </w:p>
        </w:tc>
        <w:tc>
          <w:tcPr>
            <w:tcW w:w="2000" w:type="dxa"/>
            <w:gridSpan w:val="1"/>
            <w:noWrap/>
          </w:tcPr>
          <w:p>
            <w:pPr/>
            <w:r>
              <w:rPr/>
              <w:t xml:space="preserve">At least 80% of countries</w:t>
            </w:r>
          </w:p>
        </w:tc>
        <w:tc>
          <w:tcPr>
            <w:tcW w:w="4000" w:type="dxa"/>
            <w:gridSpan w:val="1"/>
            <w:noWrap/>
          </w:tcPr>
          <w:p>
            <w:pPr/>
            <w:r>
              <w:rPr/>
              <w:t xml:space="preserve">Several satisfaction inputs have been gathered both from individuals and from countries regarding the received technical support. As the project is still in earlier stages, satisfaction data is not available across all types of technical support, although this will be improved by the next PIR.</w:t>
            </w:r>
          </w:p>
          <w:p>
            <w:pPr/>
            <w:r>
              <w:rPr/>
              <w:t xml:space="preserve"/>
            </w:r>
          </w:p>
          <w:p>
            <w:pPr/>
            <w:r>
              <w:rPr/>
              <w:t xml:space="preserve">The available satisfaction data includes:</w:t>
            </w:r>
          </w:p>
          <w:p>
            <w:pPr/>
            <w:r>
              <w:rPr/>
              <w:t xml:space="preserve"/>
            </w:r>
          </w:p>
          <w:p>
            <w:pPr/>
            <w:r>
              <w:rPr/>
              <w:t xml:space="preserve">1)	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pPr/>
            <w:r>
              <w:rPr/>
              <w:t xml:space="preserve"/>
            </w:r>
          </w:p>
          <w:p>
            <w:pPr/>
            <w:r>
              <w:rPr/>
              <w:t xml:space="preserve">Webinar 1: Out of 87 responses, 94% (37% “very satisfied”, 57% “satisfied”) expressed satisfaction with the support provided.</w:t>
            </w:r>
          </w:p>
          <w:p>
            <w:pPr/>
            <w:r>
              <w:rPr/>
              <w:t xml:space="preserve">Webinar 2: Out of 53 responses, 74% (30% “very satisfied”, 44% “satisfied”) expressed satisfaction with the support provided.</w:t>
            </w:r>
          </w:p>
          <w:p>
            <w:pPr/>
            <w:r>
              <w:rPr/>
              <w:t xml:space="preserve">Webinar 3: Out of 59 responses, 90% (32% “very satisfied”, 58% “satisfied”) expressed satisfaction with the support provided.</w:t>
            </w:r>
          </w:p>
          <w:p>
            <w:pPr/>
            <w:r>
              <w:rPr/>
              <w:t xml:space="preserve">This data can be found under the files labeled “O3IND4_Satisfaction Survey Webinar”.</w:t>
            </w:r>
          </w:p>
          <w:p>
            <w:pPr/>
            <w:r>
              <w:rPr/>
              <w:t xml:space="preserve"/>
            </w:r>
          </w:p>
          <w:p>
            <w:pPr/>
            <w:r>
              <w:rPr/>
              <w:t xml:space="preserve">2)	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pPr/>
            <w:r>
              <w:rPr/>
              <w:t xml:space="preserve">Moreover, Namibia added that “The analysis is much appreciated as it provides valuable insight that can inform the ongoing strategy updates in Namibia.”. This data can be seen in the file labeled “O3IND4_Satisfaction Survey on Pilot Nature-Climate Alignment Assessments”.</w:t>
            </w:r>
          </w:p>
          <w:p>
            <w:pPr/>
            <w:r>
              <w:rPr/>
              <w:t xml:space="preserve"/>
            </w:r>
          </w:p>
          <w:p>
            <w:pPr/>
            <w:r>
              <w:rPr/>
              <w:t xml:space="preserve"/>
            </w:r>
          </w:p>
          <w:p>
            <w:pPr/>
            <w:r>
              <w:rPr/>
              <w:t xml:space="preserve"/>
            </w:r>
          </w:p>
        </w:tc>
        <w:tc>
          <w:tcPr>
            <w:tcW w:w="4000" w:type="dxa"/>
            <w:gridSpan w:val="1"/>
            <w:noWrap/>
          </w:tcPr>
          <w:p>
            <w:pPr/>
            <w:r>
              <w:rPr/>
              <w:t xml:space="preserve">This project target has been achieved and exceeded.</w:t>
            </w:r>
          </w:p>
          <w:p>
            <w:pPr/>
            <w:r>
              <w:rPr/>
              <w:t xml:space="preserve">Based on the GEF-8 national progress self-assessments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pPr/>
            <w:r>
              <w:rPr/>
              <w:t xml:space="preserve">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pPr/>
            <w:r>
              <w:rPr/>
              <w:t xml:space="preserve">While these results indicate a high level of satisfaction and exceed both the mid-term target (50%) and end-of-project target (80%) among responding countries, additional national self-assessment responses are still being collected.</w:t>
            </w:r>
          </w:p>
          <w:p>
            <w:pPr/>
            <w:r>
              <w:rPr/>
              <w:t xml:space="preserve">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pPr/>
            <w:r>
              <w:rPr/>
              <w:t xml:space="preserve">•	Iraq: “Webinars were helpful during the development of the 7NR.”</w:t>
            </w:r>
          </w:p>
          <w:p>
            <w:pPr/>
            <w:r>
              <w:rPr/>
              <w:t xml:space="preserve">•	Turkmenistan: “Regular communication and consultation with the Regional Liaison Officer on various project matters has been very helpful”</w:t>
            </w:r>
          </w:p>
          <w:p>
            <w:pPr/>
            <w:r>
              <w:rPr/>
              <w:t xml:space="preserve">•	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pPr/>
            <w:r>
              <w:rPr/>
              <w:t xml:space="preserve">•	Tajikistan: “Throughout the implementation period, the project actively sought support from the global team, receiving timely, objective, and high-quality guidance.”</w:t>
            </w:r>
          </w:p>
          <w:p>
            <w:pPr/>
            <w:r>
              <w:rPr/>
              <w:t xml:space="preserve">•	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and other technical reporting requirements.”</w:t>
            </w:r>
          </w:p>
          <w:p>
            <w:pPr/>
            <w:r>
              <w:rPr/>
              <w:t xml:space="preserve">•	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pPr/>
            <w:r>
              <w:rPr/>
              <w:t xml:space="preserve">•	Kyrgyzstan: “We are highly satisfied with the support provided by the GPMTSU. Regular webinars, online learning resources, timely responses to technical questions, reviews of draft ToRs and budget revisions, reaching out CBD contacts, and regular communication were particularly helpful in supporting the timely implementation of project activities.”</w:t>
            </w:r>
          </w:p>
          <w:p>
            <w:pPr/>
            <w:r>
              <w:rPr/>
              <w:t xml:space="preserve">•	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pPr/>
            <w:r>
              <w:rPr/>
              <w:t xml:space="preserve">The GPMTSU has also continued to collect satisfaction feedback from participants attending webinar sessions through post-session surveys.</w:t>
            </w:r>
          </w:p>
          <w:p>
            <w:pPr/>
            <w:r>
              <w:rPr/>
              <w:t xml:space="preserve">Webinar 4: Out of 27 responses, 86% (30% “very satisfied”, 56% “satisfied”) expressed satisfaction with the support provided.</w:t>
            </w:r>
          </w:p>
          <w:p>
            <w:pPr/>
            <w:r>
              <w:rPr/>
              <w:t xml:space="preserve">Webinar 5: Out of 29 responses, 80% (23% “very satisfied”, 57% “satisfied”) expressed satisfaction with the support provided.</w:t>
            </w:r>
          </w:p>
          <w:p>
            <w:pPr/>
            <w:r>
              <w:rPr/>
              <w:t xml:space="preserve">Webinar 6: Out of 28 responses, 96% (52% “very satisfied”, 44% “satisfied”) expressed satisfaction with the support provided.</w:t>
            </w:r>
          </w:p>
          <w:p>
            <w:pPr/>
            <w:r>
              <w:rPr/>
              <w:t xml:space="preserve">Webinar 7: Out of 33 responses, 94% (24% “very satisfied”, 70% “satisfied”) expressed satisfaction with the support provided.</w:t>
            </w:r>
          </w:p>
          <w:p>
            <w:pPr/>
            <w:r>
              <w:rPr/>
              <w:t xml:space="preserve">Webinar 8: Out of 51 responses, 79% (32% “very satisfied”, 47% “satisfied”) expressed satisfaction with the support provided.</w:t>
            </w:r>
          </w:p>
          <w:p>
            <w:pPr/>
            <w:r>
              <w:rPr/>
              <w:t xml:space="preserve">Webinar 9: Out of 17 responses, 100% (59% “very satisfied”, 41% “satisfied”) expressed satisfaction with the support provided.</w:t>
            </w:r>
          </w:p>
          <w:p>
            <w:pPr/>
            <w:r>
              <w:rPr/>
              <w:t xml:space="preserve">Webinar 10: Out of 35 responses, 95% (35% “very satisfied”, 60% “satisfied”) expressed satisfaction with the support provided.</w:t>
            </w:r>
          </w:p>
          <w:p>
            <w:pPr/>
            <w:r>
              <w:rPr/>
              <w:t xml:space="preserve">Webinar 11: Out of 38 responses, 79% (26% “very satisfied”, 53% “satisfied”) expressed satisfaction with the support provided.</w:t>
            </w:r>
          </w:p>
          <w:p>
            <w:pPr/>
            <w:r>
              <w:rPr/>
              <w:t xml:space="preserve">Webinar 13: Out of 38 responses, 79% (26% “very satisfied”, 53% “satisfied”) expressed satisfaction with the support provided.</w:t>
            </w:r>
          </w:p>
          <w:p>
            <w:pPr/>
            <w:r>
              <w:rPr/>
              <w:t xml:space="preserve">This data can be found under the files labeled “O3IND4.1_Satisfaction Survey Webinar”.</w:t>
            </w:r>
          </w:p>
          <w:p>
            <w:pPr/>
            <w:r>
              <w:rPr/>
              <w:t xml:space="preserve">While these surveys provide useful insights into satisfaction with specific support services, they are administered at the participant level rather than the country level and are therefore considered complementary evidence for this indicator.</w:t>
            </w:r>
          </w:p>
          <w:p>
            <w:pPr/>
            <w:r>
              <w:rPr/>
              <w:t xml:space="preserve">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pPr/>
            <w:r>
              <w:rPr/>
              <w:t xml:space="preserve"/>
            </w:r>
          </w:p>
        </w:tc>
      </w:tr>
      <w:tr>
        <w:trPr/>
        <w:tc>
          <w:tcPr>
            <w:tcW w:w="4000" w:type="dxa"/>
            <w:gridSpan w:val="1"/>
            <w:noWrap/>
          </w:tcPr>
          <w:p>
            <w:pPr/>
            <w:r>
              <w:rPr/>
              <w:t xml:space="preserve">Number of in-person knowledge exchange opportunities</w:t>
            </w:r>
          </w:p>
        </w:tc>
        <w:tc>
          <w:tcPr>
            <w:tcW w:w="2000" w:type="dxa"/>
            <w:gridSpan w:val="1"/>
            <w:noWrap/>
          </w:tcPr>
          <w:p>
            <w:pPr/>
            <w:r>
              <w:rPr/>
              <w:t xml:space="preserve">0 in-person knowledge exchange opportunities</w:t>
            </w:r>
          </w:p>
        </w:tc>
        <w:tc>
          <w:tcPr>
            <w:tcW w:w="2000" w:type="dxa"/>
            <w:gridSpan w:val="1"/>
            <w:noWrap/>
          </w:tcPr>
          <w:p>
            <w:pPr/>
            <w:r>
              <w:rPr/>
              <w:t xml:space="preserve">3 in-person knowledge exchange opportunities</w:t>
            </w:r>
          </w:p>
        </w:tc>
        <w:tc>
          <w:tcPr>
            <w:tcW w:w="2000" w:type="dxa"/>
            <w:gridSpan w:val="1"/>
            <w:noWrap/>
          </w:tcPr>
          <w:p>
            <w:pPr/>
            <w:r>
              <w:rPr/>
              <w:t xml:space="preserve">6 in-person knowledge exchange opportunities</w:t>
            </w:r>
          </w:p>
        </w:tc>
        <w:tc>
          <w:tcPr>
            <w:tcW w:w="4000" w:type="dxa"/>
            <w:gridSpan w:val="1"/>
            <w:noWrap/>
          </w:tcPr>
          <w:p>
            <w:pPr/>
            <w:r>
              <w:rPr/>
              <w:t xml:space="preserve">3 number of in-person knowledge exchange opportunities held:</w:t>
            </w:r>
          </w:p>
          <w:p>
            <w:pPr/>
            <w:r>
              <w:rPr/>
              <w:t xml:space="preserve"/>
            </w:r>
          </w:p>
          <w:p>
            <w:pPr/>
            <w:r>
              <w:rPr/>
              <w:t xml:space="preserve">1)	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w:t>
            </w:r>
          </w:p>
          <w:p>
            <w:pPr/>
            <w:r>
              <w:rPr/>
              <w:t xml:space="preserve">See the file under “O3IND2_Inception Workshop Report for the GEF-8 Umbrella Programme to Support NBSAPs and 7NR” for further details.</w:t>
            </w:r>
          </w:p>
          <w:p>
            <w:pPr/>
            <w:r>
              <w:rPr/>
              <w:t xml:space="preserve"/>
            </w:r>
          </w:p>
          <w:p>
            <w:pPr/>
            <w:r>
              <w:rPr/>
              <w:t xml:space="preserve">2)	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Centres, and innovative tools such as the NBSAP Accelerator Partnership’s facilitator programme and matchmaking mechanisms to mobilize finance, technical and knowledge support.</w:t>
            </w:r>
          </w:p>
          <w:p>
            <w:pPr/>
            <w:r>
              <w:rPr/>
              <w:t xml:space="preserve">https://enb.iisd.org/events/nbsap-day</w:t>
            </w:r>
          </w:p>
          <w:p>
            <w:pPr/>
            <w:r>
              <w:rPr/>
              <w:t xml:space="preserve"/>
            </w:r>
          </w:p>
          <w:p>
            <w:pPr/>
            <w:r>
              <w:rPr/>
              <w:t xml:space="preserve">3)	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Secretariat of the Convention on Biological Diversity, and Women4Biodiversity, the event highlighted the role of tools such as the Data Reporting Tool for MEAS (DaRT)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pPr/>
            <w:r>
              <w:rPr/>
              <w:t xml:space="preserve"/>
            </w:r>
          </w:p>
          <w:p>
            <w:pPr/>
            <w:r>
              <w:rPr/>
              <w:t xml:space="preserve"/>
            </w:r>
          </w:p>
          <w:p>
            <w:pPr/>
            <w:r>
              <w:rPr/>
              <w:t xml:space="preserve"/>
            </w:r>
          </w:p>
          <w:p>
            <w:pPr/>
            <w:r>
              <w:rPr/>
              <w:t xml:space="preserve"/>
            </w:r>
          </w:p>
          <w:p>
            <w:pPr/>
            <w:r>
              <w:rPr/>
              <w:t xml:space="preserve"/>
            </w:r>
          </w:p>
        </w:tc>
        <w:tc>
          <w:tcPr>
            <w:tcW w:w="4000" w:type="dxa"/>
            <w:gridSpan w:val="1"/>
            <w:noWrap/>
          </w:tcPr>
          <w:p>
            <w:pPr/>
            <w:r>
              <w:rPr/>
              <w:t xml:space="preserve">This end of project target has been achieved and exceeded. Cumulatively, 9 in-person knowledge exchange opportunities have been held since project inception.</w:t>
            </w:r>
          </w:p>
          <w:p>
            <w:pPr/>
            <w:r>
              <w:rPr/>
              <w:t xml:space="preserve">Since the last PIR date until 30 June 2026, 6 in-person knowledge exchange opportunities have been held:</w:t>
            </w:r>
          </w:p>
          <w:p>
            <w:pPr/>
            <w:r>
              <w:rPr/>
              <w:t xml:space="preserve">1)	Subregional Dialogue on Biodiversity Monitoring and Reporting with a focus on Ecosystem Restoration (Target 2 of KMGBF) – 2-5 September 2026 in Bangkok, Thailand. 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pPr/>
            <w:r>
              <w:rPr/>
              <w:t xml:space="preserve">2)	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approaches to strengthening multilateral cooperation in the development and implementation of NBSAPs.</w:t>
            </w:r>
          </w:p>
          <w:p>
            <w:pPr/>
            <w:r>
              <w:rPr/>
              <w:t xml:space="preserve">3)	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pPr/>
            <w:r>
              <w:rPr/>
              <w:t xml:space="preserve">4)	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biodiversity–health linkages into national plans and NBSAPs.</w:t>
            </w:r>
          </w:p>
          <w:p>
            <w:pPr/>
            <w:r>
              <w:rPr/>
              <w:t xml:space="preserve">5)	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pPr/>
            <w:r>
              <w:rPr/>
              <w:t xml:space="preserve">6)	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opportunities for enhanced subregional cooperation in the region.</w:t>
            </w:r>
          </w:p>
          <w:p>
            <w:pPr/>
            <w:r>
              <w:rPr/>
              <w:t xml:space="preserve">Data and evidence related to this indicator can be found under the files labeled “O3IND2.1_In-person knowledge exchange opportunities”.</w:t>
            </w:r>
          </w:p>
          <w:p>
            <w:pPr/>
            <w:r>
              <w:rPr/>
              <w:t xml:space="preserve"/>
            </w:r>
          </w:p>
        </w:tc>
      </w:tr>
      <w:tr>
        <w:trPr/>
        <w:tc>
          <w:tcPr>
            <w:tcW w:w="4000" w:type="dxa"/>
            <w:gridSpan w:val="1"/>
            <w:noWrap/>
          </w:tcPr>
          <w:p>
            <w:pPr/>
            <w:r>
              <w:rPr/>
              <w:t xml:space="preserve">Number of peer-to-peer exchanges</w:t>
            </w:r>
          </w:p>
        </w:tc>
        <w:tc>
          <w:tcPr>
            <w:tcW w:w="2000" w:type="dxa"/>
            <w:gridSpan w:val="1"/>
            <w:noWrap/>
          </w:tcPr>
          <w:p>
            <w:pPr/>
            <w:r>
              <w:rPr/>
              <w:t xml:space="preserve">0 peer-to-peer exchanges</w:t>
            </w:r>
          </w:p>
        </w:tc>
        <w:tc>
          <w:tcPr>
            <w:tcW w:w="2000" w:type="dxa"/>
            <w:gridSpan w:val="1"/>
            <w:noWrap/>
          </w:tcPr>
          <w:p>
            <w:pPr/>
            <w:r>
              <w:rPr/>
              <w:t xml:space="preserve">6 peer-to-peer exchanges</w:t>
            </w:r>
          </w:p>
        </w:tc>
        <w:tc>
          <w:tcPr>
            <w:tcW w:w="2000" w:type="dxa"/>
            <w:gridSpan w:val="1"/>
            <w:noWrap/>
          </w:tcPr>
          <w:p>
            <w:pPr/>
            <w:r>
              <w:rPr/>
              <w:t xml:space="preserve">12 peer-to-peer exchanges</w:t>
            </w:r>
          </w:p>
        </w:tc>
        <w:tc>
          <w:tcPr>
            <w:tcW w:w="4000" w:type="dxa"/>
            <w:gridSpan w:val="1"/>
            <w:noWrap/>
          </w:tcPr>
          <w:p>
            <w:pPr/>
            <w:r>
              <w:rPr/>
              <w:t xml:space="preserve">6 number of peer-to-peer exchanges held:</w:t>
            </w:r>
          </w:p>
          <w:p>
            <w:pPr/>
            <w:r>
              <w:rPr/>
              <w:t xml:space="preserve">1)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programme’s activities. This is evidenced through the inception report, adding under O3IND6_Peer-to-peer exchanges – Inception Report.</w:t>
            </w:r>
          </w:p>
          <w:p>
            <w:pPr/>
            <w:r>
              <w:rPr/>
              <w:t xml:space="preserve">2)	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pPr/>
            <w:r>
              <w:rPr/>
              <w:t xml:space="preserve"/>
            </w:r>
          </w:p>
          <w:p>
            <w:pPr/>
            <w:r>
              <w:rPr/>
              <w:t xml:space="preserve">3)	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pPr/>
            <w:r>
              <w:rPr/>
              <w:t xml:space="preserve"/>
            </w:r>
          </w:p>
          <w:p>
            <w:pPr/>
            <w:r>
              <w:rPr/>
              <w:t xml:space="preserve"/>
            </w:r>
          </w:p>
        </w:tc>
        <w:tc>
          <w:tcPr>
            <w:tcW w:w="4000" w:type="dxa"/>
            <w:gridSpan w:val="1"/>
            <w:noWrap/>
          </w:tcPr>
          <w:p>
            <w:pPr/>
            <w:r>
              <w:rPr/>
              <w:t xml:space="preserve">This target has been achieved and exceeded.</w:t>
            </w:r>
          </w:p>
          <w:p>
            <w:pPr/>
            <w:r>
              <w:rPr/>
              <w:t xml:space="preserve">Cumulatively, a total of 17 peer-to-peer exchanges have been held since project inception.</w:t>
            </w:r>
          </w:p>
          <w:p>
            <w:pPr/>
            <w:r>
              <w:rPr/>
              <w:t xml:space="preserve">Since the last PIR date until 30 June 2026, a total of 11 peer-to-peer exchanges have been held. These include:</w:t>
            </w:r>
          </w:p>
          <w:p>
            <w:pPr/>
            <w:r>
              <w:rPr/>
              <w:t xml:space="preserve">1)	Knowledge exchange session on national reporting approaches for RBLAC – 15 July 2025 (32 participants from 13 UNDP-supported countries)</w:t>
            </w:r>
          </w:p>
          <w:p>
            <w:pPr/>
            <w:r>
              <w:rPr/>
              <w:t xml:space="preserve">2)	Knowledge exchange session on national reporting approaches for RBAP – 16 July 2025 (41 participants from 13 UNDP-supported countries)</w:t>
            </w:r>
          </w:p>
          <w:p>
            <w:pPr/>
            <w:r>
              <w:rPr/>
              <w:t xml:space="preserve">3)	Knowledge exchange session on national reporting approaches for RBAS – 17 July 2025 (27 participants from 9 UNDP-supported countries)</w:t>
            </w:r>
          </w:p>
          <w:p>
            <w:pPr/>
            <w:r>
              <w:rPr/>
              <w:t xml:space="preserve">4)	Knowledge exchange session on national reporting approaches for RBEC – 23 July 2025 (25 participants from 6 UNDP-supported countries)</w:t>
            </w:r>
          </w:p>
          <w:p>
            <w:pPr/>
            <w:r>
              <w:rPr/>
              <w:t xml:space="preserve">5)	Gender knowledge exchange session : « Échange de connaissances : intégrer la dimension de genre dans les SPANB mises à jour »/ “Knowledge Sharing: Integrating a Gender Perspective into the Updated NBSAPs”   - 9 October 2025 (38 total participants, 12 participants from 6 UNDP-supported countries)</w:t>
            </w:r>
          </w:p>
          <w:p>
            <w:pPr/>
            <w:r>
              <w:rPr/>
              <w:t xml:space="preserve">6)	Knowledge exchange session on applications of UNBL to support national action for NBSAP updates, implementation readiness, and 7NR – 17 March 2026 (71 total participants, 43 participants from 25 UNDP-supported countries)</w:t>
            </w:r>
          </w:p>
          <w:p>
            <w:pPr/>
            <w:r>
              <w:rPr/>
              <w:t xml:space="preserve">7)	Knowledge exchange session on national reporting for RBLAC: “Diálogo informal sobre Informes Nacionales - América Latina”/ “Informal Dialogue on National Reports - Latin America”- 24 April 2026 (31 participants from 11 UNDP-supported countries)</w:t>
            </w:r>
          </w:p>
          <w:p>
            <w:pPr/>
            <w:r>
              <w:rPr/>
              <w:t xml:space="preserve">8)	Virtual Training: Coordinating the 7th National Report (7NR) Practical Guidance for NPSAs. GEF-8 Umbrella Program to Support NBSAP Update and 7NR – 30 April 2026 (17 participants from 9 UNDP-supported countries)</w:t>
            </w:r>
          </w:p>
          <w:p>
            <w:pPr/>
            <w:r>
              <w:rPr/>
              <w:t xml:space="preserve">9)	Virtual Peer to Peer Knowledge Exchange – National Reporting for the Caribbean - 29 June 2026 (42 participants from 16 UNDP-supported countries)</w:t>
            </w:r>
          </w:p>
          <w:p>
            <w:pPr/>
            <w:r>
              <w:rPr/>
              <w:t xml:space="preserve">The GPMTSU further facilitated countries engaging in Virtual Peer to Peer Knowledge Exchange:</w:t>
            </w:r>
          </w:p>
          <w:p>
            <w:pPr/>
            <w:r>
              <w:rPr/>
              <w:t xml:space="preserve">10)	On-demand Country Virtual Peer to Peer Knowledge Exchange – Grenada and Belize on the NBSAP update process and lessons learned from BIOFIN – 16 December 2025 (6 participants)</w:t>
            </w:r>
          </w:p>
          <w:p>
            <w:pPr/>
            <w:r>
              <w:rPr/>
              <w:t xml:space="preserve">11)	On-demand Country Virtual Peer to Peer Knowledge Exchange – Paraguay, Mexico, Venezuela and Colombia on the 7th National Report – 22 January 2026</w:t>
            </w:r>
          </w:p>
          <w:p>
            <w:pPr/>
            <w:r>
              <w:rPr/>
              <w:t xml:space="preserve">Peer-to-peer data can be found under the files labeled “O3IND2.1_Peer-to-peer Data”.</w:t>
            </w:r>
          </w:p>
          <w:p>
            <w:pPr/>
            <w:r>
              <w:rPr/>
              <w:t xml:space="preserve"/>
            </w:r>
          </w:p>
        </w:tc>
      </w:tr>
      <w:tr>
        <w:trPr/>
        <w:tc>
          <w:tcPr>
            <w:tcW w:w="4000" w:type="dxa"/>
            <w:gridSpan w:val="1"/>
            <w:noWrap/>
          </w:tcPr>
          <w:p>
            <w:pPr/>
            <w:r>
              <w:rPr/>
              <w:t xml:space="preserve">Percentage of women accessing/ participating in technical support from the programme</w:t>
            </w:r>
          </w:p>
        </w:tc>
        <w:tc>
          <w:tcPr>
            <w:tcW w:w="2000" w:type="dxa"/>
            <w:gridSpan w:val="1"/>
            <w:noWrap/>
          </w:tcPr>
          <w:p>
            <w:pPr/>
            <w:r>
              <w:rPr/>
              <w:t xml:space="preserve">0% of participants</w:t>
            </w:r>
          </w:p>
        </w:tc>
        <w:tc>
          <w:tcPr>
            <w:tcW w:w="2000" w:type="dxa"/>
            <w:gridSpan w:val="1"/>
            <w:noWrap/>
          </w:tcPr>
          <w:p>
            <w:pPr/>
            <w:r>
              <w:rPr/>
              <w:t xml:space="preserve">At least 30% of participants</w:t>
            </w:r>
          </w:p>
        </w:tc>
        <w:tc>
          <w:tcPr>
            <w:tcW w:w="2000" w:type="dxa"/>
            <w:gridSpan w:val="1"/>
            <w:noWrap/>
          </w:tcPr>
          <w:p>
            <w:pPr/>
            <w:r>
              <w:rPr/>
              <w:t xml:space="preserve">At least 45% of participants</w:t>
            </w:r>
          </w:p>
        </w:tc>
        <w:tc>
          <w:tcPr>
            <w:tcW w:w="4000" w:type="dxa"/>
            <w:gridSpan w:val="1"/>
            <w:noWrap/>
          </w:tcPr>
          <w:p>
            <w:pPr/>
            <w:r>
              <w:rPr/>
              <w:t xml:space="preserve">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pPr/>
            <w:r>
              <w:rPr/>
              <w:t xml:space="preserve"/>
            </w:r>
          </w:p>
          <w:p>
            <w:pPr/>
            <w:r>
              <w:rPr/>
              <w:t xml:space="preserve">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pPr/>
            <w:r>
              <w:rPr/>
              <w:t xml:space="preserve"/>
            </w:r>
          </w:p>
        </w:tc>
        <w:tc>
          <w:tcPr>
            <w:tcW w:w="4000" w:type="dxa"/>
            <w:gridSpan w:val="1"/>
            <w:noWrap/>
          </w:tcPr>
          <w:p>
            <w:pPr/>
            <w:r>
              <w:rPr/>
              <w:t xml:space="preserve">This end of project target has been achieved and exceeded.</w:t>
            </w:r>
          </w:p>
          <w:p>
            <w:pPr/>
            <w:r>
              <w:rPr/>
              <w:t xml:space="preserve">Women comprise an estimated 59% of participants accessing technical support from the programme, based on sex-disaggregated participation data available from webinar sessions and virtual peer-to-peer knowledge exchanges.</w:t>
            </w:r>
          </w:p>
          <w:p>
            <w:pPr/>
            <w:r>
              <w:rP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women.</w:t>
            </w:r>
          </w:p>
          <w:p>
            <w:pPr/>
            <w:r>
              <w:rPr/>
              <w:t xml:space="preserve">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On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r>
        <w:trPr/>
        <w:tc>
          <w:tcPr>
            <w:tcW w:w="16000" w:type="dxa"/>
            <w:shd w:val="clear" w:fill="#D9D9D9"/>
            <w:gridSpan w:val="7"/>
            <w:noWrap/>
          </w:tcPr>
          <w:p>
            <w:pPr/>
            <w:r>
              <w:rPr>
                <w:b w:val="1"/>
                <w:bCs w:val="1"/>
              </w:rPr>
              <w:t xml:space="preserve">Outcome 4</w:t>
            </w:r>
          </w:p>
          <w:p>
            <w:pPr/>
            <w:r>
              <w:rPr>
                <w:b w:val="1"/>
                <w:bCs w:val="1"/>
              </w:rPr>
              <w:t xml:space="preserve">M&amp;E</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2025</w:t>
            </w:r>
          </w:p>
        </w:tc>
        <w:tc>
          <w:tcPr>
            <w:tcW w:w="4000" w:type="dxa"/>
            <w:gridSpan w:val="1"/>
            <w:noWrap/>
          </w:tcPr>
          <w:p>
            <w:pPr/>
            <w:r>
              <w:rPr>
                <w:b w:val="1"/>
                <w:bCs w:val="1"/>
              </w:rPr>
              <w:t xml:space="preserve">Cumulative progress since project start as of Jun 30, 2026</w:t>
            </w:r>
          </w:p>
        </w:tc>
      </w:tr>
      <w:tr>
        <w:trPr/>
        <w:tc>
          <w:tcPr>
            <w:tcW w:w="4000" w:type="dxa"/>
            <w:gridSpan w:val="1"/>
            <w:noWrap/>
          </w:tcPr>
          <w:p>
            <w:pPr/>
            <w:r>
              <w:rPr/>
              <w:t xml:space="preserve">A plan for monitoring and evaluation is fully executed, consistent with UNDP and GEF standards</w:t>
            </w:r>
          </w:p>
        </w:tc>
        <w:tc>
          <w:tcPr>
            <w:tcW w:w="2000" w:type="dxa"/>
            <w:gridSpan w:val="1"/>
            <w:noWrap/>
          </w:tcPr>
          <w:p>
            <w:pPr/>
            <w:r>
              <w:rPr/>
              <w:t xml:space="preserve">No plan for monitoring and evaluation consistent with UNDP, UNEP and GEF standards has been developed</w:t>
            </w:r>
          </w:p>
        </w:tc>
        <w:tc>
          <w:tcPr>
            <w:tcW w:w="2000" w:type="dxa"/>
            <w:gridSpan w:val="1"/>
            <w:noWrap/>
          </w:tcPr>
          <w:p>
            <w:pPr/>
            <w:r>
              <w:rPr/>
              <w:t xml:space="preserve">A monitoring and evaluation plan consistent with UNDP, UNEP and GEF standards has been developed, with clear timelines and milestones established, and action plans for adaptive management are in place</w:t>
            </w:r>
          </w:p>
        </w:tc>
        <w:tc>
          <w:tcPr>
            <w:tcW w:w="2000" w:type="dxa"/>
            <w:gridSpan w:val="1"/>
            <w:noWrap/>
          </w:tcPr>
          <w:p>
            <w:pPr/>
            <w:r>
              <w:rPr/>
              <w:t xml:space="preserve">The monitoring and evaluation plan has been fully executed, and a terminal evaluation has been completed. Lessons learned from the project have been identified and recorded</w:t>
            </w:r>
          </w:p>
        </w:tc>
        <w:tc>
          <w:tcPr>
            <w:tcW w:w="4000" w:type="dxa"/>
            <w:gridSpan w:val="1"/>
            <w:noWrap/>
          </w:tcPr>
          <w:p>
            <w:pPr/>
            <w:r>
              <w:rPr/>
              <w:t xml:space="preserve">A monitoring and evaluation plan had been developed, consistent with UNEP and GEF standards.</w:t>
            </w:r>
          </w:p>
          <w:p>
            <w:pPr/>
            <w:r>
              <w:rPr/>
              <w:t xml:space="preserve"/>
            </w:r>
          </w:p>
          <w:p>
            <w:pPr/>
            <w:r>
              <w:rPr/>
              <w:t xml:space="preserve">The monitoring and evaluation plan can be accessed under the file labeled “O4IND1_Monitoring and evaluation plan”.</w:t>
            </w:r>
          </w:p>
          <w:p>
            <w:pPr/>
            <w:r>
              <w:rPr/>
              <w:t xml:space="preserve"/>
            </w:r>
          </w:p>
          <w:p>
            <w:pPr/>
            <w:r>
              <w:rPr/>
              <w:t xml:space="preserve"/>
            </w:r>
          </w:p>
          <w:p>
            <w:pPr/>
            <w:r>
              <w:rPr/>
              <w:t xml:space="preserve"/>
            </w:r>
          </w:p>
          <w:p>
            <w:pPr/>
            <w:r>
              <w:rPr/>
              <w:t xml:space="preserve">To support evidence-based implementation and facilitate timely decision-making, the GPMTSU has developed a total of 6 high-level trackers that align directly with the programme’s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pPr/>
            <w:r>
              <w:rPr/>
              <w:t xml:space="preserve"/>
            </w:r>
          </w:p>
          <w:p>
            <w:pPr/>
            <w:r>
              <w:rPr/>
              <w:t xml:space="preserve">GEF 7 Early Action Support &amp; GEF 8 NBSAP 7NR National Updates.</w:t>
            </w:r>
          </w:p>
          <w:p>
            <w:pPr/>
            <w:r>
              <w:rPr/>
              <w:t xml:space="preserve"/>
            </w:r>
          </w:p>
          <w:p>
            <w:pPr/>
            <w:r>
              <w:rPr/>
              <w:t xml:space="preserve">GEF 8 Monitoring Matrix</w:t>
            </w:r>
          </w:p>
          <w:p>
            <w:pPr/>
            <w:r>
              <w:rPr/>
              <w:t xml:space="preserve"/>
            </w:r>
          </w:p>
          <w:p>
            <w:pPr/>
            <w:r>
              <w:rPr/>
              <w:t xml:space="preserve">GEF 8 Country outputs and budget allocations</w:t>
            </w:r>
          </w:p>
          <w:p>
            <w:pPr/>
            <w:r>
              <w:rPr/>
              <w:t xml:space="preserve"/>
            </w:r>
          </w:p>
          <w:p>
            <w:pPr/>
            <w:r>
              <w:rPr/>
              <w:t xml:space="preserve">GEF 8 Technical Support Offerings Tracker</w:t>
            </w:r>
          </w:p>
          <w:p>
            <w:pPr/>
            <w:r>
              <w:rPr/>
              <w:t xml:space="preserve"/>
            </w:r>
          </w:p>
          <w:p>
            <w:pPr/>
            <w:r>
              <w:rPr/>
              <w:t xml:space="preserve">GEF 8 Event Attendance Tracker</w:t>
            </w:r>
          </w:p>
          <w:p>
            <w:pPr/>
            <w:r>
              <w:rPr/>
              <w:t xml:space="preserve"/>
            </w:r>
          </w:p>
          <w:p>
            <w:pPr/>
            <w:r>
              <w:rPr/>
              <w:t xml:space="preserve">GEF 8 Bilateral Call Tracker</w:t>
            </w:r>
          </w:p>
          <w:p>
            <w:pPr/>
            <w:r>
              <w:rPr/>
              <w:t xml:space="preserve"/>
            </w:r>
          </w:p>
          <w:p>
            <w:pPr/>
            <w:r>
              <w:rPr/>
              <w:t xml:space="preserve"/>
            </w:r>
          </w:p>
          <w:p>
            <w:pPr/>
            <w:r>
              <w:rPr/>
              <w:t xml:space="preserve"/>
            </w:r>
          </w:p>
          <w:p>
            <w:pPr/>
            <w:r>
              <w:rPr/>
              <w:t xml:space="preserve">Together, these tools help ensure consistency, transparency, and 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gridSpan w:val="1"/>
            <w:noWrap/>
          </w:tcPr>
          <w:p>
            <w:pPr/>
            <w:r>
              <w:rPr/>
              <w:t xml:space="preserve">This midterm target has been achieved, as the monitoring and evaluation plan had already been developed by the last PIR date, consistent with UNEP and GEF standards.</w:t>
            </w:r>
          </w:p>
          <w:p>
            <w:pPr/>
            <w:r>
              <w:rPr/>
              <w:t xml:space="preserve">The GPMTSU continues to monitor the programme’s results framework and its indicators through different key trackers, which facilitate data collection and analysis.</w:t>
            </w:r>
          </w:p>
          <w:p>
            <w:pPr/>
            <w:r>
              <w:rPr/>
              <w:t xml:space="preserve">Updated data related to project monitoring trackers can be found under the files labelled “O4IND1.1_ High Level Trackers”.</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Achieved</w:t>
            </w:r>
          </w:p>
        </w:tc>
      </w:tr>
      <w:tr>
        <w:trPr/>
        <w:tc>
          <w:tcPr>
            <w:tcW w:w="4000" w:type="dxa"/>
            <w:gridSpan w:val="1"/>
            <w:noWrap/>
          </w:tcPr>
          <w:p>
            <w:pPr/>
            <w:r>
              <w:rPr>
                <w:b w:val="1"/>
                <w:bCs w:val="1"/>
              </w:rPr>
              <w:t xml:space="preserve">Evidence uploaded:</w:t>
            </w:r>
          </w:p>
        </w:tc>
        <w:tc>
          <w:tcPr>
            <w:tcW w:w="12000" w:type="dxa"/>
            <w:gridSpan w:val="5"/>
            <w:noWrap/>
          </w:tcPr>
          <w:p>
            <w:pPr/>
            <w:r>
              <w:rPr/>
              <w:t xml:space="preserve">YES</w:t>
            </w:r>
          </w:p>
        </w:tc>
      </w:tr>
    </w:tbl>
    <w:p>
      <w:pPr>
        <w:sectPr>
          <w:pgSz w:orient="landscape" w:w="16837.79527559055" w:h="11905.511811023622"/>
          <w:pgMar w:top="500" w:right="500" w:bottom="500" w:left="500" w:header="720" w:footer="720" w:gutter="0"/>
          <w:cols w:num="1" w:space="720"/>
        </w:sectPr>
      </w:pPr>
    </w:p>
    <w:p>
      <w:pPr>
        <w:pStyle w:val="Heading1"/>
      </w:pPr>
      <w:bookmarkStart w:id="4" w:name="_Toc4"/>
      <w:r>
        <w:t>Finance/Co-Finance</w:t>
      </w:r>
      <w:bookmarkEnd w:id="4"/>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2026:</w:t>
            </w:r>
          </w:p>
          <w:p>
            <w:pPr/>
            <w:r>
              <w:rPr>
                <w:i w:val="1"/>
                <w:iCs w:val="1"/>
              </w:rPr>
              <w:t xml:space="preserve">
*Disbursement for the FY 2026 period is an estimate as books for UNDP Q2 2026 are not yet closed.</w:t>
            </w:r>
          </w:p>
        </w:tc>
        <w:tc>
          <w:tcPr>
            <w:tcW w:w="5000" w:type="dxa"/>
            <w:vAlign w:val="center"/>
            <w:gridSpan w:val="1"/>
            <w:noWrap/>
          </w:tcPr>
          <w:p>
            <w:pPr>
              <w:jc w:val="right"/>
            </w:pPr>
            <w:r>
              <w:rPr/>
              <w:t xml:space="preserve">11,806,462</w:t>
            </w:r>
          </w:p>
        </w:tc>
      </w:tr>
    </w:tbl>
    <w:p>
      <w:pPr>
        <w:pStyle w:val="Heading2"/>
      </w:pPr>
      <w:bookmarkStart w:id="5" w:name="_Toc5"/>
      <w:r>
        <w:t>Key Financing Amounts</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3,615,257</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0</w:t>
            </w:r>
          </w:p>
        </w:tc>
      </w:tr>
    </w:tbl>
    <w:p>
      <w:pPr>
        <w:sectPr>
          <w:pgSz w:orient="portrait" w:w="11905.511811023622" w:h="16837.79527559055"/>
          <w:pgMar w:top="1440" w:right="1440" w:bottom="1440" w:left="1440" w:header="720" w:footer="720" w:gutter="0"/>
          <w:cols w:num="1" w:space="720"/>
        </w:sectPr>
      </w:pPr>
    </w:p>
    <w:p>
      <w:pPr>
        <w:pStyle w:val="Heading1"/>
      </w:pPr>
      <w:bookmarkStart w:id="6" w:name="_Toc6"/>
      <w:r>
        <w:t>Implementation Progress</w:t>
      </w:r>
      <w:bookmarkEnd w:id="6"/>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2025 through 30 June 2026.  If there were no delays, please indicate 'not applicable'.</w:t>
            </w:r>
          </w:p>
        </w:tc>
      </w:tr>
      <w:tr>
        <w:trPr/>
        <w:tc>
          <w:tcPr>
            <w:tcW w:w="10000" w:type="dxa"/>
            <w:gridSpan w:val="1"/>
            <w:noWrap/>
          </w:tcPr>
          <w:p>
            <w:pPr/>
            <w:r>
              <w:rPr/>
              <w:t xml:space="preserve">The GEF-8 Umbrella Programme has made meaningful progress in its second year of implementation, with notable progress across all four outcomes.</w:t>
            </w:r>
          </w:p>
          <w:p>
            <w:pPr/>
            <w:r>
              <w:rPr/>
              <w:t xml:space="preserve">Outcome 1: Revision and Updating of National Biodiversity Strategies and Action Plans (NBSAPs)</w:t>
            </w:r>
          </w:p>
          <w:p>
            <w:pPr/>
            <w:r>
              <w:rPr/>
              <w:t xml:space="preserve">30 out of 69 participating countries (43%) have submitted their KMGBF-aligned NBSAPs to the Online Reporting Tool (ORT). An additional 17 countries have draft NBSAPs under final validation.</w:t>
            </w:r>
          </w:p>
          <w:p>
            <w:pPr/>
            <w:r>
              <w:rPr/>
              <w:t xml:space="preserve">Outcome 2: Preparation of the 7th National Reports</w:t>
            </w:r>
          </w:p>
          <w:p>
            <w:pPr/>
            <w:r>
              <w:rPr/>
              <w:t xml:space="preserve">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pPr/>
            <w:r>
              <w:rPr/>
              <w:t xml:space="preserve">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pPr/>
            <w:r>
              <w:rPr/>
              <w:t xml:space="preserve">Outcome 3: Establishment of a Global Knowledge and Technical Assistance Platform</w:t>
            </w:r>
          </w:p>
          <w:p>
            <w:pPr/>
            <w:r>
              <w:rPr/>
              <w:t xml:space="preserve">All 69 countries have accessed technical support at least once. The platform is delivering comprehensive, multilingual assistance through:</w:t>
            </w:r>
          </w:p>
          <w:p>
            <w:pPr/>
            <w:r>
              <w:rPr/>
              <w:t xml:space="preserve">•	243 bilateral calls with all 69 UNDP-supported countries;</w:t>
            </w:r>
          </w:p>
          <w:p>
            <w:pPr/>
            <w:r>
              <w:rPr/>
              <w:t xml:space="preserve">•	25 virtual knowledge exchange events;</w:t>
            </w:r>
          </w:p>
          <w:p>
            <w:pPr/>
            <w:r>
              <w:rPr/>
              <w:t xml:space="preserve">•	6 in-person events;</w:t>
            </w:r>
          </w:p>
          <w:p>
            <w:pPr/>
            <w:r>
              <w:rPr/>
              <w:t xml:space="preserve">•	On-demand technical reviews (TORs, NBSAPs, 7NRs);</w:t>
            </w:r>
          </w:p>
          <w:p>
            <w:pPr/>
            <w:r>
              <w:rPr/>
              <w:t xml:space="preserve">•	AI-based NBSAP Target Similarity Assessments;</w:t>
            </w:r>
          </w:p>
          <w:p>
            <w:pPr/>
            <w:r>
              <w:rPr/>
              <w:t xml:space="preserve">•	Help Desks at COP16 and SBSTTA events;</w:t>
            </w:r>
          </w:p>
          <w:p>
            <w:pPr/>
            <w:r>
              <w:rPr/>
              <w:t xml:space="preserve">•	Thematic guidance on gender, finance, food systems, andpolicy alignment.</w:t>
            </w:r>
          </w:p>
          <w:p>
            <w:pPr/>
            <w:r>
              <w:rPr/>
              <w:t xml:space="preserve">Outcome 4: Monitoring and Evaluation (M&amp;E)</w:t>
            </w:r>
          </w:p>
          <w:p>
            <w:pPr/>
            <w:r>
              <w:rPr/>
              <w:t xml:space="preserve">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pPr/>
            <w:r>
              <w:rPr/>
              <w:t xml:space="preserve">Under the GEF-8 Umbrella Programme to Support NBSAP Update and the 7th National Reports, the 69 Parties supported by UNDP gained access to national grants of $443,547 on 22 September 2024.</w:t>
            </w:r>
          </w:p>
          <w:p>
            <w:pPr/>
            <w:r>
              <w:rPr/>
              <w:t xml:space="preserve">An adaptive management approach has been implemented UNDP to improve the administration of 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BPPS RTA will provide support to this response, as needed.</w:t>
            </w:r>
          </w:p>
          <w:p>
            <w:pPr/>
            <w:r>
              <w:rPr>
                <w:b w:val="1"/>
                <w:bCs w:val="1"/>
              </w:rPr>
              <w:t xml:space="preserve"/>
            </w:r>
          </w:p>
          <w:p>
            <w:pPr/>
            <w:r>
              <w:rPr>
                <w:b w:val="1"/>
                <w:bCs w:val="1"/>
              </w:rPr>
              <w:t xml:space="preserve"/>
            </w:r>
          </w:p>
        </w:tc>
      </w:tr>
      <w:tr>
        <w:trPr/>
        <w:tc>
          <w:tcPr>
            <w:tcW w:w="10000" w:type="dxa"/>
            <w:gridSpan w:val="1"/>
            <w:noWrap/>
          </w:tcPr>
          <w:p>
            <w:pPr/>
            <w:r>
              <w:rPr/>
              <w:t xml:space="preserve">As this is a global prog managed by 69 countries with implementation support provided by GPMTSU. This question will not be relevant. Instead, the response will be covered in the overall assessment of the RTA.</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Project Governance</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2025 to 30 June 2026)</w:t>
            </w:r>
          </w:p>
        </w:tc>
      </w:tr>
      <w:tr>
        <w:trPr/>
        <w:tc>
          <w:tcPr>
            <w:tcW w:w="10000" w:type="dxa"/>
            <w:gridSpan w:val="1"/>
            <w:noWrap/>
          </w:tcPr>
          <w:p>
            <w:pPr/>
            <w:r>
              <w:rPr/>
              <w:t xml:space="preserve">2025-09-04</w:t>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Ratings and Overall Assessments</w:t>
      </w:r>
      <w:bookmarkEnd w:id="8"/>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2026 Development Objective Progress Rating</w:t>
            </w:r>
          </w:p>
        </w:tc>
        <w:tc>
          <w:tcPr>
            <w:tcW w:w="5000" w:type="dxa"/>
            <w:gridSpan w:val="1"/>
            <w:noWrap/>
          </w:tcPr>
          <w:p>
            <w:pPr/>
            <w:r>
              <w:rPr>
                <w:b w:val="1"/>
                <w:bCs w:val="1"/>
              </w:rPr>
              <w:t xml:space="preserve">2026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Satisfactory</w:t>
            </w:r>
          </w:p>
        </w:tc>
        <w:tc>
          <w:tcPr>
            <w:tcW w:w="5000" w:type="dxa"/>
            <w:gridSpan w:val="1"/>
            <w:noWrap/>
          </w:tcPr>
          <w:p>
            <w:pPr/>
            <w:r>
              <w:rPr/>
              <w:t xml:space="preserve">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2026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pPr/>
            <w:r>
              <w:rPr/>
              <w:t xml:space="preserve"/>
            </w:r>
          </w:p>
          <w:p>
            <w:pPr/>
            <w:r>
              <w:rPr/>
              <w:t xml:space="preserve">Objective-level progress</w:t>
            </w:r>
          </w:p>
          <w:p>
            <w:pPr/>
            <w:r>
              <w:rPr/>
              <w:t xml:space="preserve"/>
            </w:r>
          </w:p>
          <w:p>
            <w:pPr/>
            <w:r>
              <w:rP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pPr/>
            <w:r>
              <w:rPr/>
              <w:t xml:space="preserve"/>
            </w:r>
          </w:p>
          <w:p>
            <w:pPr/>
            <w:r>
              <w:rPr/>
              <w:t xml:space="preserve">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pPr/>
            <w:r>
              <w:rPr/>
              <w:t xml:space="preserve"/>
            </w:r>
          </w:p>
          <w:p>
            <w:pPr/>
            <w:r>
              <w:rPr/>
              <w:t xml:space="preserve">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pPr/>
            <w:r>
              <w:rPr/>
              <w:t xml:space="preserve"/>
            </w:r>
          </w:p>
          <w:p>
            <w:pPr/>
            <w:r>
              <w:rP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pPr/>
            <w:r>
              <w:rPr/>
              <w:t xml:space="preserve"/>
            </w:r>
          </w:p>
          <w:p>
            <w:pPr/>
            <w:r>
              <w:rPr/>
              <w:t xml:space="preserve">Outcome-level achievements</w:t>
            </w:r>
          </w:p>
          <w:p>
            <w:pPr/>
            <w:r>
              <w:rPr/>
              <w:t xml:space="preserve"/>
            </w:r>
          </w:p>
          <w:p>
            <w:pPr/>
            <w:r>
              <w:rPr/>
              <w:t xml:space="preserve">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pPr/>
            <w:r>
              <w:rPr/>
              <w:t xml:space="preserve"/>
            </w:r>
          </w:p>
          <w:p>
            <w:pPr/>
            <w:r>
              <w:rP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pPr/>
            <w:r>
              <w:rPr/>
              <w:t xml:space="preserve"/>
            </w:r>
          </w:p>
          <w:p>
            <w:pPr/>
            <w:r>
              <w:rP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deployed at SBI-06 in Rome brings cumulative help-desk coverage to 48 countries (69%).</w:t>
            </w:r>
          </w:p>
          <w:p>
            <w:pPr/>
            <w:r>
              <w:rPr/>
              <w:t xml:space="preserve"/>
            </w:r>
          </w:p>
          <w:p>
            <w:pPr/>
            <w:r>
              <w:rPr/>
              <w:t xml:space="preserve">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pPr/>
            <w:r>
              <w:rPr/>
              <w:t xml:space="preserve"/>
            </w:r>
          </w:p>
          <w:p>
            <w:pPr/>
            <w:r>
              <w:rPr/>
              <w:t xml:space="preserve">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pPr/>
            <w:r>
              <w:rPr/>
              <w:t xml:space="preserve"/>
            </w:r>
          </w:p>
          <w:p>
            <w:pPr/>
            <w:r>
              <w:rPr/>
              <w:t xml:space="preserve">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pPr/>
            <w:r>
              <w:rPr/>
              <w:t xml:space="preserve"/>
            </w:r>
          </w:p>
          <w:p>
            <w:pPr/>
            <w:r>
              <w:rPr/>
              <w:t xml:space="preserve">Good practices: Against an end-of-project target of 40 good practices captured and scaled, the programme has documented 41 cumulatively, including 15 during this reporting period. I would highlight the following as practices worth replication:</w:t>
            </w:r>
          </w:p>
          <w:p>
            <w:pPr/>
            <w:r>
              <w:rPr/>
              <w:t xml:space="preserve"/>
            </w:r>
          </w:p>
          <w:p>
            <w:pPr/>
            <w:r>
              <w:rP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programme’s decision to invest in target-setting first.</w:t>
            </w:r>
          </w:p>
          <w:p>
            <w:pPr/>
            <w:r>
              <w:rPr/>
              <w:t xml:space="preserve"/>
            </w:r>
          </w:p>
          <w:p>
            <w:pPr/>
            <w:r>
              <w:rP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15 thematic consultations.</w:t>
            </w:r>
          </w:p>
          <w:p>
            <w:pPr/>
            <w:r>
              <w:rPr/>
              <w:t xml:space="preserve"/>
            </w:r>
          </w:p>
          <w:p>
            <w:pPr/>
            <w:r>
              <w:rPr/>
              <w:t xml:space="preserve">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pPr/>
            <w:r>
              <w:rPr/>
              <w:t xml:space="preserve"/>
            </w:r>
          </w:p>
          <w:p>
            <w:pPr/>
            <w:r>
              <w:rPr/>
              <w:t xml:space="preserve">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pPr/>
            <w:r>
              <w:rPr/>
              <w:t xml:space="preserve"/>
            </w:r>
          </w:p>
          <w:p>
            <w:pPr/>
            <w:r>
              <w:rPr/>
              <w:t xml:space="preserve">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pPr/>
            <w:r>
              <w:rPr/>
              <w:t xml:space="preserve"/>
            </w:r>
          </w:p>
          <w:p>
            <w:pPr/>
            <w:r>
              <w:rP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pPr/>
            <w:r>
              <w:rPr/>
              <w:t xml:space="preserve"/>
            </w:r>
          </w:p>
          <w:p>
            <w:pPr/>
            <w:r>
              <w:rPr/>
              <w:t xml:space="preserve">Governance: The programme benefits from an effective joint governance mechanism. A single Project Board (Steering Committee) serves both child projects of the Umbrella Programme managed by UNDP and UNEP, and is co-chaired by the senior leadership of the two implementing agencies - the Head of UNDP’s Ecosystem and Biodiversity and the Director of UNEP’s Biodiversity and 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programme objective.</w:t>
            </w:r>
          </w:p>
          <w:p>
            <w:pPr/>
            <w:r>
              <w:rPr/>
              <w:t xml:space="preserve"/>
            </w:r>
          </w:p>
          <w:p>
            <w:pPr/>
            <w:r>
              <w:rPr/>
              <w:t xml:space="preserve">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pPr/>
            <w:r>
              <w:rPr/>
              <w:t xml:space="preserve"/>
            </w:r>
          </w:p>
          <w:p>
            <w:pPr/>
            <w:r>
              <w:rPr/>
              <w:t xml:space="preserve">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pPr/>
            <w:r>
              <w:rPr/>
              <w:t xml:space="preserve">----</w:t>
            </w:r>
          </w:p>
          <w:p>
            <w:pPr/>
            <w:r>
              <w:rPr/>
              <w:t xml:space="preserve">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pPr/>
            <w:r>
              <w:rPr/>
              <w:t xml:space="preserve"/>
            </w:r>
          </w:p>
          <w:p>
            <w:pPr/>
            <w:r>
              <w:rP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countries include documents that are not yet nationally endorsed.</w:t>
            </w:r>
          </w:p>
          <w:p>
            <w:pPr/>
            <w:r>
              <w:rPr/>
              <w:t xml:space="preserve"/>
            </w:r>
          </w:p>
          <w:p>
            <w:pPr/>
            <w:r>
              <w:rPr/>
              <w:t xml:space="preserve">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pPr/>
            <w:r>
              <w:rPr/>
              <w:t xml:space="preserve"/>
            </w:r>
          </w:p>
          <w:p>
            <w:pPr/>
            <w:r>
              <w:rPr/>
              <w:t xml:space="preserve">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pPr/>
            <w:r>
              <w:rPr/>
              <w:t xml:space="preserve"/>
            </w:r>
          </w:p>
          <w:p>
            <w:pPr/>
            <w:r>
              <w:rPr/>
              <w:t xml:space="preserve">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pPr/>
            <w:r>
              <w:rPr/>
              <w:t xml:space="preserve"/>
            </w:r>
          </w:p>
          <w:p>
            <w:pPr/>
            <w:r>
              <w:rPr/>
              <w:t xml:space="preserve">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pPr/>
            <w:r>
              <w:rPr/>
              <w:t xml:space="preserve"/>
            </w:r>
          </w:p>
          <w:p>
            <w:pPr/>
            <w:r>
              <w:rPr/>
              <w:t xml:space="preserve">Operational and fund-transfer arrangements: Arrangements for transferring 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pPr/>
            <w:r>
              <w:rPr/>
              <w:t xml:space="preserve"/>
            </w:r>
          </w:p>
          <w:p>
            <w:pPr/>
            <w:r>
              <w:rPr/>
              <w:t xml:space="preserve">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pPr/>
            <w:r>
              <w:rPr/>
              <w:t xml:space="preserve"/>
            </w:r>
          </w:p>
          <w:p>
            <w:pPr/>
            <w:r>
              <w:rPr/>
              <w:t xml:space="preserve">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pPr/>
            <w:r>
              <w:rPr/>
              <w:t xml:space="preserve"/>
            </w:r>
          </w:p>
          <w:p>
            <w:pPr/>
            <w:r>
              <w:rP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pPr/>
            <w:r>
              <w:rPr/>
              <w:t xml:space="preserve"/>
            </w:r>
          </w:p>
          <w:p>
            <w:pPr/>
            <w:r>
              <w:rPr/>
              <w:t xml:space="preserve">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strong midterm position into achievement of end-of-project targets.</w:t>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9" w:name="_Toc9"/>
      <w:r>
        <w:t>Minor Amendments</w:t>
      </w:r>
      <w:bookmarkEnd w:id="9"/>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2025- 30 June 2026).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t xml:space="preserve">The programme safeguards approach was further defined through the development of a Grievance and Redress Terms of Reference, found in the evidence folder. This was guided by the UNDP BPPS SES Technical Advisor.</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Other</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0" w:name="_Toc10"/>
      <w:r>
        <w:t>Gender</w:t>
      </w:r>
      <w:bookmarkEnd w:id="10"/>
    </w:p>
    <w:p>
      <w:pPr>
        <w:pStyle w:val="Heading2"/>
      </w:pPr>
      <w:bookmarkStart w:id="11" w:name="_Toc11"/>
      <w:r>
        <w:t>Progress in Advancing Gender Equality and Women's Empowerment</w:t>
      </w:r>
      <w:bookmarkEnd w:id="11"/>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NBSAP Gender Review Template only.xlsx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Yes</w:t>
            </w:r>
          </w:p>
        </w:tc>
      </w:tr>
      <w:tr>
        <w:trPr/>
        <w:tc>
          <w:tcPr>
            <w:tcW w:w="10000" w:type="dxa"/>
            <w:gridSpan w:val="1"/>
            <w:noWrap/>
          </w:tcPr>
          <w:p>
            <w:pPr/>
            <w:r>
              <w:rPr/>
              <w:t xml:space="preserve">Improving the participation and decision-making of women in natural resource governance: Yes</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pPr/>
            <w:r>
              <w:rPr/>
              <w:t xml:space="preserve">Two webinars and one peer-to-peer virtual knowledge exchange were developed on gender in biodiversity decision-making.</w:t>
            </w:r>
          </w:p>
          <w:p>
            <w:pPr/>
            <w:r>
              <w:rPr/>
              <w:t xml:space="preserve">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pPr/>
            <w:r>
              <w:rPr/>
              <w:t xml:space="preserve">20 countries reported actively engaging women's groups and gender ministries in NBSAP revision processes, with a further 19 countries progressing towards this goal.</w:t>
            </w:r>
          </w:p>
          <w:p>
            <w:pPr/>
            <w:r>
              <w:rPr/>
              <w:t xml:space="preserve">20 countries completed gender analyses, and ten additional countries are still undertaking this work, helping to identify gender-differentiated impacts, roles, needs and opportunities related to biodiversity management.</w:t>
            </w:r>
          </w:p>
          <w:p>
            <w:pPr/>
            <w:r>
              <w:rPr/>
              <w:t xml:space="preserve">Ten countries developed gender action plans, while 16 others are in the process of doing so, providing a structured framework for advancing gender-responsive biodiversity policies and actions.</w:t>
            </w:r>
          </w:p>
          <w:p>
            <w:pPr/>
            <w:r>
              <w:rPr/>
              <w:t xml:space="preserve">23 countries reported integrating gender considerations into revised NBSAPs, with 15 countries progressing and three planning to undertake this activity.</w:t>
            </w:r>
          </w:p>
          <w:p>
            <w:pPr/>
            <w:r>
              <w:rPr/>
              <w:t xml:space="preserve">16 countries identified gender-related data gaps and another 15 are working towards this objective, strengthening the evidence base required for informed and inclusive decision-making.</w:t>
            </w:r>
          </w:p>
          <w:p>
            <w:pPr/>
            <w:r>
              <w:rPr/>
              <w:t xml:space="preserve">14 countries reported integrating gender considerations into broader policy alignment efforts, while 14 are making progress in this area.</w:t>
            </w:r>
          </w:p>
          <w:p>
            <w:pPr/>
            <w:r>
              <w:rPr/>
              <w:t xml:space="preserve">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pPr/>
            <w:r>
              <w:rPr/>
              <w:t xml:space="preserve"/>
            </w:r>
          </w:p>
          <w:p>
            <w:pPr/>
            <w:r>
              <w:rPr/>
              <w:t xml:space="preserve">Moreover, the gender consultant under the programme has developed and uses a checklist to review NBSAPs for gender sensitivity.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pPr>
        <w:sectPr>
          <w:pgSz w:orient="portrait" w:w="11905.511811023622" w:h="16837.79527559055"/>
          <w:pgMar w:top="1440" w:right="1440" w:bottom="1440" w:left="1440" w:header="720" w:footer="720" w:gutter="0"/>
          <w:cols w:num="1" w:space="720"/>
        </w:sectPr>
      </w:pPr>
    </w:p>
    <w:p>
      <w:pPr>
        <w:pStyle w:val="Heading1"/>
      </w:pPr>
      <w:bookmarkStart w:id="12" w:name="_Toc12"/>
      <w:r>
        <w:t>Risk Management</w:t>
      </w:r>
      <w:bookmarkEnd w:id="12"/>
    </w:p>
    <w:p>
      <w:pPr>
        <w:pStyle w:val="Heading2"/>
      </w:pPr>
      <w:bookmarkStart w:id="13" w:name="_Toc13"/>
      <w:r>
        <w:t>A) Overall Risk Management</w:t>
      </w:r>
      <w:bookmarkEnd w:id="13"/>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pPr/>
            <w:r>
              <w:rPr/>
              <w:t xml:space="preserve"/>
            </w:r>
          </w:p>
          <w:p>
            <w:pPr/>
            <w:r>
              <w:rPr/>
              <w:t xml:space="preserve">No risks are recorded in the Vertical Fund Risk Dashboard in PIMS+ for this project.</w:t>
            </w:r>
          </w:p>
          <w:p>
            <w:pPr/>
            <w:r>
              <w:rPr/>
              <w:t xml:space="preserve"/>
            </w:r>
          </w:p>
          <w:p>
            <w:pPr/>
            <w:r>
              <w:rPr/>
              <w:t xml:space="preserve">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pPr/>
            <w:r>
              <w:rP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pPr/>
            <w:r>
              <w:rPr/>
              <w:t xml:space="preserve"/>
            </w:r>
          </w:p>
          <w:p>
            <w:pPr/>
            <w:r>
              <w:rPr/>
              <w:t xml:space="preserve">Risk management in practice was nonetheless proactive. The joint UNDP-UNEP Acceleration Plan addressed validation delays, country capacity gaps, and  the fund-transfer challanges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pPr/>
            <w:r>
              <w:rPr/>
              <w:t xml:space="preserve"/>
            </w:r>
          </w:p>
          <w:p>
            <w:pPr/>
            <w:r>
              <w:rP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strategies.The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pPr/>
            <w:r>
              <w:rPr/>
              <w:t xml:space="preserve"/>
            </w:r>
          </w:p>
          <w:p>
            <w:pPr/>
            <w:r>
              <w:rPr/>
              <w:t xml:space="preserve">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pPr/>
            <w:r>
              <w:rPr/>
              <w:t xml:space="preserve"/>
            </w:r>
          </w:p>
          <w:p>
            <w:pPr/>
            <w:r>
              <w:rPr/>
              <w:t xml:space="preserve">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pPr/>
            <w:r>
              <w:rPr/>
              <w:t xml:space="preserve"/>
            </w:r>
          </w:p>
          <w:p>
            <w:pPr/>
            <w:r>
              <w:rP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pPr/>
            <w:r>
              <w:rPr/>
              <w:t xml:space="preserve"/>
            </w:r>
          </w:p>
          <w:p>
            <w:pPr/>
            <w:r>
              <w:rPr/>
              <w:t xml:space="preserve">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pPr/>
            <w:r>
              <w:rPr/>
              <w:t xml:space="preserve"/>
            </w:r>
          </w:p>
          <w:p>
            <w:pPr/>
            <w:r>
              <w:rPr/>
              <w:t xml:space="preserve">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pPr/>
            <w:r>
              <w:rPr/>
              <w:t xml:space="preserve"/>
            </w:r>
          </w:p>
          <w:p>
            <w:pPr/>
            <w:r>
              <w:rP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pPr/>
            <w:r>
              <w:rPr/>
              <w:t xml:space="preserve"/>
            </w:r>
          </w:p>
          <w:p>
            <w:pPr/>
            <w:r>
              <w:rPr/>
              <w:t xml:space="preserve">Oversight: Risk management should remain a standing Steering Committee item. Country Offices will maintain and escalate country-level risks, the global team will consolidate oversight, and the RTA will review progress at mid-year and report status in the 2027 PIR.</w:t>
            </w:r>
          </w:p>
        </w:tc>
      </w:tr>
    </w:tbl>
    <w:p>
      <w:pPr>
        <w:pStyle w:val="Heading2"/>
      </w:pPr>
      <w:bookmarkStart w:id="14" w:name="_Toc14"/>
      <w:r>
        <w:t>B) SES Implementation</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pPr>
        <w:sectPr>
          <w:pgSz w:orient="portrait" w:w="11905.511811023622" w:h="16837.79527559055"/>
          <w:pgMar w:top="1440" w:right="1440" w:bottom="1440" w:left="1440" w:header="720" w:footer="720" w:gutter="0"/>
          <w:cols w:num="1" w:space="720"/>
        </w:sectPr>
      </w:pPr>
    </w:p>
    <w:p>
      <w:pPr>
        <w:pStyle w:val="Heading1"/>
      </w:pPr>
      <w:bookmarkStart w:id="15" w:name="_Toc15"/>
      <w:r>
        <w:t>Knowledge Management &amp; Communications</w:t>
      </w:r>
      <w:bookmarkEnd w:id="15"/>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pPr/>
            <w:r>
              <w:rPr/>
              <w:t xml:space="preserve">1) Curated guidance knowledge materials sourced from the EAS Project, partners, and countries themselves</w:t>
            </w:r>
          </w:p>
          <w:p>
            <w:pPr/>
            <w:r>
              <w:rPr/>
              <w:t xml:space="preserve">2) Good practice examples from countries, gathered through surveys, peer-to-peer discussions, and other mechanisms</w:t>
            </w:r>
          </w:p>
          <w:p>
            <w:pPr/>
            <w:r>
              <w:rPr/>
              <w:t xml:space="preserve">3) Dedicated experts and support on thematic topics, such as gender, climate change, biodiversity finance, food systems, engagement of Indigenous peoples and local communities, integrated spatial planning, and other areas.</w:t>
            </w:r>
          </w:p>
          <w:p>
            <w:pPr/>
            <w:r>
              <w:rPr/>
              <w:t xml:space="preserve">Furthermore, good practices are captured and scaled through:</w:t>
            </w:r>
          </w:p>
          <w:p>
            <w:pPr/>
            <w:r>
              <w:rPr/>
              <w:t xml:space="preserve">1) In-person knowledge exchanges at CBD meetings and listening dialogues</w:t>
            </w:r>
          </w:p>
          <w:p>
            <w:pPr/>
            <w:r>
              <w:rPr/>
              <w:t xml:space="preserve">2) Virtual knowledge exchange sessions, including webinars, dialogues, and hands on trainings on existing tools, methodologies, and country good practices</w:t>
            </w:r>
          </w:p>
          <w:p>
            <w:pPr/>
            <w:r>
              <w:rPr/>
              <w:t xml:space="preserve">3) Bilateral exchanges to transfer knowledge between adjacent countries or those with similar circumstances.</w:t>
            </w:r>
          </w:p>
          <w:p>
            <w:pPr/>
            <w:r>
              <w:rPr/>
              <w:t xml:space="preserve">4) Monthly project newsletter</w:t>
            </w:r>
          </w:p>
          <w:p>
            <w:pPr/>
            <w:r>
              <w:rPr/>
              <w:t xml:space="preserve"/>
            </w:r>
          </w:p>
          <w:p>
            <w:pPr/>
            <w:r>
              <w:rPr/>
              <w:t xml:space="preserve">Finally, the programme is hiring a communications expert to support the following:</w:t>
            </w:r>
          </w:p>
          <w:p>
            <w:pPr/>
            <w:r>
              <w:rPr/>
              <w:t xml:space="preserve">1.	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pPr/>
            <w:r>
              <w:rPr/>
              <w:t xml:space="preserve">2.	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Project website: https://www.undp.org/nature/our-flagship-initiatives/gbf-action-nbsap-support</w:t>
            </w:r>
          </w:p>
          <w:p>
            <w:pPr/>
            <w:r>
              <w:rPr/>
              <w:t xml:space="preserve">Press releases:</w:t>
            </w:r>
          </w:p>
          <w:p>
            <w:pPr/>
            <w:r>
              <w:rPr/>
              <w:t xml:space="preserve">Dominican Republic: https://www.undp.org/es/dominican-republic/noticias/republica-dominicana-se-prepara-para-actualizar-su-estrategia-nacional-de-biodiversidad</w:t>
            </w:r>
          </w:p>
          <w:p>
            <w:pPr/>
            <w:r>
              <w:rPr/>
              <w:t xml:space="preserve">Dominican Republic: https://www.undp.org/es/dominican-republic/noticias/republica-dominicana-se-prepara-para-actualizar-su-estrategia-nacional-de-biodiversidad</w:t>
            </w:r>
          </w:p>
          <w:p>
            <w:pPr/>
            <w:r>
              <w:rPr/>
              <w:t xml:space="preserve">Ecuador: https://www.ambienteyenergia.gob.ec/gobierno-nacional-actualiza-su-estrategia-nacional-de-biodiversidad-para-fortalecer-la-conservacion-y-el-uso-sostenible-hasta-2030/</w:t>
            </w:r>
          </w:p>
          <w:p>
            <w:pPr/>
            <w:r>
              <w:rPr/>
              <w:t xml:space="preserve">Ecuador: https://www.ambienteyenergia.gob.ec/ecuador-presenta-resultados-de-su-septimo-informe-de-biodiversidad-con-mas-de-usd-2-076-millones-destinados-a-conservacion/</w:t>
            </w:r>
          </w:p>
          <w:p>
            <w:pPr/>
            <w:r>
              <w:rPr/>
              <w:t xml:space="preserve">Haiti: https://www.undp.org/fr/haiti/actualites/haiti-met-le-cap-vers-lactualisation-de-sa-strategie-nationale-et-son-plan-daction-pour-la-biodiversite-et-son-7e-rapport-national</w:t>
            </w:r>
          </w:p>
          <w:p>
            <w:pPr/>
            <w:r>
              <w:rPr/>
              <w:t xml:space="preserve">Indonesia: https://kemenlh.go.id/publikasi/detail/57</w:t>
            </w:r>
          </w:p>
          <w:p>
            <w:pPr/>
            <w:r>
              <w:rPr/>
              <w:t xml:space="preserve">Indonesia : https://finance.detik.com/ekonomi-hijau/d-7479354/maruf-amin-beberkan-empat-cara-kelola-keanekaragaman-hayati-ri</w:t>
            </w:r>
          </w:p>
          <w:p>
            <w:pPr/>
            <w:r>
              <w:rPr/>
              <w:t xml:space="preserve">Indonesia : https://www.antaranews.com/berita/4246467/wapres-beri-arahan-strategis-terkait-pelestarian-keanekaragaman-hayati</w:t>
            </w:r>
          </w:p>
          <w:p>
            <w:pPr/>
            <w:r>
              <w:rPr/>
              <w:t xml:space="preserve">Indonesia ; https://www.bappenas.go.id/id/berita/peluncuran-ibsap-2025-2045-panduan-pengelolaan-keanekaragaman-hayati-untuk-wujudkan-visi-indonesia-emas-2045-lq4Ey</w:t>
            </w:r>
          </w:p>
          <w:p>
            <w:pPr/>
            <w:r>
              <w:rPr/>
              <w:t xml:space="preserve">Indonesia: https://nationalgeographic.grid.id/read/133914792/nasib-keanekaragaman-hayati-indonesia-bakal-ditentukan-lewat-ibsap</w:t>
            </w:r>
          </w:p>
          <w:p>
            <w:pPr/>
            <w:r>
              <w:rPr/>
              <w:t xml:space="preserve">Indonesia: https://balaikliringkehati.kemenlh.go.id/2026/06/03/langkah-maju-indonesia-memperkuat-komitmen-keanekaragaman-hayati-menuju-indonesia-emas-2045/</w:t>
            </w:r>
          </w:p>
          <w:p>
            <w:pPr/>
            <w:r>
              <w:rPr/>
              <w:t xml:space="preserve">Indonesia: https://investor.id/multimedia/369661/dokumen-ibsap-jadi-komitmen-pemerintah-jaga-kelestarian-keanekaragaman-hayati</w:t>
            </w:r>
          </w:p>
          <w:p>
            <w:pPr/>
            <w:r>
              <w:rPr/>
              <w:t xml:space="preserve">Kazakhstan: https://www.gov.kz/memleket/entities/ecogeo/press/news/details/1095290?lang=ru</w:t>
            </w:r>
          </w:p>
          <w:p>
            <w:pPr/>
            <w:r>
              <w:rPr/>
              <w:t xml:space="preserve">Kazakhstan: https://www.undp.org/kazakhstan/press-releases/kazakhstan-unites-efforts-preserve-biodiversity-and-tackle-climate-change</w:t>
            </w:r>
          </w:p>
          <w:p>
            <w:pPr/>
            <w:r>
              <w:rPr/>
              <w:t xml:space="preserve">Kazakhstan:  https://kazakhstan.un.org/en/316173-biodiversity-strategy-kazakhstan%E2%80%99s-future</w:t>
            </w:r>
          </w:p>
          <w:p>
            <w:pPr/>
            <w:r>
              <w:rPr/>
              <w:t xml:space="preserve">Kazakhstan: https://www.gov.kz/memleket/entities/ecogeo/press/news/details/1173956?lang=ru</w:t>
            </w:r>
          </w:p>
          <w:p>
            <w:pPr/>
            <w:r>
              <w:rPr/>
              <w:t xml:space="preserve">Kyrgyzstan: https://www.undp.org/ru/kyrgyzstan/press-releases/kyrgyzstan-presents-its-national-biodiversity-conservation-programme-until-2040</w:t>
            </w:r>
          </w:p>
          <w:p>
            <w:pPr/>
            <w:r>
              <w:rPr/>
              <w:t xml:space="preserve">Kyrgyzstan : https://www.vb.kg/doc/456121_kyrgyzstan_predstavit_oon_nacionalnyy_doklad_o_sohranenii_bioraznoobraziia.html</w:t>
            </w:r>
          </w:p>
          <w:p>
            <w:pPr/>
            <w:r>
              <w:rPr/>
              <w:t xml:space="preserve">Kyrgyzstan : https://mnr.gov.kg/ru/posts/news/kyrgyzstan-zaversil-podgotovku-sedmogo-nacionalnogo-doklada-po-realizacii-konvencii-oon-o-biologiceskom-raznoobrazii</w:t>
            </w:r>
          </w:p>
          <w:p>
            <w:pPr/>
            <w:r>
              <w:rPr/>
              <w:t xml:space="preserve">Malaysia : https://www.nres.gov.my/ms-my/pustakamedia/KenyataanMedia/KM-MALAYSIA%20KOMITED%20PERKUKUH%20%20AGENDA%20BIODIVERSITI%20GLOBAL%20.docx%20(1).pdf</w:t>
            </w:r>
          </w:p>
          <w:p>
            <w:pPr/>
            <w:r>
              <w:rPr/>
              <w:t xml:space="preserve">Malaysia : https://sarawakdaily.com/national-biodiversity-council-meeting-2026/</w:t>
            </w:r>
          </w:p>
          <w:p>
            <w:pPr/>
            <w:r>
              <w:rPr/>
              <w:t xml:space="preserve">Malaysia : https://www.mosti.gov.my/en/berita/mesyuarat-majlis-biodiversiti-negara/</w:t>
            </w:r>
          </w:p>
          <w:p>
            <w:pPr/>
            <w:r>
              <w:rPr/>
              <w:t xml:space="preserve">Paraguay: https://www.mades.gov.py/2026/01/20/paraguay-presenta-oficialmente-la-enpab-2025-2030-nueva-hoja-de-ruta-para-la-conservacion-de-la-biodiversidad/</w:t>
            </w:r>
          </w:p>
          <w:p>
            <w:pPr/>
            <w:r>
              <w:rPr/>
              <w:t xml:space="preserve">Paraguay: https://greentourmagazine.com/v1/index.php/2026/01/21/paraguay-lanza-nueva-estrategia-nacional-para-proteger-su-biodiversidad-hasta-2030/</w:t>
            </w:r>
          </w:p>
          <w:p>
            <w:pPr/>
            <w:r>
              <w:rPr/>
              <w:t xml:space="preserve">Paraguay:  https://www.economiavirtual.com.py/noticia/834/presentaron-oficialmente-la-enpab-20252030-nueva-hoja-de-ruta-para-la-conservacion-de-la-biodiversidad/</w:t>
            </w:r>
          </w:p>
          <w:p>
            <w:pPr/>
            <w:r>
              <w:rPr/>
              <w:t xml:space="preserve">Paraguay:  https://www.mades.gov.py/2024/05/28/proceso-de-actualizacion-de-las-metas-nacionales-en-materia-de-biodiversidad/</w:t>
            </w:r>
          </w:p>
          <w:p>
            <w:pPr/>
            <w:r>
              <w:rPr/>
              <w:t xml:space="preserve">Samoa: https://www.undp.org/samoa/press-releases/samoa-validates-its-ndc-30-ahead-cop30</w:t>
            </w:r>
          </w:p>
          <w:p>
            <w:pPr/>
            <w:r>
              <w:rPr/>
              <w:t xml:space="preserve">Turkmenistan: 	https://news.fundsforngos.org/2026/05/14/turkmenistan-to-enhance-biodiversity-conservation-framework-with-undp-technical-and-policy-support/</w:t>
            </w:r>
          </w:p>
          <w:p>
            <w:pPr/>
            <w:r>
              <w:rPr/>
              <w:t xml:space="preserve">Turkmenistan: https://ashgabattimes.com/index.php/2026/05/proon-prodvigaet-obnovlenie-naczionalnoj-strategii-bioraznoobraziya-v-turkmenistane/</w:t>
            </w:r>
          </w:p>
          <w:p>
            <w:pPr/>
            <w:r>
              <w:rPr/>
              <w:t xml:space="preserve">Turkmenistan: https://milli-info.com/rus/news/blog/v-velaiatakh-turkmenistana-obsudili-strategiiu-sokhraneniia-bioraznoobraziia-do-2030-goda-0976cb</w:t>
            </w:r>
          </w:p>
          <w:p>
            <w:pPr/>
            <w:r>
              <w:rPr/>
              <w:t xml:space="preserve">Turkmenistan: https://turkmenistaninfo.gov.tm/ru/news/proon-i-ministerstvo-1</w:t>
            </w:r>
          </w:p>
          <w:p>
            <w:pPr/>
            <w:r>
              <w:rPr/>
              <w:t xml:space="preserve">Turkmenistan: https://orient.tm/en/posts/94038</w:t>
            </w:r>
          </w:p>
          <w:p>
            <w:pPr/>
            <w:r>
              <w:rPr/>
              <w:t xml:space="preserve">Turkmenistan: https://www.newscentralasia.net/2026/05/13/undp-supports-the-update-of-turkmenistans-national-biodiversity-strategy/</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assessment%20Survey%20GEF%208%202026%2FResponses%2FFiles%20from%20countries%20%28Email%29%2FUkraine</w:t>
            </w:r>
          </w:p>
          <w:p>
            <w:pPr/>
            <w:r>
              <w:rPr/>
              <w:t xml:space="preserve">Ukraine: https://www.undp.org/uk/ukraine/news/rozroblennya-natsionalnoyi-stratehiyi-ta-planu-diy-zi-zberezhennya-bioriznomanittya-ukrayiny-v-umovakh-viyny-pohlyad-v-maybutnye?utm_source=chatgpt.com</w:t>
            </w:r>
          </w:p>
          <w:p>
            <w:pPr/>
            <w:r>
              <w:rPr/>
              <w:t xml:space="preserve">Uzbekistan: https://gov.uz/en/eco/news/view/62424</w:t>
            </w:r>
          </w:p>
          <w:p>
            <w:pPr/>
            <w:r>
              <w:rPr/>
              <w:t xml:space="preserve">Uzbekistan: https://gov.uz/en/eco/news/view/62683</w:t>
            </w:r>
          </w:p>
          <w:p>
            <w:pPr/>
            <w:r>
              <w:rPr/>
              <w:t xml:space="preserve">Uzbekistan: https://gov.uz/en/eco/news/view/62626</w:t>
            </w:r>
          </w:p>
          <w:p>
            <w:pPr/>
            <w:r>
              <w:rPr/>
              <w:t xml:space="preserve"/>
            </w:r>
          </w:p>
          <w:p>
            <w:pPr/>
            <w:r>
              <w:rPr/>
              <w:t xml:space="preserve">Social media:</w:t>
            </w:r>
          </w:p>
          <w:p>
            <w:pPr/>
            <w:r>
              <w:rPr/>
              <w:t xml:space="preserve">Belize: https://www.linkedin.com/posts/national-biodiversity-office-nbio-9a196b368_biodiversity-cbd-belize-ugcPost-7468057712661139456-D4Bk/?utm_source=share&amp;utm_medium=member_desktop&amp;rcm=ACoAACUqoV4BIWojZMh_HmzBvjG439FJ03gEGKg</w:t>
            </w:r>
          </w:p>
          <w:p>
            <w:pPr/>
            <w:r>
              <w:rPr/>
              <w:t xml:space="preserve">Dominican Republic: https://www.instagram.com/p/DTnUfslDOo8/</w:t>
            </w:r>
          </w:p>
          <w:p>
            <w:pPr/>
            <w:r>
              <w:rPr/>
              <w:t xml:space="preserve">Iraq: https://www.facebook.com/story.php?story_fbid=1243447297940518&amp;id=100068257788511&amp;rdid=q12CnZ4md7dRyy02</w:t>
            </w:r>
          </w:p>
          <w:p>
            <w:pPr/>
            <w:r>
              <w:rPr/>
              <w:t xml:space="preserve">Jordan : https://www.instagram.com/reel/DShzA11ih3o/?utm_source=ig_web_copy_link&amp;igsh=MzRlODBiNWFlZA%3D%3D</w:t>
            </w:r>
          </w:p>
          <w:p>
            <w:pPr/>
            <w:r>
              <w:rPr/>
              <w:t xml:space="preserve">Jordan : https://www.instagram.com/p/DSSYKKzCsF0/?utm_source=ig_web_copy_link&amp;igsh=MzRlODBiNWFlZA%3D%3D</w:t>
            </w:r>
          </w:p>
          <w:p>
            <w:pPr/>
            <w:r>
              <w:rPr/>
              <w:t xml:space="preserve">Jordan : https://www.facebook.com/reel/1542599826997005</w:t>
            </w:r>
          </w:p>
          <w:p>
            <w:pPr/>
            <w:r>
              <w:rPr/>
              <w:t xml:space="preserve">Jordan : https://www.facebook.com/reel/2608774776173716</w:t>
            </w:r>
          </w:p>
          <w:p>
            <w:pPr/>
            <w:r>
              <w:rPr/>
              <w:t xml:space="preserve">Kazakhstan: https://www.instagram.com/p/DY88JcpCBeM/?img_index=1</w:t>
            </w:r>
          </w:p>
          <w:p>
            <w:pPr/>
            <w:r>
              <w:rPr/>
              <w:t xml:space="preserve">Kazakhstan: https://www.instagram.com/p/DSH6tRcCOwm/?img_index=8</w:t>
            </w:r>
          </w:p>
          <w:p>
            <w:pPr/>
            <w:r>
              <w:rPr/>
              <w:t xml:space="preserve">Kazakhstan: https://www.facebook.com/tv7kz/videos/1743178316379719/</w:t>
            </w:r>
          </w:p>
          <w:p>
            <w:pPr/>
            <w:r>
              <w:rPr/>
              <w:t xml:space="preserve">Mongolia: https://www.facebook.com/undp.mongolia/posts/pfbid02kPL9eSK2hNQCC7fAzgBCey4KDH4pjAgU1d7hE2kJVVyDZtJoQxDLAJpAgL6FYgaKl</w:t>
            </w:r>
          </w:p>
          <w:p>
            <w:pPr/>
            <w:r>
              <w:rPr/>
              <w:t xml:space="preserve">Mongolia: https://www.facebook.com/undp.mongolia/posts/pfbid02rTRYNbwKvR6ZF1xhDANbzA7UA6B3smKDCF1GF3P19kA35iWV12WbtFnbCRpoHrvBl</w:t>
            </w:r>
          </w:p>
          <w:p>
            <w:pPr/>
            <w:r>
              <w:rPr/>
              <w:t xml:space="preserve">Mongolia: https://www.facebook.com/undp.mongolia/posts/pfbid0mH6cZixNBAgeEEz6TdTvxHG56S2tmutZho42abgyX6L2nLrh77MTz6FUU6BNf3qsl</w:t>
            </w:r>
          </w:p>
          <w:p>
            <w:pPr/>
            <w:r>
              <w:rPr/>
              <w:t xml:space="preserve">Mongolia: https://www.facebook.com/undp.mongolia/posts/pfbid02hwo3XnB7XZrHD7X5odgamyTu4PhUDWfFbSCjN3KHpgyZ9xTS95BNNvjaKCqhi2Atl</w:t>
            </w:r>
          </w:p>
          <w:p>
            <w:pPr/>
            <w:r>
              <w:rPr/>
              <w:t xml:space="preserve">Mongolia: https://www.facebook.com/undp.mongolia/posts/pfbid0kq742FguPB4zPN1swqko59YRnMH517PwigFenpePxehLM5KrbwLQov4bTbV9c7eml</w:t>
            </w:r>
          </w:p>
          <w:p>
            <w:pPr/>
            <w:r>
              <w:rPr/>
              <w:t xml:space="preserve">Mongolia: https://www.facebook.com/undp.mongolia/posts/pfbid0FR8kfccZALbqpRSUthhMYSMy3MapKqSzhmU8p4Xg13HSSKgbCxNZH4BiHXQYB1uql</w:t>
            </w:r>
          </w:p>
          <w:p>
            <w:pPr/>
            <w:r>
              <w:rPr/>
              <w:t xml:space="preserve">Mongolia:https://www.facebook.com/undp.mongolia/posts/pfbid03552HDWYeuhtEHJukhSKQeURGEFh3mP7eF5a7fXCVcJNf8QLdMJuTf9LWyFngRgpbl</w:t>
            </w:r>
          </w:p>
          <w:p>
            <w:pPr/>
            <w:r>
              <w:rPr/>
              <w:t xml:space="preserve">Mongolia: https://www.facebook.com/undp.mongolia/posts/pfbid02sREJzAcAKNLQBMpcsrNiKdmjMCDPHKNDQHkdRLTwDGs9VMEyyP1gK5JU3yvZN3eml</w:t>
            </w:r>
          </w:p>
          <w:p>
            <w:pPr/>
            <w:r>
              <w:rPr/>
              <w:t xml:space="preserve">Mongolia: https://www.facebook.com/undp.mongolia/posts/pfbid0287j5VtFGHEf2ZrHvSy1Bb1J7RiTi6qnvxYhguXAeN3ygoqPR15aZ2hMdHNhi7hCyl</w:t>
            </w:r>
          </w:p>
          <w:p>
            <w:pPr/>
            <w:r>
              <w:rPr/>
              <w:t xml:space="preserve">Mongolia: https://www.facebook.com/undp.mongolia/posts/pfbid02Gj2vp1cf7GXu4cfrr8ZaMZT4eG6wcbYLi2BYnQHm44QJhgrFpehMCsuVtonYzscql</w:t>
            </w:r>
          </w:p>
          <w:p>
            <w:pPr/>
            <w:r>
              <w:rPr/>
              <w:t xml:space="preserve">Mongolia: https://www.facebook.com/undp.mongolia/posts/pfbid02L6xUzqFSSe8i1UwtuFx7smSBFjEaqhtXmSxWxVEAN5fWoUsZ8pv8RPYppgDdA1F1l</w:t>
            </w:r>
          </w:p>
          <w:p>
            <w:pPr/>
            <w:r>
              <w:rPr/>
              <w:t xml:space="preserve">Morocco: https://www.linkedin.com/feed/update/urn:li:activity:7470858290659356672/?utm_source=share&amp;utm_medium=member_desktop&amp;rcm=ACoAAA04cncBFv4LQGYsn-k76Gt_jJRjagiaxiY</w:t>
            </w:r>
          </w:p>
          <w:p>
            <w:pPr/>
            <w:r>
              <w:rPr/>
              <w:t xml:space="preserve">Morocco: https://www.linkedin.com/posts/reda-benhima-35b34662_jai-eu-le-plaisir-de-coorganiser-latelier-ugcPost-7450513841987198976-rD3A/?utm_source=share&amp;utm_medium=member_desktop&amp;rcm=ACoAAA04cncBFv4LQGYsn-k76Gt_jJRjagiaxiY</w:t>
            </w:r>
          </w:p>
          <w:p>
            <w:pPr/>
            <w:r>
              <w:rPr/>
              <w:t xml:space="preserve">Morocco: https://www.linkedin.com/posts/reda-benhima-35b34662_validation-du-7%E1%B5%89-rapport-national-sur-activity-7431699756717953024-Uv7K?utm_source=share&amp;utm_medium=member_desktop&amp;rcm=ACoAAA04cncBFv4LQGYsn-k76Gt_jJRjagiaxiY</w:t>
            </w:r>
          </w:p>
          <w:p>
            <w:pPr/>
            <w:r>
              <w:rPr/>
              <w:t xml:space="preserve">Morocco: https://www.linkedin.com/posts/reda-benhima-35b34662_launch-of-the-preparation-of-moroccos-7th-activity-7416973239240790016-vrxm?utm_source=share&amp;utm_medium=member_desktop&amp;rcm=ACoAAA04cncBFv4LQGYsn-k76Gt_jJRjagiaxiY</w:t>
            </w:r>
          </w:p>
          <w:p>
            <w:pPr/>
            <w:r>
              <w:rPr/>
              <w:t xml:space="preserve">Tajikistan: https://www.instagram.com/reels/DbN_9C9tmh1/</w:t>
            </w:r>
          </w:p>
          <w:p>
            <w:pPr/>
            <w:r>
              <w:rPr/>
              <w:t xml:space="preserve">Tajikistan:  https://www.facebook.com/reel/1020889227085437</w:t>
            </w:r>
          </w:p>
          <w:p>
            <w:pPr/>
            <w:r>
              <w:rPr/>
              <w:t xml:space="preserve">Tajikistan:  https://www.facebook.com/reel/1013932477660989</w:t>
            </w:r>
          </w:p>
          <w:p>
            <w:pPr/>
            <w:r>
              <w:rPr/>
              <w:t xml:space="preserve">Tajikistan:  https://www.facebook.com/reel/1336400217857709</w:t>
            </w:r>
          </w:p>
          <w:p>
            <w:pPr/>
            <w:r>
              <w:rPr/>
              <w:t xml:space="preserve">Tunisia: https://www.facebook.com/story.php?story_fbid=1439815398190694&amp;id=100064867410920&amp;rdid=TW8Rhm9VOencJvkv</w:t>
            </w:r>
          </w:p>
          <w:p>
            <w:pPr/>
            <w:r>
              <w:rPr/>
              <w:t xml:space="preserve">Tunisia: https://www.facebook.com/story.php?story_fbid=1607060658092630&amp;id=100063661346871&amp;rdid=G726FqedgsRzAet3#</w:t>
            </w:r>
          </w:p>
          <w:p>
            <w:pPr/>
            <w:r>
              <w:rPr/>
              <w:t xml:space="preserve">Tunisia: https://www.facebook.com/story.php?story_fbid=1413263814179186&amp;id=100064867410920&amp;rdid=gWq4AXa312kZEARf#</w:t>
            </w:r>
          </w:p>
          <w:p>
            <w:pPr/>
            <w:r>
              <w:rPr/>
              <w:t xml:space="preserve">Tunisia: https://www.facebook.com/story.php?story_fbid=1409809124524655&amp;id=100064867410920&amp;rdid=OVtRUURjILHi5Klg#</w:t>
            </w:r>
          </w:p>
          <w:p>
            <w:pPr/>
            <w:r>
              <w:rPr/>
              <w:t xml:space="preserve">Tunisia: https://www.facebook.com/UNDPinTunisia/videos/les-oiseaux-migrateurs-sont-essentiels-%C3%A0-nos-%C3%A9cosyst%C3%A8mes-ils-r%C3%A9gulent-les-nuisib/1004271962174402/?rdid=8xGAJByoTdqpkuHj</w:t>
            </w:r>
          </w:p>
          <w:p>
            <w:pPr/>
            <w:r>
              <w:rPr/>
              <w:t xml:space="preserve">Tunisia: https://www.facebook.com/story.php?story_fbid=1396421459196755&amp;id=100064867410920&amp;rdid=y7RVvJD4xpqk1xqu#</w:t>
            </w:r>
          </w:p>
          <w:p>
            <w:pPr/>
            <w:r>
              <w:rPr/>
              <w:t xml:space="preserve">Tunisia: https://www.facebook.com/story.php?story_fbid=1375916687913899&amp;id=100064867410920&amp;rdid=XR0QwM89oQE05XYv#</w:t>
            </w:r>
          </w:p>
          <w:p>
            <w:pPr/>
            <w:r>
              <w:rPr/>
              <w:t xml:space="preserve">Tunisia: https://www.facebook.com/story.php?story_fbid=1365459768959591&amp;id=100064867410920&amp;rdid=aGqpYQ9MigjaBYKt#</w:t>
            </w:r>
          </w:p>
          <w:p>
            <w:pPr/>
            <w:r>
              <w:rPr/>
              <w:t xml:space="preserve">Tunisia: https://www.facebook.com/story.php?story_fbid=1362135052625396&amp;id=100064867410920&amp;rdid=p3hN8pEIHMhuMqYv#</w:t>
            </w:r>
          </w:p>
          <w:p>
            <w:pPr/>
            <w:r>
              <w:rPr/>
              <w:t xml:space="preserve">Tunisia: https://www.facebook.com/story.php?story_fbid=1352981220207446&amp;id=100064867410920&amp;rdid=BOXunu3ITa9l1wOY#</w:t>
            </w:r>
          </w:p>
          <w:p>
            <w:pPr/>
            <w:r>
              <w:rPr/>
              <w:t xml:space="preserve">Tunisia: https://www.facebook.com/story.php?story_fbid=1348596780607825&amp;id=100063725484802&amp;rdid=JZ5z9QesLOqfb1lx#</w:t>
            </w:r>
          </w:p>
          <w:p>
            <w:pPr/>
            <w:r>
              <w:rPr/>
              <w:t xml:space="preserve">Tunisia: https://www.facebook.com/story.php?story_fbid=1208304928008410&amp;id=100064867410920&amp;rdid=dvDvDkjHqGbYVzSe#</w:t>
            </w:r>
          </w:p>
          <w:p>
            <w:pPr/>
            <w:r>
              <w:rPr/>
              <w:t xml:space="preserve">Turkmenistan: https://www.instagram.com/p/DYRRL0ygknX/?img_index=1</w:t>
            </w:r>
          </w:p>
          <w:p>
            <w:pPr/>
            <w:r>
              <w:rPr/>
              <w:t xml:space="preserve">Turkmenistan: https://www.facebook.com/undptm/posts/pfbid02dcNgc8GbKXmRVCHTwSTF12i4NFtbnTsekabexyiihWnbs8YXqWocR11NMaLivZnil</w:t>
            </w:r>
          </w:p>
          <w:p>
            <w:pPr/>
            <w:r>
              <w:rPr/>
              <w:t xml:space="preserve">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noWrap/>
          </w:tcPr>
          <w:p>
            <w:pPr>
              <w:spacing w:before="0" w:after="0"/>
            </w:pPr>
            <w:r>
              <w:rPr/>
              <w:t xml:space="preserve">KMC_Communication Strategy - Draft communications pathway for GEF-8 Umbrella Programme to Support NBSAP Update and the 7th Natio.docx</w:t>
            </w:r>
          </w:p>
          <w:p>
            <w:pPr>
              <w:spacing w:before="0" w:after="0"/>
            </w:pPr>
            <w:r>
              <w:rPr/>
              <w:t xml:space="preserve">KMC_Communication Strategy - GEF-8 NBSAP and 7NR Brand Kit.pdf</w:t>
            </w:r>
          </w:p>
          <w:p>
            <w:pPr>
              <w:spacing w:before="0" w:after="0"/>
            </w:pPr>
            <w:r>
              <w:rPr/>
              <w:t xml:space="preserve">KMC_Communication Strategy -GBF-8 New Icon Blue Green clear space.jpg</w:t>
            </w:r>
          </w:p>
          <w:p>
            <w:pPr>
              <w:spacing w:before="0" w:after="0"/>
            </w:pPr>
            <w:r>
              <w:rPr/>
              <w:t xml:space="preserve">KMC_Communication Strategy -GBF-8 New Icon white FNL.png</w:t>
            </w:r>
          </w:p>
          <w:p>
            <w:pPr>
              <w:spacing w:before="0" w:after="0"/>
            </w:pPr>
            <w:r>
              <w:rPr/>
              <w:t xml:space="preserve">KMC_Communication Strategy -national-progressgef-sbi-06-en.pdf</w:t>
            </w:r>
          </w:p>
          <w:p>
            <w:pP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Annex - Ratings Definitions</w:t>
      </w:r>
      <w:bookmarkEnd w:id="16"/>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2026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7A69E8"/>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GEFID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DocType xmlns="ceb00776-aa5c-4fc8-b6fe-5f035152e4b6" xsi:nil="true"/>
    <ProjectTitle xmlns="ceb00776-aa5c-4fc8-b6fe-5f035152e4b6" xsi:nil="true"/>
    <RecordStatus xmlns="b8caa731-411c-4ce8-a2a6-5b517e250d33">Active</RecordStatus>
    <TrustFundType xmlns="ceb00776-aa5c-4fc8-b6fe-5f035152e4b6" xsi:nil="true"/>
    <TaxCatchAll xmlns="3e02667f-0271-471b-bd6e-11a2e16def1d" xsi:nil="true"/>
    <DocumentTitle xmlns="ceb00776-aa5c-4fc8-b6fe-5f035152e4b6" xsi:nil="true"/>
    <GEFID xmlns="b8caa731-411c-4ce8-a2a6-5b517e250d33" xsi:nil="true"/>
    <TrustFund xmlns="b8caa731-411c-4ce8-a2a6-5b517e250d33" xsi:nil="true"/>
    <lcf76f155ced4ddcb4097134ff3c332f xmlns="ff57b53f-0493-42a0-86f6-b9b1333ab0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DE9370-B566-4B7C-A3E9-D56008F6A640}"/>
</file>

<file path=customXml/itemProps2.xml><?xml version="1.0" encoding="utf-8"?>
<ds:datastoreItem xmlns:ds="http://schemas.openxmlformats.org/officeDocument/2006/customXml" ds:itemID="{1F33BAE1-3BEE-42FE-ABB6-71DCA4691957}"/>
</file>

<file path=customXml/itemProps3.xml><?xml version="1.0" encoding="utf-8"?>
<ds:datastoreItem xmlns:ds="http://schemas.openxmlformats.org/officeDocument/2006/customXml" ds:itemID="{0352A25E-393A-4E9B-A836-7CDD5C5292D2}"/>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2026-09-09T05:00:08Z</dcterms:created>
  <dcterms:modified xsi:type="dcterms:W3CDTF">2026-09-09T05:00:08Z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GEF_Agencies">
    <vt:lpwstr/>
  </property>
  <property fmtid="{D5CDD505-2E9C-101B-9397-08002B2CF9AE}" pid="4" name="GEF_DocumentPrefix">
    <vt:lpwstr>Project Implementation Report (PIR)</vt:lpwstr>
  </property>
  <property fmtid="{D5CDD505-2E9C-101B-9397-08002B2CF9AE}" pid="5" name="GEF_Phase">
    <vt:lpwstr>GEF - 8</vt:lpwstr>
  </property>
  <property fmtid="{D5CDD505-2E9C-101B-9397-08002B2CF9AE}" pid="6" name="GEF_ProjectTypeSubType2">
    <vt:lpwstr>Non-Expedited EA (&gt; $5 million | Processed as FSP)</vt:lpwstr>
  </property>
  <property fmtid="{D5CDD505-2E9C-101B-9397-08002B2CF9AE}" pid="7" name="GEF_ID">
    <vt:lpwstr>11286</vt:lpwstr>
  </property>
  <property fmtid="{D5CDD505-2E9C-101B-9397-08002B2CF9AE}" pid="8" name="GEF_TrustFund">
    <vt:lpwstr>GET</vt:lpwstr>
  </property>
  <property fmtid="{D5CDD505-2E9C-101B-9397-08002B2CF9AE}" pid="9" name="GEF_Country">
    <vt:lpwstr>Global (Algeria, Antigua and Barbuda, Argentina, Bahamas, Bahrain, Barbados, Belize, Bhutan, Bolivia, Brazil, Cambodia, Chile, China, Colombia, Costa Rica, Cuba, Dominica, Dominican Republic, Ecuador, Egypt, El Salvador, Grenada, Guatemala, Guyana, Haiti, Honduras, India, Indonesia, Iraq, Jamaica, Jordan, Kazakhstan, Kyrgyz Republic, Lao PDR, Lebanon, Malaysia, Maldives, Mauritania, Mauritius, Mexico, Mongolia, Morocco, Nepal, Pakistan, Panama, Papua New Guinea, Paraguay, Peru, Philippines, Samoa, Seychelles, Somalia, Sri Lanka, St. Kitts and Nevis, St. Lucia, St. Vincent and Grenadines, Suriname, Tajikistan, Thailand, Timor Leste, Trinidad and Tobago, Tunisia, Turkmenistan, Ukraine, Uruguay, Uzbekistan, Venezuela, Viet Nam, Yemen)</vt:lpwstr>
  </property>
  <property fmtid="{D5CDD505-2E9C-101B-9397-08002B2CF9AE}" pid="10" name="GEF_ProjectType">
    <vt:lpwstr>EA</vt:lpwstr>
  </property>
  <property fmtid="{D5CDD505-2E9C-101B-9397-08002B2CF9AE}" pid="11" name="GEF_DocumentCategory">
    <vt:lpwstr>M and E Document</vt:lpwstr>
  </property>
  <property fmtid="{D5CDD505-2E9C-101B-9397-08002B2CF9AE}" pid="12" name="GEF_DocumentClassification">
    <vt:lpwstr>Public</vt:lpwstr>
  </property>
  <property fmtid="{D5CDD505-2E9C-101B-9397-08002B2CF9AE}" pid="13" name="GEF_DocumentType">
    <vt:lpwstr>PIR 2</vt:lpwstr>
  </property>
  <property fmtid="{D5CDD505-2E9C-101B-9397-08002B2CF9AE}" pid="14" name="GEF_ProjectID">
    <vt:lpwstr>0c51247e-5dd2-ed11-a7c7-000d3a5c4115</vt:lpwstr>
  </property>
  <property fmtid="{D5CDD505-2E9C-101B-9397-08002B2CF9AE}" pid="15" name="GEF_ProjectTitle">
    <vt:lpwstr>Umbrella Programme to Support NBSAP Update and the 7th National Reports</vt:lpwstr>
  </property>
  <property fmtid="{D5CDD505-2E9C-101B-9397-08002B2CF9AE}" pid="16" name="GEF_FocalArea">
    <vt:lpwstr>Biodiversity</vt:lpwstr>
  </property>
  <property fmtid="{D5CDD505-2E9C-101B-9397-08002B2CF9AE}" pid="17" name="GEF_ProjectTypeSubType1">
    <vt:lpwstr>Biodiversity EA</vt:lpwstr>
  </property>
  <property fmtid="{D5CDD505-2E9C-101B-9397-08002B2CF9AE}" pid="18" name="GEF_DocumentTitle">
    <vt:lpwstr>2026-GEF-PIR-PIMS9678-GEFID11286</vt:lpwstr>
  </property>
</Properties>
</file>